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{AFET}</w:t>
      </w:r>
      <w:r>
        <w:t>Udenrigsudvalget</w:t>
      </w:r>
      <w:r>
        <w:rPr>
          <w:rStyle w:val="HideTWBExt"/>
        </w:rPr>
        <w:t>&lt;/Commission&gt;</w:t>
      </w:r>
    </w:p>
    <w:p>
      <w:pPr>
        <w:pStyle w:val="LineBottom"/>
      </w:pPr>
      <w:r>
        <w:t xml:space="preserve"> </w:t>
      </w:r>
    </w:p>
    <w:p>
      <w:pPr>
        <w:pStyle w:val="CoverReference"/>
      </w:pPr>
      <w:r>
        <w:rPr>
          <w:rStyle w:val="HideTWBExt"/>
        </w:rPr>
        <w:t>&lt;RefProc&gt;</w:t>
      </w:r>
      <w:r>
        <w:t>2025/2049</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{09/09/2025}</w:t>
      </w:r>
      <w:r>
        <w:t>9.9.2025</w:t>
      </w:r>
      <w:r>
        <w:rPr>
          <w:rStyle w:val="HideTWBExt"/>
        </w:rPr>
        <w:t>&lt;/Date&gt;</w:t>
      </w:r>
    </w:p>
    <w:p>
      <w:pPr>
        <w:pStyle w:val="CoverDocType"/>
      </w:pPr>
      <w:r>
        <w:rPr>
          <w:rStyle w:val="HideTWBExt"/>
        </w:rPr>
        <w:t>&lt;TypeAM&gt;</w:t>
      </w:r>
      <w:r>
        <w:t>ÆNDRINGSFORSLAG</w:t>
      </w:r>
      <w:r>
        <w:rPr>
          <w:rStyle w:val="HideTWBExt"/>
        </w:rPr>
        <w:t>&lt;/TypeAM&gt;</w:t>
      </w:r>
    </w:p>
    <w:p>
      <w:pPr>
        <w:pStyle w:val="CoverDocType24a"/>
      </w:pPr>
      <w:r>
        <w:rPr>
          <w:rStyle w:val="HideTWBExt"/>
        </w:rPr>
        <w:t>&lt;RangeAM&gt;</w:t>
      </w:r>
      <w:r>
        <w:t>1</w:t>
      </w:r>
      <w:r>
        <w:t xml:space="preserve"> - </w:t>
      </w:r>
      <w:r>
        <w:t>172</w:t>
      </w:r>
      <w:r>
        <w:rPr>
          <w:rStyle w:val="HideTWBExt"/>
        </w:rPr>
        <w:t>&lt;/RangeAM&gt;</w:t>
      </w:r>
    </w:p>
    <w:p>
      <w:pPr>
        <w:pStyle w:val="CoverBold"/>
      </w:pPr>
      <w:r>
        <w:rPr>
          <w:rStyle w:val="HideTWBExt"/>
        </w:rPr>
        <w:t>&lt;TitreType&gt;</w:t>
      </w:r>
      <w:r>
        <w:t>Udkast til betænkning</w:t>
      </w:r>
      <w:r>
        <w:rPr>
          <w:rStyle w:val="HideTWBExt"/>
        </w:rPr>
        <w:t>&lt;/TitreType&gt;</w:t>
      </w:r>
    </w:p>
    <w:p>
      <w:pPr>
        <w:pStyle w:val="CoverBold"/>
      </w:pPr>
      <w:r>
        <w:rPr>
          <w:rStyle w:val="HideTWBExt"/>
        </w:rPr>
        <w:t>&lt;Rapporteur&gt;</w:t>
      </w:r>
      <w:r>
        <w:t>Antonio López-Istúriz White</w:t>
      </w:r>
      <w:r>
        <w:rPr>
          <w:rStyle w:val="HideTWBExt"/>
        </w:rPr>
        <w:t>&lt;/Rapporteur&gt;</w:t>
      </w:r>
    </w:p>
    <w:p>
      <w:pPr>
        <w:pStyle w:val="CoverNormal24a"/>
      </w:pPr>
      <w:r>
        <w:rPr>
          <w:rStyle w:val="HideTWBExt"/>
        </w:rPr>
        <w:t>&lt;DocRefPE&gt;</w:t>
      </w:r>
      <w:r>
        <w:t>(PE775.385v01-00)</w:t>
      </w:r>
      <w:r>
        <w:rPr>
          <w:rStyle w:val="HideTWBExt"/>
        </w:rPr>
        <w:t>&lt;/DocRefPE&gt;</w:t>
      </w:r>
    </w:p>
    <w:p>
      <w:pPr>
        <w:pStyle w:val="CoverNormal"/>
      </w:pPr>
      <w:r>
        <w:rPr>
          <w:rStyle w:val="HideTWBExt"/>
        </w:rPr>
        <w:t>&lt;Titre&gt;</w:t>
      </w:r>
      <w:r>
        <w:t>Bekæmpelse af straffrihed gennem EU-sanktioner, herunder den globale EU-ordning for menneskerettighedssanktioner (den såkaldte EU-Magnitskij-lov)</w:t>
      </w:r>
      <w:r>
        <w:rPr>
          <w:rStyle w:val="HideTWBExt"/>
        </w:rPr>
        <w:t>&lt;/Titre&gt;</w:t>
      </w:r>
    </w:p>
    <w:p>
      <w:pPr>
        <w:pStyle w:val="CoverNormal24a"/>
      </w:pPr>
      <w:r>
        <w:rPr>
          <w:rStyle w:val="HideTWBExt"/>
        </w:rPr>
        <w:t>&lt;DocRef&gt;</w:t>
      </w:r>
      <w:r>
        <w:t>(2025/2049(INI))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Ændringsforslag</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verdenserklæringen om menneskerettigheder af 10. december 1948,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den europæiske konvention til beskyttelse af menneskerettigheder og grundlæggende frihedsrettigheder af 4. november 1950,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den internationale konvention af 16. december 1966 om borgerlige og politiske rettigheder,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 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FN's konvention mod tortur og anden grusom, umenneskelig eller nedværdigende behandling eller straf af 10. december 1984,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der henviser til Rådets afgørelse (FUSP) 2023/2721 af 4. december 2023, som forlængede den globale EU-ordning for menneskerettighedssanktioner med tre år frem til den 8. december 2026,</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13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Europa-Parlamentets beslutning af 19. juni 2025 om opløsning af politiske partier og undertrykkelse af oppositionen i Mali (2025/2754 (RSP)),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der henviser til, at den globale EU-ordning for menneskerettighedssanktioner, der blev vedtaget i december 2020, giver EU mulighed for at indføre restriktive foranstaltninger over for enkeltpersoner og enheder, der er ansvarlige for alvorlige krænkelser af menneskerettighederne</w:t>
            </w:r>
            <w:r>
              <w:rPr>
                <w:b/>
                <w:i/>
              </w:rPr>
              <w:t>,</w:t>
            </w:r>
            <w:r>
              <w:t xml:space="preserve"> i hele verden; der henviser til, at USA, Canada </w:t>
            </w:r>
            <w:r>
              <w:rPr>
                <w:b/>
                <w:i/>
              </w:rPr>
              <w:t>og</w:t>
            </w:r>
            <w:r>
              <w:t xml:space="preserve"> Det Forenede Kongerige har indført lignende sanktionsordninger; der henviser til, at samarbejde mellem ligesindede lande om sanktioner øger den effektive virkning heraf;</w:t>
            </w:r>
          </w:p>
        </w:tc>
        <w:tc>
          <w:tcPr>
            <w:tcW w:w="4876" w:type="dxa"/>
            <w:tcBorders>
              <w:top w:val="nil"/>
              <w:left w:val="nil"/>
              <w:bottom w:val="nil"/>
              <w:right w:val="nil"/>
            </w:tcBorders>
          </w:tcPr>
          <w:p>
            <w:pPr>
              <w:pStyle w:val="Normal6a"/>
            </w:pPr>
            <w:r>
              <w:t>B.</w:t>
            </w:r>
            <w:r>
              <w:tab/>
            </w:r>
            <w:r>
              <w:t xml:space="preserve">der henviser til, at den globale EU-ordning for menneskerettighedssanktioner, der blev vedtaget i december 2020 </w:t>
            </w:r>
            <w:r>
              <w:rPr>
                <w:b/>
                <w:i/>
              </w:rPr>
              <w:t>efter vedtagelsen af Global Magnitskij-lovgivningen i USA og i andre vestlige demokratier</w:t>
            </w:r>
            <w:r>
              <w:t xml:space="preserve">, giver EU mulighed for at indføre restriktive foranstaltninger over for enkeltpersoner og enheder, der er ansvarlige for alvorlige krænkelser af menneskerettighederne i hele verden; der henviser til, at </w:t>
            </w:r>
            <w:r>
              <w:rPr>
                <w:b/>
                <w:i/>
              </w:rPr>
              <w:t>visse medlemsstater har vedtaget deres egen nationale Magnitsky-lignende lovgivning;</w:t>
            </w:r>
            <w:r>
              <w:t xml:space="preserve"> </w:t>
            </w:r>
            <w:r>
              <w:rPr>
                <w:b/>
                <w:i/>
              </w:rPr>
              <w:t>der henviser til, at</w:t>
            </w:r>
            <w:r>
              <w:t xml:space="preserve"> USA, Canada</w:t>
            </w:r>
            <w:r>
              <w:rPr>
                <w:b/>
                <w:i/>
              </w:rPr>
              <w:t>,</w:t>
            </w:r>
            <w:r>
              <w:t xml:space="preserve"> Det Forenede Kongerige</w:t>
            </w:r>
            <w:r>
              <w:rPr>
                <w:b/>
                <w:i/>
              </w:rPr>
              <w:t>, Australien og andre ligesindede lande</w:t>
            </w:r>
            <w:r>
              <w:t xml:space="preserve"> har indført lignende sanktionsordninger; der henviser til, at samarbejde mellem ligesindede lande om sanktioner øger den effektive virkning heraf;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der henviser til, at den globale EU-ordning for menneskerettighedssanktioner, der blev vedtaget i december 2020, giver EU mulighed for at indføre restriktive foranstaltninger over for enkeltpersoner og enheder, der er ansvarlige for alvorlige krænkelser af menneskerettighederne, i hele verden; der henviser til, at USA, Canada og Det Forenede Kongerige har indført lignende sanktionsordninger; der henviser til, at samarbejde mellem ligesindede lande om sanktioner øger den effektive virkning heraf;</w:t>
            </w:r>
          </w:p>
        </w:tc>
        <w:tc>
          <w:tcPr>
            <w:tcW w:w="4876" w:type="dxa"/>
            <w:tcBorders>
              <w:top w:val="nil"/>
              <w:left w:val="nil"/>
              <w:bottom w:val="nil"/>
              <w:right w:val="nil"/>
            </w:tcBorders>
          </w:tcPr>
          <w:p>
            <w:pPr>
              <w:pStyle w:val="Normal6a"/>
            </w:pPr>
            <w:r>
              <w:t>B.</w:t>
            </w:r>
            <w:r>
              <w:tab/>
            </w:r>
            <w:r>
              <w:t xml:space="preserve">der henviser til, at den globale EU-ordning for menneskerettighedssanktioner, der blev vedtaget i december 2020, giver EU mulighed for at indføre restriktive foranstaltninger over for enkeltpersoner og enheder, der er ansvarlige for alvorlige krænkelser af menneskerettighederne, i hele verden; der henviser til, at USA, Canada og Det Forenede Kongerige har indført lignende sanktionsordninger; der henviser til, at samarbejde </w:t>
            </w:r>
            <w:r>
              <w:rPr>
                <w:b/>
                <w:i/>
              </w:rPr>
              <w:t>og koordinering</w:t>
            </w:r>
            <w:r>
              <w:t xml:space="preserve"> mellem ligesindede lande om sanktioner øger den effektive virkning heraf;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der henviser til, at den globale EU-ordning for menneskerettighedssanktioner er rettet mod individuelle gerningsmænd og enheder, ikke brede økonomiske sektorer, og at dette mindsker den indirekte indvirkning på den brede befolkning og undgår at hindre adgangen til fødevarer, medicin eller offentlige tjenester;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der henviser til, at Parlamentet i sin beslutning af 8. juli 2021 om den globale EU-ordning for menneskerettighedssanktioner hilste vedtagelsen af sanktionsordningen velkommen som en væsentlig tilføjelse til EU's menneskerettigheds- og udenrigspolitiske værktøjskasse;</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C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der henviser til, at Den Europæiske Menneskerettighedsdomstol i en enstemmig afgørelse fra syv dommere i sagen Magnitsky m.fl. </w:t>
            </w:r>
            <w:r>
              <w:t xml:space="preserve"> </w:t>
            </w:r>
            <w:r>
              <w:rPr>
                <w:b/>
                <w:i/>
              </w:rPr>
              <w:t>mod Rusland (ansøgning nr. 32631/09 og 53799/12) den 27. august 2019 fastslog, at Rusland var ansvarlig for Sergei Magnitskys død i fængslet, og at han havde været udsat for forsætlige voldshandlinger, der udgjorde umenneskelig og nedværdigende behandling;</w:t>
            </w:r>
            <w:r>
              <w:t xml:space="preserve"> </w:t>
            </w:r>
            <w:r>
              <w:rPr>
                <w:b/>
                <w:i/>
              </w:rPr>
              <w:t>der henviser til, at ingen er blevet gjort strafferetligt ansvarlig på trods af undersøgelser af hans tilbageholdelse, tortur, ulovlig posthume retsforfølgning og død;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Jan-Christoph Oetjen, Petras Auštrevičius,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der henviser til, at den globale EU-ordning for menneskerettighedssanktioner finder anvendelse på en bred vifte af menneskerettighedskrænkelser, og at de personer og enheder, der er opført på listen, kan omfatte gerningsmænd, medskyldige og tredjeparter, der leverer materiale eller </w:t>
            </w:r>
            <w:r>
              <w:rPr>
                <w:b/>
                <w:i/>
              </w:rPr>
              <w:t>ekspertise</w:t>
            </w:r>
            <w:r>
              <w:t xml:space="preserve"> til undertrykkelse;</w:t>
            </w:r>
          </w:p>
        </w:tc>
        <w:tc>
          <w:tcPr>
            <w:tcW w:w="4876" w:type="dxa"/>
            <w:tcBorders>
              <w:top w:val="nil"/>
              <w:left w:val="nil"/>
              <w:bottom w:val="nil"/>
              <w:right w:val="nil"/>
            </w:tcBorders>
          </w:tcPr>
          <w:p>
            <w:pPr>
              <w:pStyle w:val="Normal6a"/>
            </w:pPr>
            <w:r>
              <w:t>D.</w:t>
            </w:r>
            <w:r>
              <w:tab/>
            </w:r>
            <w:r>
              <w:t xml:space="preserve">der henviser til, at den globale EU-ordning for menneskerettighedssanktioner finder anvendelse på en bred vifte af menneskerettighedskrænkelser, og at de personer og enheder, der er opført på listen, kan omfatte gerningsmænd, medskyldige og tredjeparter, der leverer materiale eller </w:t>
            </w:r>
            <w:r>
              <w:rPr>
                <w:b/>
                <w:i/>
              </w:rPr>
              <w:t>teknisk bistand</w:t>
            </w:r>
            <w:r>
              <w:t xml:space="preserve"> til undertrykkelse;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der henviser til, at den globale EU-ordning for menneskerettighedssanktioner finder anvendelse på en bred vifte af menneskerettighedskrænkelser, og at de personer og enheder, der er opført på listen, kan omfatte gerningsmænd, medskyldige og tredjeparter, der leverer materiale eller ekspertise til undertrykkelse;</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der henviser til, at EU-strategien også omfatter krænkelser eller misbrug, der er udbredt og systematisk, og som giver anledning til alvorlig bekymring med hensyn til målene for den fælles udenrigs- og sikkerhedspolitik, jf. artikel 21 i traktaten om Den Europæiske Union, såsom menneskehandel, seksuel og kønsbaseret vold eller krænkelser af de grundlæggende rettigheder;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Jan-Christoph Oetjen, Petras Auštrevičius,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der henviser til, at tværnational undertrykkelse endnu ikke er medtaget på listen over alvorlige krænkelser af menneskerettighederne, der udløser sanktioner i henhold til den globale EU-ordning for menneskerettighedssanktioner;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der henviser til, at Parlamentet i adskillige beslutninger har opfordret til, at sanktionsinstrumenter anvendes oftere i sager om de alvorligste internationale forbrydelser eller alvorlige menneskerettighedskrænkelser;</w:t>
            </w:r>
          </w:p>
        </w:tc>
        <w:tc>
          <w:tcPr>
            <w:tcW w:w="4876" w:type="dxa"/>
            <w:tcBorders>
              <w:top w:val="nil"/>
              <w:left w:val="nil"/>
              <w:bottom w:val="nil"/>
              <w:right w:val="nil"/>
            </w:tcBorders>
          </w:tcPr>
          <w:p>
            <w:pPr>
              <w:pStyle w:val="Normal6a"/>
            </w:pPr>
            <w:r>
              <w:t>E.</w:t>
            </w:r>
            <w:r>
              <w:tab/>
            </w:r>
            <w:r>
              <w:t xml:space="preserve">der henviser til, at Parlamentet i adskillige beslutninger har opfordret til, at sanktionsinstrumenter anvendes oftere i sager om de alvorligste internationale forbrydelser eller alvorlige menneskerettighedskrænkelser; </w:t>
            </w:r>
            <w:r>
              <w:rPr>
                <w:b/>
                <w:i/>
              </w:rPr>
              <w:t>der henviser til, at der har været en kriminel tendens i de spansk- og portugisisktalende lande i Nord-, Mellem- og Sydamerika i de seneste år, hvor myndighederne i visse lande har opbygget et forvaltningssystem, der er kendetegnet ved en form for alliance mellem regeringen, narkotikakarteller og/eller organiserede kriminelle netværk;</w:t>
            </w:r>
            <w:r>
              <w:t xml:space="preserve"> </w:t>
            </w:r>
            <w:r>
              <w:rPr>
                <w:b/>
                <w:i/>
              </w:rPr>
              <w:t>fordømmer, at disse alliancer fungerer som et symbiotisk forhold, hvor ikkestatslige væbnede grupper giver højtstående medlemmer af disse regimer adgang til og fuld kontrol over deres indflydelsesområder, og hvor regimerne til gengæld tolererer og i nogle tilfælde aktivt beskytter deres aktiviteter;</w:t>
            </w:r>
            <w:r>
              <w:t xml:space="preserve"> </w:t>
            </w:r>
            <w:r>
              <w:rPr>
                <w:b/>
                <w:i/>
              </w:rPr>
              <w:t>fordømmer på det kraftigste, at Nicolas Maduros venezuelanske regime, leder af det kriminelle Cartel de los Soles, er et godt eksempel på denne virkelighed;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der henviser til, at Parlamentet i adskillige beslutninger har opfordret til, at sanktionsinstrumenter anvendes oftere i sager om de alvorligste internationale forbrydelser eller alvorlige menneskerettighedskrænkelser;</w:t>
            </w:r>
          </w:p>
        </w:tc>
        <w:tc>
          <w:tcPr>
            <w:tcW w:w="4876" w:type="dxa"/>
            <w:tcBorders>
              <w:top w:val="nil"/>
              <w:left w:val="nil"/>
              <w:bottom w:val="nil"/>
              <w:right w:val="nil"/>
            </w:tcBorders>
          </w:tcPr>
          <w:p>
            <w:pPr>
              <w:pStyle w:val="Normal6a"/>
            </w:pPr>
            <w:r>
              <w:t>E.</w:t>
            </w:r>
            <w:r>
              <w:tab/>
            </w:r>
            <w:r>
              <w:t xml:space="preserve">der henviser til, at Parlamentet i adskillige beslutninger har opfordret til, at sanktionsinstrumenter anvendes </w:t>
            </w:r>
            <w:r>
              <w:rPr>
                <w:b/>
                <w:i/>
              </w:rPr>
              <w:t>mere fleksibelt og</w:t>
            </w:r>
            <w:r>
              <w:t xml:space="preserve"> oftere i sager om de alvorligste internationale forbrydelser eller alvorlige menneskerettighedskrænkelser;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der henviser til, at der pr. 28. maj 2025 var foretaget 156 registreringer på listen i henhold til den globale EU-ordning for menneskerettighedssanktioner (120 enkeltpersoner og 36 enheder);</w:t>
            </w:r>
          </w:p>
        </w:tc>
        <w:tc>
          <w:tcPr>
            <w:tcW w:w="4876" w:type="dxa"/>
            <w:tcBorders>
              <w:top w:val="nil"/>
              <w:left w:val="nil"/>
              <w:bottom w:val="nil"/>
              <w:right w:val="nil"/>
            </w:tcBorders>
          </w:tcPr>
          <w:p>
            <w:pPr>
              <w:pStyle w:val="Normal6a"/>
            </w:pPr>
            <w:r>
              <w:t>F.</w:t>
            </w:r>
            <w:r>
              <w:tab/>
            </w:r>
            <w:r>
              <w:t xml:space="preserve">der henviser til, at der pr. 28. maj 2025 var foretaget 156 registreringer på listen i henhold til den globale EU-ordning for menneskerettighedssanktioner (120 enkeltpersoner og 36 enheder); </w:t>
            </w:r>
            <w:r>
              <w:rPr>
                <w:b/>
                <w:i/>
              </w:rPr>
              <w:t>der henviser til, at der i henhold til den tilsvarende amerikanske Global Magnitskij-lov pr. 7. august 2025 var blevet udpeget 262 personer og 330 enheder fra mere end 50 lande i hver region i verden med henblik på sanktioner;</w:t>
            </w:r>
            <w:r>
              <w:t xml:space="preserve"> </w:t>
            </w:r>
            <w:r>
              <w:rPr>
                <w:b/>
                <w:i/>
              </w:rPr>
              <w:t>der henviser til, at denne forskel tydeliggør uoverensstemmelsen mellem EU's offentligt erklærede engagement i den globale beskyttelse af menneskerettighederne og den begrænsede anvendelse af dette instrument;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der henviser til, at der pr. </w:t>
            </w:r>
            <w:r>
              <w:rPr>
                <w:b/>
                <w:i/>
              </w:rPr>
              <w:t>28. maj 2025</w:t>
            </w:r>
            <w:r>
              <w:t xml:space="preserve"> var foretaget </w:t>
            </w:r>
            <w:r>
              <w:rPr>
                <w:b/>
                <w:i/>
              </w:rPr>
              <w:t>156</w:t>
            </w:r>
            <w:r>
              <w:t xml:space="preserve"> registreringer på listen i henhold til den globale EU-ordning for menneskerettighedssanktioner (</w:t>
            </w:r>
            <w:r>
              <w:rPr>
                <w:b/>
                <w:i/>
              </w:rPr>
              <w:t>120</w:t>
            </w:r>
            <w:r>
              <w:t xml:space="preserve"> enkeltpersoner og </w:t>
            </w:r>
            <w:r>
              <w:rPr>
                <w:b/>
                <w:i/>
              </w:rPr>
              <w:t>36</w:t>
            </w:r>
            <w:r>
              <w:t xml:space="preserve"> enheder);</w:t>
            </w:r>
          </w:p>
        </w:tc>
        <w:tc>
          <w:tcPr>
            <w:tcW w:w="4876" w:type="dxa"/>
            <w:tcBorders>
              <w:top w:val="nil"/>
              <w:left w:val="nil"/>
              <w:bottom w:val="nil"/>
              <w:right w:val="nil"/>
            </w:tcBorders>
          </w:tcPr>
          <w:p>
            <w:pPr>
              <w:pStyle w:val="Normal6a"/>
            </w:pPr>
            <w:r>
              <w:t>F.</w:t>
            </w:r>
            <w:r>
              <w:tab/>
            </w:r>
            <w:r>
              <w:t xml:space="preserve">der henviser til, at der pr. </w:t>
            </w:r>
            <w:r>
              <w:rPr>
                <w:b/>
                <w:i/>
              </w:rPr>
              <w:t>15. juli</w:t>
            </w:r>
            <w:r>
              <w:t xml:space="preserve"> var foretaget </w:t>
            </w:r>
            <w:r>
              <w:rPr>
                <w:b/>
                <w:i/>
              </w:rPr>
              <w:t>163</w:t>
            </w:r>
            <w:r>
              <w:t xml:space="preserve"> registreringer på listen i henhold til den globale EU-ordning for menneskerettighedssanktioner (</w:t>
            </w:r>
            <w:r>
              <w:rPr>
                <w:b/>
                <w:i/>
              </w:rPr>
              <w:t>126</w:t>
            </w:r>
            <w:r>
              <w:t xml:space="preserve"> enkeltpersoner og </w:t>
            </w:r>
            <w:r>
              <w:rPr>
                <w:b/>
                <w:i/>
              </w:rPr>
              <w:t>37</w:t>
            </w:r>
            <w:r>
              <w:t xml:space="preserve"> enheder);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der henviser til, at der pr. 28. maj 2025 var foretaget 156 registreringer på listen i henhold til den globale EU-ordning for menneskerettighedssanktioner (120 enkeltpersoner og 36 enheder);</w:t>
            </w:r>
          </w:p>
        </w:tc>
        <w:tc>
          <w:tcPr>
            <w:tcW w:w="4876" w:type="dxa"/>
            <w:tcBorders>
              <w:top w:val="nil"/>
              <w:left w:val="nil"/>
              <w:bottom w:val="nil"/>
              <w:right w:val="nil"/>
            </w:tcBorders>
          </w:tcPr>
          <w:p>
            <w:pPr>
              <w:pStyle w:val="Normal6a"/>
            </w:pPr>
            <w:r>
              <w:t>F.</w:t>
            </w:r>
            <w:r>
              <w:tab/>
            </w:r>
            <w:r>
              <w:t xml:space="preserve">der henviser til, at der pr. 28. maj 2025 var foretaget 156 registreringer på listen i henhold til den globale EU-ordning for menneskerettighedssanktioner (120 enkeltpersoner og 36 enheder); </w:t>
            </w:r>
            <w:r>
              <w:rPr>
                <w:b/>
                <w:i/>
              </w:rPr>
              <w:t>der henviser til, at listen under denne ordning er vokset, og at der ikke er megen viden om dens virkning og effektivitet;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der henviser til, at der trods fremskridt stadig er betydelige mangler i registreringernes geografiske og tematiske dækning og i fastsættelsen af benchmarks, som er i overensstemmelse med sanktionernes formål;</w:t>
            </w:r>
          </w:p>
        </w:tc>
        <w:tc>
          <w:tcPr>
            <w:tcW w:w="4876" w:type="dxa"/>
            <w:tcBorders>
              <w:top w:val="nil"/>
              <w:left w:val="nil"/>
              <w:bottom w:val="nil"/>
              <w:right w:val="nil"/>
            </w:tcBorders>
          </w:tcPr>
          <w:p>
            <w:pPr>
              <w:pStyle w:val="Normal6a"/>
            </w:pPr>
            <w:r>
              <w:t>G.</w:t>
            </w:r>
            <w:r>
              <w:tab/>
            </w:r>
            <w:r>
              <w:t xml:space="preserve">der henviser til, at der trods fremskridt stadig er betydelige mangler i registreringernes geografiske og tematiske dækning og i fastsættelsen af benchmarks, som er i overensstemmelse med sanktionernes formål; </w:t>
            </w:r>
            <w:r>
              <w:rPr>
                <w:b/>
                <w:i/>
              </w:rPr>
              <w:t>der henviser til, at korruption på trods af flere opfordringer fra Parlamentet endnu ikke betragtes som en forbrydelse inden for rammerne af den globale EU-ordning for menneskerettighedssanktioner;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der henviser til, at der trods fremskridt stadig er betydelige mangler i registreringernes geografiske og tematiske dækning og i fastsættelsen af benchmarks, som er i overensstemmelse med sanktionernes formål;</w:t>
            </w:r>
          </w:p>
        </w:tc>
        <w:tc>
          <w:tcPr>
            <w:tcW w:w="4876" w:type="dxa"/>
            <w:tcBorders>
              <w:top w:val="nil"/>
              <w:left w:val="nil"/>
              <w:bottom w:val="nil"/>
              <w:right w:val="nil"/>
            </w:tcBorders>
          </w:tcPr>
          <w:p>
            <w:pPr>
              <w:pStyle w:val="Normal6a"/>
            </w:pPr>
            <w:r>
              <w:t>G.</w:t>
            </w:r>
            <w:r>
              <w:tab/>
            </w:r>
            <w:r>
              <w:t xml:space="preserve">der henviser til, at der trods fremskridt stadig er betydelige mangler i registreringernes geografiske og tematiske </w:t>
            </w:r>
            <w:r>
              <w:rPr>
                <w:b/>
                <w:i/>
              </w:rPr>
              <w:t>og transnationale</w:t>
            </w:r>
            <w:r>
              <w:t xml:space="preserve"> dækning og i fastsættelsen af benchmarks, som er i overensstemmelse med sanktionernes formål;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der henviser til, at der trods fremskridt stadig er betydelige mangler i registreringernes geografiske og tematiske dækning og i fastsættelsen af benchmarks, som er i overensstemmelse med sanktionernes formål;</w:t>
            </w:r>
          </w:p>
        </w:tc>
        <w:tc>
          <w:tcPr>
            <w:tcW w:w="4876" w:type="dxa"/>
            <w:tcBorders>
              <w:top w:val="nil"/>
              <w:left w:val="nil"/>
              <w:bottom w:val="nil"/>
              <w:right w:val="nil"/>
            </w:tcBorders>
          </w:tcPr>
          <w:p>
            <w:pPr>
              <w:pStyle w:val="Normal6a"/>
            </w:pPr>
            <w:r>
              <w:t>G.</w:t>
            </w:r>
            <w:r>
              <w:tab/>
            </w:r>
            <w:r>
              <w:t>der henviser til, at der trods fremskridt stadig er betydelige mangler i registreringernes geografiske og tematiske dækning og i fastsættelsen af benchmarks, som er i overensstemmelse med sanktionernes formål;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G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der henviser til, at det er særligt beklageligt, at instrumentet kun anvendes svagt i EU's umiddelbare nabolande, som bør være underlagt EU's tætteste kontrol med hensyn til menneskerettigheder;</w:t>
            </w:r>
            <w:r>
              <w:t xml:space="preserve"> </w:t>
            </w:r>
            <w:r>
              <w:rPr>
                <w:b/>
                <w:i/>
              </w:rPr>
              <w:t>der henviser til, at der i Belarus, hvor regimet brutalt undertrykker det fredelige civilsamfund gennem tortur, proformaretssager og er direkte ansvarlig for adskillige fredelige belaruseres død, og hvor navnene på embedsmænd fra undertrykkende institutioner, herunder dommere og anklagere, er offentligt kendte, kun er få personer, der er blevet omfattet af Magnitskij-sanktioner, i lighed med de personer, der er ansvarlige for undertrykkelse i Georgien;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der henviser til, at registreringerne </w:t>
            </w:r>
            <w:r>
              <w:rPr>
                <w:b/>
                <w:i/>
              </w:rPr>
              <w:t>primært</w:t>
            </w:r>
            <w:r>
              <w:t xml:space="preserve"> har haft fokus på krænkelser af den fysiske integritet og civil-politiske rettigheder, navnlig dem, der er rettet mod mandlige politiske modstandere og aktivister i autoritære regimer</w:t>
            </w:r>
            <w:r>
              <w:rPr>
                <w:b/>
                <w:i/>
              </w:rPr>
              <w:t>, snarere end på de alvorligste internationale forbrydelser og systemiske krænkelser af socioøkonomiske rettigheder</w:t>
            </w:r>
            <w:r>
              <w:t>;</w:t>
            </w:r>
          </w:p>
        </w:tc>
        <w:tc>
          <w:tcPr>
            <w:tcW w:w="4876" w:type="dxa"/>
            <w:tcBorders>
              <w:top w:val="nil"/>
              <w:left w:val="nil"/>
              <w:bottom w:val="nil"/>
              <w:right w:val="nil"/>
            </w:tcBorders>
          </w:tcPr>
          <w:p>
            <w:pPr>
              <w:pStyle w:val="Normal6a"/>
            </w:pPr>
            <w:r>
              <w:t>H.</w:t>
            </w:r>
            <w:r>
              <w:tab/>
            </w:r>
            <w:r>
              <w:t>der henviser til, at registreringerne har haft fokus på krænkelser af den fysiske integritet og civil-politiske rettigheder, navnlig dem, der er rettet mod mandlige politiske modstandere og aktivister i autoritære regimer;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der henviser til, at registreringerne primært har haft fokus på krænkelser af den fysiske integritet og civil-politiske rettigheder, navnlig dem, der er rettet mod mandlige politiske modstandere og aktivister i autoritære regimer, snarere end på de alvorligste internationale forbrydelser og systemiske krænkelser af socioøkonomiske rettigheder;</w:t>
            </w:r>
          </w:p>
        </w:tc>
        <w:tc>
          <w:tcPr>
            <w:tcW w:w="4876" w:type="dxa"/>
            <w:tcBorders>
              <w:top w:val="nil"/>
              <w:left w:val="nil"/>
              <w:bottom w:val="nil"/>
              <w:right w:val="nil"/>
            </w:tcBorders>
          </w:tcPr>
          <w:p>
            <w:pPr>
              <w:pStyle w:val="Normal6a"/>
            </w:pPr>
            <w:r>
              <w:t>H.</w:t>
            </w:r>
            <w:r>
              <w:tab/>
            </w:r>
            <w:r>
              <w:t>der henviser til, at registreringerne primært har haft fokus på krænkelser af den fysiske integritet og civil-politiske rettigheder, navnlig dem, der er rettet mod mandlige politiske modstandere og aktivister i autoritære regimer, snarere end på de alvorligste internationale forbrydelser</w:t>
            </w:r>
            <w:r>
              <w:rPr>
                <w:b/>
                <w:i/>
              </w:rPr>
              <w:t>, såsom folkedrab og forbrydelser mod menneskeheden,</w:t>
            </w:r>
            <w:r>
              <w:t xml:space="preserve"> og systemiske krænkelser af socioøkonomiske rettigheder;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Petras Auštrevičius, Hilde Vautmans,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der henviser til, at registreringerne primært har haft fokus på krænkelser af den fysiske integritet og civil-politiske rettigheder, navnlig dem, der er rettet mod mandlige politiske modstandere og aktivister i autoritære regimer, snarere end på de alvorligste internationale forbrydelser og systemiske krænkelser af socioøkonomiske rettigheder;</w:t>
            </w:r>
          </w:p>
        </w:tc>
        <w:tc>
          <w:tcPr>
            <w:tcW w:w="4876" w:type="dxa"/>
            <w:tcBorders>
              <w:top w:val="nil"/>
              <w:left w:val="nil"/>
              <w:bottom w:val="nil"/>
              <w:right w:val="nil"/>
            </w:tcBorders>
          </w:tcPr>
          <w:p>
            <w:pPr>
              <w:pStyle w:val="Normal6a"/>
            </w:pPr>
            <w:r>
              <w:t>H.</w:t>
            </w:r>
            <w:r>
              <w:tab/>
            </w:r>
            <w:r>
              <w:t>der henviser til, at registreringerne primært har haft fokus på krænkelser af den fysiske integritet og civil-politiske rettigheder, navnlig dem, der er rettet mod mandlige politiske modstandere og aktivister i autoritære regimer, snarere end på de alvorligste internationale forbrydelser</w:t>
            </w:r>
            <w:r>
              <w:rPr>
                <w:b/>
                <w:i/>
              </w:rPr>
              <w:t>, herunder folkedrab,</w:t>
            </w:r>
            <w:r>
              <w:t xml:space="preserve"> og systemiske krænkelser af socioøkonomiske rettigheder;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der henviser til, at registreringerne primært har haft fokus på krænkelser af den fysiske integritet og civil-politiske rettigheder, navnlig dem, der er rettet mod </w:t>
            </w:r>
            <w:r>
              <w:rPr>
                <w:b/>
                <w:i/>
              </w:rPr>
              <w:t>mandlige</w:t>
            </w:r>
            <w:r>
              <w:t xml:space="preserve"> politiske modstandere og aktivister i autoritære regimer, snarere end på de alvorligste internationale forbrydelser og systemiske krænkelser af socioøkonomiske rettigheder;</w:t>
            </w:r>
          </w:p>
        </w:tc>
        <w:tc>
          <w:tcPr>
            <w:tcW w:w="4876" w:type="dxa"/>
            <w:tcBorders>
              <w:top w:val="nil"/>
              <w:left w:val="nil"/>
              <w:bottom w:val="nil"/>
              <w:right w:val="nil"/>
            </w:tcBorders>
          </w:tcPr>
          <w:p>
            <w:pPr>
              <w:pStyle w:val="Normal6a"/>
            </w:pPr>
            <w:r>
              <w:t>H.</w:t>
            </w:r>
            <w:r>
              <w:tab/>
            </w:r>
            <w:r>
              <w:t>der henviser til, at registreringerne primært har haft fokus på krænkelser af den fysiske integritet og civil-politiske rettigheder, navnlig dem, der er rettet mod politiske modstandere og aktivister i autoritære regimer, snarere end på de alvorligste internationale forbrydelser og systemiske krænkelser af socioøkonomiske rettigheder;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der henviser til, at registreringerne i høj grad har været geografisk koncentreret, hvilket betyder, at der ikke i tilstrækkelig grad er taget fat på andre områder og sammenhænge;</w:t>
            </w:r>
          </w:p>
        </w:tc>
        <w:tc>
          <w:tcPr>
            <w:tcW w:w="4876" w:type="dxa"/>
            <w:tcBorders>
              <w:top w:val="nil"/>
              <w:left w:val="nil"/>
              <w:bottom w:val="nil"/>
              <w:right w:val="nil"/>
            </w:tcBorders>
          </w:tcPr>
          <w:p>
            <w:pPr>
              <w:pStyle w:val="Normal6a"/>
            </w:pPr>
            <w:r>
              <w:t>I.</w:t>
            </w:r>
            <w:r>
              <w:tab/>
            </w:r>
            <w:r>
              <w:t>der henviser til, at registreringerne i høj grad har været geografisk koncentreret</w:t>
            </w:r>
            <w:r>
              <w:rPr>
                <w:b/>
                <w:i/>
              </w:rPr>
              <w:t>, og at 74,4 % af de personer, der i øjeblikket er opført på den globale EU-ordning for menneskerettighedssanktioner, er russere</w:t>
            </w:r>
            <w:r>
              <w:t>, hvilket betyder, at der ikke i tilstrækkelig grad er taget fat på andre områder og sammenhænge;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Jan-Christoph Oetjen, Petras Auštrevičius,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der henviser til, at registreringerne i høj grad har været geografisk koncentreret, hvilket betyder, at der ikke i tilstrækkelig grad er taget fat på andre områder og sammenhænge;</w:t>
            </w:r>
          </w:p>
        </w:tc>
        <w:tc>
          <w:tcPr>
            <w:tcW w:w="4876" w:type="dxa"/>
            <w:tcBorders>
              <w:top w:val="nil"/>
              <w:left w:val="nil"/>
              <w:bottom w:val="nil"/>
              <w:right w:val="nil"/>
            </w:tcBorders>
          </w:tcPr>
          <w:p>
            <w:pPr>
              <w:pStyle w:val="Normal6a"/>
            </w:pPr>
            <w:r>
              <w:t>I.</w:t>
            </w:r>
            <w:r>
              <w:tab/>
            </w:r>
            <w:r>
              <w:t xml:space="preserve">der henviser til, at registreringerne i høj grad har været geografisk koncentreret </w:t>
            </w:r>
            <w:r>
              <w:rPr>
                <w:b/>
                <w:i/>
              </w:rPr>
              <w:t>i overensstemmelse med EU's strategiske forbindelser og geopolitiske interesser</w:t>
            </w:r>
            <w:r>
              <w:t>, hvilket betyder, at der ikke i tilstrækkelig grad er taget fat på andre områder og sammenhænge;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der henviser til, at fortrolighed omkring potentiel opførelse på eller fjernelse fra listen er afgørende for at sikre EU-Magnitskij-lovens effektive virkning; der henviser til, at Parlamentet ikke har nogen rolle i eller indflydelse på denne proces;</w:t>
            </w:r>
          </w:p>
        </w:tc>
        <w:tc>
          <w:tcPr>
            <w:tcW w:w="4876" w:type="dxa"/>
            <w:tcBorders>
              <w:top w:val="nil"/>
              <w:left w:val="nil"/>
              <w:bottom w:val="nil"/>
              <w:right w:val="nil"/>
            </w:tcBorders>
          </w:tcPr>
          <w:p>
            <w:pPr>
              <w:pStyle w:val="Normal6a"/>
            </w:pPr>
            <w:r>
              <w:t>J.</w:t>
            </w:r>
            <w:r>
              <w:tab/>
            </w:r>
            <w:r>
              <w:t>der henviser til, at fortrolighed omkring potentiel opførelse på eller fjernelse fra listen er afgørende for at sikre EU-Magnitskij-lovens effektive virkning; der henviser til, at Parlamentet ikke har nogen rolle i eller indflydelse på denne proces</w:t>
            </w:r>
            <w:r>
              <w:rPr>
                <w:b/>
                <w:i/>
              </w:rPr>
              <w:t>, da det ikke har nogen beslutningskompetence på dette område og ikke bør spille nogen formel rolle i processen med at vedtage eller ændre sanktioner i henhold til den globale EU-ordning for menneskerettighedssanktioner, som fortsat skal være et spørgsmål om mellemstatslig koordinering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der henviser til, at fortrolighed omkring potentiel opførelse på eller fjernelse fra listen er afgørende for at sikre EU-Magnitskij-lovens effektive virkning; der henviser til, at Parlamentet ikke har nogen rolle i eller indflydelse på denne proces;</w:t>
            </w:r>
          </w:p>
        </w:tc>
        <w:tc>
          <w:tcPr>
            <w:tcW w:w="4876" w:type="dxa"/>
            <w:tcBorders>
              <w:top w:val="nil"/>
              <w:left w:val="nil"/>
              <w:bottom w:val="nil"/>
              <w:right w:val="nil"/>
            </w:tcBorders>
          </w:tcPr>
          <w:p>
            <w:pPr>
              <w:pStyle w:val="Normal6a"/>
            </w:pPr>
            <w:r>
              <w:t>J.</w:t>
            </w:r>
            <w:r>
              <w:tab/>
            </w:r>
            <w:r>
              <w:t xml:space="preserve">der henviser til, at fortrolighed omkring potentiel opførelse på eller fjernelse fra listen er afgørende for at sikre EU-Magnitskij-lovens effektive virkning; der henviser til, at Parlamentet ikke har nogen rolle i eller indflydelse på denne proces; </w:t>
            </w:r>
            <w:r>
              <w:rPr>
                <w:b/>
                <w:i/>
              </w:rPr>
              <w:t>der henviser til, at den parlamentariske kontrol med den globale EU-ordning for menneskerettighedssanktioner er nødvendig for at øge dens legitimitet;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der henviser til, at fortrolighed omkring potentiel opførelse på eller fjernelse fra listen er afgørende for at sikre EU-Magnitskij-lovens effektive virkning; der henviser til, at Parlamentet ikke har nogen rolle i eller indflydelse på denne proces;</w:t>
            </w:r>
          </w:p>
        </w:tc>
        <w:tc>
          <w:tcPr>
            <w:tcW w:w="4876" w:type="dxa"/>
            <w:tcBorders>
              <w:top w:val="nil"/>
              <w:left w:val="nil"/>
              <w:bottom w:val="nil"/>
              <w:right w:val="nil"/>
            </w:tcBorders>
          </w:tcPr>
          <w:p>
            <w:pPr>
              <w:pStyle w:val="Normal6a"/>
            </w:pPr>
            <w:r>
              <w:t>J.</w:t>
            </w:r>
            <w:r>
              <w:tab/>
            </w:r>
            <w:r>
              <w:t>der henviser til, at fortrolighed omkring potentiel opførelse på eller fjernelse fra listen er afgørende for at sikre EU-Magnitskij-lovens effektive virkning; der henviser til, at Parlamentet ikke har nogen rolle i eller indflydelse på denne proces</w:t>
            </w:r>
            <w:r>
              <w:rPr>
                <w:b/>
                <w:i/>
              </w:rPr>
              <w:t>, og at der anmodes om større inddragelse af Parlamentet, uden at dette dog skal føre til større politisering eller instrumentalisering af menneskerettighedsspørgsmål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der henviser til, at fortrolighed omkring potentiel opførelse på eller fjernelse fra listen er afgørende for at sikre EU-Magnitskij-lovens effektive virkning; </w:t>
            </w:r>
            <w:r>
              <w:rPr>
                <w:b/>
                <w:i/>
              </w:rPr>
              <w:t>der henviser til, at Parlamentet ikke har nogen rolle i eller indflydelse på denne proces;</w:t>
            </w:r>
          </w:p>
        </w:tc>
        <w:tc>
          <w:tcPr>
            <w:tcW w:w="4876" w:type="dxa"/>
            <w:tcBorders>
              <w:top w:val="nil"/>
              <w:left w:val="nil"/>
              <w:bottom w:val="nil"/>
              <w:right w:val="nil"/>
            </w:tcBorders>
          </w:tcPr>
          <w:p>
            <w:pPr>
              <w:pStyle w:val="Normal6a"/>
            </w:pPr>
            <w:r>
              <w:t>J.</w:t>
            </w:r>
            <w:r>
              <w:tab/>
            </w:r>
            <w:r>
              <w:t>der henviser til, at fortrolighed omkring potentiel opførelse på eller fjernelse fra listen er afgørende for at sikre EU-Magnitskij-lovens effektive virkning;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der henviser til, at fortrolighed omkring potentiel opførelse på eller fjernelse fra listen er afgørende for at sikre </w:t>
            </w:r>
            <w:r>
              <w:rPr>
                <w:b/>
                <w:i/>
              </w:rPr>
              <w:t>EU-Magnitskij-lovens</w:t>
            </w:r>
            <w:r>
              <w:t xml:space="preserve"> effektive virkning; der henviser til, at Parlamentet ikke har nogen rolle i eller indflydelse på denne proces;</w:t>
            </w:r>
          </w:p>
        </w:tc>
        <w:tc>
          <w:tcPr>
            <w:tcW w:w="4876" w:type="dxa"/>
            <w:tcBorders>
              <w:top w:val="nil"/>
              <w:left w:val="nil"/>
              <w:bottom w:val="nil"/>
              <w:right w:val="nil"/>
            </w:tcBorders>
          </w:tcPr>
          <w:p>
            <w:pPr>
              <w:pStyle w:val="Normal6a"/>
            </w:pPr>
            <w:r>
              <w:t>J.</w:t>
            </w:r>
            <w:r>
              <w:tab/>
            </w:r>
            <w:r>
              <w:t xml:space="preserve">der henviser til, at fortrolighed omkring potentiel opførelse på eller fjernelse fra listen er afgørende for at sikre </w:t>
            </w:r>
            <w:r>
              <w:rPr>
                <w:b/>
                <w:i/>
              </w:rPr>
              <w:t>den globale EU-ordning for menneskerettighedssanktioners</w:t>
            </w:r>
            <w:r>
              <w:t xml:space="preserve"> effektive virkning; der henviser til, at Parlamentet ikke har nogen rolle i eller indflydelse på denne proces;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J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der henviser til, at Rådet fortsat ikke i tilstrækkelig grad tager hensyn til Parlamentets beslutninger med henstillinger om yderligere opførelser på listen;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der henviser til, at den globale EU-ordning for menneskerettighedssanktioner i øjeblikket kun indeholder bestemmelser om indefrysning af aktiver og visumforbud;</w:t>
            </w:r>
          </w:p>
        </w:tc>
        <w:tc>
          <w:tcPr>
            <w:tcW w:w="4876" w:type="dxa"/>
            <w:tcBorders>
              <w:top w:val="nil"/>
              <w:left w:val="nil"/>
              <w:bottom w:val="nil"/>
              <w:right w:val="nil"/>
            </w:tcBorders>
          </w:tcPr>
          <w:p>
            <w:pPr>
              <w:pStyle w:val="Normal6a"/>
            </w:pPr>
            <w:r>
              <w:t>K.</w:t>
            </w:r>
            <w:r>
              <w:tab/>
            </w:r>
            <w:r>
              <w:t xml:space="preserve">der henviser til, at den globale EU-ordning for menneskerettighedssanktioner i øjeblikket kun indeholder bestemmelser om indefrysning af aktiver og visumforbud; </w:t>
            </w:r>
            <w:r>
              <w:rPr>
                <w:b/>
                <w:i/>
              </w:rPr>
              <w:t>der henviser til, at målrettede visumforbud aktivt bør anvendes på personer fra tredjelande, hvis regeringer eller regimer vedvarende deltager i fjendtlige handlinger mod en eller flere af Den Europæiske Unions medlemsstater, herunder, men ikke begrænset til, Algeriet, Tyrkiet, Belarus, Iran, Rusland, Mali, Burkina Faso og Syrien;</w:t>
            </w:r>
            <w:r>
              <w:t xml:space="preserve"> </w:t>
            </w:r>
            <w:r>
              <w:rPr>
                <w:b/>
                <w:i/>
              </w:rPr>
              <w:t>der henviser til, at sådanne foranstaltninger omfatter afvisning af at samarbejde om tilbagetagelse, politisk indblanding, desinformationskampagner, støtte til ekstremistiske netværk og trusler mod den offentlige sikkerhed og retsstatsprincippet i Unionen;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der henviser til, at den globale EU-ordning for menneskerettighedssanktioner i øjeblikket kun indeholder bestemmelser om indefrysning af aktiver og visumforbud;</w:t>
            </w:r>
          </w:p>
        </w:tc>
        <w:tc>
          <w:tcPr>
            <w:tcW w:w="4876" w:type="dxa"/>
            <w:tcBorders>
              <w:top w:val="nil"/>
              <w:left w:val="nil"/>
              <w:bottom w:val="nil"/>
              <w:right w:val="nil"/>
            </w:tcBorders>
          </w:tcPr>
          <w:p>
            <w:pPr>
              <w:pStyle w:val="Normal6a"/>
            </w:pPr>
            <w:r>
              <w:t>K.</w:t>
            </w:r>
            <w:r>
              <w:tab/>
            </w:r>
            <w:r>
              <w:t xml:space="preserve">der henviser til, at den globale EU-ordning for menneskerettighedssanktioner i øjeblikket kun indeholder bestemmelser om indefrysning af aktiver og visumforbud; </w:t>
            </w:r>
            <w:r>
              <w:rPr>
                <w:b/>
                <w:i/>
              </w:rPr>
              <w:t>der henviser til, at for at forstærke den tilsigtede virkning af sanktionerne bør den globale EU-ordning for menneskerettighedssanktioner — EU-Magnitskij-loven udvides til at omfatte forbrydelser som f.eks. dem, der er forbundet med terrorisme, korruption, narkotikahandel og organiseret kriminalitet;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der henviser til, at den globale EU-ordning for menneskerettighedssanktioner i øjeblikket kun indeholder bestemmelser om indefrysning af aktiver og visumforbud;</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 xml:space="preserve">der henviser til, at den globale EU-ordning for menneskerettighedssanktioner </w:t>
            </w:r>
            <w:r>
              <w:rPr>
                <w:b/>
                <w:i/>
              </w:rPr>
              <w:t>i øjeblikket kun</w:t>
            </w:r>
            <w:r>
              <w:t xml:space="preserve"> indeholder bestemmelser om indefrysning af aktiver og visumforbud;</w:t>
            </w:r>
          </w:p>
        </w:tc>
        <w:tc>
          <w:tcPr>
            <w:tcW w:w="4876" w:type="dxa"/>
            <w:tcBorders>
              <w:top w:val="nil"/>
              <w:left w:val="nil"/>
              <w:bottom w:val="nil"/>
              <w:right w:val="nil"/>
            </w:tcBorders>
          </w:tcPr>
          <w:p>
            <w:pPr>
              <w:pStyle w:val="Normal6a"/>
            </w:pPr>
            <w:r>
              <w:t>K.</w:t>
            </w:r>
            <w:r>
              <w:tab/>
            </w:r>
            <w:r>
              <w:t>der henviser til, at den globale EU-ordning for menneskerettighedssanktioner indeholder bestemmelser om indefrysning af aktiver og visumforbud;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K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der henviser til, at den nuværende ordning for indefrysning af aktiver og visumforbud kan suppleres med yderligere foranstaltninger såsom restriktioner for finansielle tjenesteydelser, offentlige indkøb og deltagelse i EU-finansierede projekter;</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K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der henviser til, at dens anvendelsesområde bør udvides til at omfatte de nærmeste familiemedlemmer til krænkere af menneskerettighederne;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 xml:space="preserve">der henviser til, at Kommissionens vejledning fortsat er utilstrækkelig til at klarlægge anvendelsesområdet for forbuddene mod at yde teknisk og materiel </w:t>
            </w:r>
            <w:r>
              <w:rPr>
                <w:b/>
                <w:i/>
              </w:rPr>
              <w:t>støtte</w:t>
            </w:r>
            <w:r>
              <w:t xml:space="preserve"> til personer og enheder, der er omfattet af sanktioner;</w:t>
            </w:r>
          </w:p>
        </w:tc>
        <w:tc>
          <w:tcPr>
            <w:tcW w:w="4876" w:type="dxa"/>
            <w:tcBorders>
              <w:top w:val="nil"/>
              <w:left w:val="nil"/>
              <w:bottom w:val="nil"/>
              <w:right w:val="nil"/>
            </w:tcBorders>
          </w:tcPr>
          <w:p>
            <w:pPr>
              <w:pStyle w:val="Normal6a"/>
            </w:pPr>
            <w:r>
              <w:t>L.</w:t>
            </w:r>
            <w:r>
              <w:tab/>
            </w:r>
            <w:r>
              <w:t xml:space="preserve">der henviser til, at Kommissionens vejledning fortsat er utilstrækkelig til at klarlægge anvendelsesområdet for forbuddene mod at yde </w:t>
            </w:r>
            <w:r>
              <w:rPr>
                <w:b/>
                <w:i/>
              </w:rPr>
              <w:t>enhver form for støtte, herunder</w:t>
            </w:r>
            <w:r>
              <w:t xml:space="preserve"> teknisk og materiel til personer og enheder, der er omfattet af sanktioner;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der henviser til, at visse gennemførelsesmæssige smuthuller, som f.eks. undtagelsesklausuler, der tillader kontrakter, som er indgået, før en person eller enhed blev opført på listen, skaber muligheder for omgåelse af sanktionerne;</w:t>
            </w:r>
          </w:p>
        </w:tc>
        <w:tc>
          <w:tcPr>
            <w:tcW w:w="4876" w:type="dxa"/>
            <w:tcBorders>
              <w:top w:val="nil"/>
              <w:left w:val="nil"/>
              <w:bottom w:val="nil"/>
              <w:right w:val="nil"/>
            </w:tcBorders>
          </w:tcPr>
          <w:p>
            <w:pPr>
              <w:pStyle w:val="Normal6a"/>
            </w:pPr>
            <w:r>
              <w:t>M.</w:t>
            </w:r>
            <w:r>
              <w:tab/>
            </w:r>
            <w:r>
              <w:t xml:space="preserve">der henviser til, at visse gennemførelsesmæssige smuthuller, som f.eks. undtagelsesklausuler, der tillader kontrakter, som er indgået, før en person eller enhed blev opført på listen, skaber muligheder for omgåelse af sanktionerne; </w:t>
            </w:r>
            <w:r>
              <w:rPr>
                <w:b/>
                <w:i/>
              </w:rPr>
              <w:t>der henviser til, at den globale EU-ordning for menneskerettighedssanktioner skal skabe et solidt retssystem til at afsløre og håndtere enhver form for omgåelse af sanktioner og altid i overensstemmelse med EU-medlemsstaternes retssystemer;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der henviser til, at visse gennemførelsesmæssige smuthuller, som f.eks. undtagelsesklausuler, der tillader kontrakter, som er indgået, før en person eller enhed blev opført på listen, skaber muligheder for omgåelse af sanktionerne;</w:t>
            </w:r>
          </w:p>
        </w:tc>
        <w:tc>
          <w:tcPr>
            <w:tcW w:w="4876" w:type="dxa"/>
            <w:tcBorders>
              <w:top w:val="nil"/>
              <w:left w:val="nil"/>
              <w:bottom w:val="nil"/>
              <w:right w:val="nil"/>
            </w:tcBorders>
          </w:tcPr>
          <w:p>
            <w:pPr>
              <w:pStyle w:val="Normal6a"/>
            </w:pPr>
            <w:r>
              <w:t>M.</w:t>
            </w:r>
            <w:r>
              <w:tab/>
            </w:r>
            <w:r>
              <w:t xml:space="preserve">der henviser til, at visse gennemførelsesmæssige smuthuller, som f.eks. undtagelsesklausuler, der tillader kontrakter, som er indgået, før en person eller enhed blev opført på listen, skaber muligheder for omgåelse af sanktionerne </w:t>
            </w:r>
            <w:r>
              <w:rPr>
                <w:b/>
                <w:i/>
              </w:rPr>
              <w:t>og for mindskelse af virkningerne af dem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w:t>
            </w:r>
            <w:r>
              <w:tab/>
            </w:r>
            <w:r>
              <w:t>der henviser til, at EU's eksisterende geografiske sanktionsordninger omfatter bredere restriktioner, der kan supplere den globale EU-ordning for menneskerettighedssanktioner gennem krydsopførelse;</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N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w:t>
            </w:r>
            <w:r>
              <w:tab/>
            </w:r>
            <w:r>
              <w:rPr>
                <w:b/>
                <w:i/>
              </w:rPr>
              <w:t>der henviser til, at EU den 10. januar 2025 vedtog en ny pakke af målrettede sanktioner mod 15 højtstående personer i det venezuelanske regime;</w:t>
            </w:r>
            <w:r>
              <w:t xml:space="preserve"> </w:t>
            </w:r>
            <w:r>
              <w:rPr>
                <w:b/>
                <w:i/>
              </w:rPr>
              <w:t>der henviser til, at nogle af disse højt placerede personer bl.a. er Diosdado Cabello, ny chef for den bolivariske nationale efterretningstjeneste (SEBIN), Caryslia Rodríguez, præsident for Venezuelas højesteret (TSJ), Fanny Márquez, næstformand for TSJ, og Alexis Rodríguez Cabello, slægtning til indenrigsministeren;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N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w:t>
            </w:r>
            <w:r>
              <w:tab/>
            </w:r>
            <w:r>
              <w:rPr>
                <w:b/>
                <w:i/>
              </w:rPr>
              <w:t>der henviser til, at den globale EU-ordning for menneskerettighedssanktioner i vid udstrækning har fokuseret på embedsmænd og funktionærer på lavere niveau, mens personer med reel politisk og militær magt ofte er forblevet uden for rammerne af udpegelserne;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N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Nb.</w:t>
            </w:r>
            <w:r>
              <w:tab/>
            </w:r>
            <w:r>
              <w:rPr>
                <w:b/>
                <w:i/>
              </w:rPr>
              <w:t>der henviser til, at opførelser på listen under den globale EU-ordning for menneskerettighedssanktioner til dato ikke har været rettet mod nogen aktører, der er ansvarlige for at begå nogle af de centrale internationale forbrydelser som anerkendt i Romstatutten;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der henviser til, at civilsamfundsaktører stadig samarbejder uformelt med EU-institutionerne om at foreslå navne til opførelse på listen, idet der ikke findes nogen struktureret mekanisme for deres input;</w:t>
            </w:r>
          </w:p>
        </w:tc>
        <w:tc>
          <w:tcPr>
            <w:tcW w:w="4876" w:type="dxa"/>
            <w:tcBorders>
              <w:top w:val="nil"/>
              <w:left w:val="nil"/>
              <w:bottom w:val="nil"/>
              <w:right w:val="nil"/>
            </w:tcBorders>
          </w:tcPr>
          <w:p>
            <w:pPr>
              <w:pStyle w:val="Normal6a"/>
            </w:pPr>
            <w:r>
              <w:t>O.</w:t>
            </w:r>
            <w:r>
              <w:tab/>
            </w:r>
            <w:r>
              <w:t>der henviser til, at civilsamfundsaktører stadig samarbejder uformelt med EU-institutionerne om at foreslå navne til opførelse på listen, idet der ikke findes nogen struktureret mekanisme for deres input</w:t>
            </w:r>
            <w:r>
              <w:rPr>
                <w:b/>
                <w:i/>
              </w:rPr>
              <w:t>, og EU-Udenrigstjenesten mangler ressourcer til at vurdere, undersøge og reagere på de oplysninger, den modtager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 xml:space="preserve">der henviser til, at civilsamfundsaktører stadig samarbejder </w:t>
            </w:r>
            <w:r>
              <w:rPr>
                <w:b/>
                <w:i/>
              </w:rPr>
              <w:t>uformelt</w:t>
            </w:r>
            <w:r>
              <w:t xml:space="preserve"> med EU-institutionerne om at foreslå navne til opførelse på listen, idet der ikke findes nogen struktureret mekanisme for deres input;</w:t>
            </w:r>
          </w:p>
        </w:tc>
        <w:tc>
          <w:tcPr>
            <w:tcW w:w="4876" w:type="dxa"/>
            <w:tcBorders>
              <w:top w:val="nil"/>
              <w:left w:val="nil"/>
              <w:bottom w:val="nil"/>
              <w:right w:val="nil"/>
            </w:tcBorders>
          </w:tcPr>
          <w:p>
            <w:pPr>
              <w:pStyle w:val="Normal6a"/>
            </w:pPr>
            <w:r>
              <w:t>O.</w:t>
            </w:r>
            <w:r>
              <w:tab/>
            </w:r>
            <w:r>
              <w:t xml:space="preserve">der henviser til, at civilsamfundsaktører stadig samarbejder </w:t>
            </w:r>
            <w:r>
              <w:rPr>
                <w:b/>
                <w:i/>
              </w:rPr>
              <w:t>og foretager overvågninger</w:t>
            </w:r>
            <w:r>
              <w:t xml:space="preserve"> med EU-institutionerne om at foreslå navne til opførelse på listen, idet der ikke findes nogen struktureret mekanisme for deres input;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Q.</w:t>
            </w:r>
            <w:r>
              <w:tab/>
            </w:r>
            <w:r>
              <w:rPr>
                <w:b/>
                <w:i/>
              </w:rPr>
              <w:t>der henviser til, at nogle medlemsstater har undladt at overholde EU's sanktioner ved at tillade personer, der er underlagt sanktioner, at rejse ind på EU's område;</w:t>
            </w:r>
            <w:r>
              <w:t xml:space="preserve"> </w:t>
            </w:r>
            <w:r>
              <w:rPr>
                <w:b/>
                <w:i/>
              </w:rPr>
              <w:t>der henviser til, at en sådan manglende overholdelse af sanktionerne i høj grad skader EU's troværdighed og undergraver den effektive virkning af EU's sanktionsordninger;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 xml:space="preserve">der henviser til, at </w:t>
            </w:r>
            <w:r>
              <w:rPr>
                <w:b/>
                <w:i/>
              </w:rPr>
              <w:t>nogle medlemsstater har undladt at overholde EU's sanktioner ved at tillade personer, der er underlagt sanktioner, at rejse ind på EU's område</w:t>
            </w:r>
            <w:r>
              <w:t xml:space="preserve">; der henviser til, at </w:t>
            </w:r>
            <w:r>
              <w:rPr>
                <w:b/>
                <w:i/>
              </w:rPr>
              <w:t>en sådan manglende overholdelse af sanktionerne i høj grad skader EU's troværdighed og undergraver den effektive virkning af EU's sanktionsordninger</w:t>
            </w:r>
            <w:r>
              <w:t>;</w:t>
            </w:r>
          </w:p>
        </w:tc>
        <w:tc>
          <w:tcPr>
            <w:tcW w:w="4876" w:type="dxa"/>
            <w:tcBorders>
              <w:top w:val="nil"/>
              <w:left w:val="nil"/>
              <w:bottom w:val="nil"/>
              <w:right w:val="nil"/>
            </w:tcBorders>
          </w:tcPr>
          <w:p>
            <w:pPr>
              <w:pStyle w:val="Normal6a"/>
            </w:pPr>
            <w:r>
              <w:t>Q.</w:t>
            </w:r>
            <w:r>
              <w:tab/>
            </w:r>
            <w:r>
              <w:t xml:space="preserve">der henviser til, at </w:t>
            </w:r>
            <w:r>
              <w:rPr>
                <w:b/>
                <w:i/>
              </w:rPr>
              <w:t>medlemsstaternes nationale interesser og udenrigspolitiske prioriteter varierer betydeligt, hvilket kan føre til inkonsekvent anvendelse af EU's udenrigspolitiske redskaber</w:t>
            </w:r>
            <w:r>
              <w:t xml:space="preserve">; der henviser til, at </w:t>
            </w:r>
            <w:r>
              <w:rPr>
                <w:b/>
                <w:i/>
              </w:rPr>
              <w:t>udenrigspolitik fortsat er et centralt prærogativ for den nationale suverænitet for hver enkelt medlemsstat;</w:t>
            </w:r>
            <w:r>
              <w:t xml:space="preserve"> </w:t>
            </w:r>
            <w:r>
              <w:rPr>
                <w:b/>
                <w:i/>
              </w:rPr>
              <w:t>der henviser til, at afgørelser om sanktioner har direkte konsekvenser for bilaterale forbindelser, national sikkerhed og strategisk autonomi;</w:t>
            </w:r>
            <w:r>
              <w:t xml:space="preserve"> </w:t>
            </w:r>
            <w:r>
              <w:rPr>
                <w:b/>
                <w:i/>
              </w:rPr>
              <w:t>der henviser til, at kravet om enstemmighed i Rådet tjener som en væsentlig garanti for, at ingen medlemsstat er bundet af udenrigspolitiske beslutninger, der strider mod dens grundlæggende interesser</w:t>
            </w:r>
            <w:r>
              <w:t xml:space="preserve">; </w:t>
            </w:r>
            <w:r>
              <w:rPr>
                <w:b/>
                <w:i/>
              </w:rPr>
              <w:t>der henviser til, at ethvert forsøg på at indføre afstemning med kvalificeret flertal på sanktionsområdet vil udgøre en direkte udfordring for den mellemstatslige karakter af Unionens optræden udadtil og en alvorlig udhuling af medlemsstaternes suverænitet i overensstemmelse med artikel 24, stk. 1, i traktaten om Den Europæiske Union (TEU) som suppleret af de relevante erklæringer fra regeringskonferencen i 2007;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Q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Qa.</w:t>
            </w:r>
            <w:r>
              <w:tab/>
            </w:r>
            <w:r>
              <w:rPr>
                <w:b/>
                <w:i/>
              </w:rPr>
              <w:t>der henviser til, at gennemførelsen i vid udstrækning sker på nationalt plan;</w:t>
            </w:r>
            <w:r>
              <w:t xml:space="preserve"> </w:t>
            </w:r>
            <w:r>
              <w:rPr>
                <w:b/>
                <w:i/>
              </w:rPr>
              <w:t>der henviser til, at hver medlemsstat er ansvarlig for at håndhæve sanktioner på sit område — gennem politi, toldmyndigheder, banktilsynsmyndigheder osv.;</w:t>
            </w:r>
            <w:r>
              <w:t xml:space="preserve"> </w:t>
            </w:r>
            <w:r>
              <w:rPr>
                <w:b/>
                <w:i/>
              </w:rPr>
              <w:t>der henviser til, at dette indebærer en risiko for svage forbindelser, hvor personer eller virksomheder kan forsøge at omgå sanktionerne ved at flytte penge eller aktiviteter til medlemsstater med langsommere eller mindre stringent gennemførelse;</w:t>
            </w:r>
            <w:r>
              <w:t xml:space="preserve"> </w:t>
            </w:r>
            <w:r>
              <w:rPr>
                <w:b/>
                <w:i/>
              </w:rPr>
              <w:t>der henviser til, at EU-institutionerne gentagne gange har fremhævet behovet for en mere ensartet og koordineret anvendelse for at gøre sanktionerne reelt effektive;</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w:t>
            </w:r>
            <w:r>
              <w:tab/>
            </w:r>
            <w:r>
              <w:rPr>
                <w:b/>
                <w:i/>
              </w:rPr>
              <w:t>der henviser til, at Parlamentet i adskillige beslutninger har opfordret til, at der indføres afstemning med kvalificeret flertal i forbindelse med vedtagelsen af sanktioner i henhold til den globale EU-ordning for menneskerettighedssanktioner;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Jaroslav Bžoch,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w:t>
            </w:r>
            <w:r>
              <w:tab/>
            </w:r>
            <w:r>
              <w:rPr>
                <w:b/>
                <w:i/>
              </w:rPr>
              <w:t>der henviser til, at Parlamentet i adskillige beslutninger har opfordret til, at der indføres afstemning med kvalificeret flertal i forbindelse med vedtagelsen af sanktioner i henhold til den globale EU-ordning for menneskerettighedssanktioner;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w:t>
            </w:r>
            <w:r>
              <w:tab/>
            </w:r>
            <w:r>
              <w:t>der henviser til, at Parlamentet i adskillige beslutninger har opfordret til, at der indføres afstemning med kvalificeret flertal i forbindelse med vedtagelsen af sanktioner i henhold til den globale EU-ordning for menneskerettighedssanktioner;</w:t>
            </w:r>
          </w:p>
        </w:tc>
        <w:tc>
          <w:tcPr>
            <w:tcW w:w="4876" w:type="dxa"/>
            <w:tcBorders>
              <w:top w:val="nil"/>
              <w:left w:val="nil"/>
              <w:bottom w:val="nil"/>
              <w:right w:val="nil"/>
            </w:tcBorders>
          </w:tcPr>
          <w:p>
            <w:pPr>
              <w:pStyle w:val="Normal6a"/>
            </w:pPr>
            <w:r>
              <w:t>R.</w:t>
            </w:r>
            <w:r>
              <w:tab/>
            </w:r>
            <w:r>
              <w:t xml:space="preserve">der henviser til, at Parlamentet i adskillige beslutninger har opfordret til, at der indføres afstemning med kvalificeret flertal i forbindelse med vedtagelsen af sanktioner i henhold til den globale EU-ordning for menneskerettighedssanktioner; </w:t>
            </w:r>
            <w:r>
              <w:rPr>
                <w:b/>
                <w:i/>
              </w:rPr>
              <w:t>der henviser til, at et sådant skift ville undergrave princippet om enstemmighed, der er nedfældet i Unionens fælles udenrigs- og sikkerhedspolitik (FUSP) i overensstemmelse med artikel 24, stk. 1, i traktaten om Den Europæiske Union (TEU);</w:t>
            </w:r>
            <w:r>
              <w:t xml:space="preserve"> </w:t>
            </w:r>
            <w:r>
              <w:rPr>
                <w:b/>
                <w:i/>
              </w:rPr>
              <w:t>der henviser til, at enstemmighed er afgørende for at bevare medlemsstaternes suverænitet i udenrigspolitiske beslutninger og for at bevare den mellemstatslige karakter af Unionens optræden udadtil;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w:t>
            </w:r>
            <w:r>
              <w:tab/>
            </w:r>
            <w:r>
              <w:t>der henviser til, at Parlamentet i adskillige beslutninger har opfordret til, at der indføres afstemning med kvalificeret flertal i forbindelse med vedtagelsen af sanktioner i henhold til den globale EU-ordning for menneskerettighedssanktioner;</w:t>
            </w:r>
          </w:p>
        </w:tc>
        <w:tc>
          <w:tcPr>
            <w:tcW w:w="4876" w:type="dxa"/>
            <w:tcBorders>
              <w:top w:val="nil"/>
              <w:left w:val="nil"/>
              <w:bottom w:val="nil"/>
              <w:right w:val="nil"/>
            </w:tcBorders>
          </w:tcPr>
          <w:p>
            <w:pPr>
              <w:pStyle w:val="Normal6a"/>
            </w:pPr>
            <w:r>
              <w:t>R.</w:t>
            </w:r>
            <w:r>
              <w:tab/>
            </w:r>
            <w:r>
              <w:t>der henviser til, at Parlamentet i adskillige beslutninger har opfordret til, at der indføres afstemning med kvalificeret flertal i forbindelse med vedtagelsen af sanktioner i henhold til den globale EU-ordning for menneskerettighedssanktioner</w:t>
            </w:r>
            <w:r>
              <w:rPr>
                <w:b/>
                <w:i/>
              </w:rPr>
              <w:t>, som ikke kunstigt bør sløre eller svække den enhed og beslutsomhed, der er nødvendig for en streng håndhævelse af sanktionerne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w:t>
            </w:r>
            <w:r>
              <w:tab/>
            </w:r>
            <w:r>
              <w:t xml:space="preserve">der henviser til, at </w:t>
            </w:r>
            <w:r>
              <w:rPr>
                <w:b/>
                <w:i/>
              </w:rPr>
              <w:t>Parlamentet i adskillige beslutninger har opfordret til, at der indføres afstemning med kvalificeret flertal i forbindelse med</w:t>
            </w:r>
            <w:r>
              <w:t xml:space="preserve"> vedtagelsen af sanktioner i henhold til den globale EU-ordning for menneskerettighedssanktioner;</w:t>
            </w:r>
          </w:p>
        </w:tc>
        <w:tc>
          <w:tcPr>
            <w:tcW w:w="4876" w:type="dxa"/>
            <w:tcBorders>
              <w:top w:val="nil"/>
              <w:left w:val="nil"/>
              <w:bottom w:val="nil"/>
              <w:right w:val="nil"/>
            </w:tcBorders>
          </w:tcPr>
          <w:p>
            <w:pPr>
              <w:pStyle w:val="Normal6a"/>
            </w:pPr>
            <w:r>
              <w:t>R.</w:t>
            </w:r>
            <w:r>
              <w:tab/>
            </w:r>
            <w:r>
              <w:t xml:space="preserve">der henviser til, at vedtagelsen af sanktioner i henhold til den globale EU-ordning for menneskerettighedssanktioner </w:t>
            </w:r>
            <w:r>
              <w:rPr>
                <w:b/>
                <w:i/>
              </w:rPr>
              <w:t>kræver enstemmighed blandt alle EU's medlemsstater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w:t>
            </w:r>
            <w:r>
              <w:tab/>
            </w:r>
            <w:r>
              <w:t>der henviser til, at Parlamentet i adskillige beslutninger har opfordret til, at der indføres afstemning med kvalificeret flertal i forbindelse med vedtagelsen af sanktioner i henhold til den globale EU-ordning for menneskerettighedssanktioner;</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R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der henviser til, at medlemsstaterne råder over vigtige redskaber til at pålægge deres egne foranstaltninger og sanktioner;</w:t>
            </w:r>
            <w:r>
              <w:t xml:space="preserve"> </w:t>
            </w:r>
            <w:r>
              <w:rPr>
                <w:b/>
                <w:i/>
              </w:rPr>
              <w:t>der henviser til, at Polen f.eks. på en enkelt dag indførte sanktioner mod 365 medlemmer af regimer, der var ansvarlige for den alvorlige menneskerettighedssituation i Belarus, samt mod snesevis af tilknyttede enheder;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Jorge Martín Frías, Hermann Tertsch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w:t>
            </w:r>
            <w:r>
              <w:tab/>
            </w:r>
            <w:r>
              <w:t>der henviser til, at forlængelsen af den globale EU-ordning for menneskerettighedssanktioner frem til december 2026 giver mulighed for at revidere ordningen;</w:t>
            </w:r>
          </w:p>
        </w:tc>
        <w:tc>
          <w:tcPr>
            <w:tcW w:w="4876" w:type="dxa"/>
            <w:tcBorders>
              <w:top w:val="nil"/>
              <w:left w:val="nil"/>
              <w:bottom w:val="nil"/>
              <w:right w:val="nil"/>
            </w:tcBorders>
          </w:tcPr>
          <w:p>
            <w:pPr>
              <w:pStyle w:val="Normal6a"/>
            </w:pPr>
            <w:r>
              <w:t>S.</w:t>
            </w:r>
            <w:r>
              <w:tab/>
            </w:r>
            <w:r>
              <w:t xml:space="preserve">der henviser til, at forlængelsen af den globale EU-ordning for menneskerettighedssanktioner frem til december 2026 giver mulighed for at revidere ordningen; </w:t>
            </w:r>
            <w:r>
              <w:rPr>
                <w:b/>
                <w:i/>
              </w:rPr>
              <w:t>der henviser til, at tiden er inde til grundigt at fastlægge en sammenhængende og profitbaseret model, der præciserer de målrettede sanktioners anvendelsesområde, mål og retssystem, med henblik på at forbedre dens gennemførelse og effektivitet og samtidig undgå uoverensstemmelser med EU's medlemsstater;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w:t>
            </w:r>
            <w:r>
              <w:tab/>
            </w:r>
            <w:r>
              <w:t xml:space="preserve">der henviser til, at </w:t>
            </w:r>
            <w:r>
              <w:rPr>
                <w:b/>
                <w:i/>
              </w:rPr>
              <w:t>forlængelsen af</w:t>
            </w:r>
            <w:r>
              <w:t xml:space="preserve"> den globale EU-ordning for menneskerettighedssanktioner frem til december 2026 </w:t>
            </w:r>
            <w:r>
              <w:rPr>
                <w:b/>
                <w:i/>
              </w:rPr>
              <w:t>giver mulighed for at revidere ordningen</w:t>
            </w:r>
            <w:r>
              <w:t>;</w:t>
            </w:r>
          </w:p>
        </w:tc>
        <w:tc>
          <w:tcPr>
            <w:tcW w:w="4876" w:type="dxa"/>
            <w:tcBorders>
              <w:top w:val="nil"/>
              <w:left w:val="nil"/>
              <w:bottom w:val="nil"/>
              <w:right w:val="nil"/>
            </w:tcBorders>
          </w:tcPr>
          <w:p>
            <w:pPr>
              <w:pStyle w:val="Normal6a"/>
            </w:pPr>
            <w:r>
              <w:t>S.</w:t>
            </w:r>
            <w:r>
              <w:tab/>
            </w:r>
            <w:r>
              <w:t xml:space="preserve">der henviser til, at den globale EU-ordning for menneskerettighedssanktioner </w:t>
            </w:r>
            <w:r>
              <w:rPr>
                <w:b/>
                <w:i/>
              </w:rPr>
              <w:t>er blevet forlænget</w:t>
            </w:r>
            <w:r>
              <w:t xml:space="preserve"> frem til december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w:t>
            </w:r>
            <w:r>
              <w:tab/>
            </w:r>
            <w:r>
              <w:t>der henviser til, at forlængelsen af den globale EU-ordning for menneskerettighedssanktioner frem til december 2026 giver mulighed for at revidere ordningen;</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S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Sa.</w:t>
            </w:r>
            <w:r>
              <w:tab/>
            </w:r>
            <w:r>
              <w:rPr>
                <w:b/>
                <w:i/>
              </w:rPr>
              <w:t>der henviser til, at indførelsen af sanktioner over for familiemedlemmer til det primære mål i stigende grad i den politiske debat anses for at være af central betydning for sanktionsmetoden for at de bliver så effektive og afskrækkende som muligt over for forbrydelser;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S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Sa.</w:t>
            </w:r>
            <w:r>
              <w:tab/>
            </w:r>
            <w:r>
              <w:rPr>
                <w:b/>
                <w:i/>
              </w:rPr>
              <w:t>der henviser til, at opførelser på den globale EU-ordning for menneskerettighedssanktioner er en form for international anerkendelse for ofre for menneskerettighedskrænkelser;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S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Sb.</w:t>
            </w:r>
            <w:r>
              <w:tab/>
            </w:r>
            <w:r>
              <w:rPr>
                <w:b/>
                <w:i/>
              </w:rPr>
              <w:t>der henviser til, at der er en stigende erkendelse af, at alvorlige miljøskader kan udgøre eller være uløseligt forbundet med alvorlige krænkelser af menneskerettighederne, navnlig mod oprindelige folk, lokalsamfund og miljøforkæmpere, hvis ret til liv, sundhed, vand, mad, bolig, levebrød, seksuel reproduktion og selvbestemmelse påvirkes direkte og uforholdsmæssigt;</w:t>
            </w:r>
            <w:r>
              <w:t xml:space="preserve"> </w:t>
            </w:r>
            <w:r>
              <w:rPr>
                <w:b/>
                <w:i/>
              </w:rPr>
              <w:t>der henviser til, at sådanne krænkelser udtrykkeligt bør anses for at være omfattet af anvendelsesområdet for alvorlige krænkelser af menneskerettighederne, der er omfattet af den globale EU-ordning for menneskerettighedssanktioner;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S 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Sc.</w:t>
            </w:r>
            <w:r>
              <w:tab/>
            </w:r>
            <w:r>
              <w:rPr>
                <w:b/>
                <w:i/>
              </w:rPr>
              <w:t>der henviser til, at selv om opførelserne har været rettet mod seksuel vold og kønsdiskrimination, bør yderligere registreringer udvides for at tage fat på krænkelser af menneskerettighederne over for seksuelle mindretal og kønsmindretal;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gentager </w:t>
            </w:r>
            <w:r>
              <w:rPr>
                <w:b/>
                <w:i/>
              </w:rPr>
              <w:t>sin opbakning til</w:t>
            </w:r>
            <w:r>
              <w:t xml:space="preserve"> den globale EU-ordning for menneskerettighedssanktioner </w:t>
            </w:r>
            <w:r>
              <w:rPr>
                <w:b/>
                <w:i/>
              </w:rPr>
              <w:t>som et vigtigt redskab til at styrke EU's menneskerettighedsværktøjskasse, navnlig i betragtning af dens evne til at bidrage til at ændre adfærden hos de personer</w:t>
            </w:r>
            <w:r>
              <w:t xml:space="preserve"> og enheder, der </w:t>
            </w:r>
            <w:r>
              <w:rPr>
                <w:b/>
                <w:i/>
              </w:rPr>
              <w:t>underlægges sanktioner, og til indsatsen for at drage de umiddelbare gerningsmænd, de medskyldige og dem, der indirekte støtter</w:t>
            </w:r>
            <w:r>
              <w:t xml:space="preserve"> alvorlige </w:t>
            </w:r>
            <w:r>
              <w:rPr>
                <w:b/>
                <w:i/>
              </w:rPr>
              <w:t>menneskerettighedskrænkelser, til ansvar</w:t>
            </w:r>
            <w:r>
              <w:t>;</w:t>
            </w:r>
          </w:p>
        </w:tc>
        <w:tc>
          <w:tcPr>
            <w:tcW w:w="4876" w:type="dxa"/>
            <w:tcBorders>
              <w:top w:val="nil"/>
              <w:left w:val="nil"/>
              <w:bottom w:val="nil"/>
              <w:right w:val="nil"/>
            </w:tcBorders>
          </w:tcPr>
          <w:p>
            <w:pPr>
              <w:pStyle w:val="Normal6a"/>
            </w:pPr>
            <w:r>
              <w:t>1.</w:t>
            </w:r>
            <w:r>
              <w:tab/>
            </w:r>
            <w:r>
              <w:t>gentager</w:t>
            </w:r>
            <w:r>
              <w:rPr>
                <w:b/>
                <w:i/>
              </w:rPr>
              <w:t>, at</w:t>
            </w:r>
            <w:r>
              <w:t xml:space="preserve"> den globale EU-ordning for menneskerettighedssanktioner </w:t>
            </w:r>
            <w:r>
              <w:rPr>
                <w:b/>
                <w:i/>
              </w:rPr>
              <w:t>fortsat skal være et strengt målrettet instrument i Unionens optræden udadtil, som udelukkende skal anvendes mod lande, enkeltpersoner</w:t>
            </w:r>
            <w:r>
              <w:t xml:space="preserve"> og enheder, der </w:t>
            </w:r>
            <w:r>
              <w:rPr>
                <w:b/>
                <w:i/>
              </w:rPr>
              <w:t>direkte deltager i fjendtlige handlinger mod en eller flere af Den Europæiske Unions medlemsstater eller som reaktion på klare og</w:t>
            </w:r>
            <w:r>
              <w:t xml:space="preserve"> alvorlige </w:t>
            </w:r>
            <w:r>
              <w:rPr>
                <w:b/>
                <w:i/>
              </w:rPr>
              <w:t>krænkelser af menneskerettighederne — forudsat at sådanne foranstaltninger ikke bruges som påskud for at blande sig i tredjelandes indre anliggender;</w:t>
            </w:r>
            <w:r>
              <w:t xml:space="preserve"> </w:t>
            </w:r>
            <w:r>
              <w:rPr>
                <w:b/>
                <w:i/>
              </w:rPr>
              <w:t>understreger, at enhver anvendelse af sådanne sanktioner skal være forankret i klare beviser for trusler mod medlemsstaternes suverænitet, sikkerhed eller grundlæggende interesser</w:t>
            </w:r>
            <w:r>
              <w:t xml:space="preserve">; </w:t>
            </w:r>
            <w:r>
              <w:rPr>
                <w:b/>
                <w:i/>
              </w:rPr>
              <w:t>understreger, at enstemmighed i Rådet skal opretholdes for alle afgørelser vedrørende vedtagelse af sanktioner under den fælles udenrigs- og sikkerhedspolitik (FUSP) i overensstemmelse med artikel 24, stk. 1, i traktaten om Den Europæiske Union, således at de enkelte medlemsstaters nationale interesser og udenrigspolitiske prioriteter ikke påvirkes mod deres vilje;</w:t>
            </w:r>
            <w:r>
              <w:t xml:space="preserve"> </w:t>
            </w:r>
            <w:r>
              <w:rPr>
                <w:b/>
                <w:i/>
              </w:rPr>
              <w:t>advarer om, at ethvert skridt i retning af afstemning med kvalificeret flertal inden for rammerne af den globale EU-ordning for menneskerettighedssanktioner udgør en direkte udfordring for medlemsstaternes suverænitet og den mellemstatslige karakter af Unionens optræden udadtil;</w:t>
            </w:r>
            <w:r>
              <w:t xml:space="preserve"> </w:t>
            </w:r>
            <w:r>
              <w:rPr>
                <w:b/>
                <w:i/>
              </w:rPr>
              <w:t>advarer endvidere mod den ideologiske eller ekspansive anvendelse af den globale EU-ordning for menneskerettighedssanktioner, der ikke er forbundet med Unionens centrale strategiske prioriteter;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gentager sin opbakning til den globale EU-ordning for menneskerettighedssanktioner som et vigtigt redskab til at styrke EU's menneskerettighedsværktøjskasse, navnlig i betragtning af dens evne til at bidrage til at ændre adfærden hos de personer og enheder, der underlægges sanktioner, og til indsatsen for at drage de umiddelbare gerningsmænd, de medskyldige og dem, der indirekte støtter alvorlige menneskerettighedskrænkelser, til ansvar;</w:t>
            </w:r>
          </w:p>
        </w:tc>
        <w:tc>
          <w:tcPr>
            <w:tcW w:w="4876" w:type="dxa"/>
            <w:tcBorders>
              <w:top w:val="nil"/>
              <w:left w:val="nil"/>
              <w:bottom w:val="nil"/>
              <w:right w:val="nil"/>
            </w:tcBorders>
          </w:tcPr>
          <w:p>
            <w:pPr>
              <w:pStyle w:val="Normal6a"/>
            </w:pPr>
            <w:r>
              <w:t>1.</w:t>
            </w:r>
            <w:r>
              <w:tab/>
            </w:r>
            <w:r>
              <w:t xml:space="preserve">gentager sin opbakning til den globale EU-ordning for menneskerettighedssanktioner som et vigtigt redskab til at styrke EU's menneskerettighedsværktøjskasse, navnlig i betragtning af dens evne til at bidrage til at ændre adfærden hos de personer og enheder, der underlægges sanktioner, og til indsatsen for at drage de umiddelbare gerningsmænd, de medskyldige og dem, der indirekte støtter alvorlige menneskerettighedskrænkelser, til ansvar; </w:t>
            </w:r>
            <w:r>
              <w:rPr>
                <w:b/>
                <w:i/>
              </w:rPr>
              <w:t>anerkender, at vi stadig er langt fra at nå de mål, der er knyttet til godkendelsen af sanktionerne, og at der er behov for at godkende nye foranstaltninger for at gøre dette instrument reelt effektivt;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gentager sin opbakning til den globale EU-ordning for menneskerettighedssanktioner som et vigtigt redskab til at styrke EU's menneskerettighedsværktøjskasse, navnlig i betragtning af dens evne til at bidrage til at ændre adfærden hos de personer og enheder, der underlægges sanktioner, og til indsatsen for at drage de umiddelbare gerningsmænd, de medskyldige og dem, der indirekte støtter alvorlige menneskerettighedskrænkelser</w:t>
            </w:r>
            <w:r>
              <w:rPr>
                <w:b/>
                <w:i/>
              </w:rPr>
              <w:t>, til ansvar</w:t>
            </w:r>
            <w:r>
              <w:t>;</w:t>
            </w:r>
          </w:p>
        </w:tc>
        <w:tc>
          <w:tcPr>
            <w:tcW w:w="4876" w:type="dxa"/>
            <w:tcBorders>
              <w:top w:val="nil"/>
              <w:left w:val="nil"/>
              <w:bottom w:val="nil"/>
              <w:right w:val="nil"/>
            </w:tcBorders>
          </w:tcPr>
          <w:p>
            <w:pPr>
              <w:pStyle w:val="Normal6a"/>
            </w:pPr>
            <w:r>
              <w:t>1.</w:t>
            </w:r>
            <w:r>
              <w:tab/>
            </w:r>
            <w:r>
              <w:t xml:space="preserve">gentager sin opbakning til den globale EU-ordning for menneskerettighedssanktioner som et vigtigt </w:t>
            </w:r>
            <w:r>
              <w:rPr>
                <w:b/>
                <w:i/>
              </w:rPr>
              <w:t>udenrigspolitisk redskab til at styrke menneskerettighederne i hele verden;</w:t>
            </w:r>
            <w:r>
              <w:t xml:space="preserve"> </w:t>
            </w:r>
            <w:r>
              <w:rPr>
                <w:b/>
                <w:i/>
              </w:rPr>
              <w:t>anerkender den som et uundværligt</w:t>
            </w:r>
            <w:r>
              <w:t xml:space="preserve"> redskab til at styrke EU's menneskerettighedsværktøjskasse, navnlig i betragtning af dens evne til at bidrage til at ændre adfærden hos de personer og enheder, der underlægges sanktioner, og til indsatsen for at drage de umiddelbare gerningsmænd, de medskyldige og dem, der indirekte støtter alvorlige menneskerettighedskrænkelser </w:t>
            </w:r>
            <w:r>
              <w:rPr>
                <w:b/>
                <w:i/>
              </w:rPr>
              <w:t>og ikke har til formål at påvirke befolkningens udøvelse af menneskerettighederne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gentager sin opbakning til den globale EU-ordning for menneskerettighedssanktioner som et vigtigt redskab til at styrke EU's menneskerettighedsværktøjskasse, navnlig i betragtning af dens evne til at bidrage til at ændre adfærden hos de personer og enheder, der underlægges sanktioner, og til indsatsen for at drage de umiddelbare gerningsmænd, de medskyldige og dem, der indirekte støtter alvorlige menneskerettighedskrænkelser, til ansvar;</w:t>
            </w:r>
          </w:p>
        </w:tc>
        <w:tc>
          <w:tcPr>
            <w:tcW w:w="4876" w:type="dxa"/>
            <w:tcBorders>
              <w:top w:val="nil"/>
              <w:left w:val="nil"/>
              <w:bottom w:val="nil"/>
              <w:right w:val="nil"/>
            </w:tcBorders>
          </w:tcPr>
          <w:p>
            <w:pPr>
              <w:pStyle w:val="Normal6a"/>
            </w:pPr>
            <w:r>
              <w:t>1.</w:t>
            </w:r>
            <w:r>
              <w:tab/>
            </w:r>
            <w:r>
              <w:t xml:space="preserve">gentager sin opbakning til den globale EU-ordning for menneskerettighedssanktioner som et vigtigt redskab til at styrke EU's menneskerettighedsværktøjskasse, navnlig i betragtning af dens evne til at bidrage til at ændre adfærden hos de personer og enheder, der underlægges sanktioner, og til indsatsen for at drage de umiddelbare gerningsmænd, de medskyldige og dem, der indirekte støtter alvorlige menneskerettighedskrænkelser, </w:t>
            </w:r>
            <w:r>
              <w:rPr>
                <w:b/>
                <w:i/>
              </w:rPr>
              <w:t>samt dem, der direkte eller indirekte får gavn af sådanne krænkelser, herunder den nærmeste familie og forretningspartnere</w:t>
            </w:r>
            <w:r>
              <w:t xml:space="preserve"> til ansvar;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gentager sin opbakning til den globale EU-ordning for menneskerettighedssanktioner som et vigtigt redskab til at styrke EU's menneskerettighedsværktøjskasse, navnlig i betragtning af dens evne til at bidrage til at ændre adfærden hos de personer og enheder, der underlægges sanktioner, og til indsatsen for at drage de umiddelbare gerningsmænd, de medskyldige og dem, der indirekte støtter alvorlige menneskerettighedskrænkelser, til ansvar;</w:t>
            </w:r>
          </w:p>
        </w:tc>
        <w:tc>
          <w:tcPr>
            <w:tcW w:w="4876" w:type="dxa"/>
            <w:tcBorders>
              <w:top w:val="nil"/>
              <w:left w:val="nil"/>
              <w:bottom w:val="nil"/>
              <w:right w:val="nil"/>
            </w:tcBorders>
          </w:tcPr>
          <w:p>
            <w:pPr>
              <w:pStyle w:val="Normal6a"/>
            </w:pPr>
            <w:r>
              <w:t>1.</w:t>
            </w:r>
            <w:r>
              <w:tab/>
            </w:r>
            <w:r>
              <w:t xml:space="preserve">gentager sin opbakning til den globale EU-ordning for menneskerettighedssanktioner som et vigtigt redskab til at styrke EU's menneskerettighedsværktøjskasse, navnlig i betragtning af dens evne til at bidrage til at ændre adfærden hos de personer og enheder, der underlægges sanktioner, og til indsatsen for at drage de umiddelbare gerningsmænd, de medskyldige og dem, der indirekte støtter alvorlige menneskerettighedskrænkelser, til ansvar; </w:t>
            </w:r>
            <w:r>
              <w:rPr>
                <w:b/>
                <w:i/>
              </w:rPr>
              <w:t>bekræfter på ny nødvendigheden af ordningens uafhængighed af udenrigspolitiske interesser;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gentager sin opbakning til den globale EU-ordning for menneskerettighedssanktioner som et vigtigt redskab til at styrke EU's menneskerettighedsværktøjskasse, navnlig i betragtning af dens evne til at bidrage til at ændre adfærden hos de personer og enheder, der underlægges sanktioner, og til indsatsen for at drage de umiddelbare gerningsmænd, de medskyldige og dem, der indirekte støtter alvorlige menneskerettighedskrænkelser, til ansvar;</w:t>
            </w:r>
          </w:p>
        </w:tc>
        <w:tc>
          <w:tcPr>
            <w:tcW w:w="4876" w:type="dxa"/>
            <w:tcBorders>
              <w:top w:val="nil"/>
              <w:left w:val="nil"/>
              <w:bottom w:val="nil"/>
              <w:right w:val="nil"/>
            </w:tcBorders>
          </w:tcPr>
          <w:p>
            <w:pPr>
              <w:pStyle w:val="Normal6a"/>
            </w:pPr>
            <w:r>
              <w:t>1.</w:t>
            </w:r>
            <w:r>
              <w:tab/>
            </w:r>
            <w:r>
              <w:t>gentager sin opbakning til den globale EU-ordning for menneskerettighedssanktioner som et vigtigt redskab til at styrke EU's menneskerettighedsværktøjskasse, navnlig i betragtning af dens evne til at bidrage til at ændre adfærden hos de personer og enheder, der underlægges sanktioner, og til indsatsen for at drage de umiddelbare gerningsmænd, de medskyldige</w:t>
            </w:r>
            <w:r>
              <w:rPr>
                <w:b/>
                <w:i/>
              </w:rPr>
              <w:t>, anstifterne</w:t>
            </w:r>
            <w:r>
              <w:t xml:space="preserve"> og dem, der indirekte støtter alvorlige menneskerettighedskrænkelser, til ansvar;</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Stk. 1 - punkt 1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fremhæver betydningen af at udvide det geografiske anvendelsesområde for de målrettede sanktioner og medtage alle dem, der er ansvarlige for systematiske krænkelser af menneskerettighederne, samt deres familier, navnlig i Cuba, Venezuela og Nicaragua, på listen;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Jaroslav Bžoch,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insisterer på at opretholde enstemmighed i Det Europæiske Råd i forbindelse med vedtagelsen af sanktioner i henhold til den globale EU-ordning for menneskerettighedssanktioner;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bekræfter på ny sit urokkelige engagement i at bekæmpe straffrihed for alvorlige menneskerettighedskrænkelser overalt i verden gennem en effektiv anvendelse af EU's eksisterende sanktionsinstrumenter og -værktøjer, herunder den globale EU-ordning for menneskerettighedssanktioner;</w:t>
            </w:r>
          </w:p>
        </w:tc>
        <w:tc>
          <w:tcPr>
            <w:tcW w:w="4876" w:type="dxa"/>
            <w:tcBorders>
              <w:top w:val="nil"/>
              <w:left w:val="nil"/>
              <w:bottom w:val="nil"/>
              <w:right w:val="nil"/>
            </w:tcBorders>
          </w:tcPr>
          <w:p>
            <w:pPr>
              <w:pStyle w:val="Normal6a"/>
            </w:pPr>
            <w:r>
              <w:t>2.</w:t>
            </w:r>
            <w:r>
              <w:tab/>
            </w:r>
            <w:r>
              <w:t xml:space="preserve">bekræfter på ny sit urokkelige engagement i at bekæmpe straffrihed for alvorlige menneskerettighedskrænkelser overalt i verden gennem en effektiv anvendelse af EU's eksisterende sanktionsinstrumenter og -værktøjer, herunder den globale EU-ordning for menneskerettighedssanktioner; </w:t>
            </w:r>
            <w:r>
              <w:rPr>
                <w:b/>
                <w:i/>
              </w:rPr>
              <w:t>bekræfter ligeledes sit urokkelige engagement i det internationale retssystem, som står over for hidtil usete udfordringer, herunder grundløse sanktioner mod dommere og ansatte ved Den Internationale Straffedomstol, hvoraf nogle er EU-borgere;</w:t>
            </w:r>
            <w:r>
              <w:t xml:space="preserve"> </w:t>
            </w:r>
            <w:r>
              <w:rPr>
                <w:b/>
                <w:i/>
              </w:rPr>
              <w:t>opfordrer i den forbindelse indtrængende EU til at aktivere sin statut om spærring for at begrænse virkningen af disse sanktioner, til indtrængende at opfordre USA og Rusland til at ophæve dem og til på ny at bekræfte sin støtte til ICC i alle fora;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bekræfter på ny sit urokkelige engagement i at bekæmpe straffrihed for alvorlige menneskerettighedskrænkelser overalt i verden gennem en effektiv anvendelse af EU's eksisterende sanktionsinstrumenter og -værktøjer, herunder</w:t>
            </w:r>
            <w:r>
              <w:t xml:space="preserve"> den globale EU-ordning for menneskerettighedssanktioner;</w:t>
            </w:r>
          </w:p>
        </w:tc>
        <w:tc>
          <w:tcPr>
            <w:tcW w:w="4876" w:type="dxa"/>
            <w:tcBorders>
              <w:top w:val="nil"/>
              <w:left w:val="nil"/>
              <w:bottom w:val="nil"/>
              <w:right w:val="nil"/>
            </w:tcBorders>
          </w:tcPr>
          <w:p>
            <w:pPr>
              <w:pStyle w:val="Normal6a"/>
            </w:pPr>
            <w:r>
              <w:t>2.</w:t>
            </w:r>
            <w:r>
              <w:tab/>
            </w:r>
            <w:r>
              <w:rPr>
                <w:b/>
                <w:i/>
              </w:rPr>
              <w:t>stiller spørgsmål ved effektiviteten og den stigende instrumentalisering af</w:t>
            </w:r>
            <w:r>
              <w:t xml:space="preserve"> den globale EU-ordning for menneskerettighedssanktioner</w:t>
            </w:r>
            <w:r>
              <w:rPr>
                <w:b/>
                <w:i/>
              </w:rPr>
              <w:t> som et centralt politisk redskab i Unionens optræden udadtil vedrørende menneskerettigheder og demokrati</w:t>
            </w:r>
            <w:r>
              <w:t xml:space="preserve">; </w:t>
            </w:r>
            <w:r>
              <w:rPr>
                <w:b/>
                <w:i/>
              </w:rPr>
              <w:t>minder om, at selv om beskyttelse af menneskerettighederne fortsat er en kerneværdi, risikerer den hyppige og ekspansive anvendelse af sanktioner at forværre dynamikken i blokken, forværre de geopolitiske spændinger og underminere den økonomiske, politiske og sociale stabilitet i Den Europæiske Unions medlemsstater;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Jaroslav Bžoch,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bekræfter på ny sit urokkelige engagement i at bekæmpe straffrihed for alvorlige menneskerettighedskrænkelser overalt i verden gennem en effektiv anvendelse af EU's eksisterende sanktionsinstrumenter og -værktøjer, herunder den globale EU-ordning for menneskerettighedssanktioner;</w:t>
            </w:r>
          </w:p>
        </w:tc>
        <w:tc>
          <w:tcPr>
            <w:tcW w:w="4876" w:type="dxa"/>
            <w:tcBorders>
              <w:top w:val="nil"/>
              <w:left w:val="nil"/>
              <w:bottom w:val="nil"/>
              <w:right w:val="nil"/>
            </w:tcBorders>
          </w:tcPr>
          <w:p>
            <w:pPr>
              <w:pStyle w:val="Normal6a"/>
            </w:pPr>
            <w:r>
              <w:t>2.</w:t>
            </w:r>
            <w:r>
              <w:tab/>
            </w:r>
            <w:r>
              <w:t>bekræfter på ny sit urokkelige engagement i at bekæmpe straffrihed for alvorlige menneskerettighedskrænkelser overalt i verden</w:t>
            </w:r>
            <w:r>
              <w:rPr>
                <w:b/>
                <w:i/>
              </w:rPr>
              <w:t>, herunder korruption,</w:t>
            </w:r>
            <w:r>
              <w:t xml:space="preserve"> gennem en effektiv anvendelse af EU's eksisterende sanktionsinstrumenter og -værktøjer, herunder den globale EU-ordning for menneskerettighedssanktioner;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bekræfter på ny sit urokkelige engagement i at bekæmpe straffrihed for alvorlige menneskerettighedskrænkelser overalt i verden gennem en effektiv anvendelse af EU's eksisterende sanktionsinstrumenter og -værktøjer, herunder den globale EU-ordning for menneskerettighedssanktioner;</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opfordrer til en omfattende konsekvensanalyse af den globale EU-ordning for menneskerettighedssanktioner og dens </w:t>
            </w:r>
            <w:r>
              <w:rPr>
                <w:b/>
                <w:i/>
              </w:rPr>
              <w:t>forbindelser til</w:t>
            </w:r>
            <w:r>
              <w:t xml:space="preserve"> EU's landespecifikke sanktioner og EU's andre horisontale restriktive foranstaltninger med henblik på at evaluere dens effektivitet, herunder med hensyn til at ændre adfærden hos dem, der er opført på listen, identificere operationelle mangler og sikre en konsekvent og strategisk anvendelse i hele verden, og opfordrer til, at den globale EU-ordning for menneskerettighedssanktioner revideres i overensstemmelse med resultaterne af denne konsekvensanalyse;</w:t>
            </w:r>
          </w:p>
        </w:tc>
        <w:tc>
          <w:tcPr>
            <w:tcW w:w="4876" w:type="dxa"/>
            <w:tcBorders>
              <w:top w:val="nil"/>
              <w:left w:val="nil"/>
              <w:bottom w:val="nil"/>
              <w:right w:val="nil"/>
            </w:tcBorders>
          </w:tcPr>
          <w:p>
            <w:pPr>
              <w:pStyle w:val="Normal6a"/>
            </w:pPr>
            <w:r>
              <w:t>3.</w:t>
            </w:r>
            <w:r>
              <w:tab/>
            </w:r>
            <w:r>
              <w:t xml:space="preserve">opfordrer til en omfattende konsekvensanalyse af den globale EU-ordning for menneskerettighedssanktioner og dens </w:t>
            </w:r>
            <w:r>
              <w:rPr>
                <w:b/>
                <w:i/>
              </w:rPr>
              <w:t>interaktion med</w:t>
            </w:r>
            <w:r>
              <w:t xml:space="preserve"> EU's landespecifikke sanktioner og EU's andre horisontale restriktive foranstaltninger med henblik på at evaluere dens effektivitet, herunder med hensyn til at ændre adfærden hos dem, der er opført på listen, identificere operationelle mangler og sikre en konsekvent og strategisk anvendelse i hele verden, og opfordrer til, at den globale EU-ordning for menneskerettighedssanktioner revideres i overensstemmelse med resultaterne af denne konsekvensanalyse;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opfordrer til en omfattende konsekvensanalyse af den globale EU-ordning for menneskerettighedssanktioner og dens forbindelser til EU's landespecifikke sanktioner og EU's andre horisontale restriktive foranstaltninger med henblik på at evaluere dens effektivitet, herunder med hensyn til at ændre adfærden hos dem, der er opført på listen, identificere operationelle mangler og sikre en konsekvent og strategisk anvendelse i hele verden, og opfordrer til, at den globale EU-ordning for menneskerettighedssanktioner revideres i overensstemmelse med resultaterne af denne konsekvensanalyse;</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der henviser til, at sammenhæng i EU's interne og eksterne politikker bør indebære støtte til den demokratiske opposition i de lande, der er underlagt diktaturer, samtidig med at eventuelle aftaler om disse regimer bør suspenderes;</w:t>
            </w:r>
            <w:r>
              <w:t xml:space="preserve"> </w:t>
            </w:r>
            <w:r>
              <w:rPr>
                <w:b/>
                <w:i/>
              </w:rPr>
              <w:t>der henviser til, at enhver aftale og finansiel støtte til Cuba, Venezuela og Nicaragua betales af de europæiske skatteydere og straks skal suspenderes;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opfordrer til, at der mindst hver 12. måned foretages en systematisk gennemgang af opførelser på listerne i EU-Magnitskij-loven for at sikre, at de er konsekvente, forholdsmæssige og i overensstemmelse med de aktuelle oplysninger og retsafgørelser;</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mener, at der bør fremlægges flere oplysninger om kriterierne for at blive fjernet fra listen for at øge den juridiske klarhed, retssikkerheden og ansvarligheden;</w:t>
            </w:r>
          </w:p>
        </w:tc>
        <w:tc>
          <w:tcPr>
            <w:tcW w:w="4876" w:type="dxa"/>
            <w:tcBorders>
              <w:top w:val="nil"/>
              <w:left w:val="nil"/>
              <w:bottom w:val="nil"/>
              <w:right w:val="nil"/>
            </w:tcBorders>
          </w:tcPr>
          <w:p>
            <w:pPr>
              <w:pStyle w:val="Normal6a"/>
            </w:pPr>
            <w:r>
              <w:t>4.</w:t>
            </w:r>
            <w:r>
              <w:tab/>
            </w:r>
            <w:r>
              <w:t>mener, at der bør fremlægges flere oplysninger om kriterierne for at blive fjernet fra listen for at øge den juridiske klarhed, retssikkerheden</w:t>
            </w:r>
            <w:r>
              <w:rPr>
                <w:b/>
                <w:i/>
              </w:rPr>
              <w:t>, gennemsigtigheden</w:t>
            </w:r>
            <w:r>
              <w:t xml:space="preserve"> og ansvarligheden;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Jaroslav Bžoch,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mener, at der bør fremlægges flere oplysninger om kriterierne for at blive fjernet fra listen for at øge den juridiske klarhed, retssikkerheden og ansvarligheden;</w:t>
            </w:r>
          </w:p>
        </w:tc>
        <w:tc>
          <w:tcPr>
            <w:tcW w:w="4876" w:type="dxa"/>
            <w:tcBorders>
              <w:top w:val="nil"/>
              <w:left w:val="nil"/>
              <w:bottom w:val="nil"/>
              <w:right w:val="nil"/>
            </w:tcBorders>
          </w:tcPr>
          <w:p>
            <w:pPr>
              <w:pStyle w:val="Normal6a"/>
            </w:pPr>
            <w:r>
              <w:t>4.</w:t>
            </w:r>
            <w:r>
              <w:tab/>
            </w:r>
            <w:r>
              <w:t xml:space="preserve">mener, at der bør fremlægges flere oplysninger om </w:t>
            </w:r>
            <w:r>
              <w:rPr>
                <w:b/>
                <w:i/>
              </w:rPr>
              <w:t>medtagelse på listen og</w:t>
            </w:r>
            <w:r>
              <w:t xml:space="preserve"> kriterierne for at blive fjernet fra listen for at øge den juridiske klarhed, retssikkerheden og ansvarligheden;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gentager, at det er vigtigt, at den globale EU-ordning for menneskerettighedssanktioner er i overensstemmelse med og supplerer EU's landespecifikke og horisontale restriktive foranstaltninger, sektorspecifikke foranstaltninger og våbenembargoer såvel som eksisterende internationale sanktionsrammer;</w:t>
            </w:r>
          </w:p>
        </w:tc>
        <w:tc>
          <w:tcPr>
            <w:tcW w:w="4876" w:type="dxa"/>
            <w:tcBorders>
              <w:top w:val="nil"/>
              <w:left w:val="nil"/>
              <w:bottom w:val="nil"/>
              <w:right w:val="nil"/>
            </w:tcBorders>
          </w:tcPr>
          <w:p>
            <w:pPr>
              <w:pStyle w:val="Normal6a"/>
            </w:pPr>
            <w:r>
              <w:t>5.</w:t>
            </w:r>
            <w:r>
              <w:tab/>
            </w:r>
            <w:r>
              <w:t xml:space="preserve">gentager, at det er vigtigt, at den globale EU-ordning for menneskerettighedssanktioner er i overensstemmelse med og supplerer EU's landespecifikke og horisontale restriktive foranstaltninger, sektorspecifikke foranstaltninger og våbenembargoer såvel som eksisterende internationale sanktionsrammer; </w:t>
            </w:r>
            <w:r>
              <w:rPr>
                <w:b/>
                <w:i/>
              </w:rPr>
              <w:t>fremhæver, at EU's manglende indflydelse gennem sanktioner over for de lande, der ikke overholder de grundlæggende menneskerettighedspolitikker, til dels skyldes den politiske meddelagtighed med disse lande, hvoraf nogle styres af korrupte og kriminelle regimer;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gentager, at det er vigtigt, at den globale EU-ordning for menneskerettighedssanktioner er i overensstemmelse med og supplerer EU's landespecifikke og horisontale restriktive foranstaltninger, sektorspecifikke foranstaltninger og våbenembargoer såvel som eksisterende internationale sanktionsrammer;</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understreger, at den globale EU-ordning for menneskerettighedssanktioner også bør tage fat på menneskerettighedskrænkelser, der muliggøres gennem digital overvågning, spywareeksport og andre teknologier, der anvendes til undertrykkelse, og opfordrer til udtrykkelige listeopførelser af virksomheder og enkeltpersoner, der er involveret i sådanne overgreb;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opfordrer til, at den globale EU-ordning for menneskerettighedssanktioner udvides ud over indefrysning af aktiver og rejseforbud til også at omfatte et forbud mod levering til relevante myndigheder af teknisk udstyr, teknologi og software, der kan anvendes til intern undertrykkelse;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opfordrer indtrængende til, at der indføres et gradvist forbud mod levering af teknologi og software til de personer og enheder, der er opført på listen, under den globale EU-ordning for menneskerettighedssanktioner i sammenhæng med landespecifikke og horisontale foranstaltninger;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opfordrer Rådet og EU-Udenrigstjenesten til systematisk at vurdere anvendelsen af den globale EU-ordning for menneskerettighedssanktioner til at målrette indsatsen mod tværnational undertrykkelse, herunder digital overvågning, chikane af personer i eksil og grænseoverskridende intimidering, der udføres eller muliggøres af statslige eller ikkestatslige aktører;</w:t>
            </w:r>
            <w:r>
              <w:t xml:space="preserve"> </w:t>
            </w:r>
            <w:r>
              <w:rPr>
                <w:b/>
                <w:i/>
              </w:rPr>
              <w:t>understreger behovet for at sanktionere dem, der materielt støtter eller fremmer sådanne handlinger, herunder gennem levering af spyware, desinformation eller lovlige misbrugsmekanismer;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Jorge Martín Frías, Hermann Tertsch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opfordrer Rådet til at søge at tilpasse registreringerne under den globale EU-ordning for menneskerettighedssanktioner til ligesindede partneres og FN's Sikkerhedsråds sanktionslister, når det er politisk og juridisk muligt, med henblik på at øge den globale legitimitet og effektivitet;</w:t>
            </w:r>
          </w:p>
        </w:tc>
        <w:tc>
          <w:tcPr>
            <w:tcW w:w="4876" w:type="dxa"/>
            <w:tcBorders>
              <w:top w:val="nil"/>
              <w:left w:val="nil"/>
              <w:bottom w:val="nil"/>
              <w:right w:val="nil"/>
            </w:tcBorders>
          </w:tcPr>
          <w:p>
            <w:pPr>
              <w:pStyle w:val="Normal6a"/>
            </w:pPr>
            <w:r>
              <w:t>6.</w:t>
            </w:r>
            <w:r>
              <w:tab/>
            </w:r>
            <w:r>
              <w:t xml:space="preserve">opfordrer Rådet til at søge at tilpasse registreringerne under den globale EU-ordning for menneskerettighedssanktioner til ligesindede partneres og FN's Sikkerhedsråds sanktionslister, når det er politisk og juridisk muligt, med henblik på at øge den globale legitimitet og effektivitet; </w:t>
            </w:r>
            <w:r>
              <w:rPr>
                <w:b/>
                <w:i/>
              </w:rPr>
              <w:t>fordømmer totalitære regimers misbrug af FN's Menneskerettighedsråd og Den Internationale Straffedomstol, som fortsat misbruger dem til deres egne politiske formål;</w:t>
            </w:r>
            <w:r>
              <w:t xml:space="preserve"> </w:t>
            </w:r>
            <w:r>
              <w:rPr>
                <w:b/>
                <w:i/>
              </w:rPr>
              <w:t>beklager Kinas, Ruslands, Irans og andre lande for deres misbrug af multilaterale institutioner, idet de søger at neutralisere menneskerettighedsmekanismernes evne til at holde stater ansvarlige for menneskerettighedskrænkelser samt undergraver og/eller omskriver internationale normer, så de passer til deres autoritære dagsorden;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opfordrer Rådet til at søge at tilpasse registreringerne under den globale EU-ordning for menneskerettighedssanktioner til ligesindede partneres og FN's Sikkerhedsråds sanktionslister, når det er politisk og juridisk muligt, med henblik på at øge den globale legitimitet og effektivitet;</w:t>
            </w:r>
          </w:p>
        </w:tc>
        <w:tc>
          <w:tcPr>
            <w:tcW w:w="4876" w:type="dxa"/>
            <w:tcBorders>
              <w:top w:val="nil"/>
              <w:left w:val="nil"/>
              <w:bottom w:val="nil"/>
              <w:right w:val="nil"/>
            </w:tcBorders>
          </w:tcPr>
          <w:p>
            <w:pPr>
              <w:pStyle w:val="Normal6a"/>
            </w:pPr>
            <w:r>
              <w:t>6.</w:t>
            </w:r>
            <w:r>
              <w:tab/>
            </w:r>
            <w:r>
              <w:t>opfordrer Rådet til at søge at tilpasse registreringerne under den globale EU-ordning for menneskerettighedssanktioner til ligesindede partneres</w:t>
            </w:r>
            <w:r>
              <w:rPr>
                <w:b/>
                <w:i/>
              </w:rPr>
              <w:t>, navnlig G7's</w:t>
            </w:r>
            <w:r>
              <w:t xml:space="preserve"> og FN's Sikkerhedsråds sanktionslister, når det er politisk og juridisk muligt, med henblik på at øge den globale legitimitet og effektivitet;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opfordrer Rådet til at søge at tilpasse registreringerne under den globale EU-ordning for menneskerettighedssanktioner til ligesindede partneres og FN's Sikkerhedsråds sanktionslister, når det er politisk og juridisk muligt, med henblik på at øge den globale legitimitet og effektivitet;</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opfordrer Kommissionen og medlemsstaterne til at øge synergierne mellem den globale EU-ordning for menneskerettighedssanktioner og internationale ansvarlighedsmekanismer — såsom FN, ICC og regionale menneskerettighedsdomstole — for at forbedre effektiviteten af EU's foranstaltninger mod alvorlige krænkelser af menneskerettighederne;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understreger, at det er vigtigt, at EU-kandidatlande og</w:t>
            </w:r>
            <w:r>
              <w:t xml:space="preserve"> potentielle kandidatlande </w:t>
            </w:r>
            <w:r>
              <w:rPr>
                <w:b/>
                <w:i/>
              </w:rPr>
              <w:t>tilpasser</w:t>
            </w:r>
            <w:r>
              <w:t xml:space="preserve"> sig den globale EU-ordning for menneskerettighedssanktioner </w:t>
            </w:r>
            <w:r>
              <w:rPr>
                <w:b/>
                <w:i/>
              </w:rPr>
              <w:t>i overensstemmelse med deres bredere tilpasning til EU's fælles udenrigs- og sikkerhedspolitik;</w:t>
            </w:r>
          </w:p>
        </w:tc>
        <w:tc>
          <w:tcPr>
            <w:tcW w:w="4876" w:type="dxa"/>
            <w:tcBorders>
              <w:top w:val="nil"/>
              <w:left w:val="nil"/>
              <w:bottom w:val="nil"/>
              <w:right w:val="nil"/>
            </w:tcBorders>
          </w:tcPr>
          <w:p>
            <w:pPr>
              <w:pStyle w:val="Normal6a"/>
            </w:pPr>
            <w:r>
              <w:t>7.</w:t>
            </w:r>
            <w:r>
              <w:tab/>
            </w:r>
            <w:r>
              <w:rPr>
                <w:b/>
                <w:i/>
              </w:rPr>
              <w:t>opfordrer EU-kandidatlandene og de</w:t>
            </w:r>
            <w:r>
              <w:t xml:space="preserve"> potentielle kandidatlande </w:t>
            </w:r>
            <w:r>
              <w:rPr>
                <w:b/>
                <w:i/>
              </w:rPr>
              <w:t>til at vurdere muligheden for at tilslutte</w:t>
            </w:r>
            <w:r>
              <w:t xml:space="preserve"> sig den globale EU-ordning for menneskerettighedssanktioner</w:t>
            </w:r>
            <w:r>
              <w:rPr>
                <w:b/>
                <w:i/>
              </w:rPr>
              <w:t>;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understreger, at det er vigtigt, at EU-kandidatlande og potentielle kandidatlande tilpasser sig den globale EU-ordning for menneskerettighedssanktioner i overensstemmelse med deres bredere tilpasning til EU's fælles udenrigs- og sikkerhedspolitik;</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støtter fuldt ud muligheden for at indføre målrettede korruptionsbekæmpende sanktioner inden for EU's rammer, hvilket længe har været en prioritet for Parlamentet, enten gennem medtagelse af sådanne i forordningen om den globale EU-ordning for menneskerettighedssanktioner eller gennem en anden ordning;</w:t>
            </w:r>
          </w:p>
        </w:tc>
        <w:tc>
          <w:tcPr>
            <w:tcW w:w="4876" w:type="dxa"/>
            <w:tcBorders>
              <w:top w:val="nil"/>
              <w:left w:val="nil"/>
              <w:bottom w:val="nil"/>
              <w:right w:val="nil"/>
            </w:tcBorders>
          </w:tcPr>
          <w:p>
            <w:pPr>
              <w:pStyle w:val="Normal6a"/>
            </w:pPr>
            <w:r>
              <w:t>8.</w:t>
            </w:r>
            <w:r>
              <w:tab/>
            </w:r>
            <w:r>
              <w:t xml:space="preserve">støtter fuldt ud muligheden for at indføre målrettede korruptionsbekæmpende sanktioner inden for EU's rammer, hvilket længe har været en prioritet for Parlamentet, enten gennem medtagelse af sådanne i forordningen om den globale EU-ordning for menneskerettighedssanktioner eller gennem en anden ordning; </w:t>
            </w:r>
            <w:r>
              <w:rPr>
                <w:b/>
                <w:i/>
              </w:rPr>
              <w:t>understreger imidlertid, at sådanne sanktioner i særlige tilfælde risikerer utilsigtet at konsolidere regimet, da systemisk korruption i fjendtlige autoritære systemer ofte undergraver deres stabilitet og dermed udgør en kilde til svaghed snarere end styrke, navnlig med hensyn til deres militære kapacitet og økonomiske resultater;</w:t>
            </w:r>
            <w:r>
              <w:t xml:space="preserve"> </w:t>
            </w:r>
            <w:r>
              <w:rPr>
                <w:b/>
                <w:i/>
              </w:rPr>
              <w:t>understreger derfor, at sanktioner mod korruption bør tage hensyn til den bredere systemiske kontekst og være tæt forbundet med omfattende strategier over for de respektive aktører;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støtter fuldt ud muligheden for at indføre målrettede korruptionsbekæmpende sanktioner inden for EU's rammer, hvilket længe har været en prioritet for Parlamentet, enten gennem medtagelse af sådanne i forordningen om den globale EU-ordning for menneskerettighedssanktioner eller gennem en anden ordning;</w:t>
            </w:r>
          </w:p>
        </w:tc>
        <w:tc>
          <w:tcPr>
            <w:tcW w:w="4876" w:type="dxa"/>
            <w:tcBorders>
              <w:top w:val="nil"/>
              <w:left w:val="nil"/>
              <w:bottom w:val="nil"/>
              <w:right w:val="nil"/>
            </w:tcBorders>
          </w:tcPr>
          <w:p>
            <w:pPr>
              <w:pStyle w:val="Normal6a"/>
            </w:pPr>
            <w:r>
              <w:t>8.</w:t>
            </w:r>
            <w:r>
              <w:tab/>
            </w:r>
            <w:r>
              <w:t xml:space="preserve">støtter fuldt ud muligheden for at indføre målrettede korruptionsbekæmpende sanktioner inden for EU's rammer, hvilket længe har været en prioritet for Parlamentet, enten gennem medtagelse af sådanne i forordningen om den globale EU-ordning for menneskerettighedssanktioner eller gennem en anden ordning; </w:t>
            </w:r>
            <w:r>
              <w:rPr>
                <w:b/>
                <w:i/>
              </w:rPr>
              <w:t>anbefaler, at ordningens anvendelsesområde udvides til at omfatte omfattende korruptionssager og misbrug af statslige indkøbskontrakter, som direkte understøtter autoritære regimer, således at menneskerettighedskrænkelser kædes sammen med kleptokratisk praksis;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støtter fuldt ud </w:t>
            </w:r>
            <w:r>
              <w:rPr>
                <w:b/>
                <w:i/>
              </w:rPr>
              <w:t>muligheden for at indføre</w:t>
            </w:r>
            <w:r>
              <w:t xml:space="preserve"> målrettede korruptionsbekæmpende sanktioner inden for EU's rammer, hvilket længe har været en prioritet for Parlamentet, enten gennem medtagelse af sådanne i forordningen om den globale EU-ordning for menneskerettighedssanktioner eller gennem en anden ordning;</w:t>
            </w:r>
          </w:p>
        </w:tc>
        <w:tc>
          <w:tcPr>
            <w:tcW w:w="4876" w:type="dxa"/>
            <w:tcBorders>
              <w:top w:val="nil"/>
              <w:left w:val="nil"/>
              <w:bottom w:val="nil"/>
              <w:right w:val="nil"/>
            </w:tcBorders>
          </w:tcPr>
          <w:p>
            <w:pPr>
              <w:pStyle w:val="Normal6a"/>
            </w:pPr>
            <w:r>
              <w:t>8.</w:t>
            </w:r>
            <w:r>
              <w:tab/>
            </w:r>
            <w:r>
              <w:t xml:space="preserve">støtter fuldt ud </w:t>
            </w:r>
            <w:r>
              <w:rPr>
                <w:b/>
                <w:i/>
              </w:rPr>
              <w:t>indførelsen af</w:t>
            </w:r>
            <w:r>
              <w:t xml:space="preserve"> målrettede korruptionsbekæmpende sanktioner inden for EU's rammer, hvilket længe har været en prioritet for Parlamentet, enten gennem medtagelse af sådanne i forordningen om den globale EU-ordning for menneskerettighedssanktioner eller gennem en anden ordning; </w:t>
            </w:r>
            <w:r>
              <w:rPr>
                <w:b/>
                <w:i/>
              </w:rPr>
              <w:t>understreger, at en sådan beslutning yderligere vil gøre det muligt at målrette økonomiske og finansielle sanktioner mod de personer, der muliggør krænkelser af menneskerettighederne;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opfordrer indtrængende EU-Udenrigstjenesten til at finde lovlige veje til at bruge de renter, der opstår i forbindelse med indefrosne aktiver tilhørende personer, der er sanktioneret i henhold til den globale EU-ordning for menneskerettighedssanktioner, og give dem til ofre for alvorlige krænkelser af menneskerettighederne, som de sanktionerede personer er ansvarlige for;</w:t>
            </w:r>
            <w:r>
              <w:t xml:space="preserve"> </w:t>
            </w:r>
            <w:r>
              <w:rPr>
                <w:b/>
                <w:i/>
              </w:rPr>
              <w:t>opfordrer endvidere EU til at undersøge muligheden for at indføre en særlig procedure vedrørende uretmæssigt opnåede gevinster, som det har været tilfældet i Frankrig siden for nylig, hvor konfiskation på grundlag af strenge kriterier fører til tilbagebetaling af beløb, der stammer fra deres salg til de pågældende lande i form af samarbejds- og udviklingstiltag;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anerkender betydningen af at udvide anvendelsesområdet for den globale EU-ordning for menneskerettighedssanktioner ved at indføre sanktioner mod enkeltpersoner og enheder, der deltager i omgåelse af sanktioner, og dermed gøre det muligt for autoritære regimer at fortsætte deres alvorlige krænkelser af menneskerettighederne og grusomme forbrydelser;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glæder sig over den nylige anvendelse af den globale EU-ordning for menneskerettighedssanktioner til at ramme aktører, der er ansvarlige for tværnational undertrykkelse af systemkritikere og menneskerettighedsforkæmpere i hele verden;</w:t>
            </w:r>
            <w:r>
              <w:t xml:space="preserve"> </w:t>
            </w:r>
            <w:r>
              <w:rPr>
                <w:b/>
                <w:i/>
              </w:rPr>
              <w:t>mener, at der bør foretages flere opførelser på listen af denne grund for at imødegå stigningen i tværnational undertrykkelse som en global tendens;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foreslår at udvide definitionen af "grove krænkelser af menneskerettighederne" til at omfatte miljøødelæggelse, digital undertrykkelse, seksuel vold og målretning mod seksuelle og kønsmindretal med konsekvenser for menneskerettighederne, så den tilpasses de nye udfordringer;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opfordrer indtrængende medlemsstaterne til at afholde sig fra bilaterale politiske eller diplomatiske handlinger, der undergraver eller er i modstrid med EU's fælles holdning vedrørende sanktioner;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rPr>
                <w:b/>
                <w:i/>
              </w:rPr>
              <w:t>opfordrer indtrængende</w:t>
            </w:r>
            <w:r>
              <w:t xml:space="preserve"> medlemsstaterne til at </w:t>
            </w:r>
            <w:r>
              <w:rPr>
                <w:b/>
                <w:i/>
              </w:rPr>
              <w:t>afholde sig fra</w:t>
            </w:r>
            <w:r>
              <w:t xml:space="preserve"> bilaterale politiske </w:t>
            </w:r>
            <w:r>
              <w:rPr>
                <w:b/>
                <w:i/>
              </w:rPr>
              <w:t>eller</w:t>
            </w:r>
            <w:r>
              <w:t xml:space="preserve"> diplomatiske handlinger, </w:t>
            </w:r>
            <w:r>
              <w:rPr>
                <w:b/>
                <w:i/>
              </w:rPr>
              <w:t>der undergraver eller er i modstrid med EU's fælles holdning</w:t>
            </w:r>
            <w:r>
              <w:t xml:space="preserve"> vedrørende sanktioner;</w:t>
            </w:r>
          </w:p>
        </w:tc>
        <w:tc>
          <w:tcPr>
            <w:tcW w:w="4876" w:type="dxa"/>
            <w:tcBorders>
              <w:top w:val="nil"/>
              <w:left w:val="nil"/>
              <w:bottom w:val="nil"/>
              <w:right w:val="nil"/>
            </w:tcBorders>
          </w:tcPr>
          <w:p>
            <w:pPr>
              <w:pStyle w:val="Normal6a"/>
            </w:pPr>
            <w:r>
              <w:t>9.</w:t>
            </w:r>
            <w:r>
              <w:tab/>
            </w:r>
            <w:r>
              <w:rPr>
                <w:b/>
                <w:i/>
              </w:rPr>
              <w:t>minder om, at udenrigspolitik fortsat er et centralt prærogativ for national suverænitet i henhold til artikel 24, stk. 1, i TEU;</w:t>
            </w:r>
            <w:r>
              <w:t xml:space="preserve"> </w:t>
            </w:r>
            <w:r>
              <w:rPr>
                <w:b/>
                <w:i/>
              </w:rPr>
              <w:t>understreger i denne forbindelse, at</w:t>
            </w:r>
            <w:r>
              <w:t xml:space="preserve"> medlemsstaterne </w:t>
            </w:r>
            <w:r>
              <w:rPr>
                <w:b/>
                <w:i/>
              </w:rPr>
              <w:t>har ret</w:t>
            </w:r>
            <w:r>
              <w:t xml:space="preserve"> til at </w:t>
            </w:r>
            <w:r>
              <w:rPr>
                <w:b/>
                <w:i/>
              </w:rPr>
              <w:t>gennemføre deres egne</w:t>
            </w:r>
            <w:r>
              <w:t xml:space="preserve"> bilaterale politiske </w:t>
            </w:r>
            <w:r>
              <w:rPr>
                <w:b/>
                <w:i/>
              </w:rPr>
              <w:t>og</w:t>
            </w:r>
            <w:r>
              <w:t xml:space="preserve"> diplomatiske handlinger, </w:t>
            </w:r>
            <w:r>
              <w:rPr>
                <w:b/>
                <w:i/>
              </w:rPr>
              <w:t>herunder i spørgsmål</w:t>
            </w:r>
            <w:r>
              <w:t xml:space="preserve"> vedrørende sanktioner</w:t>
            </w:r>
            <w:r>
              <w:rPr>
                <w:b/>
                <w:i/>
              </w:rPr>
              <w:t>, i overensstemmelse med deres nationale interesser og strategiske prioriteter</w:t>
            </w:r>
            <w:r>
              <w:t xml:space="preserve">; </w:t>
            </w:r>
            <w:r>
              <w:rPr>
                <w:b/>
                <w:i/>
              </w:rPr>
              <w:t>afviser ethvert forsøg på at begrænse eller betinge sådanne handlinger under påskud af at bevare EU's enhed på bekostning af medlemsstaternes autonomi;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Ioan-Rareş Bogdan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opfordrer indtrængende medlemsstaterne til at afholde sig fra bilaterale politiske eller diplomatiske handlinger, der undergraver eller er i modstrid med EU's fælles holdning vedrørende sanktioner;</w:t>
            </w:r>
          </w:p>
        </w:tc>
        <w:tc>
          <w:tcPr>
            <w:tcW w:w="4876" w:type="dxa"/>
            <w:tcBorders>
              <w:top w:val="nil"/>
              <w:left w:val="nil"/>
              <w:bottom w:val="nil"/>
              <w:right w:val="nil"/>
            </w:tcBorders>
          </w:tcPr>
          <w:p>
            <w:pPr>
              <w:pStyle w:val="Normal6a"/>
            </w:pPr>
            <w:r>
              <w:t>9.</w:t>
            </w:r>
            <w:r>
              <w:tab/>
            </w:r>
            <w:r>
              <w:t xml:space="preserve">opfordrer indtrængende medlemsstaterne til at afholde sig fra bilaterale politiske eller diplomatiske handlinger, der undergraver eller er i modstrid med EU's fælles holdning vedrørende sanktioner; </w:t>
            </w:r>
            <w:r>
              <w:rPr>
                <w:b/>
                <w:i/>
              </w:rPr>
              <w:t>opfordrer medlemsstaterne til, hvis de vælger ikke at tage hensyn til denne henstilling, at underrette og rådføre sig med EU's højtstående repræsentant for udenrigsanliggender og sikkerhedspolitik for at begrænse de mulige virkninger for EU's sammenhold;</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opfordrer indtrængende medlemsstaterne til at afholde sig fra bilaterale politiske eller diplomatiske handlinger, der undergraver eller er i modstrid med EU's fælles holdning vedrørende sanktioner;</w:t>
            </w:r>
          </w:p>
        </w:tc>
        <w:tc>
          <w:tcPr>
            <w:tcW w:w="4876" w:type="dxa"/>
            <w:tcBorders>
              <w:top w:val="nil"/>
              <w:left w:val="nil"/>
              <w:bottom w:val="nil"/>
              <w:right w:val="nil"/>
            </w:tcBorders>
          </w:tcPr>
          <w:p>
            <w:pPr>
              <w:pStyle w:val="Normal6a"/>
            </w:pPr>
            <w:r>
              <w:t>9.</w:t>
            </w:r>
            <w:r>
              <w:tab/>
            </w:r>
            <w:r>
              <w:t xml:space="preserve">opfordrer indtrængende medlemsstaterne til at afholde sig fra bilaterale politiske eller diplomatiske handlinger, der undergraver eller er i modstrid med EU's fælles holdning vedrørende sanktioner </w:t>
            </w:r>
            <w:r>
              <w:rPr>
                <w:b/>
                <w:i/>
              </w:rPr>
              <w:t>og deres engagement i internationale strafferetlige mekanismer, herunder Romstatutten, samt i forsvaret af menneskerettighederne, eftersom den globale EU-ordning for menneskerettighedssanktioner specifikt er udformet til at styrke og supplere disse institutioner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opfordrer indtrængende medlemsstaterne til at afholde sig fra bilaterale politiske eller diplomatiske handlinger, der undergraver eller er i modstrid med EU's fælles holdning vedrørende sanktioner;</w:t>
            </w:r>
          </w:p>
        </w:tc>
        <w:tc>
          <w:tcPr>
            <w:tcW w:w="4876" w:type="dxa"/>
            <w:tcBorders>
              <w:top w:val="nil"/>
              <w:left w:val="nil"/>
              <w:bottom w:val="nil"/>
              <w:right w:val="nil"/>
            </w:tcBorders>
          </w:tcPr>
          <w:p>
            <w:pPr>
              <w:pStyle w:val="Normal6a"/>
            </w:pPr>
            <w:r>
              <w:t>9.</w:t>
            </w:r>
            <w:r>
              <w:tab/>
            </w:r>
            <w:r>
              <w:t xml:space="preserve">opfordrer indtrængende medlemsstaterne til at afholde sig fra bilaterale politiske eller diplomatiske handlinger, der undergraver eller er i modstrid med EU's fælles holdning vedrørende sanktioner; </w:t>
            </w:r>
            <w:r>
              <w:rPr>
                <w:b/>
                <w:i/>
              </w:rPr>
              <w:t>minder om behovet for, at alle EU's medlemsstater fortolker, forklarer og håndhæver anvendelsen af ordningen på samme konsekvente og hurtige måde;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rPr>
                <w:b/>
                <w:i/>
              </w:rPr>
              <w:t>opfordrer indtrængende medlemsstaterne til at afholde sig fra</w:t>
            </w:r>
            <w:r>
              <w:t xml:space="preserve"> bilaterale politiske eller diplomatiske </w:t>
            </w:r>
            <w:r>
              <w:rPr>
                <w:b/>
                <w:i/>
              </w:rPr>
              <w:t>handlinger, der undergraver eller er i modstrid med EU's fælles holdning vedrørende sanktioner</w:t>
            </w:r>
            <w:r>
              <w:t>;</w:t>
            </w:r>
          </w:p>
        </w:tc>
        <w:tc>
          <w:tcPr>
            <w:tcW w:w="4876" w:type="dxa"/>
            <w:tcBorders>
              <w:top w:val="nil"/>
              <w:left w:val="nil"/>
              <w:bottom w:val="nil"/>
              <w:right w:val="nil"/>
            </w:tcBorders>
          </w:tcPr>
          <w:p>
            <w:pPr>
              <w:pStyle w:val="Normal6a"/>
            </w:pPr>
            <w:r>
              <w:t>9.</w:t>
            </w:r>
            <w:r>
              <w:tab/>
            </w:r>
            <w:r>
              <w:rPr>
                <w:b/>
                <w:i/>
              </w:rPr>
              <w:t>mener, at det henhører under EU-medlemsstaternes suveræne ret at iværksætte</w:t>
            </w:r>
            <w:r>
              <w:t xml:space="preserve"> bilaterale politiske eller diplomatiske </w:t>
            </w:r>
            <w:r>
              <w:rPr>
                <w:b/>
                <w:i/>
              </w:rPr>
              <w:t>tiltag, der fremmer deres interesser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opfordrer medlemsstaterne til at styrke koordineringen og gøre brug af deres egne instrumenter såsom universel jurisdiktion og nationale sanktioner, som parallelt hermed kan medføre betydelige ændringer og bidrage til at nå målene for EU's sanktioner;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10.</w:t>
            </w:r>
            <w:r>
              <w:tab/>
            </w:r>
            <w:r>
              <w:rPr>
                <w:b/>
                <w:i/>
              </w:rPr>
              <w:t>fordømmer, at nogle EU-medlemsstater har undladt at overholde EU's sanktioner ved at tillade personer, der var underlagt sanktioner, at rejse ind på EU's område og derved har skadet troværdigheden og effektiviteten af sanktionerne;</w:t>
            </w:r>
            <w:r>
              <w:t xml:space="preserve"> </w:t>
            </w:r>
            <w:r>
              <w:rPr>
                <w:b/>
                <w:i/>
              </w:rPr>
              <w:t>opfordrer indtrængende alle EU's medlemsstater til at overholde EU's sanktioner fuldt ud og betingelsesløst;</w:t>
            </w:r>
            <w:r>
              <w:t xml:space="preserve"> </w:t>
            </w:r>
            <w:r>
              <w:rPr>
                <w:b/>
                <w:i/>
              </w:rPr>
              <w:t>opfordrer Kommissionen til som traktaternes vogter at sikre, at EU's medlemsstater overholder sanktionerne, og til strengt at gribe ind over for eventuelle tilfælde af manglende overholdelse fra medlemsstaters side;</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rPr>
                <w:b/>
                <w:i/>
              </w:rPr>
              <w:t>fordømmer</w:t>
            </w:r>
            <w:r>
              <w:t xml:space="preserve">, at nogle EU-medlemsstater har undladt at overholde EU's sanktioner ved at tillade personer, der var underlagt sanktioner, at rejse ind på EU's område og derved har skadet troværdigheden og effektiviteten af sanktionerne; </w:t>
            </w:r>
            <w:r>
              <w:rPr>
                <w:b/>
                <w:i/>
              </w:rPr>
              <w:t>opfordrer indtrængende alle EU's medlemsstater til at overholde EU's sanktioner fuldt ud og betingelsesløst</w:t>
            </w:r>
            <w:r>
              <w:t xml:space="preserve">; opfordrer Kommissionen til som traktaternes vogter at sikre, at </w:t>
            </w:r>
            <w:r>
              <w:rPr>
                <w:b/>
                <w:i/>
              </w:rPr>
              <w:t>EU's medlemsstater overholder sanktionerne, og til strengt at gribe ind over for eventuelle tilfælde af manglende overholdelse fra medlemsstaters side</w:t>
            </w:r>
            <w:r>
              <w:t>;</w:t>
            </w:r>
          </w:p>
        </w:tc>
        <w:tc>
          <w:tcPr>
            <w:tcW w:w="4876" w:type="dxa"/>
            <w:tcBorders>
              <w:top w:val="nil"/>
              <w:left w:val="nil"/>
              <w:bottom w:val="nil"/>
              <w:right w:val="nil"/>
            </w:tcBorders>
          </w:tcPr>
          <w:p>
            <w:pPr>
              <w:pStyle w:val="Normal6a"/>
            </w:pPr>
            <w:r>
              <w:t>10.</w:t>
            </w:r>
            <w:r>
              <w:tab/>
            </w:r>
            <w:r>
              <w:rPr>
                <w:b/>
                <w:i/>
              </w:rPr>
              <w:t>bemærker</w:t>
            </w:r>
            <w:r>
              <w:t xml:space="preserve">, at nogle EU-medlemsstater har undladt at overholde EU's sanktioner ved at tillade personer, der var underlagt sanktioner, at rejse ind på EU's område og derved har skadet troværdigheden og effektiviteten af sanktionerne; </w:t>
            </w:r>
            <w:r>
              <w:rPr>
                <w:b/>
                <w:i/>
              </w:rPr>
              <w:t>understreger, at en sådan manglende overholdelse afspejler det forhold, at nationale interesser og udenrigspolitiske prioriteter varierer betydeligt fra medlemsstat til medlemsstat, hvilket bidrager til en inkonsekvent anvendelse af Unionens udenrigspolitiske redskaber</w:t>
            </w:r>
            <w:r>
              <w:t xml:space="preserve">; opfordrer Kommissionen til som traktaternes vogter at </w:t>
            </w:r>
            <w:r>
              <w:rPr>
                <w:b/>
                <w:i/>
              </w:rPr>
              <w:t>beskytte princippet om enstemmighed i beslutningstagningen i Rådet og til at</w:t>
            </w:r>
            <w:r>
              <w:t xml:space="preserve"> sikre, at </w:t>
            </w:r>
            <w:r>
              <w:rPr>
                <w:b/>
                <w:i/>
              </w:rPr>
              <w:t>medlemsstaternes individuelle interesser og suveræne udenrigspolitiske valg respekteres fuldt ud i overensstemmelse med artikel 24, stk. 1, i traktaten om Den Europæiske Union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fordømmer, at nogle EU-medlemsstater har undladt at overholde EU's sanktioner ved at tillade personer, der var underlagt sanktioner, at rejse ind på EU's område og derved har skadet troværdigheden og effektiviteten af sanktionerne; opfordrer indtrængende alle EU's medlemsstater til at overholde EU's sanktioner fuldt ud og betingelsesløst; opfordrer Kommissionen til som traktaternes vogter at sikre, at EU's medlemsstater overholder sanktionerne, og til strengt at gribe ind over for eventuelle tilfælde af manglende overholdelse fra medlemsstaters side;</w:t>
            </w:r>
          </w:p>
        </w:tc>
        <w:tc>
          <w:tcPr>
            <w:tcW w:w="4876" w:type="dxa"/>
            <w:tcBorders>
              <w:top w:val="nil"/>
              <w:left w:val="nil"/>
              <w:bottom w:val="nil"/>
              <w:right w:val="nil"/>
            </w:tcBorders>
          </w:tcPr>
          <w:p>
            <w:pPr>
              <w:pStyle w:val="Normal6a"/>
            </w:pPr>
            <w:r>
              <w:t>10.</w:t>
            </w:r>
            <w:r>
              <w:tab/>
            </w:r>
            <w:r>
              <w:t xml:space="preserve">fordømmer, at nogle EU-medlemsstater har undladt at overholde EU's sanktioner ved at tillade personer, der var underlagt sanktioner, at rejse ind på EU's område og derved har skadet troværdigheden og effektiviteten af sanktionerne; opfordrer indtrængende alle EU's medlemsstater til at overholde EU's sanktioner fuldt ud og betingelsesløst; opfordrer Kommissionen til som traktaternes vogter at sikre, at EU's medlemsstater overholder sanktionerne, og til strengt at gribe ind over for eventuelle tilfælde af manglende overholdelse fra medlemsstaters side; </w:t>
            </w:r>
            <w:r>
              <w:rPr>
                <w:b/>
                <w:i/>
              </w:rPr>
              <w:t>fordømmer de EU-virksomheder, der i forfølgelsen af overskud og markedsandele kynisk ser bort fra deres sociale ansvar og skaber indtægter ved ofte at omgå eller overtræde sanktioner;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fordømmer, at nogle EU-medlemsstater har undladt at overholde EU's sanktioner ved at tillade personer, der var underlagt sanktioner, at rejse ind på EU's område og derved har skadet troværdigheden og effektiviteten af sanktionerne; opfordrer indtrængende alle EU's medlemsstater til at overholde EU's sanktioner fuldt ud og betingelsesløst; opfordrer Kommissionen til som traktaternes vogter at sikre, at EU's medlemsstater overholder sanktionerne, og til strengt at gribe ind over for eventuelle tilfælde af manglende overholdelse fra medlemsstaters side;</w:t>
            </w:r>
          </w:p>
        </w:tc>
        <w:tc>
          <w:tcPr>
            <w:tcW w:w="4876" w:type="dxa"/>
            <w:tcBorders>
              <w:top w:val="nil"/>
              <w:left w:val="nil"/>
              <w:bottom w:val="nil"/>
              <w:right w:val="nil"/>
            </w:tcBorders>
          </w:tcPr>
          <w:p>
            <w:pPr>
              <w:pStyle w:val="Normal6a"/>
            </w:pPr>
            <w:r>
              <w:t>10.</w:t>
            </w:r>
            <w:r>
              <w:tab/>
            </w:r>
            <w:r>
              <w:t xml:space="preserve">fordømmer, at nogle EU-medlemsstater har undladt at overholde EU's sanktioner ved at tillade personer, der var underlagt sanktioner, at rejse ind på EU's område og derved har skadet troværdigheden og effektiviteten af sanktionerne; opfordrer indtrængende alle EU's medlemsstater til at overholde EU's sanktioner fuldt ud og betingelsesløst; opfordrer Kommissionen til som traktaternes vogter at sikre, at EU's medlemsstater overholder sanktionerne, og til strengt at gribe ind over for eventuelle tilfælde af manglende overholdelse fra medlemsstaters side; </w:t>
            </w:r>
            <w:r>
              <w:rPr>
                <w:b/>
                <w:i/>
              </w:rPr>
              <w:t>opfordrer til at styrke gennemførelsesmekanismerne for at overvåge, om sanktionerne håndhæves ensartet i alle EU's medlemsstater;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fordømmer, at nogle EU-medlemsstater har undladt at overholde EU's sanktioner ved at tillade personer, der var underlagt sanktioner, at rejse ind på EU's område og derved har skadet troværdigheden og effektiviteten af sanktionerne; opfordrer indtrængende alle EU's medlemsstater til at overholde EU's sanktioner fuldt ud og betingelsesløst; opfordrer Kommissionen til som traktaternes vogter at sikre, at EU's medlemsstater overholder sanktionerne, og til strengt at gribe ind over for eventuelle tilfælde af manglende overholdelse fra medlemsstaters side;</w:t>
            </w:r>
          </w:p>
        </w:tc>
        <w:tc>
          <w:tcPr>
            <w:tcW w:w="4876" w:type="dxa"/>
            <w:tcBorders>
              <w:top w:val="nil"/>
              <w:left w:val="nil"/>
              <w:bottom w:val="nil"/>
              <w:right w:val="nil"/>
            </w:tcBorders>
          </w:tcPr>
          <w:p>
            <w:pPr>
              <w:pStyle w:val="Normal6a"/>
            </w:pPr>
            <w:r>
              <w:t>10.</w:t>
            </w:r>
            <w:r>
              <w:tab/>
            </w:r>
            <w:r>
              <w:t xml:space="preserve">fordømmer, at nogle EU-medlemsstater har undladt at overholde EU's sanktioner ved at tillade personer, der var underlagt sanktioner, at rejse ind på EU's område og derved har skadet troværdigheden og effektiviteten af sanktionerne; opfordrer indtrængende alle EU's medlemsstater til at overholde EU's sanktioner fuldt ud og betingelsesløst; opfordrer Kommissionen til som traktaternes vogter at sikre, at EU's medlemsstater overholder sanktionerne, og til strengt </w:t>
            </w:r>
            <w:r>
              <w:rPr>
                <w:b/>
                <w:i/>
              </w:rPr>
              <w:t>og uden forskelsbehandling</w:t>
            </w:r>
            <w:r>
              <w:t xml:space="preserve"> at gribe ind over for eventuelle tilfælde af manglende overholdelse fra medlemsstaters side;</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rPr>
                <w:b/>
                <w:i/>
              </w:rPr>
              <w:t>fordømmer, at nogle EU-medlemsstater har undladt at overholde EU's sanktioner ved at tillade personer, der var underlagt sanktioner, at rejse ind på EU's område og derved har skadet troværdigheden og effektiviteten af sanktionerne;</w:t>
            </w:r>
            <w:r>
              <w:t xml:space="preserve"> opfordrer </w:t>
            </w:r>
            <w:r>
              <w:rPr>
                <w:b/>
                <w:i/>
              </w:rPr>
              <w:t>indtrængende alle</w:t>
            </w:r>
            <w:r>
              <w:t xml:space="preserve"> EU's medlemsstater til at </w:t>
            </w:r>
            <w:r>
              <w:rPr>
                <w:b/>
                <w:i/>
              </w:rPr>
              <w:t>overholde EU's sanktioner fuldt ud og betingelsesløst</w:t>
            </w:r>
            <w:r>
              <w:t xml:space="preserve">; </w:t>
            </w:r>
            <w:r>
              <w:rPr>
                <w:b/>
                <w:i/>
              </w:rPr>
              <w:t>opfordrer Kommissionen til som traktaternes vogter at sikre, at EU's medlemsstater overholder sanktionerne, og til strengt at gribe ind over for eventuelle tilfælde af manglende overholdelse fra medlemsstaters side;</w:t>
            </w:r>
          </w:p>
        </w:tc>
        <w:tc>
          <w:tcPr>
            <w:tcW w:w="4876" w:type="dxa"/>
            <w:tcBorders>
              <w:top w:val="nil"/>
              <w:left w:val="nil"/>
              <w:bottom w:val="nil"/>
              <w:right w:val="nil"/>
            </w:tcBorders>
          </w:tcPr>
          <w:p>
            <w:pPr>
              <w:pStyle w:val="Normal6a"/>
            </w:pPr>
            <w:r>
              <w:t>10.</w:t>
            </w:r>
            <w:r>
              <w:tab/>
            </w:r>
            <w:r>
              <w:rPr>
                <w:b/>
                <w:i/>
              </w:rPr>
              <w:t>er bekymret over, at Kommissionen generelt er blevet den vigtigste arkitekt for sanktionsordninger i stedet for og på bekostning af Tjenesten for EU's Optræden Udadtil (EU-Udenrigstjenesten) og EU's medlemsstater;</w:t>
            </w:r>
            <w:r>
              <w:t xml:space="preserve"> </w:t>
            </w:r>
            <w:r>
              <w:rPr>
                <w:b/>
                <w:i/>
              </w:rPr>
              <w:t>bemærker, at denne proces udgør en radikal afvigelse fra både eksisterende praksis og den rækkefølge, der er fastsat i EU-traktaterne;</w:t>
            </w:r>
            <w:r>
              <w:t xml:space="preserve"> </w:t>
            </w:r>
            <w:r>
              <w:rPr>
                <w:b/>
                <w:i/>
              </w:rPr>
              <w:t>afviser denne tilranelse af magt og</w:t>
            </w:r>
            <w:r>
              <w:t xml:space="preserve"> opfordrer EU's medlemsstater til at </w:t>
            </w:r>
            <w:r>
              <w:rPr>
                <w:b/>
                <w:i/>
              </w:rPr>
              <w:t>vende denne proces i overensstemmelse med EU-traktaterne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understreger, at EU's restriktive foranstaltninger kun kan være fuldt effektive, hvis de gennemføres hurtigt og ensartet i alle medlemsstater;</w:t>
            </w:r>
            <w:r>
              <w:t xml:space="preserve"> </w:t>
            </w:r>
            <w:r>
              <w:rPr>
                <w:b/>
                <w:i/>
              </w:rPr>
              <w:t>bemærker forskelle mellem medlemsstaterne med hensyn til de retlige rammer, administrative strukturer og operationelle ressourcer til håndhævelse af sanktioner;</w:t>
            </w:r>
            <w:r>
              <w:t xml:space="preserve"> </w:t>
            </w:r>
            <w:r>
              <w:rPr>
                <w:b/>
                <w:i/>
              </w:rPr>
              <w:t>opfordrer derfor Kommissionen og medlemsstaterne til at træffe de nødvendige foranstaltninger til at sikre en mere harmoniseret og koordineret anvendelse, herunder ved at styrke kapaciteten til indefrysning af aktiver, forbedre informationsudvekslingen og udvikle fælles overvågnings- og håndhævelsesmekanismer på EU-plan;</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bemærker med bekymring, at Østrigs finansminister i august 2025 bekræftede, at den østrigske nationalbank (OeNB) — den myndighed, der er ansvarlig for håndhævelse af sanktioner — undersøgte påstande om, at Raiffeisen Bank International's russiske kapitalforvalter kan have overtrådt EU's sanktioner, og konkluderede, at der ikke var behov for yderligere foranstaltninger, hvilket betyder, at Østrig i øjeblikket ikke straffer Raiffeisen Bank International på trods af troværdige bekymringer fra civilsamfundet og undersøgende organisationer;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opfordrer Rådet til at vedtage en arbejdsdefinition af tværnational undertrykkelse, der kan bruges som vejledning til opførelser på listen under den globale EU-ordning for menneskerettighedssanktioner og sikre konsekvent sanktionering af gerningsmænd og deres medskyldige, herunder ikkestatslige stedfortrædere såsom private sikkerhedsfirmaer og tilknyttede diasporaorganisationer;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opfordrer den højtstående repræsentant/næstformanden til hvert år senest den 10. december (menneskerettighedsdagen) at aflægge rapport til Rådet og Europa-Parlamentet om tendenser, herunder med hensyn til omgåelse af sanktioner, samt om udpegelser foretaget i løbet af året;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10b.</w:t>
            </w:r>
            <w:r>
              <w:tab/>
            </w:r>
            <w:r>
              <w:rPr>
                <w:b/>
                <w:i/>
              </w:rPr>
              <w:t>understreger, at passerellebestemmelser bør anvendes til at bevæge sig i retning af kvalificeret flertal på specifikke FUSP-områder, navnlig til vedtagelse af restriktive foranstaltninger over for regeringer i lande uden for EU, ikkestatslige enheder og enkeltpersoner, herunder dem, der gennemføres inden for rammerne af den globale EU-ordning for menneskerettighedssanktioner;</w:t>
            </w:r>
            <w:r>
              <w:t xml:space="preserve"> </w:t>
            </w:r>
            <w:r>
              <w:rPr>
                <w:b/>
                <w:i/>
              </w:rPr>
              <w:t>opfordrer Det Europæiske Råd til at vedtage en afgørelse i henhold til artikel 31, stk. 3, i TEU om, at restriktive foranstaltninger (artikel 29 i TEU), såsom dem, der er fastsat i henhold til den globale EU-ordning for menneskerettighedssanktioner, skal træffes med kvalificeret flertal;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10c.</w:t>
            </w:r>
            <w:r>
              <w:tab/>
            </w:r>
            <w:r>
              <w:rPr>
                <w:b/>
                <w:i/>
              </w:rPr>
              <w:t>glæder sig meget over Rådets vedtagelse af tematiske sanktionspakker under den globale EU-ordning for menneskerettighedssanktioner;</w:t>
            </w:r>
            <w:r>
              <w:t xml:space="preserve"> </w:t>
            </w:r>
            <w:r>
              <w:rPr>
                <w:b/>
                <w:i/>
              </w:rPr>
              <w:t>opfordrer indtrængende Rådet til systematisk og proaktivt at vedtage lignende målrettede foranstaltninger til håndtering af andre specifikke og alvorlige krænkelser af menneskerettighederne, herunder tortur, tvungne forsvindinger, vilkårlige tilbageholdelser og undertrykkelse af civilsamfundet og menneskerettighedsforkæmpere;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opfordrer indtrængende EU til strategisk at bringe registreringerne under den globale EU-ordning for menneskerettighedssanktioner i overensstemmelse med nationale og internationale strafferetlige tiltag, herunder ved at opføre personer, som der er rejst tiltale mod ved internationale domstole, </w:t>
            </w:r>
            <w:r>
              <w:rPr>
                <w:b/>
                <w:i/>
              </w:rPr>
              <w:t>og</w:t>
            </w:r>
            <w:r>
              <w:t xml:space="preserve"> gerningsmænd til de alvorligste internationale forbrydelser på listen;</w:t>
            </w:r>
          </w:p>
        </w:tc>
        <w:tc>
          <w:tcPr>
            <w:tcW w:w="4876" w:type="dxa"/>
            <w:tcBorders>
              <w:top w:val="nil"/>
              <w:left w:val="nil"/>
              <w:bottom w:val="nil"/>
              <w:right w:val="nil"/>
            </w:tcBorders>
          </w:tcPr>
          <w:p>
            <w:pPr>
              <w:pStyle w:val="Normal6a"/>
            </w:pPr>
            <w:r>
              <w:t>12.</w:t>
            </w:r>
            <w:r>
              <w:tab/>
            </w:r>
            <w:r>
              <w:t xml:space="preserve">opfordrer indtrængende EU til strategisk at bringe registreringerne under den globale EU-ordning for menneskerettighedssanktioner i overensstemmelse med nationale og internationale strafferetlige tiltag, herunder ved at opføre personer, som der er rejst tiltale mod ved internationale domstole, </w:t>
            </w:r>
            <w:r>
              <w:rPr>
                <w:b/>
                <w:i/>
              </w:rPr>
              <w:t>såsom Den Internationale Straffedomstol,</w:t>
            </w:r>
            <w:r>
              <w:t xml:space="preserve"> gerningsmænd til de alvorligste internationale forbrydelser </w:t>
            </w:r>
            <w:r>
              <w:rPr>
                <w:b/>
                <w:i/>
              </w:rPr>
              <w:t>samt aktører der hindrer sådanne ansvarliggørelsesprocedurer,</w:t>
            </w:r>
            <w:r>
              <w:t xml:space="preserve"> på listen;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opfordrer indtrængende EU til strategisk at bringe registreringerne under den globale EU-ordning for menneskerettighedssanktioner i overensstemmelse med nationale og internationale strafferetlige tiltag, herunder ved at opføre personer, som der er rejst tiltale mod ved internationale domstole, og gerningsmænd til de alvorligste internationale forbrydelser på listen;</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opfordrer Rådet til yderligere at integrere et kønsperspektiv i ordningen, idet der lægges særlig vægt på krænkelser såsom seksuel og kønsbaseret vold, diskriminerende politikker og forfølgelse af kvindelige ledere, journalister og aktivister, således at disse afspejles tilstrækkeligt i opførelserne på listen;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fordømmer, at EU's migrationspolitik igennem mange år er skyld i udhulingen af menneskerettighederne og sikkerheden for medlemsstaternes borgere, idet ulovlige migranter ikke ville risikere deres liv for at rejse til Europa, hvis ikke EU's politikker skabte pull-faktorer;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understreger, at sanktioner også bør have til formål at sikre, at gerningsmændene til alvorlige krænkelser af menneskerettighederne og korruption ikke forbliver anonyme, således, at de udfylder en udskamningsfunktion, der udstiller de ansvarlige;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Jan-Christoph Oetjen, Petras Auštrevičius,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opfordrer indtrængende EU til at udvide den nuværende sanktionsordning til specifikt at omfatte sanktioner som reaktion på grænseoverskridende undertrykkelse;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bemærker med bekymring, at nogle NGO'er spiller en vigtig rolle med hensyn til at krænke de grundlæggende menneskerettigheder i hele verden, f.eks. i forbindelse med smugling af ulovlige migranter, ved at sikre transport af disse, ved at give dem illegale råd til at omgå nationale love og ved at instruere dem i at bortskaffe deres rejse- og identifikationsdokumentation;</w:t>
            </w:r>
            <w:r>
              <w:t xml:space="preserve"> </w:t>
            </w:r>
            <w:r>
              <w:rPr>
                <w:b/>
                <w:i/>
              </w:rPr>
              <w:t>opfordrer Kommissionen til at målrette og sanktionere de personer og NGO'er, der er involveret i ulovlige migrationsaktiviteter eller andre ulovlige aktiviteter, hvoraf nogle kan have modtaget midler fra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12c.</w:t>
            </w:r>
            <w:r>
              <w:tab/>
            </w:r>
            <w:r>
              <w:rPr>
                <w:b/>
                <w:i/>
              </w:rPr>
              <w:t>opfordrer Kommissionen til straks at foreslå Rådet, at de narkotikakarteller, der opererer i de latinamerikanske og caribiske lande, udpeges som terrororganisationer, og minder om, at disse tværnationale kriminelle organisationer i vid udstrækning har udvidet deres aktiviteter i de seneste år, idet de vigtigste bl.a. er Cartel de los Soles, Tren de Aragua, Mara Salvatrucha (MS-13), Cartel de Sinaloa, Cartel de Jalisco Nueva Generación (CJNG) og Cartel de Golfo (CDG);</w:t>
            </w:r>
            <w:r>
              <w:t xml:space="preserve"> </w:t>
            </w:r>
            <w:r>
              <w:rPr>
                <w:b/>
                <w:i/>
              </w:rPr>
              <w:t>bemærker med bekymring, at disse karteller er ansvarlige for narkotika- og menneskehandel og dermed udgør en stigende trussel mod sikkerheden på vores gader;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opfordrer indtrængende Rådet til at rette op på de nuværende geografiske og tematiske ubalancer i registreringerne under den globale EU-ordning for menneskerettighedssanktioner ved at udvide registreringerne ud over den aktuelle geografiske koncentration;</w:t>
            </w:r>
          </w:p>
        </w:tc>
        <w:tc>
          <w:tcPr>
            <w:tcW w:w="4876" w:type="dxa"/>
            <w:tcBorders>
              <w:top w:val="nil"/>
              <w:left w:val="nil"/>
              <w:bottom w:val="nil"/>
              <w:right w:val="nil"/>
            </w:tcBorders>
          </w:tcPr>
          <w:p>
            <w:pPr>
              <w:pStyle w:val="Normal6a"/>
            </w:pPr>
            <w:r>
              <w:t>13.</w:t>
            </w:r>
            <w:r>
              <w:tab/>
            </w:r>
            <w:r>
              <w:t xml:space="preserve">opfordrer indtrængende Rådet til at rette op på de nuværende geografiske og tematiske ubalancer i registreringerne under den globale EU-ordning for menneskerettighedssanktioner ved at udvide registreringerne ud over den aktuelle geografiske koncentration; </w:t>
            </w:r>
            <w:r>
              <w:rPr>
                <w:b/>
                <w:i/>
              </w:rPr>
              <w:t>påpeger samtidig den uacceptable situation, at kun en håndfuld personer og enheder fra Belarus og Georgien — EU's umiddelbare naboer, hvis regime brutalt krænker menneskerettighederne — i øjeblikket er opført på listen under den globale EU-ordning for menneskerettighedssanktioner, og opfordrer EU-institutionerne til hurtigst muligt at tage denne situation op til fornyet overvejelse;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Jan-Christoph Oetjen, Petras Auštrevičius,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opfordrer indtrængende Rådet til at rette op på de nuværende geografiske og tematiske ubalancer i registreringerne under den globale EU-ordning for menneskerettighedssanktioner ved at udvide registreringerne ud over den aktuelle geografiske koncentration;</w:t>
            </w:r>
          </w:p>
        </w:tc>
        <w:tc>
          <w:tcPr>
            <w:tcW w:w="4876" w:type="dxa"/>
            <w:tcBorders>
              <w:top w:val="nil"/>
              <w:left w:val="nil"/>
              <w:bottom w:val="nil"/>
              <w:right w:val="nil"/>
            </w:tcBorders>
          </w:tcPr>
          <w:p>
            <w:pPr>
              <w:pStyle w:val="Normal6a"/>
            </w:pPr>
            <w:r>
              <w:t>13.</w:t>
            </w:r>
            <w:r>
              <w:tab/>
            </w:r>
            <w:r>
              <w:t xml:space="preserve">opfordrer indtrængende Rådet til at rette op på de nuværende geografiske og tematiske ubalancer i registreringerne under den globale EU-ordning for menneskerettighedssanktioner ved at udvide registreringerne ud over den aktuelle geografiske koncentration </w:t>
            </w:r>
            <w:r>
              <w:rPr>
                <w:b/>
                <w:i/>
              </w:rPr>
              <w:t>til alle personer og enheder, der begår alvorlige krænkelser af menneskerettighederne, uanset deres oprindelsesland og eventuelle strategiske forbindelser eller geopolitiske interesser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opfordrer indtrængende Rådet til at rette op på de nuværende geografiske og tematiske ubalancer i registreringerne under den globale EU-ordning for menneskerettighedssanktioner ved at udvide registreringerne ud over den aktuelle geografiske koncentration;</w:t>
            </w:r>
          </w:p>
        </w:tc>
        <w:tc>
          <w:tcPr>
            <w:tcW w:w="4876" w:type="dxa"/>
            <w:tcBorders>
              <w:top w:val="nil"/>
              <w:left w:val="nil"/>
              <w:bottom w:val="nil"/>
              <w:right w:val="nil"/>
            </w:tcBorders>
          </w:tcPr>
          <w:p>
            <w:pPr>
              <w:pStyle w:val="Normal6a"/>
            </w:pPr>
            <w:r>
              <w:t>13.</w:t>
            </w:r>
            <w:r>
              <w:tab/>
            </w:r>
            <w:r>
              <w:t xml:space="preserve">opfordrer indtrængende Rådet til at rette op på de nuværende geografiske og tematiske ubalancer i registreringerne under den globale EU-ordning for menneskerettighedssanktioner ved at udvide registreringerne ud over den aktuelle geografiske koncentration; </w:t>
            </w:r>
            <w:r>
              <w:rPr>
                <w:b/>
                <w:i/>
              </w:rPr>
              <w:t>gentager sin opfordring til Rådet om at acceptere at vedtage sanktioner og andre EU-udenrigspolitiske foranstaltninger med kvalificeret flertal i stedet for enstemmighed;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opfordrer indtrængende Rådet til at rette op på de nuværende geografiske og tematiske ubalancer i registreringerne under den globale EU-ordning for menneskerettighedssanktioner ved at udvide registreringerne ud over den aktuelle geografiske koncentration;</w:t>
            </w:r>
          </w:p>
        </w:tc>
        <w:tc>
          <w:tcPr>
            <w:tcW w:w="4876" w:type="dxa"/>
            <w:tcBorders>
              <w:top w:val="nil"/>
              <w:left w:val="nil"/>
              <w:bottom w:val="nil"/>
              <w:right w:val="nil"/>
            </w:tcBorders>
          </w:tcPr>
          <w:p>
            <w:pPr>
              <w:pStyle w:val="Normal6a"/>
            </w:pPr>
            <w:r>
              <w:t>13.</w:t>
            </w:r>
            <w:r>
              <w:tab/>
            </w:r>
            <w:r>
              <w:t xml:space="preserve">opfordrer indtrængende Rådet </w:t>
            </w:r>
            <w:r>
              <w:rPr>
                <w:b/>
                <w:i/>
              </w:rPr>
              <w:t>til at sikre, at alle regioner i verden behandles med lige kontrol og engagement, og</w:t>
            </w:r>
            <w:r>
              <w:t xml:space="preserve"> til at rette op på de nuværende geografiske og tematiske ubalancer i registreringerne under den globale EU-ordning for menneskerettighedssanktioner ved at udvide registreringerne ud over den aktuelle geografiske koncentration;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Petras Auštrevičius, Hilde Vautmans,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opfordrer indtrængende Rådet til at rette op på de nuværende geografiske </w:t>
            </w:r>
            <w:r>
              <w:rPr>
                <w:b/>
                <w:i/>
              </w:rPr>
              <w:t>og</w:t>
            </w:r>
            <w:r>
              <w:t xml:space="preserve"> tematiske ubalancer i registreringerne under den globale EU-ordning for menneskerettighedssanktioner ved at udvide registreringerne ud over den aktuelle geografiske koncentration;</w:t>
            </w:r>
          </w:p>
        </w:tc>
        <w:tc>
          <w:tcPr>
            <w:tcW w:w="4876" w:type="dxa"/>
            <w:tcBorders>
              <w:top w:val="nil"/>
              <w:left w:val="nil"/>
              <w:bottom w:val="nil"/>
              <w:right w:val="nil"/>
            </w:tcBorders>
          </w:tcPr>
          <w:p>
            <w:pPr>
              <w:pStyle w:val="Normal6a"/>
            </w:pPr>
            <w:r>
              <w:t>13.</w:t>
            </w:r>
            <w:r>
              <w:tab/>
            </w:r>
            <w:r>
              <w:t>opfordrer indtrængende Rådet til at rette op på de nuværende geografiske</w:t>
            </w:r>
            <w:r>
              <w:rPr>
                <w:b/>
                <w:i/>
              </w:rPr>
              <w:t>,</w:t>
            </w:r>
            <w:r>
              <w:t xml:space="preserve"> tematiske </w:t>
            </w:r>
            <w:r>
              <w:rPr>
                <w:b/>
                <w:i/>
              </w:rPr>
              <w:t>og kønsmæssige</w:t>
            </w:r>
            <w:r>
              <w:t xml:space="preserve"> ubalancer i registreringerne under den globale EU-ordning for menneskerettighedssanktioner ved at udvide registreringerne ud over den aktuelle geografiske koncentration;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opfordrer indtrængende medlemsstaterne og Den Europæiske Union til at udøve koordineret diplomatisk, økonomisk og politisk pres på tredjelande, der systematisk nægter at tilbagetage deres statsborgere, der har begået forbrydelser i Unionen, og som er genstand for endelige afgørelser om tilbagesendelse eller udsendelse;</w:t>
            </w:r>
            <w:r>
              <w:t xml:space="preserve"> </w:t>
            </w:r>
            <w:r>
              <w:rPr>
                <w:b/>
                <w:i/>
              </w:rPr>
              <w:t>understreger, at indgåelse og gennemførelse af samarbejdsaftaler, handelspartnerskaber, visumlempelse eller -liberalisering og finansiel bistand eller udviklingsbistand udtrykkeligt bør gøres betinget af et effektivt og vedvarende samarbejde på tilbagetagelsesområdet;</w:t>
            </w:r>
            <w:r>
              <w:t xml:space="preserve"> </w:t>
            </w:r>
            <w:r>
              <w:rPr>
                <w:b/>
                <w:i/>
              </w:rPr>
              <w:t>opfordrer i denne forbindelse til øget koordinering, informationsudveksling og fælles operationelle foranstaltninger blandt medlemsstaterne for at sikre konsekvens og effektivitet i håndhævelsen af tilbagesendelses- og tilbagetagelsespolitikker;</w:t>
            </w:r>
            <w:r>
              <w:t xml:space="preserve"> </w:t>
            </w:r>
            <w:r>
              <w:rPr>
                <w:b/>
                <w:i/>
              </w:rPr>
              <w:t>opfordrer Rådet til at overveje at anvende målrettede sanktioner, herunder inden for rammerne af den globale EU-ordning for menneskerettighedssanktioner, mod lande eller embedsmænd, der hindrer tilbagetagelsesforpligtelser og dermed undergraver retsstatsprincippet og den offentlige sikkerhed i Unionen;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Mariusz Kamiński, Małgorzata Gosiewska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bemærker, at EU's ydmygende undladelse af at forbedre menneskerettighedssituationen i dets umiddelbare nabolande — herunder i Belarus og Georgien — undergraver dets globale position;</w:t>
            </w:r>
            <w:r>
              <w:t xml:space="preserve"> </w:t>
            </w:r>
            <w:r>
              <w:rPr>
                <w:b/>
                <w:i/>
              </w:rPr>
              <w:t>mener, at uden en principbaseret og konsekvent tilgang til menneskerettighederne i dets umiddelbare nabolande, navnlig i betragtning af den stadig alarmerende situation i Belarus, risikerer Unionens handlinger i mere fjerntliggende regioner i verden at blive opfattet som manglende troværdighed og sammenhæng;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beklager, at den globale EU-ordning for menneskerettighedssanktioner ikke omfatter højtstående embedsmænd fra det cubanske regime;</w:t>
            </w:r>
            <w:r>
              <w:t xml:space="preserve"> </w:t>
            </w:r>
            <w:r>
              <w:rPr>
                <w:b/>
                <w:i/>
              </w:rPr>
              <w:t>minder om, at Europa-Parlamentet gentagne gange har fordømt og fordømt regimets menneskerettighedskrænkelser i Cuba i årtier i mange forskellige beslutninger;</w:t>
            </w:r>
            <w:r>
              <w:t xml:space="preserve"> </w:t>
            </w:r>
            <w:r>
              <w:rPr>
                <w:b/>
                <w:i/>
              </w:rPr>
              <w:t>minder om, at disse beslutninger indeholder anmodninger om at udløse den demokratiske klausul i aftalen om politisk dialog og samarbejde med øen med henblik på omgående at suspendere 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bemærker, at en betydelig del af de personer, der er blevet sanktioneret i henhold til den globale EU-ordning for menneskerettighedssanktioner, hidtil har været involveret i statens undertrykkende apparat, men ikke har truffet beslutninger;</w:t>
            </w:r>
            <w:r>
              <w:t xml:space="preserve"> </w:t>
            </w:r>
            <w:r>
              <w:rPr>
                <w:b/>
                <w:i/>
              </w:rPr>
              <w:t>opfordrer derfor indtrængende til, at der fokuseres på at sanktionere dem, der er ansvarlige for at træffe beslutninger, der har ført til alvorlige krænkelser af menneskerettighederne;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opfordrer indtrængende til, at aftaler om politisk samarbejde og handel ikke bør være til hinder for, at enkeltpersoner fra signatarlandene opføres på listen;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opfordrer Rådet til at vurdere, om der bør indføres målrettede restriktive foranstaltninger under den globale EU-ordning for menneskerettighedssanktioner over for algeriske embedsmænd eller enheder, der er ansvarlige for systematisk manglende samarbejde om tilbagesendelse og tilbagetagelse, navnlig afvisningen af at tilbagetage statsborgere, der er dømt for alvorlige forbrydelser i EU;</w:t>
            </w:r>
            <w:r>
              <w:t xml:space="preserve"> </w:t>
            </w:r>
            <w:r>
              <w:rPr>
                <w:b/>
                <w:i/>
              </w:rPr>
              <w:t>understreger, at en sådan adfærd fremmer straffrihed, bringer den offentlige sikkerhed i fare og undergraver Unionens migrationspolitik;</w:t>
            </w:r>
            <w:r>
              <w:t xml:space="preserve"> </w:t>
            </w:r>
            <w:r>
              <w:rPr>
                <w:b/>
                <w:i/>
              </w:rPr>
              <w:t>fordømmer endvidere Algeriets undertrykkelse af ytringsfriheden, som eksemplificeret ved censur af intellektuelle personer som Boualem Sansal;</w:t>
            </w:r>
            <w:r>
              <w:t xml:space="preserve"> </w:t>
            </w:r>
            <w:r>
              <w:rPr>
                <w:b/>
                <w:i/>
              </w:rPr>
              <w:t>minder om, at Algeriet som underskriver af verdenserklæringen om menneskerettigheder er forpligtet til at respektere de grundlæggende frihedsrettigheder;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opfordrer til en øget effektiv kommunikation om pålagte sanktioner for at gentage EU's globale holdning til menneskerettighederne og mod straffrihed, da personer, der er omfattet af sanktioner, i nogle tilfælde fremstilles som helte af national propaganda og endda belønnes af undertrykkende regimer;</w:t>
            </w:r>
            <w:r>
              <w:t xml:space="preserve"> </w:t>
            </w:r>
            <w:r>
              <w:rPr>
                <w:b/>
                <w:i/>
              </w:rPr>
              <w:t>bemærker, at det afskrækkende element i den globale EU-ordning for menneskerettighedssanktioner kun virker mod enkeltpersoner og enheder med ejendom eller midler til at rejse til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fremhæver, at Kommissionen, for så vidt som aftalen om politisk dialog og samarbejde i Cuba fortsat er på plads, bevidst ikke overholder sin retlige forpligtelse, der er fastsat i bestemmelserne i aftalen om politisk dialog og samarbejde, navnlig vedrørende spørgsmål af overordentlig stor betydning for Den Europæiske Union, såsom fremme og forsvar af menneskerettighederne i verden;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António Tânger Corrêa,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13c.</w:t>
            </w:r>
            <w:r>
              <w:tab/>
            </w:r>
            <w:r>
              <w:rPr>
                <w:b/>
                <w:i/>
              </w:rPr>
              <w:t>opfordrer Rådet til at anvende målrettede sanktioner under den globale EU-ordning for menneskerettighedssanktioner mod enkeltpersoner, grupper eller enheder, der er ansvarlige for at organisere eller finansiere religiøs forfølgelse og vold mod kristne samfund, navnlig i lande som Syrien, Nigeria, Den Demokratiske Republik Congo (DRC), Pakistan, Irak, Egypten, Iran, Afghanistan, Burkina Faso og Somalia;</w:t>
            </w:r>
            <w:r>
              <w:t xml:space="preserve"> </w:t>
            </w:r>
            <w:r>
              <w:rPr>
                <w:b/>
                <w:i/>
              </w:rPr>
              <w:t>bemærker med alvorlig bekymring den globale stigning i religiøs ekstremisme, herunder islamisk fundamentalisme;</w:t>
            </w:r>
            <w:r>
              <w:t xml:space="preserve"> </w:t>
            </w:r>
            <w:r>
              <w:rPr>
                <w:b/>
                <w:i/>
              </w:rPr>
              <w:t>fordømmer på det kraftigste alle former for vold begået af sådanne grupper mod kristne og andre religiøse mindretal;</w:t>
            </w:r>
            <w:r>
              <w:t xml:space="preserve"> </w:t>
            </w:r>
            <w:r>
              <w:rPr>
                <w:b/>
                <w:i/>
              </w:rPr>
              <w:t>beklager dybt krænkelsen og ødelæggelsen af kirker, templer og hellige steder;</w:t>
            </w:r>
            <w:r>
              <w:t xml:space="preserve"> </w:t>
            </w:r>
            <w:r>
              <w:rPr>
                <w:b/>
                <w:i/>
              </w:rPr>
              <w:t>minder om, at Den Europæiske Union deler en kristen arv og skal anlægge en klar holdning over for sådanne angreb;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13c.</w:t>
            </w:r>
            <w:r>
              <w:tab/>
            </w:r>
            <w:r>
              <w:rPr>
                <w:b/>
                <w:i/>
              </w:rPr>
              <w:t>opfordrer indtrængende til bredere og stærkere målrettede sanktioner mod højtstående embedsmænd i den venezuelanske illegitime regering, navnlig mod Nicolas Maduro, Venezuelas ulovlige præsident, og som for nylig blev anerkendt af forskellige lande såsom USA, Ecuador, Paraguay og Argentina som leder af den tværnationale kriminelle organisation med navnet Cartel de los Soles;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13c.</w:t>
            </w:r>
            <w:r>
              <w:tab/>
            </w:r>
            <w:r>
              <w:rPr>
                <w:b/>
                <w:i/>
              </w:rPr>
              <w:t>fordømmer alle modforanstaltninger, der pålægges EU, dets institutioner eller medlemmer, organer eller borgere udelukkende for at fremme respekten for menneskerettigheder, demokrati og retsstatsprincippet gennem den globale EU-ordning for menneskerettighedssanktioner;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 Roberto Vannacci,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d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13d.</w:t>
            </w:r>
            <w:r>
              <w:tab/>
            </w:r>
            <w:r>
              <w:rPr>
                <w:b/>
                <w:i/>
              </w:rPr>
              <w:t>opfordrer Rådet og medlemsstaterne til at styrke det diplomatiske og operationelle pres på de maliske myndigheder for at sikre fuldt samarbejde om tilbagesendelse og tilbagetagelse af maliske statsborgere, der opholder sig ulovligt i EU;</w:t>
            </w:r>
            <w:r>
              <w:t xml:space="preserve"> </w:t>
            </w:r>
            <w:r>
              <w:rPr>
                <w:b/>
                <w:i/>
              </w:rPr>
              <w:t>understreger, at udviklingsbistand, visumpolitik og finansielt samarbejde bør gøres betinget af en effektiv og vedvarende overholdelse af tilbagesendelsesforpligtelserne;</w:t>
            </w:r>
            <w:r>
              <w:t xml:space="preserve"> </w:t>
            </w:r>
            <w:r>
              <w:rPr>
                <w:b/>
                <w:i/>
              </w:rPr>
              <w:t>opfordrer Rådet til at overveje at anvende målrettede restriktive foranstaltninger under den globale EU-ordning for menneskerettighedssanktioner eller andre relevante instrumenter i tilfælde af fortsat hindring eller afvisning af at samarbejde om tilbagesendelses- og migrationsspørgsmål, som Europa-Parlamentet allerede har opfordret til i sin beslutning RC-B10-0291/2025;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d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13d.</w:t>
            </w:r>
            <w:r>
              <w:tab/>
            </w:r>
            <w:r>
              <w:rPr>
                <w:b/>
                <w:i/>
              </w:rPr>
              <w:t>opfordrer kraftigt til bredere og stærkere målrettede sanktioner mod højtstående embedsmænd i det nicaraguanske regime, navnlig mod præsident Daniel Ortega og hans hustru Rosario Murillo, der begge er ansvarlige for talrige krænkelser af menneskerettighederne og forbrydelser såsom drab, vilkårlige anholdelser, dødstrusler, tortur, tvungne forsvindinger og tvungne eksil;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e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13e.</w:t>
            </w:r>
            <w:r>
              <w:tab/>
            </w:r>
            <w:r>
              <w:rPr>
                <w:b/>
                <w:i/>
              </w:rPr>
              <w:t>opfordrer Kommissionen til at vurdere, hvilke områder der er de vigtigste for at forbedre samarbejdet med medlemsstaterne på områder som inddrivelse af finansielle aktiver i forbindelse med bekæmpelse af terrorisme, narkotikahandel, menneskehandel og ulovlig migration;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Jorge Martín Frías, Hermann Tertsch, Roberto Vannacci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f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13f.</w:t>
            </w:r>
            <w:r>
              <w:tab/>
            </w:r>
            <w:r>
              <w:rPr>
                <w:b/>
                <w:i/>
              </w:rPr>
              <w:t>fordømmer EU's særlige tilladelse til den sanktionerede Delcy Rodriguez, næstformand for det venezuelanske regime, til at deltage i mødet mellem EU og CELAC i Bruxelles i 2023;</w:t>
            </w:r>
            <w:r>
              <w:t xml:space="preserve"> </w:t>
            </w:r>
            <w:r>
              <w:rPr>
                <w:b/>
                <w:i/>
              </w:rPr>
              <w:t>minder om, at Delcy Rodriguez blev forbudt at berøre europæisk jord, og fastslår, at så længe EU fortsætter med at opretholde denne dobbeltstandard, vil EU's Magnitskij-lov aldrig være effektiv med hensyn til at forsvare menneskerettighederne;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anbefaler øget gennemsigtighed i sanktionsprocessen, samtidig med at der værnes om registrerede personers ret til effektiv domstolsprøvelse;</w:t>
            </w:r>
          </w:p>
        </w:tc>
        <w:tc>
          <w:tcPr>
            <w:tcW w:w="4876" w:type="dxa"/>
            <w:tcBorders>
              <w:top w:val="nil"/>
              <w:left w:val="nil"/>
              <w:bottom w:val="nil"/>
              <w:right w:val="nil"/>
            </w:tcBorders>
          </w:tcPr>
          <w:p>
            <w:pPr>
              <w:pStyle w:val="Normal6a"/>
            </w:pPr>
            <w:r>
              <w:t>14.</w:t>
            </w:r>
            <w:r>
              <w:tab/>
            </w:r>
            <w:r>
              <w:t xml:space="preserve">anbefaler øget gennemsigtighed </w:t>
            </w:r>
            <w:r>
              <w:rPr>
                <w:b/>
                <w:i/>
              </w:rPr>
              <w:t>og klare retningslinjer</w:t>
            </w:r>
            <w:r>
              <w:t xml:space="preserve"> i sanktionsprocessen, samtidig med at der værnes om registrerede personers ret til effektiv domstolsprøvelse;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14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opfordrer indtrængende Rådet til at udvide udpegelserne ud over gerningsmænd på lavt niveau til også at omfatte politiske og militære ledere med kommandoansvar, idet det bemærkes, at over 65 % af de nuværende opførelser på listen er rettet mod undertrykkende embedsmænd, mens kun ca. 20 % vedrører politisk eller militær ledelse, og stort set ikke berører centrale beslutningstagere;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Jan-Christoph Oetjen, Petras Auštrevičius,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anbefaler, at adfærdsændringer hos personer og enheder, der er opført på listen – som eksempelvis samarbejde med internationale retsmekanismer – formelt anerkendes som et kriterium for at blive fjernet fra listen for at tilskynde til ansvarlighed og overholdelse;</w:t>
            </w:r>
          </w:p>
        </w:tc>
        <w:tc>
          <w:tcPr>
            <w:tcW w:w="4876" w:type="dxa"/>
            <w:tcBorders>
              <w:top w:val="nil"/>
              <w:left w:val="nil"/>
              <w:bottom w:val="nil"/>
              <w:right w:val="nil"/>
            </w:tcBorders>
          </w:tcPr>
          <w:p>
            <w:pPr>
              <w:pStyle w:val="Normal6a"/>
            </w:pPr>
            <w:r>
              <w:t>15.</w:t>
            </w:r>
            <w:r>
              <w:tab/>
            </w:r>
            <w:r>
              <w:t xml:space="preserve">anbefaler, at </w:t>
            </w:r>
            <w:r>
              <w:rPr>
                <w:b/>
                <w:i/>
              </w:rPr>
              <w:t>vedvarende og dokumenterede</w:t>
            </w:r>
            <w:r>
              <w:t xml:space="preserve"> adfærdsændringer hos personer og enheder, der er opført på listen – som eksempelvis samarbejde med internationale retsmekanismer – formelt anerkendes som et kriterium for at blive fjernet fra listen for at tilskynde til ansvarlighed og overholdelse;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anbefaler, at adfærdsændringer hos personer og enheder, der er opført på listen – som eksempelvis samarbejde med internationale retsmekanismer – formelt anerkendes som et kriterium for at blive fjernet fra listen for at tilskynde til ansvarlighed og overholdelse;</w:t>
            </w:r>
          </w:p>
        </w:tc>
        <w:tc>
          <w:tcPr>
            <w:tcW w:w="4876" w:type="dxa"/>
            <w:tcBorders>
              <w:top w:val="nil"/>
              <w:left w:val="nil"/>
              <w:bottom w:val="nil"/>
              <w:right w:val="nil"/>
            </w:tcBorders>
          </w:tcPr>
          <w:p>
            <w:pPr>
              <w:pStyle w:val="Normal6a"/>
            </w:pPr>
            <w:r>
              <w:t>15.</w:t>
            </w:r>
            <w:r>
              <w:tab/>
            </w:r>
            <w:r>
              <w:t xml:space="preserve">anbefaler, at </w:t>
            </w:r>
            <w:r>
              <w:rPr>
                <w:b/>
                <w:i/>
              </w:rPr>
              <w:t>reelle og varige</w:t>
            </w:r>
            <w:r>
              <w:t xml:space="preserve"> adfærdsændringer hos personer og enheder, der er opført på listen – som eksempelvis samarbejde med internationale retsmekanismer – formelt anerkendes som et kriterium for at blive fjernet fra listen for at tilskynde til ansvarlighed og overholdelse;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foreslår en struktureret høringsmekanisme </w:t>
            </w:r>
            <w:r>
              <w:rPr>
                <w:b/>
                <w:i/>
              </w:rPr>
              <w:t>til</w:t>
            </w:r>
            <w:r>
              <w:t xml:space="preserve"> civilsamfundets deltagelse i sanktionsprocessen, herunder oprettelse af et særligt kontaktpunkt;</w:t>
            </w:r>
          </w:p>
        </w:tc>
        <w:tc>
          <w:tcPr>
            <w:tcW w:w="4876" w:type="dxa"/>
            <w:tcBorders>
              <w:top w:val="nil"/>
              <w:left w:val="nil"/>
              <w:bottom w:val="nil"/>
              <w:right w:val="nil"/>
            </w:tcBorders>
          </w:tcPr>
          <w:p>
            <w:pPr>
              <w:pStyle w:val="Normal6a"/>
            </w:pPr>
            <w:r>
              <w:t>16.</w:t>
            </w:r>
            <w:r>
              <w:tab/>
            </w:r>
            <w:r>
              <w:t xml:space="preserve">foreslår en struktureret høringsmekanisme </w:t>
            </w:r>
            <w:r>
              <w:rPr>
                <w:b/>
                <w:i/>
              </w:rPr>
              <w:t>og en officiel platform til indgivelse med henblik på</w:t>
            </w:r>
            <w:r>
              <w:t xml:space="preserve"> civilsamfundets deltagelse i sanktionsprocessen, herunder oprettelse af et særligt kontaktpunkt; </w:t>
            </w:r>
            <w:r>
              <w:rPr>
                <w:b/>
                <w:i/>
              </w:rPr>
              <w:t>anbefaler, at der gives feedback til dem, der foreslår personer eller enheder til registrering (navnlig civilsamfundet), om status eller udfald af sagerne, samtidig med at fortroligheden beskyttes;</w:t>
            </w:r>
            <w:r>
              <w:t xml:space="preserve"> </w:t>
            </w:r>
            <w:r>
              <w:rPr>
                <w:b/>
                <w:i/>
              </w:rPr>
              <w:t>anbefaler, at EU-Udenrigstjenesten eller en særskilt kontaktfacilitet får et budget til systematisk at behandle oplysninger fra civilsamfundet;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Petras Auštrevičius, Hilde Vautmans,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foreslår en struktureret høringsmekanisme til civilsamfundets deltagelse i sanktionsprocessen, herunder oprettelse af </w:t>
            </w:r>
            <w:r>
              <w:rPr>
                <w:b/>
                <w:i/>
              </w:rPr>
              <w:t>et særligt kontaktpunkt</w:t>
            </w:r>
            <w:r>
              <w:t>;</w:t>
            </w:r>
          </w:p>
        </w:tc>
        <w:tc>
          <w:tcPr>
            <w:tcW w:w="4876" w:type="dxa"/>
            <w:tcBorders>
              <w:top w:val="nil"/>
              <w:left w:val="nil"/>
              <w:bottom w:val="nil"/>
              <w:right w:val="nil"/>
            </w:tcBorders>
          </w:tcPr>
          <w:p>
            <w:pPr>
              <w:pStyle w:val="Normal6a"/>
            </w:pPr>
            <w:r>
              <w:t>16.</w:t>
            </w:r>
            <w:r>
              <w:tab/>
            </w:r>
            <w:r>
              <w:t xml:space="preserve">foreslår en struktureret høringsmekanisme til civilsamfundets deltagelse i sanktionsprocessen, herunder oprettelse af </w:t>
            </w:r>
            <w:r>
              <w:rPr>
                <w:b/>
                <w:i/>
              </w:rPr>
              <w:t>en gennemsigtig, særlig mekanisme til indgivelse af forslag og oplysninger om sanktioner</w:t>
            </w:r>
            <w:r>
              <w:t xml:space="preserve">; </w:t>
            </w:r>
            <w:r>
              <w:rPr>
                <w:b/>
                <w:i/>
              </w:rPr>
              <w:t>fremhæver betydningen af at øge EU-Udenrigstjenestens kapacitet med henblik på at vurdere, undersøge og reagere på alle forslag og input til sanktioner, der modtages fra civilsamfundet;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foreslår en struktureret høringsmekanisme til civilsamfundets deltagelse i sanktionsprocessen, herunder oprettelse af et særligt kontaktpunkt;</w:t>
            </w:r>
          </w:p>
        </w:tc>
        <w:tc>
          <w:tcPr>
            <w:tcW w:w="4876" w:type="dxa"/>
            <w:tcBorders>
              <w:top w:val="nil"/>
              <w:left w:val="nil"/>
              <w:bottom w:val="nil"/>
              <w:right w:val="nil"/>
            </w:tcBorders>
          </w:tcPr>
          <w:p>
            <w:pPr>
              <w:pStyle w:val="Normal6a"/>
            </w:pPr>
            <w:r>
              <w:t>16.</w:t>
            </w:r>
            <w:r>
              <w:tab/>
            </w:r>
            <w:r>
              <w:t xml:space="preserve">foreslår en struktureret høringsmekanisme til civilsamfundets deltagelse i sanktionsprocessen, herunder oprettelse af et særligt kontaktpunkt </w:t>
            </w:r>
            <w:r>
              <w:rPr>
                <w:b/>
                <w:i/>
              </w:rPr>
              <w:t>i EU-Udenrigstjenesten</w:t>
            </w:r>
            <w:r>
              <w:t xml:space="preserve">; </w:t>
            </w:r>
            <w:r>
              <w:rPr>
                <w:b/>
                <w:i/>
              </w:rPr>
              <w:t>understreger, at Europa-Parlamentet kan spille en supplerende rolle med hensyn til at indsamle og kanalisere input;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foreslår en struktureret høringsmekanisme til civilsamfundets deltagelse i sanktionsprocessen, herunder oprettelse af et særligt kontaktpunkt;</w:t>
            </w:r>
          </w:p>
        </w:tc>
        <w:tc>
          <w:tcPr>
            <w:tcW w:w="4876" w:type="dxa"/>
            <w:tcBorders>
              <w:top w:val="nil"/>
              <w:left w:val="nil"/>
              <w:bottom w:val="nil"/>
              <w:right w:val="nil"/>
            </w:tcBorders>
          </w:tcPr>
          <w:p>
            <w:pPr>
              <w:pStyle w:val="Normal6a"/>
            </w:pPr>
            <w:r>
              <w:t>16.</w:t>
            </w:r>
            <w:r>
              <w:tab/>
            </w:r>
            <w:r>
              <w:t xml:space="preserve">foreslår en struktureret </w:t>
            </w:r>
            <w:r>
              <w:rPr>
                <w:b/>
                <w:i/>
              </w:rPr>
              <w:t>og gennemsigtig</w:t>
            </w:r>
            <w:r>
              <w:t xml:space="preserve"> høringsmekanisme til civilsamfundets deltagelse i sanktionsprocessen, herunder oprettelse af et særligt kontaktpunkt;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Jan-Christoph Oetjen, Petras Auštrevičius,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foreslår </w:t>
            </w:r>
            <w:r>
              <w:rPr>
                <w:b/>
                <w:i/>
              </w:rPr>
              <w:t>en struktureret høringsmekanisme til civilsamfundets deltagelse i sanktionsprocessen, herunder</w:t>
            </w:r>
            <w:r>
              <w:t xml:space="preserve"> oprettelse af et særligt </w:t>
            </w:r>
            <w:r>
              <w:rPr>
                <w:b/>
                <w:i/>
              </w:rPr>
              <w:t>kontaktpunkt</w:t>
            </w:r>
            <w:r>
              <w:t>;</w:t>
            </w:r>
          </w:p>
        </w:tc>
        <w:tc>
          <w:tcPr>
            <w:tcW w:w="4876" w:type="dxa"/>
            <w:tcBorders>
              <w:top w:val="nil"/>
              <w:left w:val="nil"/>
              <w:bottom w:val="nil"/>
              <w:right w:val="nil"/>
            </w:tcBorders>
          </w:tcPr>
          <w:p>
            <w:pPr>
              <w:pStyle w:val="Normal6a"/>
            </w:pPr>
            <w:r>
              <w:t>16.</w:t>
            </w:r>
            <w:r>
              <w:tab/>
            </w:r>
            <w:r>
              <w:t xml:space="preserve">foreslår oprettelse af et særligt </w:t>
            </w:r>
            <w:r>
              <w:rPr>
                <w:b/>
                <w:i/>
              </w:rPr>
              <w:t>EU-kontaktpunkt, der giver mulighed for høring og inddragelse af civilsamfundet i sanktionsprocessen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anbefaler, at der oprettes en offentlig grænseflade til indberetning af potentielle krænkelser af menneskerettighederne med beskyttelsesforanstaltninger for whistleblowere;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Petras Auštrevičius, Hilde Vautmans, Marie-Agnes Strack-Zimmermann, Jan-Christoph Oetjen, Dan Barna,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opfordrer Rådet og næstformanden for Kommissionen/Unionens højtstående repræsentant for udenrigsanliggender og sikkerhedspolitik til at give Parlamentet rettidige oplysninger om afgørelser om sanktioner i henhold til den globale EU-ordning for menneskerettighedssanktioner;</w:t>
            </w:r>
          </w:p>
        </w:tc>
        <w:tc>
          <w:tcPr>
            <w:tcW w:w="4876" w:type="dxa"/>
            <w:tcBorders>
              <w:top w:val="nil"/>
              <w:left w:val="nil"/>
              <w:bottom w:val="nil"/>
              <w:right w:val="nil"/>
            </w:tcBorders>
          </w:tcPr>
          <w:p>
            <w:pPr>
              <w:pStyle w:val="Normal6a"/>
            </w:pPr>
            <w:r>
              <w:t>17.</w:t>
            </w:r>
            <w:r>
              <w:tab/>
            </w:r>
            <w:r>
              <w:t xml:space="preserve">opfordrer Rådet og næstformanden for Kommissionen/Unionens højtstående repræsentant for udenrigsanliggender og sikkerhedspolitik til at give </w:t>
            </w:r>
            <w:r>
              <w:rPr>
                <w:b/>
                <w:i/>
              </w:rPr>
              <w:t>Europa-Parlamentet en rolle med hensyn til at foreslå tilfælde af alvorlige krænkelser af menneskerettighederne, der skal tages i betragtning under sanktionsordningen, og til at give</w:t>
            </w:r>
            <w:r>
              <w:t xml:space="preserve"> Parlamentet rettidige oplysninger om afgørelser om sanktioner i henhold til den globale EU-ordning for menneskerettighedssanktioner;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Hana Jalloul Muro, Chloé Ridel, Sandra Gómez López, Marco Tarquinio, Marta Temido, Aodhán Ó Ríordáin,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opfordrer Rådet og næstformanden for Kommissionen/Unionens højtstående repræsentant for udenrigsanliggender og sikkerhedspolitik til at give Parlamentet rettidige oplysninger om afgørelser om sanktioner i henhold til den globale EU-ordning for menneskerettighedssanktioner;</w:t>
            </w:r>
          </w:p>
        </w:tc>
        <w:tc>
          <w:tcPr>
            <w:tcW w:w="4876" w:type="dxa"/>
            <w:tcBorders>
              <w:top w:val="nil"/>
              <w:left w:val="nil"/>
              <w:bottom w:val="nil"/>
              <w:right w:val="nil"/>
            </w:tcBorders>
          </w:tcPr>
          <w:p>
            <w:pPr>
              <w:pStyle w:val="Normal6a"/>
            </w:pPr>
            <w:r>
              <w:t>17.</w:t>
            </w:r>
            <w:r>
              <w:tab/>
            </w:r>
            <w:r>
              <w:t xml:space="preserve">opfordrer Rådet og næstformanden for Kommissionen/Unionens højtstående repræsentant for udenrigsanliggender og sikkerhedspolitik til at give Parlamentet rettidige oplysninger om afgørelser om sanktioner i henhold til den globale EU-ordning for menneskerettighedssanktioner; </w:t>
            </w:r>
            <w:r>
              <w:rPr>
                <w:b/>
                <w:i/>
              </w:rPr>
              <w:t>opfordrer til, at de henstillinger til listeopførelse, der er indeholdt i Parlamentets beslutninger, tages grundigt i betragtning af Rådet;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opfordrer Rådet og næstformanden for Kommissionen/Unionens højtstående repræsentant for udenrigsanliggender og sikkerhedspolitik til at give Parlamentet rettidige oplysninger om afgørelser om sanktioner i henhold til den globale EU-ordning for menneskerettighedssanktioner;</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opfordrer til, at den globale EU-ordning for menneskerettighedssanktioner revideres for at forhindre omgåelse af sanktioner, ved at der udstedes utvetydige retningslinjer for forbuddet mod at stille økonomiske midler og teknisk og materiel støtte til rådighed for personer og enheder, der er opført på listen;</w:t>
            </w:r>
          </w:p>
        </w:tc>
        <w:tc>
          <w:tcPr>
            <w:tcW w:w="4876" w:type="dxa"/>
            <w:tcBorders>
              <w:top w:val="nil"/>
              <w:left w:val="nil"/>
              <w:bottom w:val="nil"/>
              <w:right w:val="nil"/>
            </w:tcBorders>
          </w:tcPr>
          <w:p>
            <w:pPr>
              <w:pStyle w:val="Normal6a"/>
            </w:pPr>
            <w:r>
              <w:t>18.</w:t>
            </w:r>
            <w:r>
              <w:tab/>
            </w:r>
            <w:r>
              <w:t xml:space="preserve">opfordrer til, at den globale EU-ordning for menneskerettighedssanktioner revideres for at forhindre omgåelse af sanktioner, ved at der udstedes utvetydige retningslinjer for forbuddet mod at stille økonomiske midler og teknisk og materiel støtte til rådighed for personer og enheder, der er opført på listen; </w:t>
            </w:r>
            <w:r>
              <w:rPr>
                <w:b/>
                <w:i/>
              </w:rPr>
              <w:t>opfordrer Rådet til at udvide kriterierne for opførelse på listen under den globale EU-ordning for menneskerettighedssanktioner til ikke blot at omfatte direkte gerningsmænd og dem, der muliggør menneskerettighedskrænkelser, men også dem, der systematisk er involveret i omgåelse af sanktioner, herunder finansielle, juridiske og teknologiske formidlere såsom mellemmænd, skuffeselskaber, familiemedlemmer og professionelle tjenesteydere, der bevidst bistår sanktionerede personer;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opfordrer Kommissionen til at udstede ajourførte retningslinjer, der præciserer, at forbuddet mod at yde "teknisk og materiel støtte" under den globale EU-ordning for menneskerettighedssanktioner omfatter ikkefinansiel bistand såsom IKT-infrastruktur, software, juridisk bistand og cyberværktøjer, der anvendes til undertrykkelse;</w:t>
            </w:r>
            <w:r>
              <w:t xml:space="preserve"> </w:t>
            </w:r>
            <w:r>
              <w:rPr>
                <w:b/>
                <w:i/>
              </w:rPr>
              <w:t>opfordrer Rådet til at overveje opførelse på listen af private enheder eller personer, der yder en sådan støtte til kendte gerningsmænd til menneskerettighedskrænkelser, herunder i tilfælde af tværnational undertrykkelse;</w:t>
            </w:r>
            <w:r>
              <w:t xml:space="preserve"> </w:t>
            </w:r>
            <w:r>
              <w:rPr>
                <w:b/>
                <w:i/>
              </w:rPr>
              <w:t>understreger, at misbrug af internationale retlige samarbejdsinstrumenter såsom politisk motiverede Interpol-efterlysningsblade (rødt hjørne) og udleveringsanmodninger samt anvendelse af avancerede digitale overvågningsteknologier mod menneskerettighedsforkæmpere udtrykkeligt bør anerkendes som begrundelse for målrettede sanktioner i henhold til den globale EU-ordning for menneskerettighedssanktioner;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understreger med dyb bekymring, at visse medlemsstater i dag og efter alle de grusomheder, som Den Russiske Føderation har begået i Ukraine, fortsat udnytter deres vetoret til at kræve, at enkeltpersoner fjernes fra EU's sanktionsliste, idet de påberåber sig argumentet om, at sådanne foranstaltninger "skader den europæiske økonomi mere end Ruslands";</w:t>
            </w:r>
            <w:r>
              <w:t xml:space="preserve"> </w:t>
            </w:r>
            <w:r>
              <w:rPr>
                <w:b/>
                <w:i/>
              </w:rPr>
              <w:t>understreger, at en sådan adfærd er i strid med Unionens kollektive interesser, undergraver troværdigheden og effektiviteten af restriktive foranstaltninger og direkte bringer det strategiske mål om at svække Kremls evne til at føre sin angrebskrig mod et andet land i fare;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18b.</w:t>
            </w:r>
            <w:r>
              <w:tab/>
            </w:r>
            <w:r>
              <w:rPr>
                <w:b/>
                <w:i/>
              </w:rPr>
              <w:t>opfordrer til, at der indføres en fremskyndet listeopførelsesprocedure inden for rammerne af den globale EU-ordning for menneskerettighedssanktioner for enkeltpersoner og enheder, hvor det er troværdigt dokumenteret, at de er ansvarlige for grænseoverskridende undertrykkelse af menneskerettighedsforkæmpere, herunder chikane af familiemedlemmer, digitale angreb eller intimidering i udlandet, på grundlag af beviser fra internationale domstole og en pålidelig civilsamfundsorganisation;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opfordrer til krydsopførelse af enheder under både den globale EU-ordning for menneskerettighedssanktioner og geografiske sanktionsordninger, hvor det er relevant;</w:t>
            </w:r>
          </w:p>
        </w:tc>
        <w:tc>
          <w:tcPr>
            <w:tcW w:w="4876" w:type="dxa"/>
            <w:tcBorders>
              <w:top w:val="nil"/>
              <w:left w:val="nil"/>
              <w:bottom w:val="nil"/>
              <w:right w:val="nil"/>
            </w:tcBorders>
          </w:tcPr>
          <w:p>
            <w:pPr>
              <w:pStyle w:val="Normal6a"/>
            </w:pPr>
            <w:r>
              <w:rPr>
                <w:i/>
              </w:rPr>
              <w:t>(Vedrører ikke den danske tekst)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Catarina Vieira</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opfordrer Kommissionen til at styrke samarbejdet med Den Europæiske Banktilsynsmyndighed, Den Europæiske Værdipapir- og Markedstilsynsmyndighed, myndigheden for bekæmpelse af hvidvask af penge og nationale finansielle efterretningsenheder med henblik på systematisk at fastslå, om uigennemsigtige finansielle produkter, kryptoaktiver og offshorestrukturer anvendes til at unddrage sig sanktioner;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understreger behovet for at styrke EU's sanktionsordning ved at udvide og diversificere anvendelsen af sekundære sanktioner med henblik på at målrette dem mod stater, enheder og enkeltpersoner, der bidrager til at muliggøre overtrædelser og omgåelse af sanktioner;</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776.910</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88</w:t>
    </w:r>
    <w:r>
      <w:fldChar w:fldCharType="end"/>
    </w:r>
    <w:r>
      <w:t>/</w:t>
    </w:r>
    <w:r>
      <w:fldChar w:fldCharType="begin"/>
    </w:r>
    <w:r>
      <w:instrText xml:space="preserve"> NUMPAGES </w:instrText>
    </w:r>
    <w:r>
      <w:fldChar w:fldCharType="separate"/>
    </w:r>
    <w:r>
      <w:t>88</w:t>
    </w:r>
    <w:r>
      <w:fldChar w:fldCharType="end"/>
    </w:r>
    <w:r>
      <w:tab/>
    </w:r>
    <w:r>
      <w:rPr>
        <w:rStyle w:val="HideTWBExt"/>
      </w:rPr>
      <w:t>&lt;PathFdR&gt;</w:t>
    </w:r>
    <w:r>
      <w:t>AM\1327210DA.docx</w:t>
    </w:r>
    <w:r>
      <w:rPr>
        <w:rStyle w:val="HideTWBExt"/>
      </w:rPr>
      <w:t>&lt;/PathFdR&gt;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AM\1327210DA.docx</w:t>
    </w:r>
    <w:r>
      <w:rPr>
        <w:rStyle w:val="HideTWBExt"/>
      </w:rPr>
      <w:t>&lt;/PathFdR&gt;</w:t>
    </w:r>
    <w:r>
      <w:tab/>
    </w:r>
    <w:r>
      <w:fldChar w:fldCharType="begin"/>
    </w:r>
    <w:r>
      <w:instrText xml:space="preserve"> PAGE </w:instrText>
    </w:r>
    <w:r>
      <w:fldChar w:fldCharType="separate"/>
    </w:r>
    <w:r>
      <w:t>87</w:t>
    </w:r>
    <w:r>
      <w:fldChar w:fldCharType="end"/>
    </w:r>
    <w:r>
      <w:t>/</w:t>
    </w:r>
    <w:r>
      <w:fldChar w:fldCharType="begin"/>
    </w:r>
    <w:r>
      <w:instrText xml:space="preserve"> NUMPAGES </w:instrText>
    </w:r>
    <w:r>
      <w:fldChar w:fldCharType="separate"/>
    </w:r>
    <w:r>
      <w:t>88</w:t>
    </w:r>
    <w:r>
      <w:fldChar w:fldCharType="end"/>
    </w:r>
    <w:r>
      <w:tab/>
    </w:r>
    <w:r>
      <w:t>PE</w:t>
    </w:r>
    <w:r>
      <w:rPr>
        <w:rStyle w:val="HideTWBExt"/>
      </w:rPr>
      <w:t>&lt;NoPE&gt;</w:t>
    </w:r>
    <w:r>
      <w:t>776.910</w:t>
    </w:r>
    <w:r>
      <w:rPr>
        <w:rStyle w:val="HideTWBExt"/>
      </w:rPr>
      <w:t>&lt;/NoPE&gt;</w:t>
    </w:r>
    <w:r>
      <w:rPr>
        <w:rStyle w:val="HideTWBExt"/>
      </w:rPr>
      <w:t>&lt;Version&gt;</w:t>
    </w:r>
    <w:r>
      <w:t>v01-00</w:t>
    </w:r>
    <w:r>
      <w:rPr>
        <w:rStyle w:val="HideTWBExt"/>
      </w:rPr>
      <w:t>&lt;/Version&gt;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AM\1327210DA.docx</w:t>
    </w:r>
    <w:r>
      <w:rPr>
        <w:rStyle w:val="HideTWBExt"/>
      </w:rPr>
      <w:t>&lt;/PathFdR&gt;</w:t>
    </w:r>
    <w:r>
      <w:tab/>
    </w:r>
    <w:r>
      <w:tab/>
    </w:r>
    <w:r>
      <w:t>PE</w:t>
    </w:r>
    <w:r>
      <w:rPr>
        <w:rStyle w:val="HideTWBExt"/>
      </w:rPr>
      <w:t>&lt;NoPE&gt;</w:t>
    </w:r>
    <w:r>
      <w:t>776.910</w:t>
    </w:r>
    <w:r>
      <w:rPr>
        <w:rStyle w:val="HideTWBExt"/>
      </w:rPr>
      <w:t>&lt;/NoPE&gt;</w:t>
    </w:r>
    <w:r>
      <w:rPr>
        <w:rStyle w:val="HideTWBExt"/>
      </w:rPr>
      <w:t>&lt;Version&gt;</w:t>
    </w:r>
    <w:r>
      <w:t>v01-00</w:t>
    </w:r>
    <w:r>
      <w:rPr>
        <w:rStyle w:val="HideTWBExt"/>
      </w:rPr>
      <w:t>&lt;/Version&gt;</w:t>
    </w:r>
  </w:p>
  <w:p>
    <w:pPr>
      <w:pStyle w:val="EPFooter2"/>
    </w:pPr>
    <w:r>
      <w:t>DA</w:t>
    </w:r>
    <w:r>
      <w:tab/>
    </w:r>
    <w:r>
      <w:rPr>
        <w:rStyle w:val="EPFooter2Motto"/>
      </w:rPr>
      <w:t>Forenet i mangfoldighed</w:t>
    </w:r>
    <w:r>
      <w:tab/>
    </w:r>
    <w:r>
      <w:t>DA</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JustText">
    <w:name w:val="AmJustText"/>
    <w:basedOn w:val="Normal"/>
    <w:pPr>
      <w:widowControl w:val="0"/>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88</Pages>
  <Words>16275</Words>
  <Characters>107388</Characters>
  <Application>Microsoft Office Word</Application>
  <DocSecurity>0</DocSecurity>
  <Lines>1</Lines>
  <Paragraphs>1535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1327210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244643</vt:lpwstr>
  </property>
  <property fmtid="{D5CDD505-2E9C-101B-9397-08002B2CF9AE}" pid="7" name="dmxml.render.traceId">
    <vt:lpwstr>68d3a0579fd262db73a01dfcbc335373</vt:lpwstr>
  </property>
  <property fmtid="{D5CDD505-2E9C-101B-9397-08002B2CF9AE}" pid="8" name="FooterPath">
    <vt:lpwstr>AM\1327210DA.docx</vt:lpwstr>
  </property>
  <property fmtid="{D5CDD505-2E9C-101B-9397-08002B2CF9AE}" pid="9" name="PE Number">
    <vt:lpwstr>776.910</vt:lpwstr>
  </property>
  <property fmtid="{D5CDD505-2E9C-101B-9397-08002B2CF9AE}" pid="10" name="UID">
    <vt:lpwstr>eu.europa.europarl-DIN1-2025-0000161907_01.00-da-01.00_text-xml</vt:lpwstr>
  </property>
</Properties>
</file>