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Parlamento europeo</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{AFET}</w:t>
      </w:r>
      <w:r>
        <w:t>Commissione per gli affari esteri</w:t>
      </w:r>
      <w:r>
        <w:rPr>
          <w:rStyle w:val="HideTWBExt"/>
        </w:rPr>
        <w:t>&lt;/Commission&gt;</w:t>
      </w:r>
    </w:p>
    <w:p>
      <w:pPr>
        <w:pStyle w:val="LineBottom"/>
      </w:pPr>
      <w:r>
        <w:t xml:space="preserve"> </w:t>
      </w:r>
    </w:p>
    <w:p>
      <w:pPr>
        <w:pStyle w:val="CoverReference"/>
      </w:pPr>
      <w:r>
        <w:rPr>
          <w:rStyle w:val="HideTWBExt"/>
        </w:rPr>
        <w:t>&lt;RefProc&gt;</w:t>
      </w:r>
      <w:r>
        <w:t>2025/2116</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{22/09/2025}</w:t>
      </w:r>
      <w:r>
        <w:t>22.9.2025</w:t>
      </w:r>
      <w:r>
        <w:rPr>
          <w:rStyle w:val="HideTWBExt"/>
        </w:rPr>
        <w:t>&lt;/Date&gt;</w:t>
      </w:r>
    </w:p>
    <w:p>
      <w:pPr>
        <w:pStyle w:val="CoverDocType"/>
      </w:pPr>
      <w:r>
        <w:rPr>
          <w:rStyle w:val="HideTWBExt"/>
        </w:rPr>
        <w:t>&lt;TypeAM&gt;</w:t>
      </w:r>
      <w:r>
        <w:t>EMENDAMENTI</w:t>
      </w:r>
      <w:r>
        <w:rPr>
          <w:rStyle w:val="HideTWBExt"/>
        </w:rPr>
        <w:t>&lt;/TypeAM&gt;</w:t>
      </w:r>
    </w:p>
    <w:p>
      <w:pPr>
        <w:pStyle w:val="CoverDocType24a"/>
      </w:pPr>
      <w:r>
        <w:rPr>
          <w:rStyle w:val="HideTWBExt"/>
        </w:rPr>
        <w:t>&lt;RangeAM&gt;</w:t>
      </w:r>
      <w:r>
        <w:t>1</w:t>
      </w:r>
      <w:r>
        <w:t xml:space="preserve"> - </w:t>
      </w:r>
      <w:r>
        <w:t>285</w:t>
      </w:r>
      <w:r>
        <w:rPr>
          <w:rStyle w:val="HideTWBExt"/>
        </w:rPr>
        <w:t>&lt;/RangeAM&gt;</w:t>
      </w:r>
    </w:p>
    <w:p>
      <w:pPr>
        <w:pStyle w:val="CoverBold"/>
      </w:pPr>
      <w:r>
        <w:rPr>
          <w:rStyle w:val="HideTWBExt"/>
        </w:rPr>
        <w:t>&lt;TitreType&gt;</w:t>
      </w:r>
      <w:r>
        <w:t>Progetto di relazione</w:t>
      </w:r>
      <w:r>
        <w:rPr>
          <w:rStyle w:val="HideTWBExt"/>
        </w:rPr>
        <w:t>&lt;/TitreType&gt;</w:t>
      </w:r>
    </w:p>
    <w:p>
      <w:pPr>
        <w:pStyle w:val="CoverBold"/>
      </w:pPr>
      <w:r>
        <w:rPr>
          <w:rStyle w:val="HideTWBExt"/>
        </w:rPr>
        <w:t>&lt;Rapporteur&gt;</w:t>
      </w:r>
      <w:r>
        <w:t>Urmas Paet</w:t>
      </w:r>
      <w:r>
        <w:rPr>
          <w:rStyle w:val="HideTWBExt"/>
        </w:rPr>
        <w:t>&lt;/Rapporteur&gt;</w:t>
      </w:r>
    </w:p>
    <w:p>
      <w:pPr>
        <w:pStyle w:val="CoverNormal24a"/>
      </w:pPr>
      <w:r>
        <w:rPr>
          <w:rStyle w:val="HideTWBExt"/>
        </w:rPr>
        <w:t>&lt;DocRefPE&gt;</w:t>
      </w:r>
      <w:r>
        <w:t>(PE775.465v01-00)</w:t>
      </w:r>
      <w:r>
        <w:rPr>
          <w:rStyle w:val="HideTWBExt"/>
        </w:rPr>
        <w:t>&lt;/DocRefPE&gt;</w:t>
      </w:r>
    </w:p>
    <w:p>
      <w:pPr>
        <w:pStyle w:val="CoverNormal"/>
      </w:pPr>
      <w:r>
        <w:rPr>
          <w:rStyle w:val="HideTWBExt"/>
        </w:rPr>
        <w:t>&lt;Titre&gt;</w:t>
      </w:r>
      <w:r>
        <w:t>Raccomandazione al Consiglio, alla Commissione e alla vicepresidente della Commissione/alta rappresentante dell'Unione per gli affari esteri e la politica di sicurezza sulla strategia diplomatica dell'UE e la cooperazione geopolitica nell'Artico</w:t>
      </w:r>
      <w:r>
        <w:rPr>
          <w:rStyle w:val="HideTWBExt"/>
        </w:rPr>
        <w:t>&lt;/Titre&gt;</w:t>
      </w:r>
    </w:p>
    <w:p>
      <w:pPr>
        <w:pStyle w:val="CoverNormal24a"/>
      </w:pPr>
      <w:r>
        <w:rPr>
          <w:rStyle w:val="HideTWBExt"/>
        </w:rPr>
        <w:t>&lt;DocRef&gt;</w:t>
      </w:r>
      <w:r>
        <w:t>(2025/2116(INI))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Emendamento</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2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visto l'accordo di Parigi nell'ambito della Convenzione quadro delle Nazioni Unite sui cambiamenti climatici (UNFCCC),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2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Convenzione quadro delle Nazioni Unite sui cambiamenti climatici (UNFCCC),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2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visto l'accordo concluso nel quadro della convenzione delle Nazioni Unite sul diritto del mare, relativo alla conservazione e all'uso sostenibile della diversità biologica marina nelle zone non soggette a giurisdizione nazionale (accordo BBNJ),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2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l'istituzione del Consiglio degli Stati del Mar Baltico (CSMB) e del Consiglio euro-artico di Barents (BEAC),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2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convenzione dell'Organizzazione internazionale del lavoro (ILO) n. 169 relativa alle popolazioni indigene e tribali,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2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visto l'accordo di pesca del Mar Glaciale Artico centrale (CAOFA),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2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dichiarazione delle Nazioni Unite sui diritti dei popoli indigeni,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2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dichiarazione delle Nazioni Unite sui diritti dei popoli indigeni,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2 sexies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visto il trattato delle Svalbard (precedentemente trattato relativo all'arcipelago Spitsbergen) del 9 febbraio 1920,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2 sexies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dichiarazione di Ottawa del 1996 che istituisce il Consiglio 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2 septies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dichiarazione di Ottawa del 19 settembre 1996 che istituisce il Consiglio 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2 octies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visti i tre accordi giuridicamente vincolanti negoziati sotto l'egida del Consiglio artico, vale a dire l'accordo di cooperazione in materia di ricerca e salvataggio aeronautico e marittimo nell'Artico del 2011, l'accordo di cooperazione sulla preparazione e risposta all'inquinamento del mare dovuto agli idrocarburi nell'Artico del 2013 e l'accordo sul rafforzamento della cooperazione scientifica internazionale nell'Artico del 2017,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dichiarazione congiunta a seguito del vertice Unione europea-Canada del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Pierre-Romain Thionnet,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visto il regolamento sulle materie prime critiche (regolamento (UE) 2024/1252),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Pierre-Romain Thionnet,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5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legge norvegese del 2024 sulle attività minerarie sulla piattaforma continentale (legge sull'attività mineraria in mare profondo),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5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l'inaugurazione dell'ufficio dell'UE a Nuuk, Groenlandia, il 15 marzo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5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visita di Stato del Presidente francese Emmanuel Macron in Groenlandia il 15 giugno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considerando che l'Artico deve rimanere una zona di pace e di cooperazione costruttiva;</w:t>
            </w:r>
          </w:p>
        </w:tc>
        <w:tc>
          <w:tcPr>
            <w:tcW w:w="4876" w:type="dxa"/>
            <w:tcBorders>
              <w:top w:val="nil"/>
              <w:left w:val="nil"/>
              <w:bottom w:val="nil"/>
              <w:right w:val="nil"/>
            </w:tcBorders>
          </w:tcPr>
          <w:p>
            <w:pPr>
              <w:pStyle w:val="Normal6a"/>
            </w:pPr>
            <w:r>
              <w:t>A.</w:t>
            </w:r>
            <w:r>
              <w:tab/>
            </w:r>
            <w:r>
              <w:t xml:space="preserve">considerando che </w:t>
            </w:r>
            <w:r>
              <w:rPr>
                <w:b/>
                <w:i/>
              </w:rPr>
              <w:t>la Russia ha intensificato l'aumento delle sue forze militari nell'Artico dall'inizio della sua guerra illegale di aggressione contro l'Ucraina;</w:t>
            </w:r>
            <w:r>
              <w:t xml:space="preserve"> </w:t>
            </w:r>
            <w:r>
              <w:rPr>
                <w:b/>
                <w:i/>
              </w:rPr>
              <w:t>che la militarizzazione russa, unitamente a una maggiore presenza cinese, ha mutato la situazione politica e di sicurezza nell'Artico;</w:t>
            </w:r>
            <w:r>
              <w:t xml:space="preserve"> </w:t>
            </w:r>
            <w:r>
              <w:rPr>
                <w:b/>
                <w:i/>
              </w:rPr>
              <w:t>che, nonostante la militarizzazione guidata dalla Russia,</w:t>
            </w:r>
            <w:r>
              <w:t xml:space="preserve"> l'Artico deve rimanere una zona di pace e di cooperazione costruttiva;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considerando che l'Artico deve rimanere una zona di pace e di cooperazione costruttiva;</w:t>
            </w:r>
          </w:p>
        </w:tc>
        <w:tc>
          <w:tcPr>
            <w:tcW w:w="4876" w:type="dxa"/>
            <w:tcBorders>
              <w:top w:val="nil"/>
              <w:left w:val="nil"/>
              <w:bottom w:val="nil"/>
              <w:right w:val="nil"/>
            </w:tcBorders>
          </w:tcPr>
          <w:p>
            <w:pPr>
              <w:pStyle w:val="Normal6a"/>
            </w:pPr>
            <w:r>
              <w:t>A.</w:t>
            </w:r>
            <w:r>
              <w:tab/>
            </w:r>
            <w:r>
              <w:t xml:space="preserve">considerando </w:t>
            </w:r>
            <w:r>
              <w:rPr>
                <w:b/>
                <w:i/>
              </w:rPr>
              <w:t>che l'Artico è un ecosistema complesso, dinamico e fragile in cui esistono, operano e interagiscono diversi paesi costieri artici come pure altri attori in un contesto di crescenti tensioni;</w:t>
            </w:r>
            <w:r>
              <w:t xml:space="preserve"> che l'Artico deve rimanere una zona di pace e di cooperazione costruttiva;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considerando che l'Artico deve rimanere una zona di pace e di cooperazione costruttiva;</w:t>
            </w:r>
          </w:p>
        </w:tc>
        <w:tc>
          <w:tcPr>
            <w:tcW w:w="4876" w:type="dxa"/>
            <w:tcBorders>
              <w:top w:val="nil"/>
              <w:left w:val="nil"/>
              <w:bottom w:val="nil"/>
              <w:right w:val="nil"/>
            </w:tcBorders>
          </w:tcPr>
          <w:p>
            <w:pPr>
              <w:pStyle w:val="Normal6a"/>
            </w:pPr>
            <w:r>
              <w:t>A.</w:t>
            </w:r>
            <w:r>
              <w:tab/>
            </w:r>
            <w:r>
              <w:t xml:space="preserve">considerando che l'Artico </w:t>
            </w:r>
            <w:r>
              <w:rPr>
                <w:b/>
                <w:i/>
              </w:rPr>
              <w:t>è una regione abitata da oltre 4 milioni di persone con culture, comunità ed economie diverse e che, in quanto tale,</w:t>
            </w:r>
            <w:r>
              <w:t xml:space="preserve"> deve rimanere una zona di pace e di cooperazione costruttiva</w:t>
            </w:r>
            <w:r>
              <w:rPr>
                <w:b/>
                <w:i/>
              </w:rPr>
              <w:t>, al riparo dall'intensificarsi delle rivalità globali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considerando che l'Artico deve rimanere una zona di pace e di cooperazione costruttiva;</w:t>
            </w:r>
          </w:p>
        </w:tc>
        <w:tc>
          <w:tcPr>
            <w:tcW w:w="4876" w:type="dxa"/>
            <w:tcBorders>
              <w:top w:val="nil"/>
              <w:left w:val="nil"/>
              <w:bottom w:val="nil"/>
              <w:right w:val="nil"/>
            </w:tcBorders>
          </w:tcPr>
          <w:p>
            <w:pPr>
              <w:pStyle w:val="Normal6a"/>
            </w:pPr>
            <w:r>
              <w:t>A.</w:t>
            </w:r>
            <w:r>
              <w:tab/>
            </w:r>
            <w:r>
              <w:t>considerando che l'Artico deve rimanere una zona di pace</w:t>
            </w:r>
            <w:r>
              <w:rPr>
                <w:b/>
                <w:i/>
              </w:rPr>
              <w:t>, di rispetto della biodiversità e degli ecosistemi</w:t>
            </w:r>
            <w:r>
              <w:t xml:space="preserve"> e di cooperazione costruttiva;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A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considerando che l'UE, in quanto attore artico con interessi strategici e quotidiani sia nell'Artico europeo sia nella regione artica più ampia, ha un interesse fondamentale nel contribuire strategicamente a risultati positivi in ambito socioeconomico, ambientale e in materia di sicurezza, in particolare attraverso la cooperazione multilaterale;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A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quater.</w:t>
            </w:r>
            <w:r>
              <w:tab/>
            </w:r>
            <w:r>
              <w:rPr>
                <w:b/>
                <w:i/>
              </w:rPr>
              <w:t>considerando l'accelerazione dell'utilizzo della regione artica per fini militari mentre si assiste all'indebolimento dei quadri normativi internazionali relativi al controllo degli armamenti, comprese le armi nucleari;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considerando che il rispetto scrupoloso del diritto internazionale, in particolare dell'UNCLOS, è fondamentale;</w:t>
            </w:r>
          </w:p>
        </w:tc>
        <w:tc>
          <w:tcPr>
            <w:tcW w:w="4876" w:type="dxa"/>
            <w:tcBorders>
              <w:top w:val="nil"/>
              <w:left w:val="nil"/>
              <w:bottom w:val="nil"/>
              <w:right w:val="nil"/>
            </w:tcBorders>
          </w:tcPr>
          <w:p>
            <w:pPr>
              <w:pStyle w:val="Normal6a"/>
            </w:pPr>
            <w:r>
              <w:t>B.</w:t>
            </w:r>
            <w:r>
              <w:tab/>
            </w:r>
            <w:r>
              <w:t xml:space="preserve">considerando che il rispetto scrupoloso del diritto internazionale, in particolare dell'UNCLOS </w:t>
            </w:r>
            <w:r>
              <w:rPr>
                <w:b/>
                <w:i/>
              </w:rPr>
              <w:t>e delle convenzioni dell'Organizzazione marittima internazionale (IMO)</w:t>
            </w:r>
            <w:r>
              <w:t>, è fondamentale;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considerando che il rispetto scrupoloso del diritto internazionale, in particolare dell'UNCLOS, è fondamentale;</w:t>
            </w:r>
          </w:p>
        </w:tc>
        <w:tc>
          <w:tcPr>
            <w:tcW w:w="4876" w:type="dxa"/>
            <w:tcBorders>
              <w:top w:val="nil"/>
              <w:left w:val="nil"/>
              <w:bottom w:val="nil"/>
              <w:right w:val="nil"/>
            </w:tcBorders>
          </w:tcPr>
          <w:p>
            <w:pPr>
              <w:pStyle w:val="Normal6a"/>
            </w:pPr>
            <w:r>
              <w:t>B.</w:t>
            </w:r>
            <w:r>
              <w:tab/>
            </w:r>
            <w:r>
              <w:t xml:space="preserve">considerando che il rispetto scrupoloso del diritto internazionale, in particolare dell'UNCLOS, è fondamentale </w:t>
            </w:r>
            <w:r>
              <w:rPr>
                <w:b/>
                <w:i/>
              </w:rPr>
              <w:t>per preservare questo rifugio sicuro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B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bis.</w:t>
            </w:r>
            <w:r>
              <w:tab/>
            </w:r>
            <w:r>
              <w:rPr>
                <w:b/>
                <w:i/>
              </w:rPr>
              <w:t>considerando che le politiche devono rispecchiare le diverse realtà dell'Artico, compresa la diversità nei sistemi di governance, nei quadri giuridici, nelle capacità infrastrutturali e nelle condizioni socioeconomiche;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Łukasz Kohut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B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bis.</w:t>
            </w:r>
            <w:r>
              <w:tab/>
            </w:r>
            <w:r>
              <w:rPr>
                <w:b/>
                <w:i/>
              </w:rPr>
              <w:t>considerando che il Consiglio artico è il principale forum per la cooperazione circumpolare;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B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ter.</w:t>
            </w:r>
            <w:r>
              <w:tab/>
            </w:r>
            <w:r>
              <w:rPr>
                <w:b/>
                <w:i/>
              </w:rPr>
              <w:t>considerando che il Consiglio artico è il principale forum per la cooperazione circumpolare;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considerando che la regione si sta riscaldando a un ritmo circa quattro volte superiore alla media globale;</w:t>
            </w:r>
          </w:p>
        </w:tc>
        <w:tc>
          <w:tcPr>
            <w:tcW w:w="4876" w:type="dxa"/>
            <w:tcBorders>
              <w:top w:val="nil"/>
              <w:left w:val="nil"/>
              <w:bottom w:val="nil"/>
              <w:right w:val="nil"/>
            </w:tcBorders>
          </w:tcPr>
          <w:p>
            <w:pPr>
              <w:pStyle w:val="Normal6a"/>
            </w:pPr>
            <w:r>
              <w:t>C.</w:t>
            </w:r>
            <w:r>
              <w:tab/>
            </w:r>
            <w:r>
              <w:t xml:space="preserve">considerando che la regione si sta riscaldando a un ritmo circa quattro volte superiore alla media globale; </w:t>
            </w:r>
            <w:r>
              <w:rPr>
                <w:b/>
                <w:i/>
              </w:rPr>
              <w:t>che l'Artico è stato particolarmente colpito dai cambiamenti climatici e dal degrado della biodiversità;</w:t>
            </w:r>
            <w:r>
              <w:t xml:space="preserve"> </w:t>
            </w:r>
            <w:r>
              <w:rPr>
                <w:b/>
                <w:i/>
              </w:rPr>
              <w:t>che i cambiamenti climatici sono sempre più spesso riconosciuti come moltiplicatori di minacce;</w:t>
            </w:r>
            <w:r>
              <w:t xml:space="preserve"> </w:t>
            </w:r>
            <w:r>
              <w:rPr>
                <w:b/>
                <w:i/>
              </w:rPr>
              <w:t>che l'attuazione dell'accordo di Parigi e del Green Deal europeo rimane necessaria per prevenire le conseguenze più gravi dei cambiamenti climatici;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considerando che la regione si sta riscaldando a un ritmo circa quattro volte superiore alla media globale;</w:t>
            </w:r>
          </w:p>
        </w:tc>
        <w:tc>
          <w:tcPr>
            <w:tcW w:w="4876" w:type="dxa"/>
            <w:tcBorders>
              <w:top w:val="nil"/>
              <w:left w:val="nil"/>
              <w:bottom w:val="nil"/>
              <w:right w:val="nil"/>
            </w:tcBorders>
          </w:tcPr>
          <w:p>
            <w:pPr>
              <w:pStyle w:val="Normal6a"/>
            </w:pPr>
            <w:r>
              <w:t>C.</w:t>
            </w:r>
            <w:r>
              <w:tab/>
            </w:r>
            <w:r>
              <w:t xml:space="preserve">considerando che la regione si sta riscaldando a un ritmo circa quattro volte superiore alla media globale </w:t>
            </w:r>
            <w:r>
              <w:rPr>
                <w:b/>
                <w:i/>
              </w:rPr>
              <w:t>a causa della crisi climatica e dell'aumento delle attività industriali</w:t>
            </w:r>
            <w:r>
              <w:t xml:space="preserve">; </w:t>
            </w:r>
            <w:r>
              <w:rPr>
                <w:b/>
                <w:i/>
              </w:rPr>
              <w:t>che, di conseguenza, il ghiaccio marino estivo sta scomparendo rapidamente, causando una distruzione degli habitat su vasta scala e una diminuzione delle popolazioni delle specie che dipendono dalla neve e dal ghiaccio per vivere;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considerando che la regione si sta riscaldando a un ritmo circa </w:t>
            </w:r>
            <w:r>
              <w:rPr>
                <w:b/>
                <w:i/>
              </w:rPr>
              <w:t>quattro</w:t>
            </w:r>
            <w:r>
              <w:t xml:space="preserve"> volte superiore alla media globale;</w:t>
            </w:r>
          </w:p>
        </w:tc>
        <w:tc>
          <w:tcPr>
            <w:tcW w:w="4876" w:type="dxa"/>
            <w:tcBorders>
              <w:top w:val="nil"/>
              <w:left w:val="nil"/>
              <w:bottom w:val="nil"/>
              <w:right w:val="nil"/>
            </w:tcBorders>
          </w:tcPr>
          <w:p>
            <w:pPr>
              <w:pStyle w:val="Normal6a"/>
            </w:pPr>
            <w:r>
              <w:t>C.</w:t>
            </w:r>
            <w:r>
              <w:tab/>
            </w:r>
            <w:r>
              <w:t xml:space="preserve">considerando che la regione si sta riscaldando a un ritmo circa </w:t>
            </w:r>
            <w:r>
              <w:rPr>
                <w:b/>
                <w:i/>
              </w:rPr>
              <w:t>tre</w:t>
            </w:r>
            <w:r>
              <w:t xml:space="preserve"> volte superiore alla media globale</w:t>
            </w:r>
            <w:r>
              <w:rPr>
                <w:b/>
                <w:i/>
              </w:rPr>
              <w:t>, il che accelera lo scioglimento dei ghiacci e minaccia la stabilità climatica del pianeta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considerando che la regione si sta riscaldando a un ritmo circa quattro volte superiore alla media globale;</w:t>
            </w:r>
          </w:p>
        </w:tc>
        <w:tc>
          <w:tcPr>
            <w:tcW w:w="4876" w:type="dxa"/>
            <w:tcBorders>
              <w:top w:val="nil"/>
              <w:left w:val="nil"/>
              <w:bottom w:val="nil"/>
              <w:right w:val="nil"/>
            </w:tcBorders>
          </w:tcPr>
          <w:p>
            <w:pPr>
              <w:pStyle w:val="Normal6a"/>
            </w:pPr>
            <w:r>
              <w:t>C.</w:t>
            </w:r>
            <w:r>
              <w:tab/>
            </w:r>
            <w:r>
              <w:t xml:space="preserve">considerando che la regione si sta riscaldando a un ritmo circa quattro volte superiore alla media globale </w:t>
            </w:r>
            <w:r>
              <w:rPr>
                <w:b/>
                <w:i/>
              </w:rPr>
              <w:t>e che può essere considerata tra le principali aree per quanto riguarda il nesso tra clima e sicurezza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C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bis.</w:t>
            </w:r>
            <w:r>
              <w:tab/>
            </w:r>
            <w:r>
              <w:rPr>
                <w:b/>
                <w:i/>
              </w:rPr>
              <w:t>considerando che immagini satellitari mostrano che la Russia ha ampliato la struttura militare di Ushakovskoye sull'isola di Wrangel, nel mare dei Ciukci, in particolare installando o aggiornando un radar di sorveglianza aerea Sopka-2 e le relative infrastrutture di sostegno</w:t>
            </w:r>
            <w:r>
              <w:rPr>
                <w:b/>
                <w:i/>
                <w:vertAlign w:val="superscript"/>
              </w:rPr>
              <w:t>3 bis</w:t>
            </w:r>
            <w:r>
              <w:rPr>
                <w:b/>
                <w:i/>
              </w:rPr>
              <w:t>;</w:t>
            </w:r>
            <w:r>
              <w:t xml:space="preserve"> </w:t>
            </w:r>
            <w:r>
              <w:rPr>
                <w:b/>
                <w:i/>
              </w:rPr>
              <w:t>che l'isola di Wrangel è un sito del patrimonio mondiale dell’UNESCO e una riserva naturale e che tali sviluppi sollevano gravi preoccupazioni di ordine ambientale e giuridico e in materia di sicurezza;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 bis</w:t>
            </w:r>
            <w:r>
              <w:t xml:space="preserve"> </w:t>
            </w:r>
            <w:r>
              <w:rPr>
                <w:b/>
                <w:i/>
              </w:rPr>
              <w:t>https://www.arctictoday.com/russia-is-building-a-new-arctic-base-on-wrangel-island/.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C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bis.</w:t>
            </w:r>
            <w:r>
              <w:tab/>
            </w:r>
            <w:r>
              <w:rPr>
                <w:b/>
                <w:i/>
              </w:rPr>
              <w:t>considerando che lo scongelamento del permafrost costituisce una minaccia per la sicurezza, l'ambiente e la biodiversità a causa del suo impatto distruttivo sulle infrastrutture, del rilascio di metano dannoso per il clima e della ricomparsa di virus e batteri dormienti e sconosciuti;</w:t>
            </w:r>
            <w:r>
              <w:t xml:space="preserve"> </w:t>
            </w:r>
            <w:r>
              <w:rPr>
                <w:b/>
                <w:i/>
              </w:rPr>
              <w:t>che il permafrost sottomarino nella piattaforma artica della Siberia orientale potrebbe diventare un'altra fonte di emissioni di metano;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Liudas Mažylis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C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bis.</w:t>
            </w:r>
            <w:r>
              <w:tab/>
            </w:r>
            <w:r>
              <w:rPr>
                <w:b/>
                <w:i/>
              </w:rPr>
              <w:t>considerando che lo scioglimento dei ghiacci marini, lo scongelamento del permafrost e i cambiamenti degli ecosistemi hanno conseguenze transfrontaliere, tra cui l'innalzamento del livello del mare, le emissioni di gas a effetto serra e le perturbazioni dei modelli meteorologici in tutta Europa e nel resto del mondo;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considerando che il rapido ritiro del ghiaccio marino sta aprendo corridoi commerciali stagionali, e potenzialmente accessibili per tutto l'anno, come la rotta del Mare del Nord, il passaggio a Nord-Ovest e una futura rotta transpolare, che potrebbero ridefinire i modelli commerciali globali, ponendo nel contempo sfide complesse per l'Artico in materia di ambiente, sicurezza e governance;</w:t>
            </w:r>
          </w:p>
        </w:tc>
        <w:tc>
          <w:tcPr>
            <w:tcW w:w="4876" w:type="dxa"/>
            <w:tcBorders>
              <w:top w:val="nil"/>
              <w:left w:val="nil"/>
              <w:bottom w:val="nil"/>
              <w:right w:val="nil"/>
            </w:tcBorders>
          </w:tcPr>
          <w:p>
            <w:pPr>
              <w:pStyle w:val="Normal6a"/>
            </w:pPr>
            <w:r>
              <w:t>D.</w:t>
            </w:r>
            <w:r>
              <w:tab/>
            </w:r>
            <w:r>
              <w:t xml:space="preserve">considerando che il rapido ritiro del ghiaccio marino sta aprendo corridoi commerciali stagionali, e potenzialmente accessibili per tutto l'anno, come la rotta del Mare del Nord, il passaggio a Nord-Ovest e una futura rotta transpolare, che potrebbero ridefinire i modelli commerciali globali, ponendo nel contempo sfide complesse per l'Artico in materia di ambiente, sicurezza e governance; </w:t>
            </w:r>
            <w:r>
              <w:rPr>
                <w:b/>
                <w:i/>
              </w:rPr>
              <w:t>che condizioni meteorologiche avverse, limitate capacità di ricerca e soccorso ed elevati costi assicurativi costituiscono importanti ostacoli alla piena realizzazione di tali possibilità;</w:t>
            </w:r>
            <w:r>
              <w:t xml:space="preserve"> </w:t>
            </w:r>
            <w:r>
              <w:rPr>
                <w:b/>
                <w:i/>
              </w:rPr>
              <w:t>che negli ultimi anni gli Stati artici hanno intensificato la loro cooperazione in tale ambito;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considerando che il rapido ritiro del ghiaccio marino sta aprendo corridoi commerciali stagionali, e potenzialmente accessibili per tutto l'anno, come la rotta del Mare del Nord, il passaggio a Nord-Ovest e una futura rotta transpolare, che potrebbero ridefinire i modelli commerciali globali, ponendo nel contempo sfide complesse per l'Artico in materia di ambiente, sicurezza e governance;</w:t>
            </w:r>
          </w:p>
        </w:tc>
        <w:tc>
          <w:tcPr>
            <w:tcW w:w="4876" w:type="dxa"/>
            <w:tcBorders>
              <w:top w:val="nil"/>
              <w:left w:val="nil"/>
              <w:bottom w:val="nil"/>
              <w:right w:val="nil"/>
            </w:tcBorders>
          </w:tcPr>
          <w:p>
            <w:pPr>
              <w:pStyle w:val="Normal6a"/>
            </w:pPr>
            <w:r>
              <w:t>D.</w:t>
            </w:r>
            <w:r>
              <w:tab/>
            </w:r>
            <w:r>
              <w:t xml:space="preserve">considerando che il rapido ritiro del ghiaccio marino sta aprendo corridoi commerciali stagionali, e potenzialmente accessibili per tutto l'anno, come la rotta del Mare del Nord, il passaggio a Nord-Ovest e una futura rotta transpolare, che potrebbero ridefinire i modelli commerciali globali, ponendo nel contempo sfide complesse per l'Artico in materia di ambiente, sicurezza e governance; </w:t>
            </w:r>
            <w:r>
              <w:rPr>
                <w:b/>
                <w:i/>
              </w:rPr>
              <w:t>che lo status giuridico internazionale di questa nuova rotta marittima rimane una questione in sospeso e che molti chiedono che essa sia annoverata tra i "beni comuni globali";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considerando che il rapido ritiro del ghiaccio marino sta aprendo corridoi commerciali stagionali, e potenzialmente accessibili per tutto l'anno, come la rotta del Mare del Nord, il passaggio a Nord-Ovest e una futura rotta transpolare, che potrebbero ridefinire i modelli commerciali globali, ponendo nel contempo sfide complesse per l'Artico in materia di ambiente, sicurezza e governance;</w:t>
            </w:r>
          </w:p>
        </w:tc>
        <w:tc>
          <w:tcPr>
            <w:tcW w:w="4876" w:type="dxa"/>
            <w:tcBorders>
              <w:top w:val="nil"/>
              <w:left w:val="nil"/>
              <w:bottom w:val="nil"/>
              <w:right w:val="nil"/>
            </w:tcBorders>
          </w:tcPr>
          <w:p>
            <w:pPr>
              <w:pStyle w:val="Normal6a"/>
            </w:pPr>
            <w:r>
              <w:t>D.</w:t>
            </w:r>
            <w:r>
              <w:tab/>
            </w:r>
            <w:r>
              <w:t xml:space="preserve">considerando </w:t>
            </w:r>
            <w:r>
              <w:rPr>
                <w:b/>
                <w:i/>
              </w:rPr>
              <w:t>che la riduzione del ghiaccio marino sta risvegliando un crescente interesse a livello globale per l'Artico e le sue risorse;</w:t>
            </w:r>
            <w:r>
              <w:t xml:space="preserve"> che il rapido ritiro del ghiaccio marino sta aprendo corridoi commerciali stagionali, e potenzialmente accessibili per tutto l'anno, come la rotta del Mare del Nord, il passaggio a Nord-Ovest e una futura rotta transpolare, che potrebbero ridefinire i modelli commerciali globali, ponendo nel contempo sfide complesse per l'Artico in materia di ambiente, sicurezza e governance;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considerando che il rapido ritiro del ghiaccio marino sta aprendo corridoi commerciali stagionali, e potenzialmente accessibili per tutto l'anno, come la rotta del Mare del Nord, il passaggio a Nord-Ovest e una futura rotta transpolare, che potrebbero ridefinire i modelli commerciali globali, ponendo nel contempo sfide complesse per l'Artico in materia di ambiente, sicurezza e governance;</w:t>
            </w:r>
          </w:p>
        </w:tc>
        <w:tc>
          <w:tcPr>
            <w:tcW w:w="4876" w:type="dxa"/>
            <w:tcBorders>
              <w:top w:val="nil"/>
              <w:left w:val="nil"/>
              <w:bottom w:val="nil"/>
              <w:right w:val="nil"/>
            </w:tcBorders>
          </w:tcPr>
          <w:p>
            <w:pPr>
              <w:pStyle w:val="Normal6a"/>
            </w:pPr>
            <w:r>
              <w:t>D.</w:t>
            </w:r>
            <w:r>
              <w:tab/>
            </w:r>
            <w:r>
              <w:t xml:space="preserve">considerando che il rapido ritiro del ghiaccio marino sta aprendo corridoi commerciali stagionali, e potenzialmente accessibili per tutto l'anno, come la rotta del Mare del Nord, il passaggio a Nord-Ovest e una futura rotta </w:t>
            </w:r>
            <w:r>
              <w:rPr>
                <w:b/>
                <w:i/>
              </w:rPr>
              <w:t>marittima</w:t>
            </w:r>
            <w:r>
              <w:t xml:space="preserve"> transpolare, che potrebbero ridefinire i modelli commerciali globali, ponendo nel contempo sfide complesse per l'Artico in materia di ambiente, sicurezza e governance;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rPr>
                <w:b/>
                <w:i/>
              </w:rPr>
              <w:t>considerando</w:t>
            </w:r>
            <w:r>
              <w:t xml:space="preserve"> che il rapido ritiro del ghiaccio marino sta aprendo corridoi commerciali stagionali, e potenzialmente accessibili per tutto l'anno, come la rotta del Mare del Nord, il passaggio a Nord-Ovest e una futura rotta transpolare, che </w:t>
            </w:r>
            <w:r>
              <w:rPr>
                <w:b/>
                <w:i/>
              </w:rPr>
              <w:t>potrebbero ridefinire</w:t>
            </w:r>
            <w:r>
              <w:t xml:space="preserve"> i modelli commerciali globali, ponendo nel contempo sfide complesse per l'Artico in materia di ambiente, sicurezza e governance;</w:t>
            </w:r>
          </w:p>
        </w:tc>
        <w:tc>
          <w:tcPr>
            <w:tcW w:w="4876" w:type="dxa"/>
            <w:tcBorders>
              <w:top w:val="nil"/>
              <w:left w:val="nil"/>
              <w:bottom w:val="nil"/>
              <w:right w:val="nil"/>
            </w:tcBorders>
          </w:tcPr>
          <w:p>
            <w:pPr>
              <w:pStyle w:val="Normal6a"/>
            </w:pPr>
            <w:r>
              <w:t>D.</w:t>
            </w:r>
            <w:r>
              <w:tab/>
            </w:r>
            <w:r>
              <w:t xml:space="preserve">che il rapido ritiro del ghiaccio marino sta aprendo corridoi commerciali stagionali, e potenzialmente accessibili per tutto l'anno, come la rotta del Mare del Nord, il passaggio a Nord-Ovest e una futura rotta transpolare, che </w:t>
            </w:r>
            <w:r>
              <w:rPr>
                <w:b/>
                <w:i/>
              </w:rPr>
              <w:t>ridefiniranno</w:t>
            </w:r>
            <w:r>
              <w:t xml:space="preserve"> i modelli commerciali globali, ponendo nel contempo sfide complesse per l'Artico in materia di ambiente, sicurezza e governance;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considerando che la regione artica è storicamente considerata una zona di pace e di cooperazione, sostenuta da iniziative quali l'iniziativa Murmansk del 1987, che promuoveva il controllo degli armamenti, la creazione di un clima di fiducia, la tutela dell'ambiente e il dialogo diplomatico;</w:t>
            </w:r>
            <w:r>
              <w:t xml:space="preserve"> </w:t>
            </w:r>
            <w:r>
              <w:rPr>
                <w:b/>
                <w:i/>
              </w:rPr>
              <w:t>che i recenti incrementi del potenziale militare da parte della Russia, le rompighiaccio alimentate a propulsione nucleare, il maggior dispiegamento di missili da crociera e altre infrastrutture militari strategiche e a duplice uso rischiano di compromettere tale status;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considerando che i cambiamenti dovuti alla crisi climatica nell'Artico sono intrinsecamente connessi all'Europa:</w:t>
            </w:r>
            <w:r>
              <w:t xml:space="preserve"> </w:t>
            </w:r>
            <w:r>
              <w:rPr>
                <w:b/>
                <w:i/>
              </w:rPr>
              <w:t>che le temperature più elevate, l'innalzamento del livello del mare, la riduzione della biodiversità e gli eventi meteorologici estremi colpiscono le persone e la natura in Europa, sottolineando la necessità di politiche che si basino sulla conoscenza e sulla scienza e che coinvolgano le comunità e le istituzioni della conoscenza locali nell'Artico;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considerando che l'Organizzazione marittima internazionale (IMO) è la principale autorità mondiale in materia di sicurezza marittima e protezione dell'ambiente e che le sue convenzioni giuridicamente vincolanti e i suoi orientamenti volontari si applicano in tutto il mondo, compreso 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Łukasz Kohut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considerando che l'Organizzazione marittima internazionale (IMO) è la principale autorità mondiale in materia di sicurezza marittima e protezione dell'ambiente e che le sue convenzioni giuridicamente vincolanti e i suoi orientamenti volontari si applicano in tutto il mondo, compreso 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considerando che la Russia ha notevolmente esteso la sua postura delle forze nell'Artico e intensificato le tensioni militari regionali;</w:t>
            </w:r>
          </w:p>
        </w:tc>
        <w:tc>
          <w:tcPr>
            <w:tcW w:w="4876" w:type="dxa"/>
            <w:tcBorders>
              <w:top w:val="nil"/>
              <w:left w:val="nil"/>
              <w:bottom w:val="nil"/>
              <w:right w:val="nil"/>
            </w:tcBorders>
          </w:tcPr>
          <w:p>
            <w:pPr>
              <w:pStyle w:val="Normal6a"/>
            </w:pPr>
            <w:r>
              <w:t>E.</w:t>
            </w:r>
            <w:r>
              <w:tab/>
            </w:r>
            <w:r>
              <w:t xml:space="preserve">considerando che la Russia ha notevolmente esteso la sua postura delle forze nell'Artico e intensificato le tensioni militari regionali; </w:t>
            </w:r>
            <w:r>
              <w:rPr>
                <w:b/>
                <w:i/>
              </w:rPr>
              <w:t>che il Concetto di politica estera della Federazione russa del 2023 identifica l'Artico come una delle regioni prioritarie della Russia;</w:t>
            </w:r>
            <w:r>
              <w:t xml:space="preserve"> </w:t>
            </w:r>
            <w:r>
              <w:rPr>
                <w:b/>
                <w:i/>
              </w:rPr>
              <w:t>che la militarizzazione dell'Artico è contraria allo spirito di cooperazione che ha guidato le relazioni reciproche tra gli Stati dell'Artico fino ad 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considerando che la Russia ha notevolmente esteso la sua postura delle forze nell'Artico </w:t>
            </w:r>
            <w:r>
              <w:rPr>
                <w:b/>
                <w:i/>
              </w:rPr>
              <w:t>e intensificato</w:t>
            </w:r>
            <w:r>
              <w:t xml:space="preserve"> le tensioni militari regionali;</w:t>
            </w:r>
          </w:p>
        </w:tc>
        <w:tc>
          <w:tcPr>
            <w:tcW w:w="4876" w:type="dxa"/>
            <w:tcBorders>
              <w:top w:val="nil"/>
              <w:left w:val="nil"/>
              <w:bottom w:val="nil"/>
              <w:right w:val="nil"/>
            </w:tcBorders>
          </w:tcPr>
          <w:p>
            <w:pPr>
              <w:pStyle w:val="Normal6a"/>
            </w:pPr>
            <w:r>
              <w:t>E.</w:t>
            </w:r>
            <w:r>
              <w:tab/>
            </w:r>
            <w:r>
              <w:t xml:space="preserve">considerando che la Russia ha notevolmente esteso la sua postura delle forze </w:t>
            </w:r>
            <w:r>
              <w:rPr>
                <w:b/>
                <w:i/>
              </w:rPr>
              <w:t>e le sue infrastrutture militari</w:t>
            </w:r>
            <w:r>
              <w:t xml:space="preserve"> nell'Artico</w:t>
            </w:r>
            <w:r>
              <w:rPr>
                <w:b/>
                <w:i/>
              </w:rPr>
              <w:t>, intensificando</w:t>
            </w:r>
            <w:r>
              <w:t xml:space="preserve"> le tensioni militari regionali;</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Liudas Mažylis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E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bis.</w:t>
            </w:r>
            <w:r>
              <w:tab/>
            </w:r>
            <w:r>
              <w:rPr>
                <w:b/>
                <w:i/>
              </w:rPr>
              <w:t>considerando che l'approfondimento della cooperazione tra Cina e Russia nell'Artico, attraverso progetti nel settore energetico, investimenti infrastrutturali e progetti di navigazione comuni lungo le rotte artiche emergenti, rischia di consolidare un asse geopolitico basato sullo sfruttamento delle risorse e un accesso limitato, a scapito delle comunità costiere artiche, delle popolazioni indigene e delle garanzie ambientali globali;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E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bis.</w:t>
            </w:r>
            <w:r>
              <w:tab/>
            </w:r>
            <w:r>
              <w:rPr>
                <w:b/>
                <w:i/>
              </w:rPr>
              <w:t>considerando che le violazioni della sovranità e dell'integrità territoriale degli Stati vicini da parte della Russia, unitamente all'ostruzione alla navigazione nel Mar d'Azov, nel Mar Nero e nel Mar Baltico, sollevano serie preoccupazioni di cui si deve tener conto nel valutare le prospettive per mantenere una coesistenza pacifica nell'Artico;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E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ter.</w:t>
            </w:r>
            <w:r>
              <w:tab/>
            </w:r>
            <w:r>
              <w:rPr>
                <w:b/>
                <w:i/>
              </w:rPr>
              <w:t>considerando che la Russia sta potenziando le sue infrastrutture artiche attraverso la costruzione e il dispiegamento della rompighiaccio universale a propulsione nucleare Chukotka (progetto 22220) nell'ambito del suo più ampio programma volto a garantire la navigazione per tutto l'arco dell'anno lungo la rotta del Mare del Nord;</w:t>
            </w:r>
            <w:r>
              <w:t xml:space="preserve"> </w:t>
            </w:r>
            <w:r>
              <w:rPr>
                <w:b/>
                <w:i/>
              </w:rPr>
              <w:t>che la Chukotka è la quinta nave della sua classe e che la Russia sta costruendo altri rompighiaccio come Leningrad e Stalingrad nell'ambito dello stesso progetto;</w:t>
            </w:r>
            <w:r>
              <w:t xml:space="preserve"> </w:t>
            </w:r>
            <w:r>
              <w:rPr>
                <w:b/>
                <w:i/>
              </w:rPr>
              <w:t>che tali navi sono tra le più potenti rompighiaccio al mondo, sono in grado di trainare navi di grande tonnellaggio, operano sia in acque poco profonde che in acque polari, conducono operazioni di soccorso e sostengono le ambizioni strategiche della Russia nell'Artico;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E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quater.</w:t>
            </w:r>
            <w:r>
              <w:tab/>
            </w:r>
            <w:r>
              <w:rPr>
                <w:b/>
                <w:i/>
              </w:rPr>
              <w:t>considerando che le immagini satellitari del 2023 hanno rivelato nuove e significative edificazioni di strutture e infrastrutture su Novaya Zemlya, una remota isola artica storicamente utilizzata dalla Russia per testare le armi nucleari;</w:t>
            </w:r>
            <w:r>
              <w:t xml:space="preserve"> </w:t>
            </w:r>
            <w:r>
              <w:rPr>
                <w:b/>
                <w:i/>
              </w:rPr>
              <w:t>che tali sviluppi sollevano serie preoccupazioni in merito alla ripresa delle attività nucleari nell'Artico e alle loro implicazioni per la sicurezza regionale e ambientale</w:t>
            </w:r>
            <w:r>
              <w:rPr>
                <w:b/>
                <w:i/>
                <w:vertAlign w:val="superscript"/>
              </w:rPr>
              <w:t>1 bis</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bis</w:t>
            </w:r>
            <w:r>
              <w:t xml:space="preserve"> </w:t>
            </w:r>
            <w:r>
              <w:rPr>
                <w:b/>
                <w:i/>
              </w:rPr>
              <w:t>https://www.rferl.org/a/russia-nuclear-missile-test-burevestnik-novaya-zemlya/33515605.html.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E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quinquies.</w:t>
            </w:r>
            <w:r>
              <w:tab/>
            </w:r>
            <w:r>
              <w:rPr>
                <w:b/>
                <w:i/>
              </w:rPr>
              <w:t>considerando che nel marzo 2024 la Federazione russa ha adottato un decreto che prevede l'ampliamento della zona artica della Federazione russa per includervi i comuni di Berezovsky e Beloyarsky del circondario autonomo degli Chanty-Mansi-Jugra</w:t>
            </w:r>
            <w:r>
              <w:rPr>
                <w:b/>
                <w:i/>
                <w:vertAlign w:val="superscript"/>
              </w:rPr>
              <w:t>2 bis</w:t>
            </w:r>
            <w:r>
              <w:rPr>
                <w:b/>
                <w:i/>
              </w:rPr>
              <w:t>;</w:t>
            </w:r>
            <w:r>
              <w:t xml:space="preserve"> </w:t>
            </w:r>
            <w:r>
              <w:rPr>
                <w:b/>
                <w:i/>
              </w:rPr>
              <w:t>che tale espansione fa parte della strategia della Russia volta a consolidare il controllo federale sulle risorse naturali, a rafforzare le sue rivendicazioni territoriali e ad attrarre gli investitori attraverso incentivi per zone economiche speciali;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 bis</w:t>
            </w:r>
            <w:r>
              <w:t xml:space="preserve"> </w:t>
            </w:r>
            <w:r>
              <w:rPr>
                <w:b/>
                <w:i/>
              </w:rPr>
              <w:t>https://ria.ru/20240320/arktika-1934480601.html.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considerando che la Cina ha annunciato una via della seta polare e sta aumentando costantemente la sua influenza a nord del circolo artico;</w:t>
            </w:r>
          </w:p>
        </w:tc>
        <w:tc>
          <w:tcPr>
            <w:tcW w:w="4876" w:type="dxa"/>
            <w:tcBorders>
              <w:top w:val="nil"/>
              <w:left w:val="nil"/>
              <w:bottom w:val="nil"/>
              <w:right w:val="nil"/>
            </w:tcBorders>
          </w:tcPr>
          <w:p>
            <w:pPr>
              <w:pStyle w:val="Normal6a"/>
            </w:pPr>
            <w:r>
              <w:t>F.</w:t>
            </w:r>
            <w:r>
              <w:tab/>
            </w:r>
            <w:r>
              <w:t xml:space="preserve">considerando </w:t>
            </w:r>
            <w:r>
              <w:rPr>
                <w:b/>
                <w:i/>
              </w:rPr>
              <w:t>che la Cina si è autoproclamata uno "Stato quasi Artico", nonostante la sua distanza geografica considerevole dalla regione artica;</w:t>
            </w:r>
            <w:r>
              <w:t xml:space="preserve"> che la Cina ha annunciato una via della seta polare e sta aumentando costantemente la sua influenza a nord del circolo artico;</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Marion Maréchal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considerando che la Cina ha annunciato una via della seta polare e sta aumentando costantemente la sua influenza a nord del circolo artico;</w:t>
            </w:r>
          </w:p>
        </w:tc>
        <w:tc>
          <w:tcPr>
            <w:tcW w:w="4876" w:type="dxa"/>
            <w:tcBorders>
              <w:top w:val="nil"/>
              <w:left w:val="nil"/>
              <w:bottom w:val="nil"/>
              <w:right w:val="nil"/>
            </w:tcBorders>
          </w:tcPr>
          <w:p>
            <w:pPr>
              <w:pStyle w:val="Normal6a"/>
            </w:pPr>
            <w:r>
              <w:t>F.</w:t>
            </w:r>
            <w:r>
              <w:tab/>
            </w:r>
            <w:r>
              <w:t xml:space="preserve">considerando che la Cina ha annunciato una via della seta polare e sta aumentando costantemente la sua influenza a nord del circolo artico; </w:t>
            </w:r>
            <w:r>
              <w:rPr>
                <w:b/>
                <w:i/>
              </w:rPr>
              <w:t>che nel settembre 2025 ha inaugurato un servizio regolare di navi portacontainer attraverso il passaggio a Nord Est;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considerando che la Cina ha annunciato una via della seta polare e sta aumentando costantemente la sua influenza a nord del circolo artico;</w:t>
            </w:r>
          </w:p>
        </w:tc>
        <w:tc>
          <w:tcPr>
            <w:tcW w:w="4876" w:type="dxa"/>
            <w:tcBorders>
              <w:top w:val="nil"/>
              <w:left w:val="nil"/>
              <w:bottom w:val="nil"/>
              <w:right w:val="nil"/>
            </w:tcBorders>
          </w:tcPr>
          <w:p>
            <w:pPr>
              <w:pStyle w:val="Normal6a"/>
            </w:pPr>
            <w:r>
              <w:t>F.</w:t>
            </w:r>
            <w:r>
              <w:tab/>
            </w:r>
            <w:r>
              <w:t xml:space="preserve">considerando che la Cina ha annunciato una via della seta polare e sta aumentando costantemente la sua influenza a nord del circolo artico; </w:t>
            </w:r>
            <w:r>
              <w:rPr>
                <w:b/>
                <w:i/>
              </w:rPr>
              <w:t>che la Cina cela la sua sfera d'influenza militare e politica dietro presunte ricerche scientifiche;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considerando che la Cina ha annunciato una via della seta polare e sta aumentando costantemente la sua influenza a nord del circolo artico;</w:t>
            </w:r>
          </w:p>
        </w:tc>
        <w:tc>
          <w:tcPr>
            <w:tcW w:w="4876" w:type="dxa"/>
            <w:tcBorders>
              <w:top w:val="nil"/>
              <w:left w:val="nil"/>
              <w:bottom w:val="nil"/>
              <w:right w:val="nil"/>
            </w:tcBorders>
          </w:tcPr>
          <w:p>
            <w:pPr>
              <w:pStyle w:val="Normal6a"/>
            </w:pPr>
            <w:r>
              <w:t>F.</w:t>
            </w:r>
            <w:r>
              <w:tab/>
            </w:r>
            <w:r>
              <w:t>considerando che la Cina ha annunciato una via della seta polare e sta aumentando costantemente la sua influenza a nord del circolo artico</w:t>
            </w:r>
            <w:r>
              <w:rPr>
                <w:b/>
                <w:i/>
              </w:rPr>
              <w:t>, anche attraverso investimenti in società russe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considerando che la Cina ha annunciato una via della seta polare e sta aumentando costantemente la sua influenza a nord del circolo artico;</w:t>
            </w:r>
          </w:p>
        </w:tc>
        <w:tc>
          <w:tcPr>
            <w:tcW w:w="4876" w:type="dxa"/>
            <w:tcBorders>
              <w:top w:val="nil"/>
              <w:left w:val="nil"/>
              <w:bottom w:val="nil"/>
              <w:right w:val="nil"/>
            </w:tcBorders>
          </w:tcPr>
          <w:p>
            <w:pPr>
              <w:pStyle w:val="Normal6a"/>
            </w:pPr>
            <w:r>
              <w:t>F.</w:t>
            </w:r>
            <w:r>
              <w:tab/>
            </w:r>
            <w:r>
              <w:t>considerando che la Cina ha annunciato una via della seta polare</w:t>
            </w:r>
            <w:r>
              <w:rPr>
                <w:b/>
                <w:i/>
              </w:rPr>
              <w:t>, estensione della sua iniziativa "Nuova via della seta",</w:t>
            </w:r>
            <w:r>
              <w:t xml:space="preserve"> e sta aumentando costantemente la sua influenza a nord del circolo 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considerando che la Cina ha annunciato una via della seta polare e sta aumentando </w:t>
            </w:r>
            <w:r>
              <w:rPr>
                <w:b/>
                <w:i/>
              </w:rPr>
              <w:t>costantemente</w:t>
            </w:r>
            <w:r>
              <w:t xml:space="preserve"> la sua influenza a nord del circolo artico;</w:t>
            </w:r>
          </w:p>
        </w:tc>
        <w:tc>
          <w:tcPr>
            <w:tcW w:w="4876" w:type="dxa"/>
            <w:tcBorders>
              <w:top w:val="nil"/>
              <w:left w:val="nil"/>
              <w:bottom w:val="nil"/>
              <w:right w:val="nil"/>
            </w:tcBorders>
          </w:tcPr>
          <w:p>
            <w:pPr>
              <w:pStyle w:val="Normal6a"/>
            </w:pPr>
            <w:r>
              <w:t>F.</w:t>
            </w:r>
            <w:r>
              <w:tab/>
            </w:r>
            <w:r>
              <w:t xml:space="preserve">considerando che la Cina ha annunciato una via della seta polare e sta </w:t>
            </w:r>
            <w:r>
              <w:rPr>
                <w:b/>
                <w:i/>
              </w:rPr>
              <w:t>rapidamente</w:t>
            </w:r>
            <w:r>
              <w:t xml:space="preserve"> aumentando la sua influenza </w:t>
            </w:r>
            <w:r>
              <w:rPr>
                <w:b/>
                <w:i/>
              </w:rPr>
              <w:t>civile e militare</w:t>
            </w:r>
            <w:r>
              <w:t xml:space="preserve"> a nord del circolo 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considerando che negli ultimi anni la Federazione russa e la Repubblica popolare cinese hanno approfondito la loro cooperazione artica, con iniziative che vanno dalle esercitazioni militari congiunte in regioni vicine all'Artico, tra le quali "Ocean-2024" e "Pacific Patrol-2024", ai progetti tecnologici e navali e allo sviluppo di nuovi corridoi commerciali lungo la rotta del Mare del Nord, consolidando così il loro allineamento strategico nel Grande Nord;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considerando che la Cina e la Russia stanno rafforzando la loro cooperazione militare nell'Artico, come dimostra la firma di un accordo di cooperazione in materia di guardia costiera, l'organizzazione di esercitazioni militari congiunte nel Mare di Kara, nonché sorvoli combinati con bombardieri nella zona di identificazione di difesa aerea dell'Alaska;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Liudas Mažylis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considerando che la Cina si è autoproclamata uno "Stato quasi artico" e sta effettuando investimenti in infrastrutture a duplice uso e ricerche scientifiche nel Grande Nord, il che solleva preoccupazioni circa la dipendenza strategica e la potenziale militarizzazione camuffate da attività civili;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considerando che l'impegno dell'UE nei confronti dell'Artico perdura da diversi decenni ed è radicato nella storia, nella geografia, nei legami economici e nella cooperazione scientifica;</w:t>
            </w:r>
            <w:r>
              <w:t xml:space="preserve"> </w:t>
            </w:r>
            <w:r>
              <w:rPr>
                <w:b/>
                <w:i/>
              </w:rPr>
              <w:t> che l'UE ha costantemente affermato il suo impegno a favore di un Artico pacifico, sostenibile e cooperativo;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considerando che la Russia e la Cina stanno intensificando la loro cooperazione nella regione artica e che la Cina sta sostituendo la perdita di investimenti delle imprese occidentali a seguito delle sanzioni occidentali adottate dopo l'invasione su vasta scala dell'Ucraina da parte della Russia;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considerando che, dall'inizio della guerra di aggressione della Russia contro l'Ucraina, la Cina ha proseguito la cooperazione artica con la Russia;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ter.</w:t>
            </w:r>
            <w:r>
              <w:tab/>
            </w:r>
            <w:r>
              <w:rPr>
                <w:b/>
                <w:i/>
              </w:rPr>
              <w:t>considerando che l'approccio degli Stati Uniti alla regione si sta evolvendo notevolmente verso un maggiore coinvolgimento e che il cambiamento più significativo e deplorevole è rappresentato dalla formulazione di minacce esplicite contro la sovranità della Groenlandia e l'integrità territoriale della Danimarca, nonché dalla diffusione di narrazioni incendiarie e dal verificarsi di azioni ibride sul territorio groenlandese;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ter.</w:t>
            </w:r>
            <w:r>
              <w:tab/>
            </w:r>
            <w:r>
              <w:rPr>
                <w:b/>
                <w:i/>
              </w:rPr>
              <w:t>considerando che il libro bianco sulla sicurezza della Cina del 2025 identifica la "sicurezza polare" quale parte del suo concetto di sicurezza nazionale;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quater.</w:t>
            </w:r>
            <w:r>
              <w:tab/>
            </w:r>
            <w:r>
              <w:rPr>
                <w:b/>
                <w:i/>
              </w:rPr>
              <w:t>considerando che nel 2016 il Regno di Danimarca ha bloccato il tentativo di acquisto della base navale dismessa di Kangilinnguit, in Groenlandia, da parte di General Nice Group, società con con sede a Hong Kong, per motivi di sicurezza nazionale;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quinquies.</w:t>
            </w:r>
            <w:r>
              <w:tab/>
            </w:r>
            <w:r>
              <w:rPr>
                <w:b/>
                <w:i/>
              </w:rPr>
              <w:t>considerando che nel 2018 la Finlandia ha bloccato la proposta cinese di acquisire l'aeroporto di Kemijärvi nei pressi di una zona militare, adducendo preoccupazioni in materia di sicurezza nazionale;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sexies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sexies.</w:t>
            </w:r>
            <w:r>
              <w:tab/>
            </w:r>
            <w:r>
              <w:rPr>
                <w:b/>
                <w:i/>
              </w:rPr>
              <w:t>considerando che presso la stazione di ricerca cinese Yellow River Station di Ny-Ålesund, nelle Svalbard, i ricercatori conducono ricerche in ambito ambientale e di di scienze spaziali, compreso il monitoraggio atmosferico, glaciologico e ionosferico, attività che presentano anche potenziali applicazioni a duplice uso pertinenti per la navigazione satellitare e la conoscenza situazionale militare;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septies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septies.</w:t>
            </w:r>
            <w:r>
              <w:tab/>
            </w:r>
            <w:r>
              <w:rPr>
                <w:b/>
                <w:i/>
              </w:rPr>
              <w:t>considerando che nel 2024 il Regno di Norvegia ha di fatto impedito la vendita del Søre Fagerfjord ad acquirenti cinesi adducendo rischi per la sicurezza nazionale;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octies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octies.</w:t>
            </w:r>
            <w:r>
              <w:tab/>
            </w:r>
            <w:r>
              <w:rPr>
                <w:b/>
                <w:i/>
              </w:rPr>
              <w:t>considerando che l'osservatorio scientifico dell'Artico Cina-Islanda a Kárhóll conduce ricerche sul telerilevamento satellitare, le geoscienze, l'oceanografia e la ricerca spaziale, che presentano un potenziale a duplice uso nell'ambito della strategia di fusione civile-militare della Cina;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nonies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nonies.</w:t>
            </w:r>
            <w:r>
              <w:tab/>
            </w:r>
            <w:r>
              <w:rPr>
                <w:b/>
                <w:i/>
              </w:rPr>
              <w:t>considerando che la Cina si è autoproclamata uno "Stato quasi artico" nel suo libro bianco sull'Artico del 2018 e nei successivi documenti ufficiali, un'autodesignazione fuorviante che non comporta diritti legali, privilegi né giustificazioni per una presenza militare nel Grande Nord;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decies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decies.</w:t>
            </w:r>
            <w:r>
              <w:tab/>
            </w:r>
            <w:r>
              <w:rPr>
                <w:b/>
                <w:i/>
              </w:rPr>
              <w:t>considerando che nell'ottobre 2024 la guardia costiera cinese ha dichiarato di essere entrata nel Mar Glaciale Artico per la prima volta durante un pattugliamento congiunto con la Russia;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Roberto Vannacci, Susanna Ceccardi, Silvia Sardone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considerando che i popoli indigeni dispongono di conoscenze tradizionali insostituibili, sono i principali custodi degli ecosistemi artici e sono colpiti in modo sproporzionato dai cambiamenti climatici, dall'emarginazione socioeconomica e dal degrado ambientale, pur rimanendo spesso esclusi dai processi decisionali;</w:t>
            </w:r>
          </w:p>
        </w:tc>
        <w:tc>
          <w:tcPr>
            <w:tcW w:w="4876" w:type="dxa"/>
            <w:tcBorders>
              <w:top w:val="nil"/>
              <w:left w:val="nil"/>
              <w:bottom w:val="nil"/>
              <w:right w:val="nil"/>
            </w:tcBorders>
          </w:tcPr>
          <w:p>
            <w:pPr>
              <w:pStyle w:val="Normal6a"/>
            </w:pPr>
            <w:r>
              <w:t>G.</w:t>
            </w:r>
            <w:r>
              <w:tab/>
            </w:r>
            <w:r>
              <w:t xml:space="preserve">considerando che i popoli indigeni dispongono di conoscenze tradizionali insostituibili, sono i principali custodi degli ecosistemi artici e sono colpiti in modo sproporzionato dai cambiamenti climatici, dall'emarginazione socioeconomica e dal degrado ambientale, pur rimanendo spesso esclusi dai processi decisionali; </w:t>
            </w:r>
            <w:r>
              <w:rPr>
                <w:b/>
                <w:i/>
              </w:rPr>
              <w:t>accoglie con favore l'inclusione dei rappresentanti delle organizzazioni indigene in seno alle delegazioni, pur esprimendo rammarico per il fatto che la loro partecipazione rimanga limitata allo status di semplice osservatore;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considerando che i popoli indigeni dispongono di conoscenze tradizionali insostituibili, sono i principali custodi degli ecosistemi artici e sono colpiti in modo sproporzionato dai cambiamenti climatici, dall'emarginazione socioeconomica e dal degrado ambientale, pur rimanendo spesso esclusi dai processi decisionali;</w:t>
            </w:r>
          </w:p>
        </w:tc>
        <w:tc>
          <w:tcPr>
            <w:tcW w:w="4876" w:type="dxa"/>
            <w:tcBorders>
              <w:top w:val="nil"/>
              <w:left w:val="nil"/>
              <w:bottom w:val="nil"/>
              <w:right w:val="nil"/>
            </w:tcBorders>
          </w:tcPr>
          <w:p>
            <w:pPr>
              <w:pStyle w:val="Normal6a"/>
            </w:pPr>
            <w:r>
              <w:t>G.</w:t>
            </w:r>
            <w:r>
              <w:tab/>
            </w:r>
            <w:r>
              <w:t xml:space="preserve">considerando che i popoli indigeni dispongono di conoscenze tradizionali insostituibili, sono i principali custodi degli ecosistemi artici e sono colpiti in modo sproporzionato dai cambiamenti climatici, dall'emarginazione socioeconomica e dal degrado ambientale, pur rimanendo spesso esclusi dai processi decisionali; </w:t>
            </w:r>
            <w:r>
              <w:rPr>
                <w:b/>
                <w:i/>
              </w:rPr>
              <w:t>che vi è un ampio consenso tra i responsabili politici europei sul fatto che i popoli indigeni debbano essere ulteriormente sostenuti e che sia attribuita una maggiore priorità ai loro interessi nel processo di elaborazione delle politiche;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considerando che i popoli indigeni dispongono di conoscenze tradizionali insostituibili, sono i principali custodi degli ecosistemi artici e sono colpiti in modo sproporzionato dai cambiamenti climatici, dall'emarginazione socioeconomica e dal degrado ambientale, pur rimanendo spesso esclusi dai processi decisionali;</w:t>
            </w:r>
          </w:p>
        </w:tc>
        <w:tc>
          <w:tcPr>
            <w:tcW w:w="4876" w:type="dxa"/>
            <w:tcBorders>
              <w:top w:val="nil"/>
              <w:left w:val="nil"/>
              <w:bottom w:val="nil"/>
              <w:right w:val="nil"/>
            </w:tcBorders>
          </w:tcPr>
          <w:p>
            <w:pPr>
              <w:pStyle w:val="Normal6a"/>
            </w:pPr>
            <w:r>
              <w:t>G.</w:t>
            </w:r>
            <w:r>
              <w:tab/>
            </w:r>
            <w:r>
              <w:t xml:space="preserve">considerando che i popoli indigeni </w:t>
            </w:r>
            <w:r>
              <w:rPr>
                <w:b/>
                <w:i/>
              </w:rPr>
              <w:t>e le comunità locali</w:t>
            </w:r>
            <w:r>
              <w:t xml:space="preserve"> dispongono di conoscenze tradizionali insostituibili, sono i principali custodi degli ecosistemi artici e sono colpiti in modo sproporzionato dai cambiamenti climatici, dall'emarginazione socioeconomica e dal degrado ambientale, pur rimanendo spesso esclusi dai processi decisionali; </w:t>
            </w:r>
            <w:r>
              <w:rPr>
                <w:b/>
                <w:i/>
              </w:rPr>
              <w:t>che essi devono pertanto essere pienamente integrati nei processi decisionali, facendo in modo che le loro conoscenze basate sulla comunità siano rispettate e prese in considerazione in tutti gli sviluppi politici;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considerando che i popoli indigeni dispongono di conoscenze tradizionali insostituibili, sono i principali custodi degli ecosistemi artici e sono colpiti in modo sproporzionato dai cambiamenti climatici, dall'emarginazione socioeconomica e dal degrado ambientale, pur rimanendo spesso esclusi dai processi decisionali;</w:t>
            </w:r>
          </w:p>
        </w:tc>
        <w:tc>
          <w:tcPr>
            <w:tcW w:w="4876" w:type="dxa"/>
            <w:tcBorders>
              <w:top w:val="nil"/>
              <w:left w:val="nil"/>
              <w:bottom w:val="nil"/>
              <w:right w:val="nil"/>
            </w:tcBorders>
          </w:tcPr>
          <w:p>
            <w:pPr>
              <w:pStyle w:val="Normal6a"/>
            </w:pPr>
            <w:r>
              <w:t>G.</w:t>
            </w:r>
            <w:r>
              <w:tab/>
            </w:r>
            <w:r>
              <w:t xml:space="preserve">considerando che i popoli indigeni dispongono di conoscenze tradizionali insostituibili, sono i principali custodi degli ecosistemi artici e sono colpiti in modo sproporzionato dai cambiamenti climatici, dall'emarginazione socioeconomica e dal degrado ambientale, pur rimanendo spesso esclusi dai processi decisionali; </w:t>
            </w:r>
            <w:r>
              <w:rPr>
                <w:b/>
                <w:i/>
              </w:rPr>
              <w:t>che per gli abitanti dell'Artico, molti dei quali indigeni, la crisi ha un impatto immediato sul loro ambiente, sulle loro economie e sulle loro società;</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considerando che i popoli indigeni dispongono di conoscenze tradizionali insostituibili, sono i principali custodi degli ecosistemi artici e sono colpiti in modo sproporzionato dai cambiamenti climatici, dall'emarginazione socioeconomica e dal degrado ambientale, pur rimanendo spesso esclusi dai processi decisionali;</w:t>
            </w:r>
          </w:p>
        </w:tc>
        <w:tc>
          <w:tcPr>
            <w:tcW w:w="4876" w:type="dxa"/>
            <w:tcBorders>
              <w:top w:val="nil"/>
              <w:left w:val="nil"/>
              <w:bottom w:val="nil"/>
              <w:right w:val="nil"/>
            </w:tcBorders>
          </w:tcPr>
          <w:p>
            <w:pPr>
              <w:pStyle w:val="Normal6a"/>
            </w:pPr>
            <w:r>
              <w:t>G.</w:t>
            </w:r>
            <w:r>
              <w:tab/>
            </w:r>
            <w:r>
              <w:t xml:space="preserve">considerando che i popoli indigeni dispongono di conoscenze tradizionali insostituibili, sono i principali custodi degli ecosistemi artici e sono colpiti in modo sproporzionato dai cambiamenti climatici, dall'emarginazione socioeconomica e dal degrado ambientale, pur rimanendo spesso esclusi dai processi decisionali; </w:t>
            </w:r>
            <w:r>
              <w:rPr>
                <w:b/>
                <w:i/>
              </w:rPr>
              <w:t>che il Consiglio artico ha adottato misure significative per affrontare tale questione;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Łukasz Kohut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considerando che i popoli indigeni dispongono di conoscenze tradizionali insostituibili, sono i principali custodi degli ecosistemi artici e sono colpiti in modo sproporzionato dai cambiamenti climatici, dall'emarginazione socioeconomica e dal degrado ambientale, pur rimanendo spesso esclusi dai processi decisionali;</w:t>
            </w:r>
          </w:p>
        </w:tc>
        <w:tc>
          <w:tcPr>
            <w:tcW w:w="4876" w:type="dxa"/>
            <w:tcBorders>
              <w:top w:val="nil"/>
              <w:left w:val="nil"/>
              <w:bottom w:val="nil"/>
              <w:right w:val="nil"/>
            </w:tcBorders>
          </w:tcPr>
          <w:p>
            <w:pPr>
              <w:pStyle w:val="Normal6a"/>
            </w:pPr>
            <w:r>
              <w:t>G.</w:t>
            </w:r>
            <w:r>
              <w:tab/>
            </w:r>
            <w:r>
              <w:t xml:space="preserve">considerando che i popoli indigeni </w:t>
            </w:r>
            <w:r>
              <w:rPr>
                <w:b/>
                <w:i/>
              </w:rPr>
              <w:t>e le comunità locali</w:t>
            </w:r>
            <w:r>
              <w:t xml:space="preserve"> dispongono di conoscenze tradizionali insostituibili, sono i principali custodi degli ecosistemi artici e sono colpiti in modo sproporzionato dai cambiamenti climatici, dall'emarginazione socioeconomica e dal degrado ambientale, pur rimanendo spesso esclusi dai processi decisionali;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G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 bis.</w:t>
            </w:r>
            <w:r>
              <w:tab/>
            </w:r>
            <w:r>
              <w:rPr>
                <w:b/>
                <w:i/>
              </w:rPr>
              <w:t>considerando che la Danimarca, la Svezia e la Finlandia sono firmatarie della dichiarazione di Ottawa del 1996, che conferma il loro impegno a favore del benessere degli abitanti dell'Artico, compreso il particolare riconoscimento della relazione speciale e dei contributi unici all'Artico da parte dei popoli indigeni e delle loro comunità , riconosce le conoscenze tradizionali dei popoli indigeni dell'Artico e delle loro comunità e invita a garantire la piena consultazione delle popolazioni indigene e delle loro comunità e di altri abitanti dell'Artico come anche il loro coinvolgimento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G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 bis.</w:t>
            </w:r>
            <w:r>
              <w:tab/>
            </w:r>
            <w:r>
              <w:rPr>
                <w:b/>
                <w:i/>
              </w:rPr>
              <w:t>considerando che le regioni artiche dell'UE sono il canale di accesso all'impegno e alla presenza dell'UE nella regione artica più ampia, fornendo risorse per l'autonomia strategica europea e rispondendo nel contempo a interessi locali contrastanti, quali le crescenti richieste di risorse naturali e i diritti delle popolazioni indigene, il sostegno dell'UE nell'ambito della politica di coesione, Interreg, Orizzonte Europa e lo sviluppo rurale verso aree come le zone settentrionali scarsamente popolate e reti quali il Forum dei sindaci dell'Artico e l'alleanza Arctic Six sono fondamentali per gli interessi artici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G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 bis.</w:t>
            </w:r>
            <w:r>
              <w:tab/>
            </w:r>
            <w:r>
              <w:rPr>
                <w:b/>
                <w:i/>
              </w:rPr>
              <w:t>considerando che le regioni artiche dell'UE sono il canale di accesso all'impegno e alla presenza dell'UE nella regione artica più ampia, fornendo risorse per l'autonomia strategica europea e rispondendo nel contempo a interessi locali contrastanti, quali le crescenti richieste di risorse naturali e i diritti delle popolazioni indigene, il sostegno dell'UE nell'ambito della politica di coesione, Interreg, Orizzonte Europa e lo sviluppo rurale verso aree come le zone settentrionali scarsamente popolate e reti quali il Forum dei sindaci dell'Artico e l'alleanza Arctic Six sono fondamentali per gli interessi artici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G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 bis.</w:t>
            </w:r>
            <w:r>
              <w:tab/>
            </w:r>
            <w:r>
              <w:rPr>
                <w:b/>
                <w:i/>
              </w:rPr>
              <w:t>considerando che l'Unione europea, l'Islanda e la Norvegia hanno sospeso fino a nuovo ordine tutte le attività relative alla politica della dimensione settentrionale a causa della guerra di aggressione della Russia contro l'Ucraina;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Łukasz Kohut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G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 bis.</w:t>
            </w:r>
            <w:r>
              <w:tab/>
            </w:r>
            <w:r>
              <w:rPr>
                <w:b/>
                <w:i/>
              </w:rPr>
              <w:t>considerando che iniziative quali il vertice euro-artico di Barents-popolazione indigena Sámi, tenutosi presso il Parlamento europeo nel 2023, possono rafforzare ulteriormente la cooperazione con la comunità Sámi;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G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 ter.</w:t>
            </w:r>
            <w:r>
              <w:tab/>
            </w:r>
            <w:r>
              <w:rPr>
                <w:b/>
                <w:i/>
              </w:rPr>
              <w:t>considerando che il Consiglio artico, che si fonda su impegni volontari ed è privo di autorità vincolante, ha facilitato una cooperazione costruttiva e diversi accordi vincolanti, ma che il suo mandato limitato ostacola la sua capacità di far fronte a sfide importanti come le catastrofi ambientali o le crescenti tensioni geopolitiche, che potrebbero minacciare lo status dell'Artico quale regione a bassa tensione;</w:t>
            </w:r>
            <w:r>
              <w:t xml:space="preserve"> </w:t>
            </w:r>
            <w:r>
              <w:rPr>
                <w:b/>
                <w:i/>
              </w:rPr>
              <w:t>che, a causa della guerra di aggressione non provocata della Russia nei confronti dell'Ucraina, le riunioni politiche sono state sospese, compromettendo la capacità del Consiglio Articolo di adempiere al suo mandato e di operare adeguatamente;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G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 ter.</w:t>
            </w:r>
            <w:r>
              <w:tab/>
            </w:r>
            <w:r>
              <w:rPr>
                <w:b/>
                <w:i/>
              </w:rPr>
              <w:t>considerando che iniziative quali il vertice euro-artico di Barents-popolazione indigena Sámi, tenutosi presso il Parlamento europeo nel 2023, possono rafforzare ulteriormente la cooperazione con la comunità Sámi;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Pierre-Romain Thionnet,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considerando che la Groenlandia presiederà il Consiglio artico per il periodo 2025-2027 a nome del Regno di Danimarca, il che rappresenta un'occasione preziosa per rafforzare una governance artica inclusiva e basata su regole;</w:t>
            </w:r>
          </w:p>
        </w:tc>
        <w:tc>
          <w:tcPr>
            <w:tcW w:w="4876" w:type="dxa"/>
            <w:tcBorders>
              <w:top w:val="nil"/>
              <w:left w:val="nil"/>
              <w:bottom w:val="nil"/>
              <w:right w:val="nil"/>
            </w:tcBorders>
          </w:tcPr>
          <w:p>
            <w:pPr>
              <w:pStyle w:val="Normal6a"/>
            </w:pPr>
            <w:r>
              <w:t>H.</w:t>
            </w:r>
            <w:r>
              <w:tab/>
            </w:r>
            <w:r>
              <w:t xml:space="preserve">considerando che la Groenlandia presiederà il Consiglio artico per il periodo 2025-2027 a nome del Regno di Danimarca, il che rappresenta un'occasione preziosa per rafforzare una governance artica inclusiva e basata su regole; </w:t>
            </w:r>
            <w:r>
              <w:rPr>
                <w:b/>
                <w:i/>
              </w:rPr>
              <w:t>che la Svezia, la Finlandia e la Danimarca sono membri a pieno titolo del Consiglio artico;</w:t>
            </w:r>
            <w:r>
              <w:t xml:space="preserve"> </w:t>
            </w:r>
            <w:r>
              <w:rPr>
                <w:b/>
                <w:i/>
              </w:rPr>
              <w:t>che la Francia, i Paesi Bassi, la Spagna, l'Italia, la Germania e la Polonia partecipano in qualità di osservatori;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H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bis.</w:t>
            </w:r>
            <w:r>
              <w:tab/>
            </w:r>
            <w:r>
              <w:rPr>
                <w:b/>
                <w:i/>
              </w:rPr>
              <w:t>considerando che la strategia della Groenlandia prevede l'istituzione di un ufficio di rappresentanza a Ottawa, e che si incoraggia il Canada ad aprire un consolato generale a Nuuk;</w:t>
            </w:r>
            <w:r>
              <w:t xml:space="preserve"> </w:t>
            </w:r>
            <w:r>
              <w:rPr>
                <w:b/>
                <w:i/>
              </w:rPr>
              <w:t>che la Groenlandia dispone già di rappresentanze a Washington D.C., Pechino, in Islanda e presso l'UE a Bruxelles, e che la strategia prevede l'apertura di un ufficio presso le Nazioni Unite a New York e l'invio di personale presso le Nazioni Unite a Ginevra;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H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bis.</w:t>
            </w:r>
            <w:r>
              <w:tab/>
            </w:r>
            <w:r>
              <w:rPr>
                <w:b/>
                <w:i/>
              </w:rPr>
              <w:t>considerando che i fattori di cambiamento nelle terre e nei mari artici (compresi gli elementi relativi all'ambiente, alla biodiversità, al clima, al posizionamento geopolitico e alla sicurezza) sono intrinsecamente connessi al resto dell'Europa, il che sottolinea la necessità di politiche basate sulla conoscenza e sulla scienza che coinvolgano le comunità e le istituzioni della conoscenza locali dell'Artico;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H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bis.</w:t>
            </w:r>
            <w:r>
              <w:tab/>
            </w:r>
            <w:r>
              <w:rPr>
                <w:b/>
                <w:i/>
              </w:rPr>
              <w:t>considerando che i fattori di cambiamento nelle terre e nei mari artici (compresi gli elementi relativi all'ambiente, alla biodiversità, al clima, al posizionamento geopolitico e alla sicurezza) sono intrinsecamente connessi al resto dell'Europa, il che sottolinea la necessità di politiche basate sulla conoscenza e sulla scienza che coinvolgano le comunità e le istituzioni della conoscenza locali dell'Artico;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H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bis.</w:t>
            </w:r>
            <w:r>
              <w:tab/>
            </w:r>
            <w:r>
              <w:rPr>
                <w:b/>
                <w:i/>
              </w:rPr>
              <w:t>considerando che il Consiglio artico, l'unico organismo panartico in cui sono rappresentati tutti i paesi artici, è inattivo dall'invasione illegale dell'Ucraina da parte della Russia;</w:t>
            </w:r>
            <w:r>
              <w:t xml:space="preserve"> </w:t>
            </w:r>
            <w:r>
              <w:rPr>
                <w:b/>
                <w:i/>
              </w:rPr>
              <w:t>che, in mancanza del Consiglio artico, sono necessari altri consessi di confronto e discussione sulle questioni artiche;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H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bis.</w:t>
            </w:r>
            <w:r>
              <w:tab/>
            </w:r>
            <w:r>
              <w:rPr>
                <w:b/>
                <w:i/>
              </w:rPr>
              <w:t>considerando che il Consiglio artico e i suoi gruppi di lavoro sono serviti da arena per una cooperazione internazionale positiva e costruttiva e che, nonostante le crescenti tensioni geopolitiche, rimane il forum principale per la cooperazione artica;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Roberto Vannacci, Susanna Ceccardi, Silvia Sardone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H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bis.</w:t>
            </w:r>
            <w:r>
              <w:tab/>
            </w:r>
            <w:r>
              <w:rPr>
                <w:b/>
                <w:i/>
              </w:rPr>
              <w:t>considerando che l'Artico è una regione ricca di risorse energetiche, in particolare idrocarburi come il petrolio e il gas naturale, ma che dispone anche di un notevole potenziale per le fonti energetiche rinnovabili, tra cui l'energia eolica e idroelettrica;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H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bis.</w:t>
            </w:r>
            <w:r>
              <w:tab/>
            </w:r>
            <w:r>
              <w:rPr>
                <w:b/>
                <w:i/>
              </w:rPr>
              <w:t>considerando che l'importanza strategica della base spaziale statunitense Pituffik in Groenlandia è fondamentale per il sistema di difesa missilistico della NATO e per il monitoraggio delle attività spaziali;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H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ter.</w:t>
            </w:r>
            <w:r>
              <w:tab/>
            </w:r>
            <w:r>
              <w:rPr>
                <w:b/>
                <w:i/>
              </w:rPr>
              <w:t>considerando che l'Unione europea ha finalmente istituito un ufficio dell'UE a Nuuk, rafforzando la sua presenza diplomatica e promuovendo una più stretta cooperazione con la Groenlandia;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H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ter.</w:t>
            </w:r>
            <w:r>
              <w:tab/>
            </w:r>
            <w:r>
              <w:rPr>
                <w:b/>
                <w:i/>
              </w:rPr>
              <w:t>considerando che l'adesione della Finlandia e della Svezia alla NATO ha rafforzato l'orientamento artico dell'Alleanza e rafforzerà la sua posizione nell'Artico;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H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ter.</w:t>
            </w:r>
            <w:r>
              <w:tab/>
            </w:r>
            <w:r>
              <w:rPr>
                <w:b/>
                <w:i/>
              </w:rPr>
              <w:t>considerando l'assenza di progressi in relazione alla richiesta dell'UE di diventare un osservatore a pieno titolo in seno al Consiglio 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H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quater.</w:t>
            </w:r>
            <w:r>
              <w:tab/>
            </w:r>
            <w:r>
              <w:rPr>
                <w:b/>
                <w:i/>
              </w:rPr>
              <w:t>considerando che il varco Groenlandia-Islanda-Regno Unito (GIUK) rappresenta un corridoio strategico che consente di controllare il traffico marittimo e di individuare le minacce ibride;</w:t>
            </w:r>
            <w:r>
              <w:t xml:space="preserve"> </w:t>
            </w:r>
            <w:r>
              <w:rPr>
                <w:b/>
                <w:i/>
              </w:rPr>
              <w:t>che la Russia ha intensificato le minacce ibride nella regione artica, anche mediante operazioni informatiche e disturbo dei segnali GPS;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H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quater.</w:t>
            </w:r>
            <w:r>
              <w:tab/>
            </w:r>
            <w:r>
              <w:rPr>
                <w:b/>
                <w:i/>
              </w:rPr>
              <w:t>considerando che l'UE e le Isole Fær Øer hanno concordato un partenariato rafforzato, che comprende temi di cooperazione come la pesca, il clima e altre questioni;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considerando che le abbondanti risorse di cui l'Artico dispone, tra cui idrocarburi, elementi delle terre rare, risorse ittiche a di altro tipo, sono sempre più ambite, il che impone la necessità di norme più rigorose in materia di sostenibilità e un'equa ripartizione dei benefici;</w:t>
            </w:r>
          </w:p>
        </w:tc>
        <w:tc>
          <w:tcPr>
            <w:tcW w:w="4876" w:type="dxa"/>
            <w:tcBorders>
              <w:top w:val="nil"/>
              <w:left w:val="nil"/>
              <w:bottom w:val="nil"/>
              <w:right w:val="nil"/>
            </w:tcBorders>
          </w:tcPr>
          <w:p>
            <w:pPr>
              <w:pStyle w:val="Normal6a"/>
            </w:pPr>
            <w:r>
              <w:t>I.</w:t>
            </w:r>
            <w:r>
              <w:tab/>
            </w:r>
            <w:r>
              <w:t xml:space="preserve">considerando che le abbondanti risorse di cui l'Artico dispone, tra cui idrocarburi, elementi delle terre rare, risorse ittiche a di altro tipo, sono sempre più ambite, il che impone la necessità di norme più rigorose in materia di sostenibilità e un'equa ripartizione dei benefici; </w:t>
            </w:r>
            <w:r>
              <w:rPr>
                <w:b/>
                <w:i/>
              </w:rPr>
              <w:t>sottolinea il potenziale delle risorse naturali della regione artica al fine di ridurre la dannosa dipendenza dell'Europa dalle materie prime;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considerando che le abbondanti risorse di cui l'Artico dispone, tra cui idrocarburi, elementi delle terre rare, risorse ittiche a di altro tipo, sono sempre più ambite, il che impone la necessità di norme più rigorose in materia di sostenibilità e un'equa ripartizione dei benefici;</w:t>
            </w:r>
          </w:p>
        </w:tc>
        <w:tc>
          <w:tcPr>
            <w:tcW w:w="4876" w:type="dxa"/>
            <w:tcBorders>
              <w:top w:val="nil"/>
              <w:left w:val="nil"/>
              <w:bottom w:val="nil"/>
              <w:right w:val="nil"/>
            </w:tcBorders>
          </w:tcPr>
          <w:p>
            <w:pPr>
              <w:pStyle w:val="Normal6a"/>
            </w:pPr>
            <w:r>
              <w:t>I.</w:t>
            </w:r>
            <w:r>
              <w:tab/>
            </w:r>
            <w:r>
              <w:t xml:space="preserve">considerando che le abbondanti risorse di cui l'Artico dispone, tra cui idrocarburi, elementi delle terre rare, risorse ittiche a di altro tipo, sono sempre più ambite, il che impone la necessità di norme più rigorose in materia di sostenibilità e un'equa ripartizione dei benefici; </w:t>
            </w:r>
            <w:r>
              <w:rPr>
                <w:b/>
                <w:i/>
              </w:rPr>
              <w:t>che la Groenlandia possiede ingenti giacimenti di grafite, fondamentale per le industrie militari;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Łukasz Kohut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considerando che le </w:t>
            </w:r>
            <w:r>
              <w:rPr>
                <w:b/>
                <w:i/>
              </w:rPr>
              <w:t>abbondanti</w:t>
            </w:r>
            <w:r>
              <w:t xml:space="preserve"> risorse di cui l'Artico dispone, tra cui idrocarburi, elementi delle terre rare, risorse ittiche a di altro tipo, sono sempre più ambite, il che impone la necessità di norme più rigorose in materia di sostenibilità e un'equa ripartizione dei benefici;</w:t>
            </w:r>
          </w:p>
        </w:tc>
        <w:tc>
          <w:tcPr>
            <w:tcW w:w="4876" w:type="dxa"/>
            <w:tcBorders>
              <w:top w:val="nil"/>
              <w:left w:val="nil"/>
              <w:bottom w:val="nil"/>
              <w:right w:val="nil"/>
            </w:tcBorders>
          </w:tcPr>
          <w:p>
            <w:pPr>
              <w:pStyle w:val="Normal6a"/>
            </w:pPr>
            <w:r>
              <w:t>I.</w:t>
            </w:r>
            <w:r>
              <w:tab/>
            </w:r>
            <w:r>
              <w:t xml:space="preserve">considerando che le risorse </w:t>
            </w:r>
            <w:r>
              <w:rPr>
                <w:b/>
                <w:i/>
              </w:rPr>
              <w:t>marine</w:t>
            </w:r>
            <w:r>
              <w:t xml:space="preserve"> di cui l'Artico dispone, tra cui idrocarburi, elementi delle terre rare, risorse ittiche a di altro tipo, sono sempre più ambite, il che impone la necessità di norme più rigorose in materia di sostenibilità e un'equa ripartizione dei benefici;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Marion Maréchal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considerando che le abbondanti risorse di cui l'Artico dispone, tra cui idrocarburi, elementi delle terre rare, risorse ittiche a di altro tipo, sono sempre più ambite, il che impone la necessità di norme più rigorose in materia di sostenibilità e un'equa ripartizione </w:t>
            </w:r>
            <w:r>
              <w:rPr>
                <w:b/>
                <w:i/>
              </w:rPr>
              <w:t>dei benefici</w:t>
            </w:r>
            <w:r>
              <w:t>;</w:t>
            </w:r>
          </w:p>
        </w:tc>
        <w:tc>
          <w:tcPr>
            <w:tcW w:w="4876" w:type="dxa"/>
            <w:tcBorders>
              <w:top w:val="nil"/>
              <w:left w:val="nil"/>
              <w:bottom w:val="nil"/>
              <w:right w:val="nil"/>
            </w:tcBorders>
          </w:tcPr>
          <w:p>
            <w:pPr>
              <w:pStyle w:val="Normal6a"/>
            </w:pPr>
            <w:r>
              <w:t>I.</w:t>
            </w:r>
            <w:r>
              <w:tab/>
            </w:r>
            <w:r>
              <w:t xml:space="preserve">considerando che le abbondanti risorse di cui l'Artico dispone, tra cui idrocarburi, elementi delle terre rare, risorse ittiche a di altro tipo, sono sempre più ambite, il che impone la necessità di norme più rigorose in materia di sostenibilità e un'equa ripartizione </w:t>
            </w:r>
            <w:r>
              <w:rPr>
                <w:b/>
                <w:i/>
              </w:rPr>
              <w:t>delle risorse</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I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 bis.</w:t>
            </w:r>
            <w:r>
              <w:tab/>
            </w:r>
            <w:r>
              <w:rPr>
                <w:b/>
                <w:i/>
              </w:rPr>
              <w:t>considerando che il settore minerario sta inoltre esercitando pressioni nei confronti dei governi affinché diano il via libera all'estrazione mineraria dal fondale marino dell'Artico, un ecosistema di cui sappiamo poco;</w:t>
            </w:r>
            <w:r>
              <w:t xml:space="preserve"> </w:t>
            </w:r>
            <w:r>
              <w:rPr>
                <w:b/>
                <w:i/>
              </w:rPr>
              <w:t>che tali attività mettono a repentaglio la biodiversità nell'Artico causando la frammentazione degli habitat, lo spostamento della fauna selvatica e perturbazioni nelle aree cruciali per l'allevamento e l'alimentazione;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I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 bis.</w:t>
            </w:r>
            <w:r>
              <w:tab/>
            </w:r>
            <w:r>
              <w:rPr>
                <w:b/>
                <w:i/>
              </w:rPr>
              <w:t>considerando che l'Artico dispone di varie risorse energetiche fondamentali per le transizioni verde e digitale dell'UE, tra cui idrogeno, energia idroelettrica, energia eolica e geotermica, che possono contribuire a diversificare e decarbonizzare il mix energetico dell'UE accanto all'attuale approvvigionamento di idrocarburi;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I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 bis.</w:t>
            </w:r>
            <w:r>
              <w:tab/>
            </w:r>
            <w:r>
              <w:rPr>
                <w:b/>
                <w:i/>
              </w:rPr>
              <w:t>considerando che iniziative quali Polar Connect e il concetto "Vision 2030" prevedono la posa di cavi sottomarini transartici resilienti per collegare la Groenlandia e l'Islanda all'Europa continentale;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Łukasz Kohut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I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 bis.</w:t>
            </w:r>
            <w:r>
              <w:tab/>
            </w:r>
            <w:r>
              <w:rPr>
                <w:b/>
                <w:i/>
              </w:rPr>
              <w:t>considerando che la convenzione delle Nazioni Unite sul diritto del mare contiene disposizioni relative ai diritti, agli obblighi e alle responsabilità degli Stati in materia di protezione dell'ambiente;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I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 ter.</w:t>
            </w:r>
            <w:r>
              <w:tab/>
            </w:r>
            <w:r>
              <w:rPr>
                <w:b/>
                <w:i/>
              </w:rPr>
              <w:t>considerando che è necessario effettuare investimenti strategici al fine di garantire le materie prime critiche essenziali per la competitività industriale e le capacità di difesa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I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 quater.</w:t>
            </w:r>
            <w:r>
              <w:tab/>
            </w:r>
            <w:r>
              <w:rPr>
                <w:b/>
                <w:i/>
              </w:rPr>
              <w:t>considerando che la Groenlandia, l'Islanda e la Norvegia gestiscono le maggiori attività di pesca sostenibile dell'Artico, e che la regione sta sviluppando competenze in materia di biotecnologia e innovazione, che sono essenziali per la sicurezza alimentare, l'economia blu e la leadership scientifica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I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 quinquies.</w:t>
            </w:r>
            <w:r>
              <w:tab/>
            </w:r>
            <w:r>
              <w:rPr>
                <w:b/>
                <w:i/>
              </w:rPr>
              <w:t>considerando che il potenziale economico dell'Artico non si limita alle risorse naturali ma si estende a settori quali il turismo, le tecnologie spaziali e le infrastrutture dei centri di dati, offrendo all'UE l'opportunità di sviluppare partenariati strategici che sappiano sfruttare le caratteristiche geografiche uniche della regione, le sue risorse energetiche rinnovabili e la sua vicinanza ai principali alleati;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considerando che le connessioni energetiche con l'Artico, compresi le importazioni di petrolio e gas dal Mare di Barents in Norvegia, le spedizioni di gas naturale liquefatto attraverso le rotte marittime artiche, le esportazioni di energie rinnovabili e il potenziale di idrogeno verde dall'Islanda e dalla Groenlandia, i progetti infrastrutturali sostenuti dall'UE quali cavi e condotte sottomarini, e la cooperazione nella ricerca e nell'innovazione per lo sviluppo sostenibile sono fondamentali per la sicurezza energetica e lo sviluppo economico futuro dell'UE;</w:t>
            </w:r>
          </w:p>
        </w:tc>
        <w:tc>
          <w:tcPr>
            <w:tcW w:w="4876" w:type="dxa"/>
            <w:tcBorders>
              <w:top w:val="nil"/>
              <w:left w:val="nil"/>
              <w:bottom w:val="nil"/>
              <w:right w:val="nil"/>
            </w:tcBorders>
          </w:tcPr>
          <w:p>
            <w:pPr>
              <w:pStyle w:val="Normal6a"/>
            </w:pPr>
            <w:r>
              <w:t>J.</w:t>
            </w:r>
            <w:r>
              <w:tab/>
            </w:r>
            <w:r>
              <w:t xml:space="preserve">considerando che le connessioni energetiche con l'Artico, compresi le importazioni di petrolio e gas dal Mare di Barents in Norvegia, le spedizioni di gas naturale liquefatto attraverso le rotte marittime artiche, le esportazioni di energie rinnovabili e il potenziale di idrogeno verde dall'Islanda e dalla Groenlandia, i progetti infrastrutturali sostenuti dall'UE quali cavi e condotte sottomarini, e la cooperazione nella ricerca e nell'innovazione per lo sviluppo sostenibile sono fondamentali per la sicurezza energetica e lo sviluppo economico futuro dell'UE; </w:t>
            </w:r>
            <w:r>
              <w:rPr>
                <w:b/>
                <w:i/>
              </w:rPr>
              <w:t>che l'Artico soffre di una carenza di infrastrutture, il che pone le popolazioni locali e altri attori in una situazione di svantaggio;</w:t>
            </w:r>
            <w:r>
              <w:t xml:space="preserve"> </w:t>
            </w:r>
            <w:r>
              <w:rPr>
                <w:b/>
                <w:i/>
              </w:rPr>
              <w:t>che lo sviluppo di progetti infrastrutturali polivalenti potrebbe contribuire ad affrontare sia tali carenze che sfide più ampie in materia di sicurezza;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considerando che le connessioni energetiche con l'Artico, compresi le importazioni di petrolio e gas dal Mare di Barents in Norvegia, le spedizioni di gas naturale liquefatto attraverso le rotte marittime artiche, le esportazioni di energie rinnovabili e il potenziale di idrogeno verde dall'Islanda e dalla Groenlandia, i progetti infrastrutturali sostenuti dall'UE quali cavi e condotte sottomarini, e la cooperazione nella ricerca e nell'innovazione per lo sviluppo sostenibile sono fondamentali per la sicurezza energetica e lo sviluppo economico futuro dell'UE;</w:t>
            </w:r>
          </w:p>
        </w:tc>
        <w:tc>
          <w:tcPr>
            <w:tcW w:w="4876" w:type="dxa"/>
            <w:tcBorders>
              <w:top w:val="nil"/>
              <w:left w:val="nil"/>
              <w:bottom w:val="nil"/>
              <w:right w:val="nil"/>
            </w:tcBorders>
          </w:tcPr>
          <w:p>
            <w:pPr>
              <w:pStyle w:val="Normal6a"/>
            </w:pPr>
            <w:r>
              <w:t>J.</w:t>
            </w:r>
            <w:r>
              <w:tab/>
            </w:r>
            <w:r>
              <w:t xml:space="preserve">considerando che le connessioni energetiche con l'Artico, compresi le importazioni di petrolio e gas dal Mare di Barents in Norvegia, le spedizioni di gas naturale liquefatto attraverso le rotte marittime artiche, le esportazioni di energie rinnovabili e il potenziale di idrogeno verde dall'Islanda e dalla Groenlandia, i progetti infrastrutturali sostenuti dall'UE quali cavi e condotte sottomarini, e la cooperazione nella ricerca e nell'innovazione per lo sviluppo sostenibile sono fondamentali per la sicurezza energetica e lo sviluppo economico futuro dell'UE; </w:t>
            </w:r>
            <w:r>
              <w:rPr>
                <w:b/>
                <w:i/>
              </w:rPr>
              <w:t>che, in tale contesto, disporre di partner e approvvigionamenti energetici affidabili è importante per la sicurezza globale, e che l'aggressione della Russia contro l'Ucraina e la conseguente crisi energetica costituiscono un esempio in tal senso che dovrebbe fungere da monito;</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considerando che le connessioni energetiche con l'Artico, compresi le importazioni di petrolio e gas dal Mare di Barents in Norvegia, le spedizioni di gas naturale liquefatto attraverso le rotte marittime artiche, le esportazioni di energie rinnovabili e il potenziale di idrogeno verde dall'Islanda e dalla Groenlandia, i progetti infrastrutturali sostenuti dall'UE quali cavi e condotte sottomarini, e la cooperazione nella ricerca e nell'innovazione per lo sviluppo sostenibile sono fondamentali per la sicurezza energetica e lo sviluppo economico futuro dell'UE;</w:t>
            </w:r>
          </w:p>
        </w:tc>
        <w:tc>
          <w:tcPr>
            <w:tcW w:w="4876" w:type="dxa"/>
            <w:tcBorders>
              <w:top w:val="nil"/>
              <w:left w:val="nil"/>
              <w:bottom w:val="nil"/>
              <w:right w:val="nil"/>
            </w:tcBorders>
          </w:tcPr>
          <w:p>
            <w:pPr>
              <w:pStyle w:val="Normal6a"/>
            </w:pPr>
            <w:r>
              <w:t>J.</w:t>
            </w:r>
            <w:r>
              <w:tab/>
            </w:r>
            <w:r>
              <w:t xml:space="preserve">considerando che le connessioni energetiche con l'Artico, compresi le importazioni di petrolio e gas dal Mare di Barents in Norvegia, le spedizioni di gas naturale liquefatto attraverso le rotte marittime artiche, le esportazioni di energie rinnovabili e il potenziale di idrogeno verde dall'Islanda e dalla Groenlandia, i progetti infrastrutturali sostenuti dall'UE quali cavi e condotte sottomarini, e la cooperazione nella ricerca e nell'innovazione per lo sviluppo sostenibile sono fondamentali per la sicurezza energetica e lo sviluppo economico futuro dell'UE </w:t>
            </w:r>
            <w:r>
              <w:rPr>
                <w:b/>
                <w:i/>
              </w:rPr>
              <w:t>e assicurano nel contempo investimenti nelle economie e nelle infrastrutture locali artiche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J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 bis.</w:t>
            </w:r>
            <w:r>
              <w:tab/>
            </w:r>
            <w:r>
              <w:rPr>
                <w:b/>
                <w:i/>
              </w:rPr>
              <w:t>considerando che la rotta del Mare del Nord costituisce una delle tre principali vie del trasporto marittimo nell'Artico e sta attirando sempre più l'attenzione globale in quanto potenziale corridoio commerciale;</w:t>
            </w:r>
            <w:r>
              <w:t xml:space="preserve"> </w:t>
            </w:r>
            <w:r>
              <w:rPr>
                <w:b/>
                <w:i/>
              </w:rPr>
              <w:t>che la Russia ha adottato un regime giuridico unilaterale che disciplina la navigazione in tale rotta, compresa la nuova legge del 5 dicembre 2022 che limita il passaggio di navi da guerra straniere;</w:t>
            </w:r>
            <w:r>
              <w:t xml:space="preserve"> </w:t>
            </w:r>
            <w:r>
              <w:rPr>
                <w:b/>
                <w:i/>
              </w:rPr>
              <w:t>che tali misure sollevano gravi preoccupazioni ai sensi del diritto internazionale, in particolare la convenzione delle Nazioni Unite sul diritto del mare (UNCLOS), e rischiano di aggravare le tensioni geopolitiche nell'Artico;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Łukasz Kohut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J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 bis.</w:t>
            </w:r>
            <w:r>
              <w:tab/>
            </w:r>
            <w:r>
              <w:rPr>
                <w:b/>
                <w:i/>
              </w:rPr>
              <w:t>considerando che i terminali GNL di nuova costruzione e in fase di progettazione, in particolare le unità galleggianti di stoccaggio e rigassificazione che gli Stati membri dell'UE si sono impegnati a realizzare negli ultimi due anni, costituiscono un punto di accesso fondamentale per il GNL norvegese, rafforzando ulteriormente la diversificazione e la sicurezza dell'approvvigionamento;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J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 bis.</w:t>
            </w:r>
            <w:r>
              <w:tab/>
            </w:r>
            <w:r>
              <w:rPr>
                <w:b/>
                <w:i/>
              </w:rPr>
              <w:t>considerando che portare avanti lo sviluppo e la produzione di rompighiaccio è fondamentale per l'esplorazione e la sicurezza dell'Artico;</w:t>
            </w:r>
            <w:r>
              <w:t xml:space="preserve"> </w:t>
            </w:r>
            <w:r>
              <w:rPr>
                <w:b/>
                <w:i/>
              </w:rPr>
              <w:t>che la Finlandia ha una particolare competenza al riguardo;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considerando che iniziative quali Polar Connect e Vision 2030 prevedono l'installazione di cavi sottomarini in tutto l'Oceano Artico per collegare la Groenlandia e l'Islanda all'Europa continentale entro il 2030;</w:t>
            </w:r>
          </w:p>
        </w:tc>
        <w:tc>
          <w:tcPr>
            <w:tcW w:w="4876" w:type="dxa"/>
            <w:tcBorders>
              <w:top w:val="nil"/>
              <w:left w:val="nil"/>
              <w:bottom w:val="nil"/>
              <w:right w:val="nil"/>
            </w:tcBorders>
          </w:tcPr>
          <w:p>
            <w:pPr>
              <w:pStyle w:val="Normal6a"/>
            </w:pPr>
            <w:r>
              <w:t>K.</w:t>
            </w:r>
            <w:r>
              <w:tab/>
            </w:r>
            <w:r>
              <w:t xml:space="preserve">considerando che iniziative quali Polar Connect e Vision 2030 prevedono l'installazione di cavi sottomarini in tutto l'Oceano Artico per collegare la Groenlandia e l'Islanda all'Europa continentale entro il 2030; </w:t>
            </w:r>
            <w:r>
              <w:rPr>
                <w:b/>
                <w:i/>
              </w:rPr>
              <w:t>che tali progetti sono vulnerabili alle minacce ibride da parte di attori malevoli come la Russia e la Cina;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Pierre-Romain Thionnet,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K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 bis.</w:t>
            </w:r>
            <w:r>
              <w:tab/>
            </w:r>
            <w:r>
              <w:rPr>
                <w:b/>
                <w:i/>
              </w:rPr>
              <w:t>considerando che le navi a propulsione nucleare sono essenziali per le operazioni nell'Artico, date le limitazioni delle infrastrutture e delle linee di approvvigionamento esistenti;</w:t>
            </w:r>
            <w:r>
              <w:t xml:space="preserve"> </w:t>
            </w:r>
            <w:r>
              <w:rPr>
                <w:b/>
                <w:i/>
              </w:rPr>
              <w:t>che nessuno Stato membro dell'UE o della NATO opera rompighiaccio a propulsione nucleare;</w:t>
            </w:r>
            <w:r>
              <w:t xml:space="preserve"> </w:t>
            </w:r>
            <w:r>
              <w:rPr>
                <w:b/>
                <w:i/>
              </w:rPr>
              <w:t>che la Russia dispone di tali capacità, mentre la Cina ha manifestato interesse per la tecnologia rompighiaccio al fine di portare avanti la sua iniziativa della via della seta polare e sta ampliando attivamente la sua flotta, anche attraverso la costruzione di un rompighiaccio a propulsione nucleare;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K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 bis.</w:t>
            </w:r>
            <w:r>
              <w:tab/>
            </w:r>
            <w:r>
              <w:rPr>
                <w:b/>
                <w:i/>
              </w:rPr>
              <w:t>considerando che lo sviluppo di cavi sottomarini artici in fibra ottica che colleghino l'Europa con il Giappone e la Corea del Sud rappresenta un'opportunità strategica per migliorare la connettività digitale sicura e ad alta velocità, rafforzare la sovranità digitale dell'UE e approfondire la cooperazione UE-Asia;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K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 bis.</w:t>
            </w:r>
            <w:r>
              <w:tab/>
            </w:r>
            <w:r>
              <w:rPr>
                <w:b/>
                <w:i/>
              </w:rPr>
              <w:t>considerando che la Cina sta testando, mediante una nave da carico, una rotta veloce che la colleghi all'Europa attraverso l'Artico, con l'obiettivo di istituire un servizio regolare per collegare diversi porti asiatici ed europei tramite la rotta del Mare del Nord russa;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Liudas Mažylis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K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 bis.</w:t>
            </w:r>
            <w:r>
              <w:tab/>
            </w:r>
            <w:r>
              <w:rPr>
                <w:b/>
                <w:i/>
              </w:rPr>
              <w:t>considerando che la protezione dei cavi e delle condotte sottomarini, dei sistemi di comunicazione e dei corridoi di trasporto nell'Artico è essenziale per la sicurezza digitale, energetica ed economica dell'UE e del SEE;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Pierre-Romain Thionnet,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K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 ter.</w:t>
            </w:r>
            <w:r>
              <w:tab/>
            </w:r>
            <w:r>
              <w:rPr>
                <w:b/>
                <w:i/>
              </w:rPr>
              <w:t>considerando che la Francia è l'unico Stato membro dell'UE a possedere sottomarini a propulsione nucleare, in grado di operare lungo le rotte sottomarine dell'Artico;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Pierre-Romain Thionnet,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K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 quater.</w:t>
            </w:r>
            <w:r>
              <w:tab/>
            </w:r>
            <w:r>
              <w:rPr>
                <w:b/>
                <w:i/>
              </w:rPr>
              <w:t>considerando che il riscaldamento globale nell'Artico sta aprendo nuove rotte commerciali alternative, in particolare la rotta del Mare del Nord, che riduce del 30-40 % i tempi di percorrenza e la distanza tra l'Europa e l'Asia rispetto alla rotta tradizionale attraverso il Canale di Suez;</w:t>
            </w:r>
            <w:r>
              <w:t xml:space="preserve"> </w:t>
            </w:r>
            <w:r>
              <w:rPr>
                <w:b/>
                <w:i/>
              </w:rPr>
              <w:t>che i cambiamenti climatici sollevano anche questioni giuridiche in merito all'applicazione dell'articolo 234 dell'UNCLOS, che attualmente consente alla Russia di imporre significative restrizioni giuridiche alla libertà di navigazione negli stretti lungo la rotta del Mare del Nord, molti dei quali sono ora liberi dai ghiacci per la maggior parte dell'anno;</w:t>
            </w:r>
            <w:r>
              <w:t xml:space="preserve"> </w:t>
            </w:r>
            <w:r>
              <w:rPr>
                <w:b/>
                <w:i/>
              </w:rPr>
              <w:t>che la designazione, da parte della Russia, di tali stretti come acque territoriali mette ulteriormente a repentaglio la libertà di navigazione e desta preoccupazioni circa la sostenibilità a lungo termine della rotta del Mare del Nord per gli Stati membri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Pierre-Romain Thionnet,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K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 quinquies.</w:t>
            </w:r>
            <w:r>
              <w:tab/>
            </w:r>
            <w:r>
              <w:rPr>
                <w:b/>
                <w:i/>
              </w:rPr>
              <w:t>considerando che l'Artico dispone di notevoli risorse critiche;</w:t>
            </w:r>
            <w:r>
              <w:t xml:space="preserve"> </w:t>
            </w:r>
            <w:r>
              <w:rPr>
                <w:b/>
                <w:i/>
              </w:rPr>
              <w:t>che il riscaldamento globale sta portando alla luce giacimenti sfruttabili di petrolio e gas, anche all'interno delle ZEE degli Stati membri dell'UE e dell'EFTA;</w:t>
            </w:r>
            <w:r>
              <w:t xml:space="preserve"> </w:t>
            </w:r>
            <w:r>
              <w:rPr>
                <w:b/>
                <w:i/>
              </w:rPr>
              <w:t>che la Groenlandia e il fondale marino artico contengono 25 delle 34 materie prime critiche individuate nel regolamento sulle materie prime critiche;</w:t>
            </w:r>
            <w:r>
              <w:t xml:space="preserve"> </w:t>
            </w:r>
            <w:r>
              <w:rPr>
                <w:b/>
                <w:i/>
              </w:rPr>
              <w:t>che la Norvegia ha autorizzato l'apertura all'esplorazione di 280 000 km² della sua piattaforma continentale artica ai fini di potenziali attività minerarie in alto mare;</w:t>
            </w:r>
            <w:r>
              <w:t xml:space="preserve"> </w:t>
            </w:r>
            <w:r>
              <w:rPr>
                <w:b/>
                <w:i/>
              </w:rPr>
              <w:t>che il 90 % della produzione e della raffinazione di elementi delle terre rare su scala mondiale avviene in Cina, il che richiede soluzioni urgenti e innovative per alleviare un'enorme dipendenza strategica che espone gli Stati membri dell'UE alla coercizione economica e diplomatica;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Pierre-Romain Thionnet,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K sexies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 sexies.</w:t>
            </w:r>
            <w:r>
              <w:tab/>
            </w:r>
            <w:r>
              <w:rPr>
                <w:b/>
                <w:i/>
              </w:rPr>
              <w:t>considerando che gli Stati Uniti hanno dichiarato che il controllo sulla Groenlandia è fondamentale per la loro sicurezza nazionale e internazionale;</w:t>
            </w:r>
            <w:r>
              <w:t xml:space="preserve"> </w:t>
            </w:r>
            <w:r>
              <w:rPr>
                <w:b/>
                <w:i/>
              </w:rPr>
              <w:t>che gli Stati Uniti avevano precedentemente proposto di acquistare l'isola dal Regno di Danimarca;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Pierre-Romain Thionnet,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K septies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 septies.</w:t>
            </w:r>
            <w:r>
              <w:tab/>
            </w:r>
            <w:r>
              <w:rPr>
                <w:b/>
                <w:i/>
              </w:rPr>
              <w:t>considerando che nel 2021 e nel 2023 il Parlamento europeo aveva approvato risoluzioni non vincolanti in cui chiedeva una moratoria sull'estrazione mineraria in alto mare;</w:t>
            </w:r>
            <w:r>
              <w:t xml:space="preserve"> </w:t>
            </w:r>
            <w:r>
              <w:rPr>
                <w:b/>
                <w:i/>
              </w:rPr>
              <w:t>che la direttiva quadro sulla strategia per l'ambiente marino impedisce di fatto agli Stati membri dell'UE di estendere o anche solo di esplorare le proprie ZEE ai fini dell'estrazione mineraria in alto mare;</w:t>
            </w:r>
            <w:r>
              <w:t xml:space="preserve"> </w:t>
            </w:r>
            <w:r>
              <w:rPr>
                <w:b/>
                <w:i/>
              </w:rPr>
              <w:t>che la Cina sta accelerando la sua strategia relativa all'estrazione mineraria in alto mare, anche attraverso la firma di un accordo con le Isole Cook, nel tentativo di mantenere il proprio dominio globale sui materiali critici;</w:t>
            </w:r>
            <w:r>
              <w:t xml:space="preserve"> </w:t>
            </w:r>
            <w:r>
              <w:rPr>
                <w:b/>
                <w:i/>
              </w:rPr>
              <w:t>che gli eccessivi vincoli normativi sulle operazioni commerciali di terra relative ai minerali delle terre rare, combinati con l'opposizione ideologica persino alla semplice esplorazione del potenziale dell'estrazione mineraria in alto mare, rappresentano un rischio sia dal punto di vista ambientale che strategico, in quanto rallentano la diffusione sul mercato di tecnologie più pulite, aumentando nel contempo la dipendenza europea dalla Cina e da altri paesi terzi per le materie prime e critiche;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Pierre-Romain Thionnet,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K octies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 octies.</w:t>
            </w:r>
            <w:r>
              <w:tab/>
            </w:r>
            <w:r>
              <w:rPr>
                <w:b/>
                <w:i/>
              </w:rPr>
              <w:t>considerando che la Russia sta ampliando e ricostruendo la sua flotta nucleare, i suoi sottomarini e i suoi rompighiaccio in seno alla Flotta del Nord, e sta altresì riattivando piste di atterraggio risalenti all'epoca sovietica lungo la costa settentrionale e rafforzando le sue capacità anti-accesso e di interdizione del territorio (A2/AD);</w:t>
            </w:r>
            <w:r>
              <w:t xml:space="preserve"> </w:t>
            </w:r>
            <w:r>
              <w:rPr>
                <w:b/>
                <w:i/>
              </w:rPr>
              <w:t>che sta aumentando l'importanza strategica del varco GIUK, in quanto esso rappresenta un importante punto di strozzatura sia per l'emergente rotta del Mare del Nord che per la protezione dei cavi sottomarini transatlantici a sud del varco, che trasportano la quasi totalità del traffico di dati europeo;</w:t>
            </w:r>
            <w:r>
              <w:t xml:space="preserve"> </w:t>
            </w:r>
            <w:r>
              <w:rPr>
                <w:b/>
                <w:i/>
              </w:rPr>
              <w:t>che la necessità di proteggere efficacemente i cavi sottomarini è ulteriormente amplificata dalla crescente dipendenza dall'intelligenza artificiale, dal cloud computing e da altre operazioni ad alta intensità di dati;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w:t>
            </w:r>
            <w:r>
              <w:tab/>
            </w:r>
            <w:r>
              <w:t>considerando che la ricerca finanziata dall'UE, i partenariati di Orizzonte Europa e i servizi satellitari Copernicus forniscono dati essenziali per la resilienza climatica, la sicurezza della navigazione e la gestione ambientale nel Grande Nord;</w:t>
            </w:r>
          </w:p>
        </w:tc>
        <w:tc>
          <w:tcPr>
            <w:tcW w:w="4876" w:type="dxa"/>
            <w:tcBorders>
              <w:top w:val="nil"/>
              <w:left w:val="nil"/>
              <w:bottom w:val="nil"/>
              <w:right w:val="nil"/>
            </w:tcBorders>
          </w:tcPr>
          <w:p>
            <w:pPr>
              <w:pStyle w:val="Normal6a"/>
            </w:pPr>
            <w:r>
              <w:t>L.</w:t>
            </w:r>
            <w:r>
              <w:tab/>
            </w:r>
            <w:r>
              <w:t xml:space="preserve">considerando che la ricerca finanziata dall'UE, i partenariati di Orizzonte Europa e i servizi satellitari Copernicus forniscono dati essenziali per la </w:t>
            </w:r>
            <w:r>
              <w:rPr>
                <w:b/>
                <w:i/>
              </w:rPr>
              <w:t>sicurezza, la</w:t>
            </w:r>
            <w:r>
              <w:t xml:space="preserve"> resilienza climatica, la sicurezza della navigazione e la gestione ambientale nel Grande Nord;</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David McAllister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L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 bis.</w:t>
            </w:r>
            <w:r>
              <w:tab/>
            </w:r>
            <w:r>
              <w:rPr>
                <w:b/>
                <w:i/>
              </w:rPr>
              <w:t>considerando che nel 2022 la NATO ha riconosciuto che i cambiamenti climatici rappresentano una sfida decisiva e un moltiplicatore di minacce, con profonde implicazioni per la sicurezza e le operazioni militari, anche nel Grande Nord, e ha identificato il Grande Nord come una regione di importanza strategica in cui la capacità della Russia di ostacolare i rinforzi alleati e la libertà di navigazione nell'Atlantico settentrionale costituisce una sfida diretta per l'Alleanza;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L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 bis.</w:t>
            </w:r>
            <w:r>
              <w:tab/>
            </w:r>
            <w:r>
              <w:rPr>
                <w:b/>
                <w:i/>
              </w:rPr>
              <w:t>considerando che una connettività satellitare sicura, resiliente e autonoma costituisce una risorsa strategica per consentire e salvaguardare le comunicazioni, migliorare la conoscenza situazionale, proteggere le infrastrutture critiche e rafforzare la capacità dell'Unione di prevenire e scoraggiare le minacce sia ibride che tradizionali nell'Artico, nonché di rispondere ad esse;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L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 bis.</w:t>
            </w:r>
            <w:r>
              <w:tab/>
            </w:r>
            <w:r>
              <w:rPr>
                <w:b/>
                <w:i/>
              </w:rPr>
              <w:t>considerando che una connettività satellitare sicura, resiliente e autonoma costituisce una risorsa strategica per consentire e salvaguardare le comunicazioni, migliorare la conoscenza situazionale, proteggere le infrastrutture critiche e rafforzare la capacità dell'Unione di prevenire e scoraggiare le minacce sia ibride che tradizionali nell'Artico, nonché di rispondere ad esse;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Rihards Kols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L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 bis.</w:t>
            </w:r>
            <w:r>
              <w:tab/>
            </w:r>
            <w:r>
              <w:rPr>
                <w:b/>
                <w:i/>
              </w:rPr>
              <w:t>considerando che una connettività satellitare sicura, resiliente e autonoma costituisce una risorsa strategica per consentire e salvaguardare le comunicazioni, migliorare la conoscenza situazionale, proteggere le infrastrutture critiche e rafforzare la capacità dell'Unione di prevenire e scoraggiare le minacce sia ibride che tradizionali nell'Artico, nonché di rispondere ad esse;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L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 bis.</w:t>
            </w:r>
            <w:r>
              <w:tab/>
            </w:r>
            <w:r>
              <w:rPr>
                <w:b/>
                <w:i/>
              </w:rPr>
              <w:t>considerando che tre Stati membri dell'UE e due membri dello Spazio economico europeo fanno parte del Consiglio artico;</w:t>
            </w:r>
            <w:r>
              <w:t xml:space="preserve"> </w:t>
            </w:r>
            <w:r>
              <w:rPr>
                <w:b/>
                <w:i/>
              </w:rPr>
              <w:t>che sette paesi che fanno parte del Consiglio artico sono membri della NATO;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L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 bis.</w:t>
            </w:r>
            <w:r>
              <w:tab/>
            </w:r>
            <w:r>
              <w:rPr>
                <w:b/>
                <w:i/>
              </w:rPr>
              <w:t>considerando che la connettività satellitare sicura e autonoma è essenziale per le comunicazioni, le infrastrutture critiche, la conoscenza situazionale e la capacità dell'Unione di far fronte alle minacce nell'Artico;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L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 bis.</w:t>
            </w:r>
            <w:r>
              <w:tab/>
            </w:r>
            <w:r>
              <w:rPr>
                <w:b/>
                <w:i/>
              </w:rPr>
              <w:t>I. considerando che il rispetto dell'integrità territoriale deve continuare a essere un elemento portante della diplomazia internazionale, in particolare nell'Artico;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L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 ter.</w:t>
            </w:r>
            <w:r>
              <w:tab/>
            </w:r>
            <w:r>
              <w:rPr>
                <w:b/>
                <w:i/>
              </w:rPr>
              <w:t>considerando che "non arrecare un danno significativo" significa non sostenere o non svolgere attività economiche che arrecano un danno significativo agli obiettivi ambientali, ai sensi, ove pertinente, dell'articolo 17 del regolamento (UE) 2020/852;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L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 ter.</w:t>
            </w:r>
            <w:r>
              <w:tab/>
            </w:r>
            <w:r>
              <w:rPr>
                <w:b/>
                <w:i/>
              </w:rPr>
              <w:t>considerando che il Servizio europeo per l'azione esterna (SEAE) svolge un ruolo centrale nella definizione e nel coordinamento della politica dell'UE per 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L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 quater.</w:t>
            </w:r>
            <w:r>
              <w:tab/>
            </w:r>
            <w:r>
              <w:rPr>
                <w:b/>
                <w:i/>
              </w:rPr>
              <w:t>considerando che le acque artiche sono sempre più utilizzate dalla "flotta ombra" russa, datata e in cattivo stato di manutenzione, che opera sotto bandiere di comodo per eludere le sanzioni internazionali, il che comporta notevoli rischi per l'ambiente e la sicurezza in questa regione fragile;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L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 quinquies.</w:t>
            </w:r>
            <w:r>
              <w:tab/>
            </w:r>
            <w:r>
              <w:rPr>
                <w:b/>
                <w:i/>
              </w:rPr>
              <w:t>considerando che le tecnologie spaziali, compresi il posizionamento, la navigazione, l'osservazione della Terra e la comunicazione satellitare, sono essenziali per la conoscenza situazionale, il monitoraggio ambientale e la connettività nell'Artico;</w:t>
            </w:r>
            <w:r>
              <w:t xml:space="preserve"> </w:t>
            </w:r>
            <w:r>
              <w:rPr>
                <w:b/>
                <w:i/>
              </w:rPr>
              <w:t>che l'ubicazione geografica e le strutture della Norvegia, quali Andøya Spaceport e la missione per la banda larga satellitare artica, forniscono infrastrutture critiche a sostegno degli interessi dell'UE e permettono un accesso europeo indipendente allo spazio;</w:t>
            </w:r>
            <w:r>
              <w:t xml:space="preserve"> </w:t>
            </w:r>
            <w:r>
              <w:rPr>
                <w:b/>
                <w:i/>
              </w:rPr>
              <w:t>che una cooperazione rafforzata con la Norvegia in materia di capacità spaziali è essenziale per promuovere la strategia per l'Artico e la sicurezza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Pierre-Romain Thionnet,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riconoscere la crescente militarizzazione dell'Artico, in particolare a causa della profonda ristrutturazione militare della Russia, compresa l'istituzione del collegio marittimo, che ha ulteriormente esacerbato le tensioni regionali e compromesso la stabilità nella regione; collaborare con gli Stati membri e gli alleati della NATO per rafforzare, in risposta, le capacità di deterrenza;</w:t>
            </w:r>
          </w:p>
        </w:tc>
        <w:tc>
          <w:tcPr>
            <w:tcW w:w="4876" w:type="dxa"/>
            <w:tcBorders>
              <w:top w:val="nil"/>
              <w:left w:val="nil"/>
              <w:bottom w:val="nil"/>
              <w:right w:val="nil"/>
            </w:tcBorders>
          </w:tcPr>
          <w:p>
            <w:pPr>
              <w:pStyle w:val="Normal6a"/>
            </w:pPr>
            <w:r>
              <w:t>a)</w:t>
            </w:r>
            <w:r>
              <w:tab/>
            </w:r>
            <w:r>
              <w:t xml:space="preserve">riconoscere la crescente militarizzazione dell'Artico, in particolare a causa della profonda ristrutturazione militare della Russia, compresa l'istituzione del collegio marittimo, che ha ulteriormente esacerbato le tensioni regionali e compromesso la stabilità nella regione; collaborare con gli Stati membri e gli alleati della NATO per rafforzare, in risposta, le capacità di deterrenza; </w:t>
            </w:r>
            <w:r>
              <w:rPr>
                <w:b/>
                <w:i/>
              </w:rPr>
              <w:t>incoraggiare gli Stati membri costieri dell'UE a modernizzare e ampliare, se del caso, le loro capacità navali, in particolare per quanto riguarda gli aeromobili di pattugliamento marittimo, i sottomarini, le armi anti-sottomarini, i veicoli subacquei autonomi e le capacità di sorveglianza avanzate, al fine di monitorare più efficacemente la regione artica, la rotta del Mare del Nord e il varco GIUK;</w:t>
            </w:r>
            <w:r>
              <w:t xml:space="preserve"> </w:t>
            </w:r>
            <w:r>
              <w:rPr>
                <w:b/>
                <w:i/>
              </w:rPr>
              <w:t>sottolinea che, alla luce dell'ambiguità strategica degli Stati Uniti nei confronti dell'Europa e in particolare delle rivendicazioni statunitensi sulla Groenlandia, è opportuno dare priorità agli appalti affidati a partner con sede nei paesi dell'UE o strettamente allineati, come la Norvegia e il Regno Unito, dal momento che la maggior parte di tali capacità può essere fornita da imprese europee;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riconoscere la crescente militarizzazione dell'Artico, in particolare a causa della profonda ristrutturazione militare della Russia, compresa l'istituzione del collegio marittimo, che ha ulteriormente esacerbato le tensioni regionali e compromesso la stabilità nella regione; collaborare con gli Stati membri e gli alleati della NATO per rafforzare, in risposta, le capacità di deterrenza;</w:t>
            </w:r>
          </w:p>
        </w:tc>
        <w:tc>
          <w:tcPr>
            <w:tcW w:w="4876" w:type="dxa"/>
            <w:tcBorders>
              <w:top w:val="nil"/>
              <w:left w:val="nil"/>
              <w:bottom w:val="nil"/>
              <w:right w:val="nil"/>
            </w:tcBorders>
          </w:tcPr>
          <w:p>
            <w:pPr>
              <w:pStyle w:val="Normal6a"/>
            </w:pPr>
            <w:r>
              <w:t>a)</w:t>
            </w:r>
            <w:r>
              <w:tab/>
            </w:r>
            <w:r>
              <w:t xml:space="preserve">riconoscere la crescente militarizzazione dell'Artico, in particolare a causa della profonda ristrutturazione militare della Russia, compresa l'istituzione del collegio marittimo, che ha ulteriormente esacerbato le tensioni regionali e compromesso la stabilità nella regione; </w:t>
            </w:r>
            <w:r>
              <w:rPr>
                <w:b/>
                <w:i/>
              </w:rPr>
              <w:t>prendere atto altresì della strategia della via della seta polare e della presenza a duplice uso della Cina che, unitamente alle azioni della Russia, rappresentano una sfida sistemica all'ordine basato su regole;</w:t>
            </w:r>
            <w:r>
              <w:t xml:space="preserve"> collaborare con gli Stati membri e gli alleati della NATO per rafforzare, in risposta, le capacità di deterrenza</w:t>
            </w:r>
            <w:r>
              <w:rPr>
                <w:b/>
                <w:i/>
              </w:rPr>
              <w:t>, anche attraverso il rafforzamento dei dialoghi strategici UE-NATO sulla conoscenza del settore artico ed esercitazioni difensive congiunte nel Grande Nord</w:t>
            </w:r>
            <w:r>
              <w:t xml:space="preserve">; </w:t>
            </w:r>
            <w:r>
              <w:rPr>
                <w:b/>
                <w:i/>
              </w:rPr>
              <w:t>riconoscere ulteriormente il rischio che un'aumentata presenza della Cina, unita alla sua collaborazione strategica con la Russia, potrebbe comportare per la sicurezza nell'Artico;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riconoscere la crescente militarizzazione dell'Artico, in particolare a causa della profonda ristrutturazione militare della Russia, compresa l'istituzione del collegio marittimo, che ha ulteriormente esacerbato le tensioni regionali e compromesso la stabilità nella regione; collaborare con gli Stati membri e gli alleati della NATO per rafforzare, in risposta, le capacità di deterrenza;</w:t>
            </w:r>
          </w:p>
        </w:tc>
        <w:tc>
          <w:tcPr>
            <w:tcW w:w="4876" w:type="dxa"/>
            <w:tcBorders>
              <w:top w:val="nil"/>
              <w:left w:val="nil"/>
              <w:bottom w:val="nil"/>
              <w:right w:val="nil"/>
            </w:tcBorders>
          </w:tcPr>
          <w:p>
            <w:pPr>
              <w:pStyle w:val="Normal6a"/>
            </w:pPr>
            <w:r>
              <w:t>a)</w:t>
            </w:r>
            <w:r>
              <w:tab/>
            </w:r>
            <w:r>
              <w:t xml:space="preserve">riconoscere la crescente militarizzazione dell'Artico, in particolare a causa della profonda ristrutturazione militare della Russia, compresa l'istituzione del collegio marittimo, che ha ulteriormente esacerbato le tensioni regionali e compromesso la stabilità nella regione; </w:t>
            </w:r>
            <w:r>
              <w:rPr>
                <w:b/>
                <w:i/>
              </w:rPr>
              <w:t>condannare il crescente interesse della Cina per la regione artica;</w:t>
            </w:r>
            <w:r>
              <w:t xml:space="preserve"> </w:t>
            </w:r>
            <w:r>
              <w:rPr>
                <w:b/>
                <w:i/>
              </w:rPr>
              <w:t>prendere atto che, per la propria sicurezza, l'Europa non può essere spettatrice inerte dinanzi agli sviluppi della situazione, bensì deve</w:t>
            </w:r>
            <w:r>
              <w:t xml:space="preserve"> collaborare con gli Stati membri e gli alleati della NATO per rafforzare, in risposta, le capacità di deterrenza; </w:t>
            </w:r>
            <w:r>
              <w:rPr>
                <w:b/>
                <w:i/>
              </w:rPr>
              <w:t>tenere conto, nell'ambito dei finanziamenti dell'UE, delle competenze specifiche possedute da Finlandia, Svezia e Danimarca, gli unici paesi artici dell'Unione, in materia di guerra artica,</w:t>
            </w:r>
            <w:r>
              <w:t xml:space="preserve"> </w:t>
            </w:r>
            <w:r>
              <w:rPr>
                <w:b/>
                <w:i/>
              </w:rPr>
              <w:t>essendo tali competenze imprescindibili per la sicurezza dell'UE e della NATO;</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Łukasz Kohut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riconoscere </w:t>
            </w:r>
            <w:r>
              <w:rPr>
                <w:b/>
                <w:i/>
              </w:rPr>
              <w:t>la crescente militarizzazione dell'Artico</w:t>
            </w:r>
            <w:r>
              <w:t>, in particolare a causa della profonda ristrutturazione militare della Russia, compresa l'istituzione del collegio marittimo, che ha ulteriormente esacerbato le tensioni regionali e compromesso la stabilità nella regione; collaborare con gli Stati membri e gli alleati della NATO per rafforzare, in risposta, le capacità di deterrenza;</w:t>
            </w:r>
          </w:p>
        </w:tc>
        <w:tc>
          <w:tcPr>
            <w:tcW w:w="4876" w:type="dxa"/>
            <w:tcBorders>
              <w:top w:val="nil"/>
              <w:left w:val="nil"/>
              <w:bottom w:val="nil"/>
              <w:right w:val="nil"/>
            </w:tcBorders>
          </w:tcPr>
          <w:p>
            <w:pPr>
              <w:pStyle w:val="Normal6a"/>
            </w:pPr>
            <w:r>
              <w:t>a)</w:t>
            </w:r>
            <w:r>
              <w:tab/>
            </w:r>
            <w:r>
              <w:t xml:space="preserve">riconoscere </w:t>
            </w:r>
            <w:r>
              <w:rPr>
                <w:b/>
                <w:i/>
              </w:rPr>
              <w:t>il deterioramento della situazione della politica di sicurezza nell'Artico</w:t>
            </w:r>
            <w:r>
              <w:t xml:space="preserve">, in particolare a causa della profonda ristrutturazione militare della Russia, compresa l'istituzione del collegio marittimo, che ha ulteriormente esacerbato le tensioni regionali e compromesso la stabilità nella regione; collaborare con gli Stati membri e gli alleati della NATO per rafforzare, in risposta, le capacità di deterrenza; </w:t>
            </w:r>
            <w:r>
              <w:rPr>
                <w:b/>
                <w:i/>
              </w:rPr>
              <w:t>invita la Commissione a tenere conto di tutti i potenziali scenari di minaccia connessi alla situazione in Ucraina, compreso il possibile rafforzamento della presenza russa nell'Artico quale conseguenza di un potenziale conflitto congelato in Ucraina;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David McAllister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riconoscere la</w:t>
            </w:r>
            <w:r>
              <w:t xml:space="preserve"> crescente militarizzazione dell'Artico, in particolare a causa della profonda ristrutturazione militare della Russia, compresa l'istituzione del collegio marittimo, che ha ulteriormente esacerbato le tensioni regionali e compromesso la stabilità nella regione; collaborare con gli Stati membri e gli alleati della NATO per rafforzare, in risposta, le capacità di deterrenza;</w:t>
            </w:r>
          </w:p>
        </w:tc>
        <w:tc>
          <w:tcPr>
            <w:tcW w:w="4876" w:type="dxa"/>
            <w:tcBorders>
              <w:top w:val="nil"/>
              <w:left w:val="nil"/>
              <w:bottom w:val="nil"/>
              <w:right w:val="nil"/>
            </w:tcBorders>
          </w:tcPr>
          <w:p>
            <w:pPr>
              <w:pStyle w:val="Normal6a"/>
            </w:pPr>
            <w:r>
              <w:t>a)</w:t>
            </w:r>
            <w:r>
              <w:tab/>
            </w:r>
            <w:r>
              <w:rPr>
                <w:b/>
                <w:i/>
              </w:rPr>
              <w:t>adottare misure a fronte della</w:t>
            </w:r>
            <w:r>
              <w:t xml:space="preserve"> crescente militarizzazione dell'Artico, in particolare a causa della profonda ristrutturazione militare della Russia, compresa l'istituzione del collegio marittimo, che ha ulteriormente esacerbato le tensioni regionali e compromesso la stabilità nella regione; collaborare con gli Stati membri e gli alleati della NATO per rafforzare, in risposta, le capacità di deterrenza; </w:t>
            </w:r>
            <w:r>
              <w:rPr>
                <w:b/>
                <w:i/>
              </w:rPr>
              <w:t>perseguire una stretta cooperazione con le strutture della NATO e il Centro europeo di eccellenza per la lotta contro le minacce ibride al fine di rafforzare la resilienza e sviluppare norme comuni per la protezione delle infrastrutture nell'Artico;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riconoscere la crescente militarizzazione dell'Artico, in particolare a causa della profonda ristrutturazione militare della Russia, compresa l'istituzione del collegio marittimo, che ha ulteriormente esacerbato le tensioni regionali e compromesso la stabilità nella regione; collaborare con gli Stati membri e gli alleati della NATO per rafforzare, in risposta, le capacità di deterrenza;</w:t>
            </w:r>
          </w:p>
        </w:tc>
        <w:tc>
          <w:tcPr>
            <w:tcW w:w="4876" w:type="dxa"/>
            <w:tcBorders>
              <w:top w:val="nil"/>
              <w:left w:val="nil"/>
              <w:bottom w:val="nil"/>
              <w:right w:val="nil"/>
            </w:tcBorders>
          </w:tcPr>
          <w:p>
            <w:pPr>
              <w:pStyle w:val="Normal6a"/>
            </w:pPr>
            <w:r>
              <w:t>a)</w:t>
            </w:r>
            <w:r>
              <w:tab/>
            </w:r>
            <w:r>
              <w:t>riconoscere la crescente militarizzazione dell'Artico, in particolare a causa della profonda ristrutturazione militare della Russia, compresa l'istituzione del collegio marittimo, che ha ulteriormente esacerbato le tensioni regionali e compromesso la stabilità nella regione; collaborare con gli Stati membri e gli alleati della NATO per rafforzare, in risposta, le capacità di deterrenza</w:t>
            </w:r>
            <w:r>
              <w:rPr>
                <w:b/>
                <w:i/>
              </w:rPr>
              <w:t>,</w:t>
            </w:r>
            <w:r>
              <w:t xml:space="preserve"> </w:t>
            </w:r>
            <w:r>
              <w:rPr>
                <w:b/>
                <w:i/>
              </w:rPr>
              <w:t>in particolare attraverso esercitazioni militari, seguendo l'esempio dell'Arctic challenge 2023 ospitata da Svezia, Finlandia e Norvegia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riconoscere la crescente militarizzazione dell'Artico, in particolare a causa della profonda ristrutturazione militare della Russia, compresa l'istituzione del collegio marittimo, che ha ulteriormente esacerbato le tensioni regionali e compromesso la stabilità nella regione; collaborare con gli Stati membri e gli alleati della NATO per rafforzare, in risposta, le capacità di deterrenza;</w:t>
            </w:r>
          </w:p>
        </w:tc>
        <w:tc>
          <w:tcPr>
            <w:tcW w:w="4876" w:type="dxa"/>
            <w:tcBorders>
              <w:top w:val="nil"/>
              <w:left w:val="nil"/>
              <w:bottom w:val="nil"/>
              <w:right w:val="nil"/>
            </w:tcBorders>
          </w:tcPr>
          <w:p>
            <w:pPr>
              <w:pStyle w:val="Normal6a"/>
            </w:pPr>
            <w:r>
              <w:t>a)</w:t>
            </w:r>
            <w:r>
              <w:tab/>
            </w:r>
            <w:r>
              <w:t xml:space="preserve">riconoscere la crescente militarizzazione dell'Artico, in particolare a causa della profonda ristrutturazione militare della Russia, compresa l'istituzione del collegio marittimo, che ha ulteriormente esacerbato le tensioni regionali e compromesso la stabilità nella regione; collaborare con gli Stati membri e gli alleati della NATO per rafforzare, in risposta, le capacità di deterrenza </w:t>
            </w:r>
            <w:r>
              <w:rPr>
                <w:b/>
                <w:i/>
              </w:rPr>
              <w:t>e aumentare la cooperazione militare tra i partner europei nella regione artica al fine di accrescere la sicurezza e la stabilità regionali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riconoscere la crescente militarizzazione dell'Artico, in particolare a causa della profonda ristrutturazione militare della Russia, compresa l'istituzione del collegio marittimo, che ha ulteriormente esacerbato le tensioni regionali e compromesso la stabilità nella regione; collaborare con gli Stati membri e gli alleati della NATO per rafforzare, in risposta, le capacità di deterrenza;</w:t>
            </w:r>
          </w:p>
        </w:tc>
        <w:tc>
          <w:tcPr>
            <w:tcW w:w="4876" w:type="dxa"/>
            <w:tcBorders>
              <w:top w:val="nil"/>
              <w:left w:val="nil"/>
              <w:bottom w:val="nil"/>
              <w:right w:val="nil"/>
            </w:tcBorders>
          </w:tcPr>
          <w:p>
            <w:pPr>
              <w:pStyle w:val="Normal6a"/>
            </w:pPr>
            <w:r>
              <w:t>a)</w:t>
            </w:r>
            <w:r>
              <w:tab/>
            </w:r>
            <w:r>
              <w:t>riconoscere la crescente militarizzazione dell'Artico, in particolare a causa della profonda ristrutturazione militare della Russia, compresa l'istituzione del collegio marittimo, che ha ulteriormente esacerbato le tensioni regionali e compromesso la stabilità nella regione; collaborare con gli Stati membri e gli alleati della NATO per rafforzare, in risposta, le capacità di deterrenza</w:t>
            </w:r>
            <w:r>
              <w:rPr>
                <w:b/>
                <w:i/>
              </w:rPr>
              <w:t>, adoperandosi nel contempo per evitare che i conflitti geopolitici si propaghino in questa regione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riconoscere la crescente militarizzazione dell'Artico, in particolare a causa della profonda ristrutturazione militare della Russia, compresa l'istituzione del collegio marittimo, che ha ulteriormente esacerbato le tensioni regionali e compromesso la stabilità nella regione; collaborare con gli Stati membri e gli alleati della NATO per rafforzare, in risposta, le capacità di deterrenza;</w:t>
            </w:r>
          </w:p>
        </w:tc>
        <w:tc>
          <w:tcPr>
            <w:tcW w:w="4876" w:type="dxa"/>
            <w:tcBorders>
              <w:top w:val="nil"/>
              <w:left w:val="nil"/>
              <w:bottom w:val="nil"/>
              <w:right w:val="nil"/>
            </w:tcBorders>
          </w:tcPr>
          <w:p>
            <w:pPr>
              <w:pStyle w:val="Normal6a"/>
            </w:pPr>
            <w:r>
              <w:t>a)</w:t>
            </w:r>
            <w:r>
              <w:tab/>
            </w:r>
            <w:r>
              <w:t xml:space="preserve">riconoscere la crescente militarizzazione dell'Artico, in particolare a causa della profonda ristrutturazione militare della Russia </w:t>
            </w:r>
            <w:r>
              <w:rPr>
                <w:b/>
                <w:i/>
              </w:rPr>
              <w:t>e del chiaro interesse della Cina nella regione</w:t>
            </w:r>
            <w:r>
              <w:t>, compresa l'istituzione del collegio marittimo, che ha ulteriormente esacerbato le tensioni regionali e compromesso la stabilità nella regione;collaborare con gli Stati membri e gli alleati della NATO per rafforzare, in risposta, le capacità di deterrenza;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a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rafforzare, alla luce della crescente presenza nell'Artico di navi della guardia costiera cinese e di flotte navali russe, i meccanismi esistenti di cooperazione dell'Unione in materia di intelligence e capacità di difesa, in stretto coordinamento con gli Stati membri e la NATO, al fine di salvaguardare gli interessi europei e la stabilità nel Grande Nord;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Marion Maréchal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a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promuovere una cooperazione realistica e pragmatica nell'Artico, dando priorità alla sicurezza energetica, alla libertà di navigazione e alla difesa degli interessi economici europei nei confronti delle altre potenze interessate alle prospettive di sviluppo offerte da tale regione;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a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chiedere una riarticolazione completa della politica artica che vada oltre la nozione obsoleta di eccezionalismo artico, e che la utilizzi invece come metodo per valutare le sfide in evoluzione, nonché come uno specchio per riflettere il nuovo ruolo strategico dell'Artico in un contesto geopolitico in trasformazione;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Liudas Mažylis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a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sviluppare, alla luce della cooperazione tra Cina e Russia nel Grande Nord, inclusi progetti congiunti nel settore dell'energia e del trasporto marittimo, una strategia dell'UE e del SEE per monitorare e contrastare la possibile creazione di corridoi commerciali esclusivi o di strutture a duplice uso che compromettano la libertà di navigazione e il diritto internazionale;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a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riconoscere che una strategia dell'UE per l'Artico migliorata e aggiornata richiede anche risorse finanziarie supplementari;</w:t>
            </w:r>
            <w:r>
              <w:t xml:space="preserve"> </w:t>
            </w:r>
            <w:r>
              <w:rPr>
                <w:b/>
                <w:i/>
              </w:rPr>
              <w:t>destinare importi sufficienti nei prossimi negoziati sul QFP;</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a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ter)</w:t>
            </w:r>
            <w:r>
              <w:tab/>
            </w:r>
            <w:r>
              <w:rPr>
                <w:b/>
                <w:i/>
              </w:rPr>
              <w:t>tenuto conto del fatto che la Cina gestisce stazioni di ricerca nell'Artico quali la Yellow River Station a Svalbard e il China–Iceland Arctic Science Observatory (osservatorio scientifico artico Cina–Islanda), le cui attività includono il monitoraggio idroacustico e la mappatura oceanografica e che hanno un potenziale intrinseco a duplice uso, rafforzare la vigilanza sulle interazioni dell'UE con i partner esterni e istituire meccanismi di controllo della sicurezza a livello dell'UE per i progetti stranieri di ricerca e infrastrutturali nell'Artico, prevedendo che gli Stati membri debbano notificare tali investimenti alla Commissione e ai governi degli altri Stati membri, e che la Commissione istituisca un meccanismo di monitoraggio per lo scambio di informazioni su tali progetti, assicurando che la cooperazione scientifica con paesi terzi non comprometta gli interessi dell'Unione in materia di sicurezza;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Liudas Mažylis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a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ter)</w:t>
            </w:r>
            <w:r>
              <w:tab/>
            </w:r>
            <w:r>
              <w:rPr>
                <w:b/>
                <w:i/>
              </w:rPr>
              <w:t>al fine di controbilanciare la crescente presenza della Cina nelle infrastrutture, nelle telecomunicazioni e nelle stazioni di ricerca dell'Artico, promuovere investimenti e partenariati con alleati fidati sotto la guida dell'UE, per garantirsi infrastrutture critiche nella regione artica e ridurre la dipendenza da potenze autoritarie;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a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ter)</w:t>
            </w:r>
            <w:r>
              <w:tab/>
            </w:r>
            <w:r>
              <w:rPr>
                <w:b/>
                <w:i/>
              </w:rPr>
              <w:t>garantire che le azioni dell'UE nel Grande Nord siano complementari al concetto strategico 2022 della NATO e beneficino della posizione marittima rafforzata dell'Alleanza;</w:t>
            </w:r>
            <w:r>
              <w:t xml:space="preserve"> </w:t>
            </w:r>
            <w:r>
              <w:rPr>
                <w:b/>
                <w:i/>
              </w:rPr>
              <w:t>promuovere la prevenzione della conflittualità NATO-UE e la conoscenza situazionale condivisa;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alla luce dei recenti incidenti nel Mar Baltico, rafforzare notevolmente la protezione delle infrastrutture subacquee essenziali nell'Artico, in particolare i cavi e le condotte sottomarini, al fine di rispettare e far rispettare gli obblighi di cui agli articoli da 112 a 115 dell'UNCLOS, che sono fondamentali per salvaguardare l'interconnettività digitale ed energetica dell'Europa dalle perturbazioni geopolitiche;</w:t>
            </w:r>
          </w:p>
        </w:tc>
        <w:tc>
          <w:tcPr>
            <w:tcW w:w="4876" w:type="dxa"/>
            <w:tcBorders>
              <w:top w:val="nil"/>
              <w:left w:val="nil"/>
              <w:bottom w:val="nil"/>
              <w:right w:val="nil"/>
            </w:tcBorders>
          </w:tcPr>
          <w:p>
            <w:pPr>
              <w:pStyle w:val="Normal6a"/>
            </w:pPr>
            <w:r>
              <w:t>b)</w:t>
            </w:r>
            <w:r>
              <w:tab/>
            </w:r>
            <w:r>
              <w:t xml:space="preserve">alla luce dei recenti incidenti nel Mar Baltico, rafforzare notevolmente la protezione delle infrastrutture subacquee essenziali nell'Artico, in particolare i cavi e le condotte sottomarini, al fine di rispettare e far rispettare gli obblighi di cui agli articoli da 112 a 115 dell'UNCLOS, che sono fondamentali per salvaguardare l'interconnettività digitale ed energetica dell'Europa dalle perturbazioni geopolitiche; </w:t>
            </w:r>
            <w:r>
              <w:rPr>
                <w:b/>
                <w:i/>
              </w:rPr>
              <w:t>sostenere l'introduzione di norme comuni in materia di cibersicurezza e resilienza per i cavi sottomarini, i punti di atterraggio e le infrastrutture digitali critiche nell'Artico, anche mediante valutazioni congiunte dei rischi, obblighi di segnalazione degli incidenti ed esercitazioni periodiche di verifica della resilienza, tenendo conto della loro natura strategica per la connettività e l'autonomia strategica aperta dell'Unione;</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alla luce dei recenti incidenti nel Mar Baltico, rafforzare notevolmente la protezione delle infrastrutture subacquee essenziali nell'Artico, in particolare i cavi e le condotte sottomarini, al fine di rispettare e far rispettare gli obblighi di cui agli articoli da 112 a 115 dell'UNCLOS, che sono fondamentali per salvaguardare l'interconnettività digitale ed energetica dell'Europa dalle perturbazioni geopolitiche;</w:t>
            </w:r>
          </w:p>
        </w:tc>
        <w:tc>
          <w:tcPr>
            <w:tcW w:w="4876" w:type="dxa"/>
            <w:tcBorders>
              <w:top w:val="nil"/>
              <w:left w:val="nil"/>
              <w:bottom w:val="nil"/>
              <w:right w:val="nil"/>
            </w:tcBorders>
          </w:tcPr>
          <w:p>
            <w:pPr>
              <w:pStyle w:val="Normal6a"/>
            </w:pPr>
            <w:r>
              <w:t>b)</w:t>
            </w:r>
            <w:r>
              <w:tab/>
            </w:r>
            <w:r>
              <w:t xml:space="preserve">alla luce dei recenti incidenti nel Mar Baltico, rafforzare notevolmente la protezione delle infrastrutture subacquee essenziali nell'Artico, in particolare i cavi e le condotte sottomarini, al fine di rispettare e far rispettare gli obblighi di cui agli articoli da 112 a 115 dell'UNCLOS, che sono fondamentali per salvaguardare l'interconnettività digitale ed energetica dell'Europa dalle perturbazioni geopolitiche; </w:t>
            </w:r>
            <w:r>
              <w:rPr>
                <w:b/>
                <w:i/>
              </w:rPr>
              <w:t>sostenere altresì la ricerca, la sperimentazione e la diffusione graduale delle tecnologie di sorveglianza ibrida finanziate dall'UE, compresi i sistemi senza equipaggio, in coordinamento con i partner nordici al fine di monitorare le minacce ibride e rispondere alle stesse;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alla luce dei recenti incidenti nel Mar Baltico, rafforzare notevolmente la protezione delle infrastrutture subacquee essenziali nell'Artico, in particolare i cavi e le condotte sottomarini, al fine di rispettare e far rispettare gli obblighi di cui agli articoli da 112 a 115 dell'UNCLOS, che sono fondamentali per salvaguardare l'interconnettività digitale ed energetica dell'Europa dalle perturbazioni geopolitiche;</w:t>
            </w:r>
          </w:p>
        </w:tc>
        <w:tc>
          <w:tcPr>
            <w:tcW w:w="4876" w:type="dxa"/>
            <w:tcBorders>
              <w:top w:val="nil"/>
              <w:left w:val="nil"/>
              <w:bottom w:val="nil"/>
              <w:right w:val="nil"/>
            </w:tcBorders>
          </w:tcPr>
          <w:p>
            <w:pPr>
              <w:pStyle w:val="Normal6a"/>
            </w:pPr>
            <w:r>
              <w:t>b)</w:t>
            </w:r>
            <w:r>
              <w:tab/>
            </w:r>
            <w:r>
              <w:rPr>
                <w:b/>
                <w:i/>
              </w:rPr>
              <w:t>prendere atto del fatto che la regione artica è parte di un continuum che integra la regione del Mar Baltico nell'Artico europeo, con sfide e interessi condivisi, e,</w:t>
            </w:r>
            <w:r>
              <w:t xml:space="preserve"> alla luce dei recenti incidenti nel Mar Baltico, rafforzare notevolmente la protezione delle infrastrutture subacquee essenziali nell'Artico, in particolare i cavi e le condotte sottomarini, al fine di rispettare e far rispettare gli obblighi di cui agli articoli da 112 a 115 dell'UNCLOS, che sono fondamentali per salvaguardare l'interconnettività digitale ed energetica dell'Europa dalle perturbazioni geopolitiche;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David McAllister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alla luce dei recenti incidenti nel Mar Baltico, rafforzare notevolmente la protezione delle infrastrutture subacquee essenziali nell'Artico, in particolare i cavi e le condotte sottomarini, al fine di rispettare e far rispettare gli obblighi di cui agli articoli da 112 a 115 dell'UNCLOS, che sono fondamentali per salvaguardare l'interconnettività digitale ed energetica dell'Europa dalle perturbazioni geopolitiche;</w:t>
            </w:r>
          </w:p>
        </w:tc>
        <w:tc>
          <w:tcPr>
            <w:tcW w:w="4876" w:type="dxa"/>
            <w:tcBorders>
              <w:top w:val="nil"/>
              <w:left w:val="nil"/>
              <w:bottom w:val="nil"/>
              <w:right w:val="nil"/>
            </w:tcBorders>
          </w:tcPr>
          <w:p>
            <w:pPr>
              <w:pStyle w:val="Normal6a"/>
            </w:pPr>
            <w:r>
              <w:t>b)</w:t>
            </w:r>
            <w:r>
              <w:tab/>
            </w:r>
            <w:r>
              <w:t xml:space="preserve">alla luce dei recenti incidenti nel Mar Baltico, </w:t>
            </w:r>
            <w:r>
              <w:rPr>
                <w:b/>
                <w:i/>
              </w:rPr>
              <w:t>affrontare le minacce ibride quali gli attacchi informatici, il disturbo del GPS e il sabotaggio dei cavi sottomarini, che richiedono meccanismi di monitoraggio e di risposta rafforzati;</w:t>
            </w:r>
            <w:r>
              <w:t xml:space="preserve"> rafforzare notevolmente la protezione delle infrastrutture subacquee essenziali nell'Artico, in particolare i cavi e le condotte sottomarini, al fine di rispettare e far rispettare gli obblighi di cui agli articoli da 112 a 115 dell'UNCLOS, che sono fondamentali per salvaguardare l'interconnettività digitale ed energetica dell'Europa dalle perturbazioni geopolitiche;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alla luce </w:t>
            </w:r>
            <w:r>
              <w:rPr>
                <w:b/>
                <w:i/>
              </w:rPr>
              <w:t>dei recenti incidenti</w:t>
            </w:r>
            <w:r>
              <w:t xml:space="preserve"> nel Mar Baltico, rafforzare notevolmente la protezione delle infrastrutture subacquee essenziali nell'Artico, in particolare i cavi e le condotte sottomarini, al fine di rispettare e far rispettare gli obblighi di cui agli articoli da 112 a 115 dell'UNCLOS, che sono fondamentali per salvaguardare l'interconnettività digitale ed energetica dell'Europa dalle perturbazioni geopolitiche;</w:t>
            </w:r>
          </w:p>
        </w:tc>
        <w:tc>
          <w:tcPr>
            <w:tcW w:w="4876" w:type="dxa"/>
            <w:tcBorders>
              <w:top w:val="nil"/>
              <w:left w:val="nil"/>
              <w:bottom w:val="nil"/>
              <w:right w:val="nil"/>
            </w:tcBorders>
          </w:tcPr>
          <w:p>
            <w:pPr>
              <w:pStyle w:val="Normal6a"/>
            </w:pPr>
            <w:r>
              <w:t>b)</w:t>
            </w:r>
            <w:r>
              <w:tab/>
            </w:r>
            <w:r>
              <w:t xml:space="preserve">alla luce </w:t>
            </w:r>
            <w:r>
              <w:rPr>
                <w:b/>
                <w:i/>
              </w:rPr>
              <w:t>delle azioni ostili della Russia</w:t>
            </w:r>
            <w:r>
              <w:t xml:space="preserve"> nel Mar Baltico</w:t>
            </w:r>
            <w:r>
              <w:rPr>
                <w:b/>
                <w:i/>
              </w:rPr>
              <w:t>, e in particolare del coinvolgimento delle navi appartenenti alla flotta ombra russa e delle navi cinesi nel danneggiamento di cavi sottomarini</w:t>
            </w:r>
            <w:r>
              <w:t>, rafforzare notevolmente la protezione delle infrastrutture subacquee essenziali nell'Artico, in particolare i cavi e le condotte sottomarini, al fine di rispettare e far rispettare gli obblighi di cui agli articoli da 112 a 115 dell'UNCLOS, che sono fondamentali per salvaguardare l'interconnettività digitale ed energetica dell'Europa dalle perturbazioni geopolitiche;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alla luce dei recenti incidenti nel Mar Baltico, rafforzare notevolmente la protezione delle infrastrutture subacquee essenziali nell'Artico, in particolare i cavi e le condotte sottomarini, al fine di rispettare e far rispettare gli obblighi di cui agli articoli da 112 a 115 dell'UNCLOS, che sono fondamentali per salvaguardare l'interconnettività digitale ed energetica dell'Europa dalle perturbazioni geopolitiche;</w:t>
            </w:r>
          </w:p>
        </w:tc>
        <w:tc>
          <w:tcPr>
            <w:tcW w:w="4876" w:type="dxa"/>
            <w:tcBorders>
              <w:top w:val="nil"/>
              <w:left w:val="nil"/>
              <w:bottom w:val="nil"/>
              <w:right w:val="nil"/>
            </w:tcBorders>
          </w:tcPr>
          <w:p>
            <w:pPr>
              <w:pStyle w:val="Normal6a"/>
            </w:pPr>
            <w:r>
              <w:t>b)</w:t>
            </w:r>
            <w:r>
              <w:tab/>
            </w:r>
            <w:r>
              <w:t xml:space="preserve">alla luce dei recenti incidenti nel Mar Baltico, </w:t>
            </w:r>
            <w:r>
              <w:rPr>
                <w:b/>
                <w:i/>
              </w:rPr>
              <w:t>rendere più stringente il quadro normativo in materia di sanzioni e misure di ritorsione, al fine di</w:t>
            </w:r>
            <w:r>
              <w:t xml:space="preserve"> rafforzare notevolmente la protezione delle infrastrutture subacquee essenziali nell'Artico, in particolare i cavi e le condotte sottomarini, al fine di rispettare e far rispettare gli obblighi di cui agli articoli da 112 a 115 dell'UNCLOS, che sono fondamentali per salvaguardare l'interconnettività digitale ed energetica dell'Europa dalle perturbazioni geopolitiche;</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b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bis)</w:t>
            </w:r>
            <w:r>
              <w:tab/>
            </w:r>
            <w:r>
              <w:rPr>
                <w:b/>
                <w:i/>
              </w:rPr>
              <w:t>chiedere di rafforzare l'interoperabilità tra gli Stati membri dell'UE e altri alleati della NATO per quanto riguarda la sicurezza artica, la sorveglianza marittima, le operazioni di ricerca e salvataggio, nonché la protezione delle infrastrutture critiche;</w:t>
            </w:r>
            <w:r>
              <w:t xml:space="preserve"> </w:t>
            </w:r>
            <w:r>
              <w:rPr>
                <w:b/>
                <w:i/>
              </w:rPr>
              <w:t>incoraggiare un maggiore coordinamento in materia di sviluppo economico sostenibile, diritti dei popoli indigeni e resilienza di fronte alle sfide geopolitiche poste da paesi terzi;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Liudas Mažylis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b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bis)</w:t>
            </w:r>
            <w:r>
              <w:tab/>
            </w:r>
            <w:r>
              <w:rPr>
                <w:b/>
                <w:i/>
              </w:rPr>
              <w:t>alla luce delle crescenti minacce ibride nell'Artico, compresi gli attacchi informatici, le campagne di disinformazione e le capacità di guerra elettronica, elaborare un quadro di monitoraggio e risposta congiunto UE-NATO per proteggere le infrastrutture, le linee di comunicazione e le strutture di governance dell'Artico;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b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bis)</w:t>
            </w:r>
            <w:r>
              <w:tab/>
            </w:r>
            <w:r>
              <w:rPr>
                <w:b/>
                <w:i/>
              </w:rPr>
              <w:t>investire nel miglioramento delle comunicazioni satellitari, nei droni subacquei e nella mappatura dei fondali marini al fine di monitorare l'Artico e, in particolare, individuare attività militari russe o cinesi;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b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ter)</w:t>
            </w:r>
            <w:r>
              <w:tab/>
            </w:r>
            <w:r>
              <w:rPr>
                <w:b/>
                <w:i/>
              </w:rPr>
              <w:t>garantire che il prossimo quadro finanziario pluriennale stimoli gli investimenti strategici nelle capacità di trasporto marittimo nell'Artico, in sistemi di comunicazione moderni, poli logistici e infrastrutture di sostegno, comprese le navi rompighiaccio, in modo da controbilanciare la crescente posizione dominante della Russia in questo ambito;</w:t>
            </w:r>
            <w:r>
              <w:t xml:space="preserve"> </w:t>
            </w:r>
            <w:r>
              <w:rPr>
                <w:b/>
                <w:i/>
              </w:rPr>
              <w:t>sottolinea che tali investimenti devono garantire il rigoroso rispetto delle norme ambientali e la partecipazione significativa dei popoli indigeni a tutte le fasi della pianificazione e dell'attuazione;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Łukasz Kohut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riconoscere l'accresciuta concorrenza geopolitica lungo le rotte marittime artiche, in particolare la rotta del Mare del Nord;</w:t>
            </w:r>
            <w:r>
              <w:t xml:space="preserve"> </w:t>
            </w:r>
            <w:r>
              <w:rPr>
                <w:b/>
                <w:i/>
              </w:rPr>
              <w:t>sostenere, pertanto, i dialoghi diplomatici volti a stipulare accordi internazionali chiari per quanto riguarda la libertà di navigazione e la cooperazione marittima pacifica, respingendo le rivendicazioni unilaterali e promuovendo l'applicazione del diritto marittimo internazionale conformemente all'UNCLOS;</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Pierre-Romain Thionnet,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riconoscere l'accresciuta concorrenza geopolitica lungo le rotte marittime artiche, in particolare la rotta del Mare del Nord; sostenere, pertanto, i dialoghi diplomatici volti a stipulare accordi internazionali chiari per quanto riguarda la libertà di navigazione e la cooperazione marittima pacifica, respingendo le rivendicazioni unilaterali e promuovendo l'applicazione del diritto marittimo internazionale conformemente all'UNCLOS;</w:t>
            </w:r>
          </w:p>
        </w:tc>
        <w:tc>
          <w:tcPr>
            <w:tcW w:w="4876" w:type="dxa"/>
            <w:tcBorders>
              <w:top w:val="nil"/>
              <w:left w:val="nil"/>
              <w:bottom w:val="nil"/>
              <w:right w:val="nil"/>
            </w:tcBorders>
          </w:tcPr>
          <w:p>
            <w:pPr>
              <w:pStyle w:val="Normal6a"/>
            </w:pPr>
            <w:r>
              <w:t>c)</w:t>
            </w:r>
            <w:r>
              <w:tab/>
            </w:r>
            <w:r>
              <w:t xml:space="preserve">riconoscere l'accresciuta concorrenza geopolitica lungo le rotte marittime artiche, in particolare la rotta del Mare del Nord; sostenere, pertanto, i dialoghi diplomatici volti a stipulare accordi internazionali chiari per quanto riguarda la libertà di navigazione e la cooperazione marittima pacifica, respingendo le rivendicazioni unilaterali e promuovendo l'applicazione del diritto marittimo internazionale conformemente all'UNCLOS; </w:t>
            </w:r>
            <w:r>
              <w:rPr>
                <w:b/>
                <w:i/>
              </w:rPr>
              <w:t>sottolinea che la Russia rimane un interlocutore inevitabile su tali questioni, dato che la rotta del Mare del Nord si trova in gran parte all'interno della sua ZEE, e che le controversie giuridiche in corso ed emergenti in merito all'ambito e alle modalità di applicazione dell'UNCLOS richiedono una soluzione a livello diplomatico affinché la rotta del Mare del Nord diventi un'alternativa credibile al Canale di Suez;</w:t>
            </w:r>
            <w:r>
              <w:t xml:space="preserve"> </w:t>
            </w:r>
            <w:r>
              <w:rPr>
                <w:b/>
                <w:i/>
              </w:rPr>
              <w:t>esprime preoccupazione per la dottrina marittima russa del 2022, nella quale si ribadiscono rivendicazioni sulle linee di base eccessive, che includono anche stretti strategici lungo la rotta del Mare del Nord;</w:t>
            </w:r>
            <w:r>
              <w:t xml:space="preserve"> </w:t>
            </w:r>
            <w:r>
              <w:rPr>
                <w:b/>
                <w:i/>
              </w:rPr>
              <w:t>evidenzia che la regolamentazione applicata dalla Russia sulla base dell'articolo 234 dell'UNCLOS è eccessiva, dato che molti degli stretti in questione sono liberi dai ghiacci per la maggior parte dell'anno;</w:t>
            </w:r>
            <w:r>
              <w:t xml:space="preserve"> </w:t>
            </w:r>
            <w:r>
              <w:rPr>
                <w:b/>
                <w:i/>
              </w:rPr>
              <w:t>sottolinea che è nell'interesse economico della Russia garantire la libertà di navigazione lungo la rotta del Mare del Nord;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riconoscere l'accresciuta concorrenza geopolitica lungo le rotte marittime artiche, in particolare la rotta del Mare del Nord; sostenere, pertanto, i dialoghi diplomatici volti a stipulare accordi internazionali chiari per quanto riguarda la libertà di navigazione e la cooperazione marittima pacifica, respingendo le rivendicazioni unilaterali e promuovendo l'applicazione del diritto marittimo internazionale conformemente all'UNCLOS;</w:t>
            </w:r>
          </w:p>
        </w:tc>
        <w:tc>
          <w:tcPr>
            <w:tcW w:w="4876" w:type="dxa"/>
            <w:tcBorders>
              <w:top w:val="nil"/>
              <w:left w:val="nil"/>
              <w:bottom w:val="nil"/>
              <w:right w:val="nil"/>
            </w:tcBorders>
          </w:tcPr>
          <w:p>
            <w:pPr>
              <w:pStyle w:val="Normal6a"/>
            </w:pPr>
            <w:r>
              <w:t>c)</w:t>
            </w:r>
            <w:r>
              <w:tab/>
            </w:r>
            <w:r>
              <w:t xml:space="preserve">riconoscere l'accresciuta concorrenza geopolitica lungo le rotte marittime artiche, in particolare la rotta del Mare del Nord; sostenere, pertanto, i dialoghi diplomatici volti a stipulare accordi internazionali chiari per quanto riguarda la libertà di navigazione e la cooperazione marittima pacifica, respingendo le rivendicazioni unilaterali e promuovendo l'applicazione del diritto marittimo internazionale conformemente all'UNCLOS; </w:t>
            </w:r>
            <w:r>
              <w:rPr>
                <w:b/>
                <w:i/>
              </w:rPr>
              <w:t>avviare dialoghi regionali sull'attuazione dell'accordo, nel quadro della convenzione delle Nazioni Unite sul diritto del mare, relativo alla conservazione e all'uso sostenibile della biodiversità marina delle zone non soggette a giurisdizione nazionale (accordo BBNJ) nell'Artico;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riconoscere l'accresciuta concorrenza geopolitica lungo le rotte marittime artiche, in particolare la rotta del Mare del Nord; sostenere, pertanto, i dialoghi diplomatici volti a stipulare accordi internazionali chiari per quanto riguarda la libertà di navigazione e la cooperazione marittima pacifica, respingendo le rivendicazioni unilaterali e promuovendo l'applicazione del diritto marittimo internazionale conformemente all'UNCLOS;</w:t>
            </w:r>
          </w:p>
        </w:tc>
        <w:tc>
          <w:tcPr>
            <w:tcW w:w="4876" w:type="dxa"/>
            <w:tcBorders>
              <w:top w:val="nil"/>
              <w:left w:val="nil"/>
              <w:bottom w:val="nil"/>
              <w:right w:val="nil"/>
            </w:tcBorders>
          </w:tcPr>
          <w:p>
            <w:pPr>
              <w:pStyle w:val="Normal6a"/>
            </w:pPr>
            <w:r>
              <w:t>c)</w:t>
            </w:r>
            <w:r>
              <w:tab/>
            </w:r>
            <w:r>
              <w:t xml:space="preserve">riconoscere l'accresciuta concorrenza geopolitica lungo le rotte marittime artiche, in particolare la rotta del Mare del Nord; sostenere, pertanto, i dialoghi diplomatici volti a stipulare accordi internazionali chiari per quanto riguarda la libertà di navigazione e la cooperazione marittima pacifica, respingendo le rivendicazioni unilaterali e promuovendo l'applicazione del diritto marittimo internazionale conformemente all'UNCLOS; </w:t>
            </w:r>
            <w:r>
              <w:rPr>
                <w:b/>
                <w:i/>
              </w:rPr>
              <w:t>avviare dialoghi regionali sull'attuazione dell'accordo, nel quadro della convenzione delle Nazioni Unite sul diritto del mare, relativo alla conservazione e all'uso sostenibile della biodiversità marina delle zone non soggette a giurisdizione nazionale (accordo BBNJ) nell'Artico;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riconoscere l'accresciuta concorrenza geopolitica lungo le rotte marittime artiche, in particolare la rotta del Mare del Nord; sostenere, pertanto, i dialoghi diplomatici volti a stipulare accordi internazionali chiari per quanto riguarda la libertà di navigazione e la cooperazione marittima pacifica, respingendo le rivendicazioni unilaterali e promuovendo l'applicazione del diritto marittimo internazionale conformemente all'UNCLOS;</w:t>
            </w:r>
          </w:p>
        </w:tc>
        <w:tc>
          <w:tcPr>
            <w:tcW w:w="4876" w:type="dxa"/>
            <w:tcBorders>
              <w:top w:val="nil"/>
              <w:left w:val="nil"/>
              <w:bottom w:val="nil"/>
              <w:right w:val="nil"/>
            </w:tcBorders>
          </w:tcPr>
          <w:p>
            <w:pPr>
              <w:pStyle w:val="Normal6a"/>
            </w:pPr>
            <w:r>
              <w:t>c)</w:t>
            </w:r>
            <w:r>
              <w:tab/>
            </w:r>
            <w:r>
              <w:t xml:space="preserve">riconoscere l'accresciuta concorrenza geopolitica lungo le rotte marittime artiche, in particolare la rotta del Mare del Nord; sostenere, pertanto, i dialoghi diplomatici volti a stipulare accordi internazionali chiari per quanto riguarda la libertà di navigazione e la cooperazione marittima pacifica, respingendo le rivendicazioni unilaterali e promuovendo l'applicazione del diritto marittimo internazionale conformemente all'UNCLOS; </w:t>
            </w:r>
            <w:r>
              <w:rPr>
                <w:b/>
                <w:i/>
              </w:rPr>
              <w:t>elaborare, in collaborazione con i nostri partner strategici, una strategia sulle modalità per far progredire collettivamente le nostre capacità comuni di impegno, che preveda, tra l'altro, la produzione di rompighiaccio, come anche di altre infrastrutture critiche;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riconoscere l'accresciuta concorrenza geopolitica lungo le rotte marittime artiche, in particolare la rotta del Mare del Nord; sostenere, pertanto, i dialoghi diplomatici volti a stipulare accordi internazionali chiari per quanto riguarda la libertà di navigazione e la cooperazione marittima pacifica, respingendo le rivendicazioni unilaterali e promuovendo l'applicazione del diritto marittimo internazionale conformemente all'UNCLOS;</w:t>
            </w:r>
          </w:p>
        </w:tc>
        <w:tc>
          <w:tcPr>
            <w:tcW w:w="4876" w:type="dxa"/>
            <w:tcBorders>
              <w:top w:val="nil"/>
              <w:left w:val="nil"/>
              <w:bottom w:val="nil"/>
              <w:right w:val="nil"/>
            </w:tcBorders>
          </w:tcPr>
          <w:p>
            <w:pPr>
              <w:pStyle w:val="Normal6a"/>
            </w:pPr>
            <w:r>
              <w:t>c)</w:t>
            </w:r>
            <w:r>
              <w:tab/>
            </w:r>
            <w:r>
              <w:t xml:space="preserve">riconoscere l'accresciuta concorrenza geopolitica lungo le rotte marittime artiche, in particolare la rotta del Mare del Nord; sostenere, pertanto, i dialoghi diplomatici volti a stipulare accordi internazionali chiari per quanto riguarda la libertà di navigazione e la cooperazione marittima pacifica, respingendo le rivendicazioni unilaterali e promuovendo l'applicazione del diritto marittimo internazionale conformemente all'UNCLOS; </w:t>
            </w:r>
            <w:r>
              <w:rPr>
                <w:b/>
                <w:i/>
              </w:rPr>
              <w:t>avviare dialoghi regionali sull'attuazione dell'accordo, nel quadro dell'UNCLOS, relativo alla conservazione e all'uso sostenibile della biodiversità marina delle zone non soggette a giurisdizione nazionale (accordo BBNJ) nell'Artico;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David McAllister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riconoscere l'accresciuta concorrenza geopolitica lungo le rotte marittime artiche, in particolare la rotta del Mare del Nord; sostenere, pertanto, i dialoghi diplomatici volti a stipulare accordi internazionali chiari per quanto riguarda la libertà di navigazione e la cooperazione marittima pacifica, respingendo le rivendicazioni unilaterali e promuovendo l'applicazione del diritto marittimo internazionale conformemente all'UNCLOS;</w:t>
            </w:r>
          </w:p>
        </w:tc>
        <w:tc>
          <w:tcPr>
            <w:tcW w:w="4876" w:type="dxa"/>
            <w:tcBorders>
              <w:top w:val="nil"/>
              <w:left w:val="nil"/>
              <w:bottom w:val="nil"/>
              <w:right w:val="nil"/>
            </w:tcBorders>
          </w:tcPr>
          <w:p>
            <w:pPr>
              <w:pStyle w:val="Normal6a"/>
            </w:pPr>
            <w:r>
              <w:t>c)</w:t>
            </w:r>
            <w:r>
              <w:tab/>
            </w:r>
            <w:r>
              <w:t>riconoscere l'accresciuta concorrenza geopolitica lungo le rotte marittime artiche, in particolare la rotta del Mare del Nord; sostenere, pertanto, i dialoghi diplomatici volti a stipulare accordi internazionali chiari per quanto riguarda la libertà di navigazione e la cooperazione marittima pacifica, respingendo le rivendicazioni unilaterali e promuovendo l'applicazione del diritto marittimo internazionale conformemente all'UNCLOS</w:t>
            </w:r>
            <w:r>
              <w:rPr>
                <w:b/>
                <w:i/>
              </w:rPr>
              <w:t>, anche contrastando i tentativi di legittimare corridoi marittimi contestati o di esercitare un'influenza geopolitica con il pretesto della cooperazione scientifica o economica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riconoscere l'accresciuta concorrenza geopolitica lungo le rotte marittime artiche</w:t>
            </w:r>
            <w:r>
              <w:rPr>
                <w:b/>
                <w:i/>
              </w:rPr>
              <w:t>, in particolare la</w:t>
            </w:r>
            <w:r>
              <w:t xml:space="preserve"> rotta del Mare del Nord; sostenere, pertanto, i dialoghi diplomatici volti a stipulare accordi internazionali chiari per quanto riguarda la libertà di navigazione e la cooperazione marittima pacifica, respingendo le rivendicazioni unilaterali e promuovendo l'applicazione del diritto marittimo internazionale conformemente all'UNCLOS;</w:t>
            </w:r>
          </w:p>
        </w:tc>
        <w:tc>
          <w:tcPr>
            <w:tcW w:w="4876" w:type="dxa"/>
            <w:tcBorders>
              <w:top w:val="nil"/>
              <w:left w:val="nil"/>
              <w:bottom w:val="nil"/>
              <w:right w:val="nil"/>
            </w:tcBorders>
          </w:tcPr>
          <w:p>
            <w:pPr>
              <w:pStyle w:val="Normal6a"/>
            </w:pPr>
            <w:r>
              <w:t>c)</w:t>
            </w:r>
            <w:r>
              <w:tab/>
            </w:r>
            <w:r>
              <w:t>riconoscere l'accresciuta concorrenza geopolitica lungo le rotte marittime artiche</w:t>
            </w:r>
            <w:r>
              <w:rPr>
                <w:b/>
                <w:i/>
              </w:rPr>
              <w:t>; condannare pubblicamente il fatto che la Russia stia limitando la libera circolazione marittima sulla</w:t>
            </w:r>
            <w:r>
              <w:t xml:space="preserve"> rotta del Mare del Nord</w:t>
            </w:r>
            <w:r>
              <w:rPr>
                <w:b/>
                <w:i/>
              </w:rPr>
              <w:t> definendo le acque internazionali come nazionali, in violazione del diritto internazionale</w:t>
            </w:r>
            <w:r>
              <w:t>; sostenere, pertanto, i dialoghi diplomatici volti a stipulare accordi internazionali chiari per quanto riguarda la libertà di navigazione e la cooperazione marittima pacifica, respingendo le rivendicazioni unilaterali e promuovendo l'applicazione del diritto marittimo internazionale conformemente all'UNCLOS;</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riconoscere l'accresciuta concorrenza geopolitica lungo le rotte marittime artiche, in particolare la rotta del Mare del Nord; sostenere, pertanto, </w:t>
            </w:r>
            <w:r>
              <w:rPr>
                <w:b/>
                <w:i/>
              </w:rPr>
              <w:t>i dialoghi diplomatici volti a stipulare accordi internazionali chiari per quanto riguarda la</w:t>
            </w:r>
            <w:r>
              <w:t xml:space="preserve"> libertà di navigazione </w:t>
            </w:r>
            <w:r>
              <w:rPr>
                <w:b/>
                <w:i/>
              </w:rPr>
              <w:t>e la cooperazione marittima pacifica</w:t>
            </w:r>
            <w:r>
              <w:t>, respingendo le rivendicazioni unilaterali e promuovendo l'applicazione del diritto marittimo internazionale conformemente all'UNCLOS;</w:t>
            </w:r>
          </w:p>
        </w:tc>
        <w:tc>
          <w:tcPr>
            <w:tcW w:w="4876" w:type="dxa"/>
            <w:tcBorders>
              <w:top w:val="nil"/>
              <w:left w:val="nil"/>
              <w:bottom w:val="nil"/>
              <w:right w:val="nil"/>
            </w:tcBorders>
          </w:tcPr>
          <w:p>
            <w:pPr>
              <w:pStyle w:val="Normal6a"/>
            </w:pPr>
            <w:r>
              <w:t>c)</w:t>
            </w:r>
            <w:r>
              <w:tab/>
            </w:r>
            <w:r>
              <w:t>riconoscere l'accresciuta concorrenza geopolitica lungo le rotte marittime artiche, in particolare la rotta del Mare del Nord</w:t>
            </w:r>
            <w:r>
              <w:rPr>
                <w:b/>
                <w:i/>
              </w:rPr>
              <w:t>, dove la Russia sta rafforzando le sue infrastrutture militari</w:t>
            </w:r>
            <w:r>
              <w:t xml:space="preserve">; </w:t>
            </w:r>
            <w:r>
              <w:rPr>
                <w:b/>
                <w:i/>
              </w:rPr>
              <w:t>utilizzare tutti i mezzi per</w:t>
            </w:r>
            <w:r>
              <w:t xml:space="preserve"> sostenere, pertanto, </w:t>
            </w:r>
            <w:r>
              <w:rPr>
                <w:b/>
                <w:i/>
              </w:rPr>
              <w:t>gli obiettivi di salvaguardia della</w:t>
            </w:r>
            <w:r>
              <w:t xml:space="preserve"> libertà di navigazione, respingendo le rivendicazioni unilaterali e promuovendo l'applicazione del diritto marittimo internazionale conformemente all'UNCLOS;</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David McAllister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c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bis)</w:t>
            </w:r>
            <w:r>
              <w:tab/>
            </w:r>
            <w:r>
              <w:rPr>
                <w:b/>
                <w:i/>
              </w:rPr>
              <w:t>monitorare attentamente il crescente interesse strategico e le attività della Cina nella regione artica, nel quadro della “via della seta polare”; riconoscere che l'ambizione dichiarata dalla Cina di diventare una “grande potenza polare” entro il 2030 e la sua crescente presenza attraverso missioni di ricerca, investimenti in infrastrutture strategiche e partenariati a duplice uso potrebbero mettere in discussione principi di governance consolidati;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c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bis)</w:t>
            </w:r>
            <w:r>
              <w:tab/>
            </w:r>
            <w:r>
              <w:rPr>
                <w:b/>
                <w:i/>
              </w:rPr>
              <w:t>comprendere appieno l'importanza del varco tra Groenlandia, Islanda e Regno Unito (GIUK) in quanto corridoio di transito marittimo inscindibile dagli interessi dell'UE, nonché i rischi associati al suo essere sempre più spesso teatro di operazioni di zona grigia e, di conseguenza, cercare di rafforzare la resilienza istituzionale di tali paesi in collaborazione con partner costruttivi;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c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bis)</w:t>
            </w:r>
            <w:r>
              <w:tab/>
            </w:r>
            <w:r>
              <w:rPr>
                <w:b/>
                <w:i/>
              </w:rPr>
              <w:t>prendere atto della pubblicazione della prima strategia sulla sicurezza della Groenlandia dal titolo "Greenland in the World: Nothing about us without us – Greenland’s Foreign, Security and Defense Policy 2024–2033" (La Groenlandia nel mondo: nulla su di noi senza di noi – Politica estera, di sicurezza e di difesa della Groenlandia 2024-2033);</w:t>
            </w:r>
            <w:r>
              <w:t xml:space="preserve"> </w:t>
            </w:r>
            <w:r>
              <w:rPr>
                <w:b/>
                <w:i/>
              </w:rPr>
              <w:t>sottolinea che tale strategia è di particolare importanza in quanto riflette il principio di un'inclusione significativa dei popoli artici nella definizione delle politiche che interessano la loro regione;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c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bis)</w:t>
            </w:r>
            <w:r>
              <w:tab/>
            </w:r>
            <w:r>
              <w:rPr>
                <w:b/>
                <w:i/>
              </w:rPr>
              <w:t>riconoscere che le attività dell'UE nell'Artico devono essere allineate con le attività di sviluppo attuate dall'UE nelle sue zone di frontiera nordorientali e sostenerle, al fine di massimizzare l'influenza positiva che queste avranno sullo sviluppo e sui mezzi di sussistenza dell'Artico europeo;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c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ter)</w:t>
            </w:r>
            <w:r>
              <w:tab/>
            </w:r>
            <w:r>
              <w:rPr>
                <w:b/>
                <w:i/>
              </w:rPr>
              <w:t>invitare l'Unione ad assumere un ruolo di maggior rilievo nell'Artico, anche al fine di salvaguardare la sicurezza economica e la competitività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c quater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quater)</w:t>
            </w:r>
            <w:r>
              <w:tab/>
            </w:r>
            <w:r>
              <w:rPr>
                <w:b/>
                <w:i/>
              </w:rPr>
              <w:t>rafforzare il mandato dell'inviato speciale per le questioni artiche attribuendogli un'autorità più chiara, risorse adeguate e responsabilità per monitorare gli sviluppi in materia di sicurezza e ambiente, rappresentare l'UE in seno ai consessi artici, coordinare la politica artica, dialogare con le comunità indigene e riferire al Consiglio e al Parlamento europeo;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c quinquies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quinquies)</w:t>
            </w:r>
            <w:r>
              <w:tab/>
            </w:r>
            <w:r>
              <w:rPr>
                <w:b/>
                <w:i/>
              </w:rPr>
              <w:t>promuovere la piena attuazione dell'accordo sulla pesca nel Mar Glaciale Artico centrale, garantendo una solida integrazione tra conoscenze scientifiche e indigene prima di qualsiasi futura attività di pesca commerciale;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dato l'impatto sproporzionato dei cambiamenti climatici sulla regione artica, rafforzare con urgenza le strategie di adattamento, sostenere ampie iniziative di monitoraggio e aumentare in modo significativo gli investimenti nei programmi di ricerca, in </w:t>
            </w:r>
            <w:r>
              <w:rPr>
                <w:b/>
                <w:i/>
              </w:rPr>
              <w:t>cooperazione con</w:t>
            </w:r>
            <w:r>
              <w:t xml:space="preserve"> i partner internazionali;</w:t>
            </w:r>
          </w:p>
        </w:tc>
        <w:tc>
          <w:tcPr>
            <w:tcW w:w="4876" w:type="dxa"/>
            <w:tcBorders>
              <w:top w:val="nil"/>
              <w:left w:val="nil"/>
              <w:bottom w:val="nil"/>
              <w:right w:val="nil"/>
            </w:tcBorders>
          </w:tcPr>
          <w:p>
            <w:pPr>
              <w:pStyle w:val="Normal6a"/>
            </w:pPr>
            <w:r>
              <w:t>d)</w:t>
            </w:r>
            <w:r>
              <w:tab/>
            </w:r>
            <w:r>
              <w:rPr>
                <w:b/>
                <w:i/>
              </w:rPr>
              <w:t>accordare priorità alla necessità di equilibrare la crescita economica proteggendo nel contempo gli ecosistemi critici nell'Artico, in linea con il principio "non arrecare un danno significativo" di cui all'articolo 17 del regolamento (UE) 2020/852;</w:t>
            </w:r>
            <w:r>
              <w:t xml:space="preserve"> dato l'impatto sproporzionato dei cambiamenti climatici sulla regione artica, rafforzare con urgenza le strategie di adattamento, sostenere ampie iniziative di monitoraggio e aumentare in modo significativo gli investimenti nei programmi di ricerca, in </w:t>
            </w:r>
            <w:r>
              <w:rPr>
                <w:b/>
                <w:i/>
              </w:rPr>
              <w:t>collaborazione con le popolazioni indigene dell'Artico e</w:t>
            </w:r>
            <w:r>
              <w:t xml:space="preserve"> i partner internazionali;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dato l'impatto sproporzionato dei cambiamenti climatici sulla regione artica, rafforzare con urgenza le strategie di adattamento, sostenere ampie iniziative di monitoraggio e aumentare in modo significativo gli investimenti nei programmi di ricerca, in cooperazione con i partner internazionali;</w:t>
            </w:r>
          </w:p>
        </w:tc>
        <w:tc>
          <w:tcPr>
            <w:tcW w:w="4876" w:type="dxa"/>
            <w:tcBorders>
              <w:top w:val="nil"/>
              <w:left w:val="nil"/>
              <w:bottom w:val="nil"/>
              <w:right w:val="nil"/>
            </w:tcBorders>
          </w:tcPr>
          <w:p>
            <w:pPr>
              <w:pStyle w:val="Normal6a"/>
            </w:pPr>
            <w:r>
              <w:t>d)</w:t>
            </w:r>
            <w:r>
              <w:tab/>
            </w:r>
            <w:r>
              <w:t xml:space="preserve">dato l'impatto sproporzionato dei cambiamenti climatici sulla regione artica, rafforzare con urgenza le strategie di adattamento, sostenere ampie iniziative di monitoraggio e aumentare in modo significativo gli investimenti nei programmi di ricerca, in cooperazione con i partner internazionali; </w:t>
            </w:r>
            <w:r>
              <w:rPr>
                <w:b/>
                <w:i/>
              </w:rPr>
              <w:t>aumentare il sostegno finanziario per l'uso delle energie rinnovabili nelle comunità artiche remote;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Marion Maréchal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dato l'impatto sproporzionato dei cambiamenti climatici sulla regione artica, rafforzare con urgenza le strategie di adattamento, sostenere ampie iniziative di monitoraggio e </w:t>
            </w:r>
            <w:r>
              <w:rPr>
                <w:b/>
                <w:i/>
              </w:rPr>
              <w:t>aumentare in modo significativo gli investimenti nei programmi</w:t>
            </w:r>
            <w:r>
              <w:t xml:space="preserve"> di ricerca, in cooperazione con </w:t>
            </w:r>
            <w:r>
              <w:rPr>
                <w:b/>
                <w:i/>
              </w:rPr>
              <w:t>i partner internazionali</w:t>
            </w:r>
            <w:r>
              <w:t>;</w:t>
            </w:r>
          </w:p>
        </w:tc>
        <w:tc>
          <w:tcPr>
            <w:tcW w:w="4876" w:type="dxa"/>
            <w:tcBorders>
              <w:top w:val="nil"/>
              <w:left w:val="nil"/>
              <w:bottom w:val="nil"/>
              <w:right w:val="nil"/>
            </w:tcBorders>
          </w:tcPr>
          <w:p>
            <w:pPr>
              <w:pStyle w:val="Normal6a"/>
            </w:pPr>
            <w:r>
              <w:t>d)</w:t>
            </w:r>
            <w:r>
              <w:tab/>
            </w:r>
            <w:r>
              <w:t xml:space="preserve">dato l'impatto sproporzionato dei cambiamenti climatici sulla regione artica, rafforzare con urgenza le strategie di adattamento, sostenere ampie iniziative di monitoraggio e </w:t>
            </w:r>
            <w:r>
              <w:rPr>
                <w:b/>
                <w:i/>
              </w:rPr>
              <w:t>sostenere iniziative</w:t>
            </w:r>
            <w:r>
              <w:t xml:space="preserve"> di ricerca </w:t>
            </w:r>
            <w:r>
              <w:rPr>
                <w:b/>
                <w:i/>
              </w:rPr>
              <w:t>mirate</w:t>
            </w:r>
            <w:r>
              <w:t xml:space="preserve">, in cooperazione con </w:t>
            </w:r>
            <w:r>
              <w:rPr>
                <w:b/>
                <w:i/>
              </w:rPr>
              <w:t>gli Stati membri e i paesi artici, nell'ottica di conseguire risultati tangibili e concreti</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dato l'impatto sproporzionato dei cambiamenti climatici sulla regione artica, rafforzare con urgenza le strategie di adattamento, sostenere ampie iniziative di monitoraggio </w:t>
            </w:r>
            <w:r>
              <w:rPr>
                <w:b/>
                <w:i/>
              </w:rPr>
              <w:t>e</w:t>
            </w:r>
            <w:r>
              <w:t xml:space="preserve"> aumentare in modo significativo gli investimenti nei programmi di ricerca</w:t>
            </w:r>
            <w:r>
              <w:rPr>
                <w:b/>
                <w:i/>
              </w:rPr>
              <w:t>, in cooperazione con i partner internazionali</w:t>
            </w:r>
            <w:r>
              <w:t>;</w:t>
            </w:r>
          </w:p>
        </w:tc>
        <w:tc>
          <w:tcPr>
            <w:tcW w:w="4876" w:type="dxa"/>
            <w:tcBorders>
              <w:top w:val="nil"/>
              <w:left w:val="nil"/>
              <w:bottom w:val="nil"/>
              <w:right w:val="nil"/>
            </w:tcBorders>
          </w:tcPr>
          <w:p>
            <w:pPr>
              <w:pStyle w:val="Normal6a"/>
            </w:pPr>
            <w:r>
              <w:t>d)</w:t>
            </w:r>
            <w:r>
              <w:tab/>
            </w:r>
            <w:r>
              <w:t xml:space="preserve">dato l'impatto sproporzionato dei cambiamenti climatici sulla regione artica, rafforzare con urgenza le strategie di adattamento, sostenere ampie iniziative di monitoraggio </w:t>
            </w:r>
            <w:r>
              <w:rPr>
                <w:b/>
                <w:i/>
              </w:rPr>
              <w:t>ed esaminare le opzioni possibili per</w:t>
            </w:r>
            <w:r>
              <w:t xml:space="preserve"> aumentare in modo significativo gli investimenti nei programmi di ricerca </w:t>
            </w:r>
            <w:r>
              <w:rPr>
                <w:b/>
                <w:i/>
              </w:rPr>
              <w:t>che hanno anche una dimensione di politica di sicurezza</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d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integrare pienamente le raccomandazioni della dichiarazione di Kiruna nella sua politica per l'Artico, tra l'altro anche:</w:t>
            </w:r>
            <w:r>
              <w:t xml:space="preserve"> </w:t>
            </w:r>
            <w:r>
              <w:rPr>
                <w:b/>
                <w:i/>
              </w:rPr>
              <w:t>sostenendo un aumento dei finanziamenti per le energie rinnovabili e la gestione sostenibile dei rifiuti nelle comunità artiche;</w:t>
            </w:r>
            <w:r>
              <w:t xml:space="preserve"> </w:t>
            </w:r>
            <w:r>
              <w:rPr>
                <w:b/>
                <w:i/>
              </w:rPr>
              <w:t>rafforzando i meccanismi finalizzati a una partecipazione significativa dei popoli indigeni alla governance e ai processi decisionali dell'Artico;</w:t>
            </w:r>
            <w:r>
              <w:t xml:space="preserve"> </w:t>
            </w:r>
            <w:r>
              <w:rPr>
                <w:b/>
                <w:i/>
              </w:rPr>
              <w:t>migliorando la sicurezza civile e le capacità di risposta alle emergenze nelle regioni artiche, comprese le infrastrutture di ricerca e soccorso e di risposta alle catastrofi, e integrando le conoscenze tradizionali nei piani di preparazione;</w:t>
            </w:r>
            <w:r>
              <w:t xml:space="preserve"> </w:t>
            </w:r>
            <w:r>
              <w:rPr>
                <w:b/>
                <w:i/>
              </w:rPr>
              <w:t>promuovendo partenariati interdisciplinari in materia di ricerca e istruzione, incluso il sostegno ai giovani e alle istituzioni locali e indigene dell'Artico, al fine di sviluppare le capacità per far fronte alle sfide ambientali, economiche e sociali;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d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riconoscere che, mentre i cambiamenti climatici mettono in pericolo gli ecosistemi artici, l'aumento delle temperature provoca anche importanti ripercussioni sociali in tali regioni, il che evidenzia la necessità di porre le persone che vivono nell'Artico al centro della ricerca e dei benefici che essa genera, con l'obiettivo di ottenere maggiori informazioni su come le comunità locali potrebbero adattarsi meglio alle conseguenze dei cambiamenti climatici e diventare più resilienti;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d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riconoscere che, mentre i cambiamenti climatici mettono in pericolo gli ecosistemi artici, l'aumento delle temperature provoca anche importanti ripercussioni sociali in tali regioni, il che evidenzia la necessità di porre le persone che vivono nell'Artico al centro della ricerca e dei benefici che essa genera, con l'obiettivo di ottenere maggiori informazioni su come le comunità locali potrebbero adattarsi meglio alle conseguenze dei cambiamenti climatici e diventare più resilienti;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d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riconoscere che, mentre i cambiamenti climatici mettono in pericolo gli ecosistemi artici, l'aumento delle temperature provoca anche importanti ripercussioni sociali in tali regioni, il che evidenzia la necessità di porre le persone che vivono nell'Artico al centro della ricerca e dei benefici che essa genera, con l'obiettivo di ottenere maggiori informazioni su come le comunità locali potrebbero adattarsi meglio alle conseguenze dei cambiamenti climatici e diventare più resilienti;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Liudas Mažylis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d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adoperarsi, dato il potenziale delle nuove rotte di navigazione transartiche, affinché sia istituito un regime internazionale vincolante di responsabilità ambientale, che garantisca la piena assunzione di responsabilità per quanto riguarda gli incidenti e i danni ecologici nelle acque dell'Artico da parte dei soggetti che inquinano;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d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ter)</w:t>
            </w:r>
            <w:r>
              <w:tab/>
            </w:r>
            <w:r>
              <w:rPr>
                <w:b/>
                <w:i/>
              </w:rPr>
              <w:t>riconoscere che le attività dell'UE nell'Artico devono essere allineate con le attività di sviluppo attuate dall'UE nelle sue zone di frontiera nordorientali e sostenerle, al fine di massimizzare l'influenza positiva che queste avranno sullo sviluppo e sui mezzi di sussistenza dell'Artico europeo;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d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ter)</w:t>
            </w:r>
            <w:r>
              <w:tab/>
            </w:r>
            <w:r>
              <w:rPr>
                <w:b/>
                <w:i/>
              </w:rPr>
              <w:t>esprimere preoccupazione per il fatto che l'espansione e la modernizzazione da parte della Russia delle capacità della propria flotta rompighiaccio a propulsione nucleare nell'ambito del progetto 22220 possano favorire non soltanto la navigazione civile e lo sviluppo economico, ma anche, di fatto, all'acquisizione di un'influenza militare sulle rotte marittime dell'Artico;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Pierre-Romain Thionnet,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data l'importanza delle risorse naturali dell'Artico, compresi gli idrocarburi, gli elementi delle terre rare e le risorse ittiche, e in collaborazione con gli Stati membri, rafforzare i partenariati con la Groenlandia e gli altri portatori di interessi nell'Artico nell'ambito dell'estrazione sostenibile delle risorse, nel </w:t>
            </w:r>
            <w:r>
              <w:rPr>
                <w:b/>
                <w:i/>
              </w:rPr>
              <w:t>rigoroso</w:t>
            </w:r>
            <w:r>
              <w:t xml:space="preserve"> rispetto delle normative </w:t>
            </w:r>
            <w:r>
              <w:rPr>
                <w:b/>
                <w:i/>
              </w:rPr>
              <w:t>ambientali</w:t>
            </w:r>
            <w:r>
              <w:t>;</w:t>
            </w:r>
          </w:p>
        </w:tc>
        <w:tc>
          <w:tcPr>
            <w:tcW w:w="4876" w:type="dxa"/>
            <w:tcBorders>
              <w:top w:val="nil"/>
              <w:left w:val="nil"/>
              <w:bottom w:val="nil"/>
              <w:right w:val="nil"/>
            </w:tcBorders>
          </w:tcPr>
          <w:p>
            <w:pPr>
              <w:pStyle w:val="Normal6a"/>
            </w:pPr>
            <w:r>
              <w:t>e)</w:t>
            </w:r>
            <w:r>
              <w:tab/>
            </w:r>
            <w:r>
              <w:t xml:space="preserve">data l'importanza delle risorse naturali dell'Artico, compresi gli idrocarburi, gli elementi delle terre rare e le risorse ittiche, e in collaborazione con gli Stati membri, rafforzare i partenariati con la Groenlandia e gli altri portatori di interessi nell'Artico nell'ambito dell'estrazione sostenibile delle risorse, nel rispetto delle normative </w:t>
            </w:r>
            <w:r>
              <w:rPr>
                <w:b/>
                <w:i/>
              </w:rPr>
              <w:t>che tutelano l'ambiente e che evitano, nel contempo, l'imposizione di limitazioni proibitive a possibili operazioni commerciali</w:t>
            </w:r>
            <w:r>
              <w:t xml:space="preserve">; </w:t>
            </w:r>
            <w:r>
              <w:rPr>
                <w:b/>
                <w:i/>
              </w:rPr>
              <w:t>sottolineare che l'eccessiva regolamentazione ambientale è stata il principale fattore alla base della chiusura delle operazioni di estrazione di terre rare nell'UE e in gran parte dell'Occidente negli anni '80 e '90, il che ha contribuito al conseguimento da parte della Cina della sua attuale posizione di monopolio sulle materie prime critiche e comportato ripercussioni sull'ambiente a livello mondiale nettamente peggiori rispetto a quanto sarebbe avvenuto se tali risorse fossero state estratte in Europa, esponendo nel contempo gli Stati membri dell'UE alla coercizione economica e strategica di paesi terzi e rallentando la diffusione sul mercato di tecnologie più pulite;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data l'importanza delle risorse naturali dell'Artico, compresi gli idrocarburi, gli elementi delle terre rare e le risorse ittiche, e in collaborazione con gli Stati membri, rafforzare i partenariati con la Groenlandia e gli altri portatori di interessi nell'Artico nell'ambito dell'estrazione sostenibile delle risorse, nel rigoroso rispetto delle normative ambientali;</w:t>
            </w:r>
          </w:p>
        </w:tc>
        <w:tc>
          <w:tcPr>
            <w:tcW w:w="4876" w:type="dxa"/>
            <w:tcBorders>
              <w:top w:val="nil"/>
              <w:left w:val="nil"/>
              <w:bottom w:val="nil"/>
              <w:right w:val="nil"/>
            </w:tcBorders>
          </w:tcPr>
          <w:p>
            <w:pPr>
              <w:pStyle w:val="Normal6a"/>
            </w:pPr>
            <w:r>
              <w:t>e)</w:t>
            </w:r>
            <w:r>
              <w:tab/>
            </w:r>
            <w:r>
              <w:t>data l'importanza delle risorse naturali dell'Artico, compresi gli idrocarburi, gli elementi delle terre rare e le risorse ittiche, e in collaborazione con gli Stati membri</w:t>
            </w:r>
            <w:r>
              <w:rPr>
                <w:b/>
                <w:i/>
              </w:rPr>
              <w:t>, trovare di comune accordo una via da seguire</w:t>
            </w:r>
            <w:r>
              <w:t xml:space="preserve">, rafforzare i partenariati con la Groenlandia e gli altri portatori di interessi nell'Artico nell'ambito dell'estrazione sostenibile delle risorse, nel rigoroso rispetto delle normative ambientali; </w:t>
            </w:r>
            <w:r>
              <w:rPr>
                <w:b/>
                <w:i/>
              </w:rPr>
              <w:t>ricordare che una tale cooperazione in materia di risorse naturali contribuirebbe anche a ridurre la dipendenza dell'UE dalla Cina e da altri fornitori inaffidabili;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David McAllister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data l'importanza delle risorse naturali dell'Artico, compresi gli idrocarburi, gli elementi delle terre rare e le risorse ittiche, e in collaborazione con gli Stati membri, rafforzare i partenariati con la Groenlandia e gli altri portatori di interessi nell'Artico nell'ambito dell'estrazione sostenibile delle risorse, nel rigoroso rispetto delle normative ambientali;</w:t>
            </w:r>
          </w:p>
        </w:tc>
        <w:tc>
          <w:tcPr>
            <w:tcW w:w="4876" w:type="dxa"/>
            <w:tcBorders>
              <w:top w:val="nil"/>
              <w:left w:val="nil"/>
              <w:bottom w:val="nil"/>
              <w:right w:val="nil"/>
            </w:tcBorders>
          </w:tcPr>
          <w:p>
            <w:pPr>
              <w:pStyle w:val="Normal6a"/>
            </w:pPr>
            <w:r>
              <w:t>e)</w:t>
            </w:r>
            <w:r>
              <w:tab/>
            </w:r>
            <w:r>
              <w:t xml:space="preserve">data l'importanza delle risorse naturali dell'Artico, compresi gli idrocarburi, gli elementi delle terre rare e le risorse ittiche, e in collaborazione con gli Stati membri, rafforzare i partenariati con la Groenlandia e gli altri portatori di interessi nell'Artico nell'ambito dell'estrazione sostenibile delle risorse, nel rigoroso rispetto delle normative ambientali </w:t>
            </w:r>
            <w:r>
              <w:rPr>
                <w:b/>
                <w:i/>
              </w:rPr>
              <w:t>e tenendo sempre conto del fatto che è nell'interesse strategico dell'UE assicurarsi l'accesso a materie prime critiche provenienti da partner affidabili e affini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data l'importanza delle risorse naturali dell'Artico, compresi gli idrocarburi, gli elementi delle terre rare e le risorse ittiche, e in collaborazione con gli Stati membri, rafforzare i partenariati con la Groenlandia e gli altri portatori di interessi nell'Artico nell'ambito dell'estrazione sostenibile delle risorse, nel rigoroso rispetto delle normative ambientali;</w:t>
            </w:r>
          </w:p>
        </w:tc>
        <w:tc>
          <w:tcPr>
            <w:tcW w:w="4876" w:type="dxa"/>
            <w:tcBorders>
              <w:top w:val="nil"/>
              <w:left w:val="nil"/>
              <w:bottom w:val="nil"/>
              <w:right w:val="nil"/>
            </w:tcBorders>
          </w:tcPr>
          <w:p>
            <w:pPr>
              <w:pStyle w:val="Normal6a"/>
            </w:pPr>
            <w:r>
              <w:t>e)</w:t>
            </w:r>
            <w:r>
              <w:tab/>
            </w:r>
            <w:r>
              <w:t xml:space="preserve">data l'importanza delle risorse naturali dell'Artico, compresi gli idrocarburi, gli elementi delle terre rare e le risorse ittiche, e in collaborazione con gli Stati membri, rafforzare i partenariati con la Groenlandia e gli altri portatori di interessi nell'Artico nell'ambito dell'estrazione sostenibile delle risorse, nel rigoroso rispetto delle normative ambientali; </w:t>
            </w:r>
            <w:r>
              <w:rPr>
                <w:b/>
                <w:i/>
              </w:rPr>
              <w:t>sottolineare le conseguenze nefaste derivanti dal mancato rispetto di tali norme, come dimostrato dal disastro petrolifero di Norilsk nel 2020;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Łukasz Kohut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data l'importanza delle risorse naturali dell'Artico, compresi gli idrocarburi, gli elementi delle terre rare e le risorse ittiche, e in collaborazione con gli Stati membri, rafforzare i partenariati con la Groenlandia e gli altri portatori di interessi nell'Artico nell'ambito dell'estrazione sostenibile delle risorse, nel rigoroso rispetto delle normative ambientali;</w:t>
            </w:r>
          </w:p>
        </w:tc>
        <w:tc>
          <w:tcPr>
            <w:tcW w:w="4876" w:type="dxa"/>
            <w:tcBorders>
              <w:top w:val="nil"/>
              <w:left w:val="nil"/>
              <w:bottom w:val="nil"/>
              <w:right w:val="nil"/>
            </w:tcBorders>
          </w:tcPr>
          <w:p>
            <w:pPr>
              <w:pStyle w:val="Normal6a"/>
            </w:pPr>
            <w:r>
              <w:t>e)</w:t>
            </w:r>
            <w:r>
              <w:tab/>
            </w:r>
            <w:r>
              <w:t xml:space="preserve">data l'importanza delle risorse naturali dell'Artico, compresi gli idrocarburi, gli elementi delle terre rare e le risorse ittiche, e in collaborazione con gli Stati membri, rafforzare i partenariati con la Groenlandia e gli altri portatori di interessi nell'Artico nell'ambito dell'estrazione sostenibile delle risorse, </w:t>
            </w:r>
            <w:r>
              <w:rPr>
                <w:b/>
                <w:i/>
              </w:rPr>
              <w:t>della crescita della popolazione e della rivitalizzazione delle comunità locali,</w:t>
            </w:r>
            <w:r>
              <w:t xml:space="preserve"> nel rigoroso rispetto delle normative ambientali;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data l'importanza delle risorse naturali dell'Artico, compresi gli idrocarburi, gli elementi delle terre rare e le risorse ittiche, e in collaborazione con gli Stati membri, rafforzare i partenariati con la Groenlandia e gli altri portatori di interessi nell'Artico nell'ambito dell'estrazione sostenibile delle risorse, nel rigoroso rispetto delle normative ambientali;</w:t>
            </w:r>
          </w:p>
        </w:tc>
        <w:tc>
          <w:tcPr>
            <w:tcW w:w="4876" w:type="dxa"/>
            <w:tcBorders>
              <w:top w:val="nil"/>
              <w:left w:val="nil"/>
              <w:bottom w:val="nil"/>
              <w:right w:val="nil"/>
            </w:tcBorders>
          </w:tcPr>
          <w:p>
            <w:pPr>
              <w:pStyle w:val="Normal6a"/>
            </w:pPr>
            <w:r>
              <w:t>e)</w:t>
            </w:r>
            <w:r>
              <w:tab/>
            </w:r>
            <w:r>
              <w:t>data l'importanza delle risorse naturali dell'Artico, compresi gli idrocarburi, gli elementi delle terre rare e le risorse ittiche, e in collaborazione con gli Stati membri, rafforzare i partenariati con la Groenlandia e gli altri portatori di interessi nell'Artico</w:t>
            </w:r>
            <w:r>
              <w:rPr>
                <w:b/>
                <w:i/>
              </w:rPr>
              <w:t>, comprese le comunità indigene,</w:t>
            </w:r>
            <w:r>
              <w:t xml:space="preserve"> nell'ambito dell'estrazione sostenibile delle risorse, nel rigoroso rispetto delle normative ambientali;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data l'importanza delle risorse naturali dell'Artico, compresi gli idrocarburi, gli elementi delle terre rare e le risorse ittiche, e in collaborazione con gli Stati membri, rafforzare i partenariati con la Groenlandia e gli altri portatori di interessi nell'Artico nell'ambito dell'estrazione sostenibile delle risorse, nel rigoroso rispetto delle normative ambientali;</w:t>
            </w:r>
          </w:p>
        </w:tc>
        <w:tc>
          <w:tcPr>
            <w:tcW w:w="4876" w:type="dxa"/>
            <w:tcBorders>
              <w:top w:val="nil"/>
              <w:left w:val="nil"/>
              <w:bottom w:val="nil"/>
              <w:right w:val="nil"/>
            </w:tcBorders>
          </w:tcPr>
          <w:p>
            <w:pPr>
              <w:pStyle w:val="Normal6a"/>
            </w:pPr>
            <w:r>
              <w:t>e)</w:t>
            </w:r>
            <w:r>
              <w:tab/>
            </w:r>
            <w:r>
              <w:t>data l'importanza delle risorse naturali dell'Artico, compresi gli idrocarburi, gli elementi delle terre rare e le risorse ittiche, e in collaborazione con gli Stati membri</w:t>
            </w:r>
            <w:r>
              <w:rPr>
                <w:b/>
                <w:i/>
              </w:rPr>
              <w:t>, al fine di sostenere la crescita economica in Europa</w:t>
            </w:r>
            <w:r>
              <w:t>, rafforzare i partenariati con la Groenlandia e gli altri portatori di interessi nell'Artico nell'ambito dell'estrazione sostenibile delle risorse, nel rigoroso rispetto delle normative ambientali;</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data l'importanza delle risorse naturali dell'Artico, compresi gli idrocarburi, gli elementi delle terre rare e le risorse ittiche, e in collaborazione con gli Stati membri, rafforzare i partenariati con la Groenlandia e gli altri portatori di interessi nell'Artico nell'ambito dell'estrazione sostenibile delle risorse, nel rigoroso rispetto delle normative ambientali;</w:t>
            </w:r>
          </w:p>
        </w:tc>
        <w:tc>
          <w:tcPr>
            <w:tcW w:w="4876" w:type="dxa"/>
            <w:tcBorders>
              <w:top w:val="nil"/>
              <w:left w:val="nil"/>
              <w:bottom w:val="nil"/>
              <w:right w:val="nil"/>
            </w:tcBorders>
          </w:tcPr>
          <w:p>
            <w:pPr>
              <w:pStyle w:val="Normal6a"/>
            </w:pPr>
            <w:r>
              <w:t>e)</w:t>
            </w:r>
            <w:r>
              <w:tab/>
            </w:r>
            <w:r>
              <w:t>data l'importanza delle risorse naturali dell'Artico, compresi gli idrocarburi, gli elementi delle terre rare</w:t>
            </w:r>
            <w:r>
              <w:rPr>
                <w:b/>
                <w:i/>
              </w:rPr>
              <w:t>, le materie prime critiche</w:t>
            </w:r>
            <w:r>
              <w:t xml:space="preserve"> e le risorse ittiche, e in collaborazione con gli Stati membri, rafforzare i partenariati con la Groenlandia e gli altri portatori di interessi nell'Artico nell'ambito dell'estrazione sostenibile delle risorse, nel rigoroso rispetto delle normative ambientali;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e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bis)</w:t>
            </w:r>
            <w:r>
              <w:tab/>
            </w:r>
            <w:r>
              <w:rPr>
                <w:b/>
                <w:i/>
              </w:rPr>
              <w:t>riconoscere che il sostegno dell'UE allo sviluppo e alla collaborazione nell'Artico è essenziale per promuovere le relazioni, la fiducia e la capacità di sviluppo nelle zone settentrionali vulnerabili e scarsamente popolate, il che è importante per contenere le tensioni, migliorare la preparazione, adattarsi alla chisura delle frontiere con la Russia e creare nuove rotte commerciali e partenariati tra est e ovest, rafforzando in tal modo la resilienza e le capacità di difesa dell'Artico europeo a vantaggio degli interessi strategici e dell'autonomia europei;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e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bis)</w:t>
            </w:r>
            <w:r>
              <w:tab/>
            </w:r>
            <w:r>
              <w:rPr>
                <w:b/>
                <w:i/>
              </w:rPr>
              <w:t>riconoscere che il sostegno dell'UE allo sviluppo e alla collaborazione nell'Artico è essenziale per promuovere le relazioni, la fiducia e la capacità di sviluppo nelle zone settentrionali vulnerabili e scarsamente popolate, il che è importante per contenere le tensioni, migliorare la preparazione, adattarsi alla chisura delle frontiere con la Russia e creare nuove rotte commerciali e partenariati tra est e ovest, rafforzando in tal modo la resilienza e le capacità di difesa dell'Artico europeo a vantaggio degli interessi strategici e dell'autonomia europei;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e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bis)</w:t>
            </w:r>
            <w:r>
              <w:tab/>
            </w:r>
            <w:r>
              <w:rPr>
                <w:b/>
                <w:i/>
              </w:rPr>
              <w:t>condannare la continua militarizzazione dell'Artico russo, compresi lo sviluppo di infrastrutture a duplice uso, il dispiegamento di sistemi d'arma strategici e le esercitazioni navali lungo rotte marittime critiche;</w:t>
            </w:r>
            <w:r>
              <w:t xml:space="preserve"> </w:t>
            </w:r>
            <w:r>
              <w:rPr>
                <w:b/>
                <w:i/>
              </w:rPr>
              <w:t>chiedere un rafforzamento del meccanismo di coordinamento UE-NATO in materia di consapevolezza situazionale dell'Artico, monitoraggio satellitare ed esercitazioni marittime congiunte, al fine di garantire la capacità di deterrenza e la libertà di navigazione, in conformità della convenzione delle Nazioni Unite sul diritto del mare;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Roberto Vannacci, Susanna Ceccardi, Silvia Sardone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e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bis)</w:t>
            </w:r>
            <w:r>
              <w:tab/>
            </w:r>
            <w:r>
              <w:rPr>
                <w:b/>
                <w:i/>
              </w:rPr>
              <w:t>sottolineare l'importanza dell'Artico per la sicurezza energetica dell'UE;</w:t>
            </w:r>
            <w:r>
              <w:t xml:space="preserve"> </w:t>
            </w:r>
            <w:r>
              <w:rPr>
                <w:b/>
                <w:i/>
              </w:rPr>
              <w:t>sostenere la necessità di un rafforzamento della politica nel settore dell'efficienza energetica, al fine di ridurre in modo significativo la dipendenza dell'Unione da fonti esterne;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Roberto Vannacci, Susanna Ceccardi, Silvia Sardone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e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ter)</w:t>
            </w:r>
            <w:r>
              <w:tab/>
            </w:r>
            <w:r>
              <w:rPr>
                <w:b/>
                <w:i/>
              </w:rPr>
              <w:t>osservare che l'Artico è ricco di risorse minerarie ed evidenziare il ruolo fondamentale svolto dall'Artico europeo nell'approvvigionamento di materie prime;</w:t>
            </w:r>
            <w:r>
              <w:t xml:space="preserve"> </w:t>
            </w:r>
            <w:r>
              <w:rPr>
                <w:b/>
                <w:i/>
              </w:rPr>
              <w:t>osservare inoltre che la maggior parte delle materie prime critiche dell'UE si trova nell'Artico, situazione che, se ben gestita, potrebbe contribuire a rafforzare l'autonomia strategica dell'Unione;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e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ter)</w:t>
            </w:r>
            <w:r>
              <w:tab/>
            </w:r>
            <w:r>
              <w:rPr>
                <w:b/>
                <w:i/>
              </w:rPr>
              <w:t>approfondire i partenariati con la Groenlandia e altri portatori di interessi dell'Artico nel settore delle materie prime critiche e della pesca, assicurando l'applicazione delle migliori garanzie ambientali e il consenso libero, preventivo e informato per quanto riguarda i diritti dei popoli indigeni;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e quater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quater)</w:t>
            </w:r>
            <w:r>
              <w:tab/>
            </w:r>
            <w:r>
              <w:rPr>
                <w:b/>
                <w:i/>
              </w:rPr>
              <w:t>evidenziare l'importanza dell'esercitazione Arctic Light 2025 condotta dalla Danimarca, che si è svolta dal 9 al 19 settembre 2025 in Groenlandia e nei dintorni e ha riunito oltre 550 militari provenienti dalla Danimarca e dagli alleati della NATO con l'obiettivo di rafforzare la prontezza operativa delle forze armate e la cooperazione civile-militare, migliorare l'interoperabilità e rafforzare le capacità di risposta congiunta contro le diverse minacce che incombono sulla Groenlandia, sul Regno di Danimarca e sulla NATO sia nelle regioni dell'Atlantico settentrionale che dell'Artico;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alla luce della profonda preoccupazione del Parlamento per la crescente importanza geopolitica della Groenlandia, aggravata dalle dichiarazioni di attori esterni che mettono in discussione le disposizioni costituzionali della Danimarca, riaffermare il rispetto del diritto all'autodeterminazione della Groenlandia, sottolineando che le decisioni relative al futuro costituzionale e alle relazioni internazionali della Groenlandia spettano esclusivamente ai cittadini groenlandesi, senza pressioni esterne;</w:t>
            </w:r>
          </w:p>
        </w:tc>
        <w:tc>
          <w:tcPr>
            <w:tcW w:w="4876" w:type="dxa"/>
            <w:tcBorders>
              <w:top w:val="nil"/>
              <w:left w:val="nil"/>
              <w:bottom w:val="nil"/>
              <w:right w:val="nil"/>
            </w:tcBorders>
          </w:tcPr>
          <w:p>
            <w:pPr>
              <w:pStyle w:val="Normal6a"/>
            </w:pPr>
            <w:r>
              <w:t>f)</w:t>
            </w:r>
            <w:r>
              <w:tab/>
            </w:r>
            <w:r>
              <w:t>alla luce della profonda preoccupazione del Parlamento per la crescente importanza geopolitica della Groenlandia, aggravata dalle dichiarazioni di attori esterni che mettono in discussione le disposizioni costituzionali della Danimarca</w:t>
            </w:r>
            <w:r>
              <w:rPr>
                <w:b/>
                <w:i/>
              </w:rPr>
              <w:t>, oltre che dalle segnalazioni di interferenze straniere nei suoi affari interni</w:t>
            </w:r>
            <w:r>
              <w:t>, riaffermare il rispetto del diritto all'autodeterminazione della Groenlandia, sottolineando che le decisioni relative al futuro costituzionale e alle relazioni internazionali della Groenlandia spettano esclusivamente ai cittadini groenlandesi, senza pressioni esterne;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alla luce della profonda preoccupazione del Parlamento per la crescente importanza geopolitica della Groenlandia, aggravata dalle dichiarazioni </w:t>
            </w:r>
            <w:r>
              <w:rPr>
                <w:b/>
                <w:i/>
              </w:rPr>
              <w:t>di attori esterni</w:t>
            </w:r>
            <w:r>
              <w:t xml:space="preserve"> che mettono in discussione le disposizioni costituzionali della Danimarca, riaffermare il rispetto del diritto all'autodeterminazione della Groenlandia, sottolineando che le decisioni relative al futuro costituzionale e alle relazioni internazionali della Groenlandia spettano esclusivamente ai cittadini groenlandesi, senza pressioni esterne;</w:t>
            </w:r>
          </w:p>
        </w:tc>
        <w:tc>
          <w:tcPr>
            <w:tcW w:w="4876" w:type="dxa"/>
            <w:tcBorders>
              <w:top w:val="nil"/>
              <w:left w:val="nil"/>
              <w:bottom w:val="nil"/>
              <w:right w:val="nil"/>
            </w:tcBorders>
          </w:tcPr>
          <w:p>
            <w:pPr>
              <w:pStyle w:val="Normal6a"/>
            </w:pPr>
            <w:r>
              <w:t>f)</w:t>
            </w:r>
            <w:r>
              <w:tab/>
            </w:r>
            <w:r>
              <w:t xml:space="preserve">alla luce della profonda preoccupazione del Parlamento per la crescente importanza geopolitica della Groenlandia, aggravata dalle dichiarazioni </w:t>
            </w:r>
            <w:r>
              <w:rPr>
                <w:b/>
                <w:i/>
              </w:rPr>
              <w:t>aggressive rese dagli Stati Uniti,</w:t>
            </w:r>
            <w:r>
              <w:t xml:space="preserve"> che mettono in discussione le disposizioni costituzionali </w:t>
            </w:r>
            <w:r>
              <w:rPr>
                <w:b/>
                <w:i/>
              </w:rPr>
              <w:t>e la sovranità</w:t>
            </w:r>
            <w:r>
              <w:t xml:space="preserve"> della Danimarca, riaffermare il rispetto del diritto all'autodeterminazione della Groenlandia, sottolineando che le decisioni relative al futuro costituzionale e alle relazioni internazionali della Groenlandia spettano esclusivamente ai cittadini groenlandesi, senza pressioni esterne;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Pierre-Romain Thionnet,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alla luce della profonda preoccupazione del Parlamento per la crescente importanza geopolitica della Groenlandia, aggravata dalle dichiarazioni </w:t>
            </w:r>
            <w:r>
              <w:rPr>
                <w:b/>
                <w:i/>
              </w:rPr>
              <w:t>di attori esterni</w:t>
            </w:r>
            <w:r>
              <w:t xml:space="preserve"> che mettono in discussione le disposizioni costituzionali della Danimarca, riaffermare il rispetto del diritto all'autodeterminazione della Groenlandia, sottolineando che le decisioni relative al futuro costituzionale e alle relazioni internazionali della Groenlandia spettano esclusivamente ai cittadini groenlandesi, senza pressioni esterne;</w:t>
            </w:r>
          </w:p>
        </w:tc>
        <w:tc>
          <w:tcPr>
            <w:tcW w:w="4876" w:type="dxa"/>
            <w:tcBorders>
              <w:top w:val="nil"/>
              <w:left w:val="nil"/>
              <w:bottom w:val="nil"/>
              <w:right w:val="nil"/>
            </w:tcBorders>
          </w:tcPr>
          <w:p>
            <w:pPr>
              <w:pStyle w:val="Normal6a"/>
            </w:pPr>
            <w:r>
              <w:t>f)</w:t>
            </w:r>
            <w:r>
              <w:tab/>
            </w:r>
            <w:r>
              <w:t xml:space="preserve">alla luce della profonda preoccupazione del Parlamento per la crescente importanza geopolitica della Groenlandia, aggravata dalle dichiarazioni </w:t>
            </w:r>
            <w:r>
              <w:rPr>
                <w:b/>
                <w:i/>
              </w:rPr>
              <w:t>rese dall'attuale amministrazione statunitense,</w:t>
            </w:r>
            <w:r>
              <w:t xml:space="preserve"> che mettono in discussione le disposizioni costituzionali della Danimarca, riaffermare il rispetto del diritto all'autodeterminazione della Groenlandia, sottolineando che le decisioni relative al futuro costituzionale e alle relazioni internazionali della Groenlandia spettano esclusivamente ai cittadini groenlandesi, senza pressioni esterne;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alla luce della profonda preoccupazione del Parlamento per la crescente importanza geopolitica della Groenlandia, aggravata dalle dichiarazioni di attori esterni che mettono in discussione le disposizioni costituzionali della Danimarca, riaffermare il rispetto del diritto all'autodeterminazione della Groenlandia, sottolineando che le decisioni relative al futuro costituzionale e alle relazioni internazionali della Groenlandia spettano esclusivamente </w:t>
            </w:r>
            <w:r>
              <w:rPr>
                <w:b/>
                <w:i/>
              </w:rPr>
              <w:t>ai cittadini groenlandesi</w:t>
            </w:r>
            <w:r>
              <w:t>, senza pressioni esterne;</w:t>
            </w:r>
          </w:p>
        </w:tc>
        <w:tc>
          <w:tcPr>
            <w:tcW w:w="4876" w:type="dxa"/>
            <w:tcBorders>
              <w:top w:val="nil"/>
              <w:left w:val="nil"/>
              <w:bottom w:val="nil"/>
              <w:right w:val="nil"/>
            </w:tcBorders>
          </w:tcPr>
          <w:p>
            <w:pPr>
              <w:pStyle w:val="Normal6a"/>
            </w:pPr>
            <w:r>
              <w:t>f)</w:t>
            </w:r>
            <w:r>
              <w:tab/>
            </w:r>
            <w:r>
              <w:t xml:space="preserve">alla luce della profonda preoccupazione del Parlamento per la crescente importanza geopolitica della Groenlandia, aggravata dalle dichiarazioni di attori esterni che mettono in discussione le disposizioni costituzionali della Danimarca, riaffermare il rispetto del diritto all'autodeterminazione della Groenlandia, sottolineando che le decisioni relative al futuro costituzionale e alle relazioni internazionali della Groenlandia spettano esclusivamente </w:t>
            </w:r>
            <w:r>
              <w:rPr>
                <w:b/>
                <w:i/>
              </w:rPr>
              <w:t>al popolo groenlandese</w:t>
            </w:r>
            <w:r>
              <w:t>, senza pressioni esterne;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f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riconoscere che la competitività e la gestione delle crisi in un contesto di politica di sicurezza complesso dipendono dalla presenza di società forti e innovative, comprese comunità indigene dotate di potere e protezione, e imprese locali con capacità proprie, oltre che dalla cooperazione transfrontaliera tra responsabili politici, ricercatori, imprese e comunità, e che l'UE deve, intrattenendo una stretta collaborazione con le popolazioni locali e un dialogo con gli Stati e gli organismi regionali pertinenti, continuare a sostenere lo sviluppo delle capacità di comunità artiche più resilienti e sostenibili;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f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riconoscere che la competitività e la gestione delle crisi in un contesto di politica di sicurezza complesso dipendono dalla presenza di società forti e innovative e imprese locali con capacità proprie, oltre che dalla cooperazione transfrontaliera tra responsabili politici, ricercatori, imprese e comunità, e che l'UE deve, intrattenendo un costante dialogo con gli Stati e gli organismi regionali pertinenti, continuare a sostenere lo sviluppo delle capacità di comunità artiche più resilienti e sostenibili;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f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prendere atto della raccomandazione, contenuta nella politica estera, di sicurezza e di difesa della Groenlandia per il periodo 2024-2033, di istituire a Nuuk un centro per la pace che incentivi il dialogo, agevoli la ricerca e la mediazione, promuova misure volte al rafforzamento della fiducia e sostenga l'obiettivo della Groenlandia di mantenere la pace e contenere le tensioni nella regione artica;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Roberto Vannacci, Susanna Ceccardi, Silvia Sardone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f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chiedere un maggiore accesso alle infrastrutture digitali e una migliore connettività digitale nell'Artico, il che favorirebbe l'imprenditorialità, l'innovazione e la diversificazione dello sviluppo economico;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f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ter)</w:t>
            </w:r>
            <w:r>
              <w:tab/>
            </w:r>
            <w:r>
              <w:rPr>
                <w:b/>
                <w:i/>
              </w:rPr>
              <w:t>accogliere con favore il fatto che la Danimarca abbia impegnato circa 14,6 miliardi di DKK, ossia 1,95 miliardi di EUR, a favore del rafforzamento della sicurezza nell'Artico e nell'Atlantico settentrionale, in particolare per l'acquisizione di nuove navi militari, droni a lungo raggio e una maggiore capacità satellitare;</w:t>
            </w:r>
            <w:r>
              <w:t xml:space="preserve"> </w:t>
            </w:r>
            <w:r>
              <w:rPr>
                <w:b/>
                <w:i/>
              </w:rPr>
              <w:t>prendere in considerazione la possibilità di effettuare investimenti analoghi nell'ambito della politica per l'Artico, rafforzando le capacità dell'Unione in materia di sorveglianza, sicurezza marittima e infrastrutture di difesa nella regione, garantendo nel contempo il rispetto dei diritti umani, la protezione dell'ambiente e la salvaguardia degli interessi delle comunità locali;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Roberto Vannacci, Susanna Ceccardi, Silvia Sardone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f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ter)</w:t>
            </w:r>
            <w:r>
              <w:tab/>
            </w:r>
            <w:r>
              <w:rPr>
                <w:b/>
                <w:i/>
              </w:rPr>
              <w:t>ritenere che un aumento degli investimenti nella regione artica potrebbe contribuire allo sviluppo economico, sociale e sostenibile a beneficio delle comunità artiche, in particolare nei settori dell'energia, dei trasporti e delle infrastrutture;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Roberto Vannacci, Susanna Ceccardi, Silvia Sardone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f quater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quater)</w:t>
            </w:r>
            <w:r>
              <w:tab/>
            </w:r>
            <w:r>
              <w:rPr>
                <w:b/>
                <w:i/>
              </w:rPr>
              <w:t>sottolineare che le lunghe distanze e la presenza di zone scarsamente popolate rendono necessario un rafforzamento della connettività, dell'accessibilità e dell'integrazione delle comunità attraverso investimenti nelle tecnologie dell'informazione e della comunicazione nonché nelle infrastrutture di trasporto (ferroviario, marittimo, terrestre e aereo);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data la necessità di rispettare e promuovere i diritti dei popoli indigeni in tutta la regione artica, adoperarsi per integrare le conoscenze indigene nei processi ambientali e di elaborazione delle politiche;</w:t>
            </w:r>
          </w:p>
        </w:tc>
        <w:tc>
          <w:tcPr>
            <w:tcW w:w="4876" w:type="dxa"/>
            <w:tcBorders>
              <w:top w:val="nil"/>
              <w:left w:val="nil"/>
              <w:bottom w:val="nil"/>
              <w:right w:val="nil"/>
            </w:tcBorders>
          </w:tcPr>
          <w:p>
            <w:pPr>
              <w:pStyle w:val="Normal6a"/>
            </w:pPr>
            <w:r>
              <w:t>g)</w:t>
            </w:r>
            <w:r>
              <w:tab/>
            </w:r>
            <w:r>
              <w:t xml:space="preserve">data la necessità di rispettare e promuovere i diritti dei popoli indigeni in tutta la regione artica, adoperarsi per integrare le conoscenze indigene nei processi ambientali e di elaborazione delle politiche; </w:t>
            </w:r>
            <w:r>
              <w:rPr>
                <w:b/>
                <w:i/>
              </w:rPr>
              <w:t>rispettare l'articolo 19 della dichiarazione delle Nazioni Unite sui diritti dei popoli indigeni, in cui si afferma la necessità ottenere di il loro libero, previo e informato consenso prima di adottare e applicare misure legislative o amministrative che potrebbero riguardarli;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data la necessità di rispettare e promuovere i diritti dei popoli indigeni in tutta la regione artica, adoperarsi per integrare le conoscenze indigene nei processi ambientali e di elaborazione delle politiche;</w:t>
            </w:r>
          </w:p>
        </w:tc>
        <w:tc>
          <w:tcPr>
            <w:tcW w:w="4876" w:type="dxa"/>
            <w:tcBorders>
              <w:top w:val="nil"/>
              <w:left w:val="nil"/>
              <w:bottom w:val="nil"/>
              <w:right w:val="nil"/>
            </w:tcBorders>
          </w:tcPr>
          <w:p>
            <w:pPr>
              <w:pStyle w:val="Normal6a"/>
            </w:pPr>
            <w:r>
              <w:t>g)</w:t>
            </w:r>
            <w:r>
              <w:tab/>
            </w:r>
            <w:r>
              <w:t xml:space="preserve">data la necessità di rispettare e promuovere i diritti dei popoli indigeni in tutta la regione artica, adoperarsi per integrare le conoscenze indigene nei processi ambientali e di elaborazione delle politiche; </w:t>
            </w:r>
            <w:r>
              <w:rPr>
                <w:b/>
                <w:i/>
              </w:rPr>
              <w:t>garantire, allo stesso modo, che le attività dell'UE e degli Stati membri nella regione artica contribuiscano al benessere e ai diritti delle comunità indigene ivi presenti e non li pregiudichino, conformemente alla dichiarazione di Ottawa del 1996;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data la necessità di rispettare e promuovere i diritti dei popoli indigeni in tutta la regione artica, adoperarsi per integrare le conoscenze indigene nei processi ambientali e di elaborazione delle politiche;</w:t>
            </w:r>
          </w:p>
        </w:tc>
        <w:tc>
          <w:tcPr>
            <w:tcW w:w="4876" w:type="dxa"/>
            <w:tcBorders>
              <w:top w:val="nil"/>
              <w:left w:val="nil"/>
              <w:bottom w:val="nil"/>
              <w:right w:val="nil"/>
            </w:tcBorders>
          </w:tcPr>
          <w:p>
            <w:pPr>
              <w:pStyle w:val="Normal6a"/>
            </w:pPr>
            <w:r>
              <w:t>g)</w:t>
            </w:r>
            <w:r>
              <w:tab/>
            </w:r>
            <w:r>
              <w:t>data la necessità di rispettare e promuovere i diritti dei popoli indigeni in tutta la regione artica, adoperarsi per integrare le conoscenze indigene nei processi ambientali e di elaborazione delle politiche</w:t>
            </w:r>
            <w:r>
              <w:rPr>
                <w:b/>
                <w:i/>
              </w:rPr>
              <w:t>, sempre tenendo in considerazione e contrastando la loro maggiore esposizione alle interferenze straniere e alle manovre di disinformazione che cercano di strumentalizzare contesti unici e complessi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data la necessità di rispettare e promuovere i diritti dei popoli indigeni in tutta la regione artica, adoperarsi per integrare le conoscenze indigene nei processi ambientali e di elaborazione delle politiche;</w:t>
            </w:r>
          </w:p>
        </w:tc>
        <w:tc>
          <w:tcPr>
            <w:tcW w:w="4876" w:type="dxa"/>
            <w:tcBorders>
              <w:top w:val="nil"/>
              <w:left w:val="nil"/>
              <w:bottom w:val="nil"/>
              <w:right w:val="nil"/>
            </w:tcBorders>
          </w:tcPr>
          <w:p>
            <w:pPr>
              <w:pStyle w:val="Normal6a"/>
            </w:pPr>
            <w:r>
              <w:t>g)</w:t>
            </w:r>
            <w:r>
              <w:tab/>
            </w:r>
            <w:r>
              <w:t xml:space="preserve">data la necessità di rispettare e promuovere i diritti dei popoli indigeni in tutta la regione artica, adoperarsi per integrare le conoscenze indigene nei processi ambientali e di elaborazione delle politiche; </w:t>
            </w:r>
            <w:r>
              <w:rPr>
                <w:b/>
                <w:i/>
              </w:rPr>
              <w:t>garantire che i loro interessi e le loro competenze siano ben integrati a tutti i livelli dell'elaborazione delle politiche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data la necessità di rispettare e promuovere i diritti dei popoli indigeni in tutta la regione artica, adoperarsi per integrare le conoscenze indigene nei processi ambientali e di elaborazione delle politiche;</w:t>
            </w:r>
          </w:p>
        </w:tc>
        <w:tc>
          <w:tcPr>
            <w:tcW w:w="4876" w:type="dxa"/>
            <w:tcBorders>
              <w:top w:val="nil"/>
              <w:left w:val="nil"/>
              <w:bottom w:val="nil"/>
              <w:right w:val="nil"/>
            </w:tcBorders>
          </w:tcPr>
          <w:p>
            <w:pPr>
              <w:pStyle w:val="Normal6a"/>
            </w:pPr>
            <w:r>
              <w:t>g)</w:t>
            </w:r>
            <w:r>
              <w:tab/>
            </w:r>
            <w:r>
              <w:t xml:space="preserve">data la necessità di rispettare e promuovere i diritti dei popoli indigeni in tutta la regione artica, adoperarsi per integrare le conoscenze indigene nei processi ambientali e di elaborazione delle politiche; </w:t>
            </w:r>
            <w:r>
              <w:rPr>
                <w:b/>
                <w:i/>
              </w:rPr>
              <w:t>aiutare i popoli indigeni a preservare la propria lingua e cultura;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data la necessità di rispettare e promuovere i diritti dei popoli indigeni in tutta la regione artica, adoperarsi per integrare le conoscenze indigene nei processi ambientali e di elaborazione delle politiche;</w:t>
            </w:r>
          </w:p>
        </w:tc>
        <w:tc>
          <w:tcPr>
            <w:tcW w:w="4876" w:type="dxa"/>
            <w:tcBorders>
              <w:top w:val="nil"/>
              <w:left w:val="nil"/>
              <w:bottom w:val="nil"/>
              <w:right w:val="nil"/>
            </w:tcBorders>
          </w:tcPr>
          <w:p>
            <w:pPr>
              <w:pStyle w:val="Normal6a"/>
            </w:pPr>
            <w:r>
              <w:t>g)</w:t>
            </w:r>
            <w:r>
              <w:tab/>
            </w:r>
            <w:r>
              <w:t xml:space="preserve">data la necessità di rispettare e promuovere i diritti dei popoli indigeni in tutta la regione artica, adoperarsi per integrare le conoscenze indigene </w:t>
            </w:r>
            <w:r>
              <w:rPr>
                <w:b/>
                <w:i/>
              </w:rPr>
              <w:t>e tutte le altre fonti di conoscenza pertinenti</w:t>
            </w:r>
            <w:r>
              <w:t xml:space="preserve"> nei processi ambientali e di elaborazione delle politiche;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g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 bis)</w:t>
            </w:r>
            <w:r>
              <w:tab/>
            </w:r>
            <w:r>
              <w:rPr>
                <w:b/>
                <w:i/>
              </w:rPr>
              <w:t>sottolineare che l'apertura dell'ufficio della Commissione europea a Nuuk sancisce l'inizio di una nuova fase nella cooperazione con la Groenlandia, che, pur non essendo uno Stato membro, intrattene da tempo stretti legami con l'UE e beneficia del suo sostegno finanziario, anche nel settore dell'istruzione;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Roberto Vannacci, Susanna Ceccardi, Silvia Sardone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g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 bis)</w:t>
            </w:r>
            <w:r>
              <w:tab/>
            </w:r>
            <w:r>
              <w:rPr>
                <w:b/>
                <w:i/>
              </w:rPr>
              <w:t>sottolineare la necessità di garantire la conservazione delle culture, delle tradizioni e delle lingue dei popoli indigeni;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g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 ter)</w:t>
            </w:r>
            <w:r>
              <w:tab/>
            </w:r>
            <w:r>
              <w:rPr>
                <w:b/>
                <w:i/>
              </w:rPr>
              <w:t>dare priorità, nell'ambito della cooperazione artica dell'UE, ai programmi riguardanti la salute mentale, l'alfabetizzazione, le lingue e i giovani, in risposta alle raccomandazioni espresse dai forum che riuniscono persone indigene e giovani dell'Artico;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g quater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 quater)</w:t>
            </w:r>
            <w:r>
              <w:tab/>
            </w:r>
            <w:r>
              <w:rPr>
                <w:b/>
                <w:i/>
              </w:rPr>
              <w:t>riconoscere il fatto che, a seguito dell'invasione dell'Ucraina, la Groenlandia si è allineata alle sanzioni imposte dall'UE nei confronti della Russia;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alla luce del ruolo cruciale svolto dalla cooperazione scientifica internazionale nella governance artica e nella comprensione del clima, continuare a sostenere i finanziamenti e la partecipazione attiva dell'UE ai progetti di ricerca e ai dialoghi scientifici sull'Artico e promuovere la condivisione di dati aperti e l'integrazione dei risultati scientifici nei processi di elaborazione delle politiche;</w:t>
            </w:r>
          </w:p>
        </w:tc>
        <w:tc>
          <w:tcPr>
            <w:tcW w:w="4876" w:type="dxa"/>
            <w:tcBorders>
              <w:top w:val="nil"/>
              <w:left w:val="nil"/>
              <w:bottom w:val="nil"/>
              <w:right w:val="nil"/>
            </w:tcBorders>
          </w:tcPr>
          <w:p>
            <w:pPr>
              <w:pStyle w:val="Normal6a"/>
            </w:pPr>
            <w:r>
              <w:t>h)</w:t>
            </w:r>
            <w:r>
              <w:tab/>
            </w:r>
            <w:r>
              <w:t>alla luce del ruolo cruciale svolto dalla cooperazione scientifica internazionale nella governance artica e nella comprensione del clima, continuare a sostenere i finanziamenti e la partecipazione attiva dell'UE ai progetti di ricerca e ai dialoghi scientifici sull'Artico e promuovere la condivisione di dati aperti e l'integrazione dei risultati scientifici nei processi di elaborazione delle politiche</w:t>
            </w:r>
            <w:r>
              <w:rPr>
                <w:b/>
                <w:i/>
              </w:rPr>
              <w:t>, garantendo nel contempo che gli scambi scientifici tengano conto dei rischi per la difesa e la sicurezza attualmente derivanti dalla situazione geopolitica</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h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bis)</w:t>
            </w:r>
            <w:r>
              <w:tab/>
            </w:r>
            <w:r>
              <w:rPr>
                <w:b/>
                <w:i/>
              </w:rPr>
              <w:t>riconoscere il ruolo unico svolto dalle università situate nelle zone rurali artiche nel favorire lo sviluppo regionale e la crescita economica attraverso l'innovazione nella ricerca e nelle imprese, l'attrazione di nuovi abitanti, il rafforzamento delle competenze e delle abilità a livello locale e regionale, la coesione regionale e la diffusione di conoscenze e informazioni (promuovendo in tal modo la resilienza e la preparazione), nonché contribuire a incentivare la collaborazione transfrontaliera e intersettoriale e sostenere così le università artiche, anche mediante contributi finanziari attraverso una combinazione di programmi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h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bis)</w:t>
            </w:r>
            <w:r>
              <w:tab/>
            </w:r>
            <w:r>
              <w:rPr>
                <w:b/>
                <w:i/>
              </w:rPr>
              <w:t>riconoscere il ruolo unico svolto dalle università situate nelle zone rurali artiche nel favorire lo sviluppo regionale e la crescita economica attraverso l'innovazione nella ricerca e nelle imprese, l'attrazione di nuovi abitanti, il rafforzamento delle competenze e delle abilità a livello locale e regionale, la coesione regionale e la diffusione di conoscenze e informazioni (promuovendo in tal modo la resilienza e la preparazione), nonché contribuire a incentivare la collaborazione transfrontaliera e intersettoriale e sostenere così le università artiche, anche mediante contributi finanziari attraverso una combinazione di programmi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h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bis)</w:t>
            </w:r>
            <w:r>
              <w:tab/>
            </w:r>
            <w:r>
              <w:rPr>
                <w:b/>
                <w:i/>
              </w:rPr>
              <w:t>riconoscere il ruolo unico svolto dalle università situate nelle zone rurali artiche nel favorire lo sviluppo regionale e la crescita economica attraverso l'innovazione nella ricerca e nelle imprese, l'attrazione di nuovi abitanti, il rafforzamento delle competenze e delle abilità a livello locale e regionale, la coesione regionale e la diffusione di conoscenze e informazioni (promuovendo in tal modo la resilienza e la preparazione), nonché contribuire a incentivare la collaborazione transfrontaliera e intersettoriale e sostenere così le università artiche, anche mediante contributi finanziari attraverso una combinazione di programmi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h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bis)</w:t>
            </w:r>
            <w:r>
              <w:tab/>
            </w:r>
            <w:r>
              <w:rPr>
                <w:b/>
                <w:i/>
              </w:rPr>
              <w:t>aumentare i finanziamenti per la ricerca interdisciplinare sull'Artico e sostenere l'istituzione di un "Centro di eccellenza europeo per la ricerca sull'Artico" che si avvalga dei servizi Copernicus e di infrastrutture di dati aperti, di misurazioni in loco e di conoscenze tradizionali, al fine di fornire prodotti scientifici operativi che facilitino il processo decisionale dell'UE e la cooperazione con partner internazionali legittimi;</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Rihards Kols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h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bis)</w:t>
            </w:r>
            <w:r>
              <w:tab/>
            </w:r>
            <w:r>
              <w:rPr>
                <w:b/>
                <w:i/>
              </w:rPr>
              <w:t>alla luce della crescente importanza strategica delle capacità spaziali dell'Artico per la sicurezza europea, incrementare gli investimenti in sistemi satellitari sicuri e autonomi, che rappresentano uno strumento per rafforzare la consapevolezza situazionale collettiva, la resilienza e la stabilità regionale nel Grande Nord;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Liudas Mažylis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h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bis)</w:t>
            </w:r>
            <w:r>
              <w:tab/>
            </w:r>
            <w:r>
              <w:rPr>
                <w:b/>
                <w:i/>
              </w:rPr>
              <w:t>sostenere iniziative a favore della mobilità nel settore dell'istruzione e della ricerca tra le università dell'UE e gli istituti di istruzione superiore dell'Artico, in particolare in Groenlandia, in Islanda e nella Norvegia settentrionale, al fine di promuovere lo sviluppo di una nuova generazione di esperti dell'Artico e approfondire la cooperazione interpersonale;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h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ter)</w:t>
            </w:r>
            <w:r>
              <w:tab/>
            </w:r>
            <w:r>
              <w:rPr>
                <w:b/>
                <w:i/>
              </w:rPr>
              <w:t>alla luce della crescente importanza strategica delle capacità spaziali dell'Artico per la sicurezza europea e della sempre maggiore dipendenza dalle stesse, rafforzare la consapevolezza situazionale collettiva, la resilienza e la stabilità regionale nell'Artico;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h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ter)</w:t>
            </w:r>
            <w:r>
              <w:tab/>
            </w:r>
            <w:r>
              <w:rPr>
                <w:b/>
                <w:i/>
              </w:rPr>
              <w:t>riconoscere la crescente importanza strategica delle capacità spaziali dell'Artico per la sicurezza europea e la sempre maggiore dipendenza dalle stesse, rafforzando la consapevolezza situazionale collettiva, la resilienza e la stabilità regionale nell'Artico;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h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ter)</w:t>
            </w:r>
            <w:r>
              <w:tab/>
            </w:r>
            <w:r>
              <w:rPr>
                <w:b/>
                <w:i/>
              </w:rPr>
              <w:t>sottolineare l'importanza strategica delle capacità spaziali dell'Artico per la sicurezza europea e la necessità di rafforzare la consapevolezza collettiva, la resilienza e la stabilità nella regione;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h quater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quater)</w:t>
            </w:r>
            <w:r>
              <w:tab/>
            </w:r>
            <w:r>
              <w:rPr>
                <w:b/>
                <w:i/>
              </w:rPr>
              <w:t>rafforzare la governance e la cooperazione multilaterali attraverso il Consiglio artico, in particolare sotto l'attuale presidenza del Regno di Danimarca, guidata dalla Groenlandia (2025-2027);</w:t>
            </w:r>
            <w:r>
              <w:t xml:space="preserve"> </w:t>
            </w:r>
            <w:r>
              <w:rPr>
                <w:b/>
                <w:i/>
              </w:rPr>
              <w:t>esortare, a tale proposito, tutti i membri a rispettare quadri di governance pacifici e basati sul diritto e a ripristinare un'efficace cooperazione multilaterale, prestando particolare attenzione alla protezione dell'ambiente, allo sviluppo sostenibile e ai diritti dei popoli indigeni;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h quater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quater)</w:t>
            </w:r>
            <w:r>
              <w:tab/>
            </w:r>
            <w:r>
              <w:rPr>
                <w:b/>
                <w:i/>
              </w:rPr>
              <w:t>adottare misure concrete per garantire una maggiore sicurezza dei cavi sottomarini localizzati nell'Artico, in particolare in prossimità della Groenlandia, e ribadire l'impegno dell'Unione europea a contribuire alla fornitura di servizi di telecomunicazioni via sistema satellitare, come il programma Copernicus, in caso di emergenza;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Roberto Vannacci, Susanna Ceccardi, Silvia Sardone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rPr>
                <w:b/>
                <w:i/>
              </w:rPr>
              <w:t>visto il crescente sostegno all'adesione all'UE in Islanda, accogliere con favore l'intenzione</w:t>
            </w:r>
            <w:r>
              <w:t xml:space="preserve"> espressa dalle autorità locali di tenere un referendum </w:t>
            </w:r>
            <w:r>
              <w:rPr>
                <w:b/>
                <w:i/>
              </w:rPr>
              <w:t>sull'adesione all'UE entro il 2027 e</w:t>
            </w:r>
            <w:r>
              <w:t xml:space="preserve"> impegnarsi a rispettarne l'esito, espresso democraticamente dai cittadini islandesi; </w:t>
            </w:r>
            <w:r>
              <w:rPr>
                <w:b/>
                <w:i/>
              </w:rPr>
              <w:t>impegnarsi proattivamente, nel contempo</w:t>
            </w:r>
            <w:r>
              <w:t xml:space="preserve">, con il governo islandese per promuovere i vantaggi dell'adesione all'UE e </w:t>
            </w:r>
            <w:r>
              <w:rPr>
                <w:b/>
                <w:i/>
              </w:rPr>
              <w:t>migliorare la preparazione a</w:t>
            </w:r>
            <w:r>
              <w:t xml:space="preserve"> un rinnovato processo di adesione qualora l'Islanda riattivasse formalmente la sua domanda di adesione;</w:t>
            </w:r>
          </w:p>
        </w:tc>
        <w:tc>
          <w:tcPr>
            <w:tcW w:w="4876" w:type="dxa"/>
            <w:tcBorders>
              <w:top w:val="nil"/>
              <w:left w:val="nil"/>
              <w:bottom w:val="nil"/>
              <w:right w:val="nil"/>
            </w:tcBorders>
          </w:tcPr>
          <w:p>
            <w:pPr>
              <w:pStyle w:val="Normal6a"/>
            </w:pPr>
            <w:r>
              <w:t>i)</w:t>
            </w:r>
            <w:r>
              <w:tab/>
            </w:r>
            <w:r>
              <w:rPr>
                <w:b/>
                <w:i/>
              </w:rPr>
              <w:t>prendere atto dell'intenzione</w:t>
            </w:r>
            <w:r>
              <w:t xml:space="preserve"> espressa dalle autorità locali di tenere</w:t>
            </w:r>
            <w:r>
              <w:rPr>
                <w:b/>
                <w:i/>
              </w:rPr>
              <w:t>, entro il 2027,</w:t>
            </w:r>
            <w:r>
              <w:t xml:space="preserve"> un referendum </w:t>
            </w:r>
            <w:r>
              <w:rPr>
                <w:b/>
                <w:i/>
              </w:rPr>
              <w:t>sulla riapertura dei negoziati di adesione dell'Islanda all'UE e di</w:t>
            </w:r>
            <w:r>
              <w:t xml:space="preserve"> impegnarsi a rispettarne l'esito, espresso democraticamente dai cittadini islandesi; </w:t>
            </w:r>
            <w:r>
              <w:rPr>
                <w:b/>
                <w:i/>
              </w:rPr>
              <w:t>promuovere, nel frattempo</w:t>
            </w:r>
            <w:r>
              <w:t xml:space="preserve">, </w:t>
            </w:r>
            <w:r>
              <w:rPr>
                <w:b/>
                <w:i/>
              </w:rPr>
              <w:t>una cooperazione proattiva</w:t>
            </w:r>
            <w:r>
              <w:t xml:space="preserve"> con il governo islandese per promuovere i vantaggi dell'adesione all'UE e </w:t>
            </w:r>
            <w:r>
              <w:rPr>
                <w:b/>
                <w:i/>
              </w:rPr>
              <w:t>intensificare i preparativi per</w:t>
            </w:r>
            <w:r>
              <w:t xml:space="preserve"> un rinnovato processo di adesione qualora l'Islanda riattivasse formalmente la sua domanda di adesione; </w:t>
            </w:r>
            <w:r>
              <w:rPr>
                <w:b/>
                <w:i/>
              </w:rPr>
              <w:t>a tale proposito, ricordare che l'Islanda ha presentato domanda di adesione all'UE il 17 luglio 2009 e che il Consiglio dell'UE ha convenuto di avviare i negoziati di adesione il 17 giugno 2010, ma che</w:t>
            </w:r>
            <w:r>
              <w:t xml:space="preserve"> </w:t>
            </w:r>
            <w:r>
              <w:rPr>
                <w:b/>
                <w:i/>
              </w:rPr>
              <w:t>nel 2013 il nuovo governo islandese ha deciso di sospendere i negoziati e nel marzo 2015 ha chiesto a Bruxelles di non considerare più l'Islanda un paese candidato;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visto il crescente sostegno all'adesione all'UE in Islanda, accogliere con favore l'intenzione espressa dalle autorità locali di tenere un referendum sull'adesione all'UE entro il 2027 e impegnarsi a rispettarne l'esito, espresso democraticamente dai cittadini islandesi; impegnarsi proattivamente, nel contempo, con il governo islandese per promuovere i vantaggi dell'adesione all'UE e migliorare la preparazione a un rinnovato processo di adesione qualora l'Islanda riattivasse formalmente la sua domanda di adesione;</w:t>
            </w:r>
          </w:p>
        </w:tc>
        <w:tc>
          <w:tcPr>
            <w:tcW w:w="4876" w:type="dxa"/>
            <w:tcBorders>
              <w:top w:val="nil"/>
              <w:left w:val="nil"/>
              <w:bottom w:val="nil"/>
              <w:right w:val="nil"/>
            </w:tcBorders>
          </w:tcPr>
          <w:p>
            <w:pPr>
              <w:pStyle w:val="Normal6a"/>
            </w:pPr>
            <w:r>
              <w:t>i)</w:t>
            </w:r>
            <w:r>
              <w:tab/>
            </w:r>
            <w:r>
              <w:t>visto il crescente sostegno all'adesione all'UE in Islanda, accogliere con favore l'intenzione espressa dalle autorità locali di tenere un referendum sull'adesione all'UE entro il 2027 e impegnarsi a rispettarne l'esito, espresso democraticamente dai cittadini islandesi; impegnarsi proattivamente, nel contempo, con il governo islandese per promuovere i vantaggi dell'adesione all'UE e migliorare la preparazione a un rinnovato processo di adesione qualora l'Islanda riattivasse formalmente la sua domanda di adesione</w:t>
            </w:r>
            <w:r>
              <w:rPr>
                <w:b/>
                <w:i/>
              </w:rPr>
              <w:t>, procedendo simultaneamente a un rafforzamento immediato della cooperazione in ambiti di interesse comune e offrendo assistenza dell'UE nella lotta alle minacce ibride e alle ingerenze straniere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visto il crescente sostegno all'adesione all'UE in Islanda, accogliere con favore l'intenzione espressa dalle autorità locali di tenere un referendum sull'adesione all'UE entro il 2027 e impegnarsi a rispettarne l'esito, espresso democraticamente dai cittadini islandesi; impegnarsi proattivamente, nel contempo, con il governo islandese per promuovere i vantaggi dell'adesione all'UE e migliorare la preparazione a un rinnovato processo di adesione qualora l'Islanda riattivasse formalmente la sua domanda di adesione;</w:t>
            </w:r>
          </w:p>
        </w:tc>
        <w:tc>
          <w:tcPr>
            <w:tcW w:w="4876" w:type="dxa"/>
            <w:tcBorders>
              <w:top w:val="nil"/>
              <w:left w:val="nil"/>
              <w:bottom w:val="nil"/>
              <w:right w:val="nil"/>
            </w:tcBorders>
          </w:tcPr>
          <w:p>
            <w:pPr>
              <w:pStyle w:val="Normal6a"/>
            </w:pPr>
            <w:r>
              <w:t>i)</w:t>
            </w:r>
            <w:r>
              <w:tab/>
            </w:r>
            <w:r>
              <w:t xml:space="preserve">visto il crescente sostegno all'adesione all'UE in Islanda, accogliere con favore l'intenzione espressa dalle autorità locali di tenere un referendum sull'adesione all'UE entro il 2027 e impegnarsi a rispettarne l'esito, espresso democraticamente dai cittadini islandesi; impegnarsi proattivamente, nel contempo, con il governo islandese per promuovere i vantaggi dell'adesione all'UE e migliorare la preparazione a un rinnovato processo di adesione qualora l'Islanda riattivasse formalmente la sua domanda di adesione; </w:t>
            </w:r>
            <w:r>
              <w:rPr>
                <w:b/>
                <w:i/>
              </w:rPr>
              <w:t>intensificare la cooperazione tra l'UE e l'Islanda, indipendentemente dai progressi realizzati in vista di un eventuale adesione all'UE;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Marion Maréchal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visto il crescente sostegno all'adesione all'UE in Islanda, </w:t>
            </w:r>
            <w:r>
              <w:rPr>
                <w:b/>
                <w:i/>
              </w:rPr>
              <w:t>accogliere con favore l'intenzione</w:t>
            </w:r>
            <w:r>
              <w:t xml:space="preserve"> espressa dalle autorità </w:t>
            </w:r>
            <w:r>
              <w:rPr>
                <w:b/>
                <w:i/>
              </w:rPr>
              <w:t>locali</w:t>
            </w:r>
            <w:r>
              <w:t xml:space="preserve"> di tenere un referendum sull'adesione all'UE entro il 2027 e impegnarsi a rispettarne l'esito, espresso democraticamente dai cittadini islandesi; impegnarsi proattivamente, nel contempo, con il governo islandese per promuovere i vantaggi </w:t>
            </w:r>
            <w:r>
              <w:rPr>
                <w:b/>
                <w:i/>
              </w:rPr>
              <w:t>dell'adesione all'UE e migliorare la preparazione a un rinnovato processo di adesione qualora l'Islanda riattivasse formalmente la sua domanda di adesione</w:t>
            </w:r>
            <w:r>
              <w:t>;</w:t>
            </w:r>
          </w:p>
        </w:tc>
        <w:tc>
          <w:tcPr>
            <w:tcW w:w="4876" w:type="dxa"/>
            <w:tcBorders>
              <w:top w:val="nil"/>
              <w:left w:val="nil"/>
              <w:bottom w:val="nil"/>
              <w:right w:val="nil"/>
            </w:tcBorders>
          </w:tcPr>
          <w:p>
            <w:pPr>
              <w:pStyle w:val="Normal6a"/>
            </w:pPr>
            <w:r>
              <w:t>i)</w:t>
            </w:r>
            <w:r>
              <w:tab/>
            </w:r>
            <w:r>
              <w:t xml:space="preserve">visto il crescente sostegno all'adesione all'UE in Islanda, </w:t>
            </w:r>
            <w:r>
              <w:rPr>
                <w:b/>
                <w:i/>
              </w:rPr>
              <w:t>prendere atto dell'intenzione</w:t>
            </w:r>
            <w:r>
              <w:t xml:space="preserve"> espressa dalle autorità </w:t>
            </w:r>
            <w:r>
              <w:rPr>
                <w:b/>
                <w:i/>
              </w:rPr>
              <w:t>nazionali</w:t>
            </w:r>
            <w:r>
              <w:t xml:space="preserve"> di tenere un referendum sull'adesione all'UE entro il 2027 e impegnarsi a rispettarne l'esito, espresso democraticamente dai cittadini islandesi; impegnarsi proattivamente, nel contempo, con il governo islandese per promuovere i vantaggi </w:t>
            </w:r>
            <w:r>
              <w:rPr>
                <w:b/>
                <w:i/>
              </w:rPr>
              <w:t>di una cooperazione rafforzata con l'UE e i suoi Stati membri</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visto il crescente sostegno all'adesione all'UE in Islanda, accogliere con favore l'intenzione espressa dalle autorità locali di tenere un referendum </w:t>
            </w:r>
            <w:r>
              <w:rPr>
                <w:b/>
                <w:i/>
              </w:rPr>
              <w:t>sull'adesione all'UE entro il 2027</w:t>
            </w:r>
            <w:r>
              <w:t xml:space="preserve"> e impegnarsi a rispettarne l'esito, espresso democraticamente dai cittadini islandesi; impegnarsi proattivamente, nel contempo, con il governo islandese per promuovere i vantaggi dell'adesione all'UE e migliorare la preparazione a un rinnovato processo di adesione qualora l'Islanda riattivasse formalmente la sua domanda di adesione;</w:t>
            </w:r>
          </w:p>
        </w:tc>
        <w:tc>
          <w:tcPr>
            <w:tcW w:w="4876" w:type="dxa"/>
            <w:tcBorders>
              <w:top w:val="nil"/>
              <w:left w:val="nil"/>
              <w:bottom w:val="nil"/>
              <w:right w:val="nil"/>
            </w:tcBorders>
          </w:tcPr>
          <w:p>
            <w:pPr>
              <w:pStyle w:val="Normal6a"/>
            </w:pPr>
            <w:r>
              <w:t>i)</w:t>
            </w:r>
            <w:r>
              <w:tab/>
            </w:r>
            <w:r>
              <w:t>visto il crescente sostegno all'adesione all'UE in Islanda, accogliere con favore l'intenzione espressa dalle autorità locali di tenere</w:t>
            </w:r>
            <w:r>
              <w:rPr>
                <w:b/>
                <w:i/>
              </w:rPr>
              <w:t>, entro il 2027,</w:t>
            </w:r>
            <w:r>
              <w:t xml:space="preserve"> un referendum </w:t>
            </w:r>
            <w:r>
              <w:rPr>
                <w:b/>
                <w:i/>
              </w:rPr>
              <w:t>sulla riapertura dei negoziati di adesione all'UE</w:t>
            </w:r>
            <w:r>
              <w:t xml:space="preserve"> e impegnarsi a rispettarne l'esito, espresso democraticamente dai cittadini islandesi; impegnarsi proattivamente, nel contempo, con il governo islandese per promuovere i vantaggi dell'adesione all'UE e migliorare la preparazione a un rinnovato processo di adesione qualora l'Islanda riattivasse formalmente la sua domanda di adesione;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Łukasz Kohut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i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 bis)</w:t>
            </w:r>
            <w:r>
              <w:tab/>
            </w:r>
            <w:r>
              <w:rPr>
                <w:b/>
                <w:i/>
              </w:rPr>
              <w:t>accogliere con favore la decisione del governo islandese di avviare i colloqui sul partenariato in materia di sicurezza e difesa con l'UE;</w:t>
            </w:r>
            <w:r>
              <w:t xml:space="preserve"> </w:t>
            </w:r>
            <w:r>
              <w:rPr>
                <w:b/>
                <w:i/>
              </w:rPr>
              <w:t>affermare che l'accordo sarà fondamentale nell'ottica delle future relazioni tra l'UE e l'Islanda;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dal momento che l'adesione della Norvegia all'UE rafforzerebbe sia i suoi interessi nazionali sia la resilienza geopolitica dell'UE, colmando lacune critiche nella difesa collettiva di quest'ultima (in particolare per quanto riguarda il varco GIUK), prendere in considerazione una cooperazione più approfondita con la Norvegia, comprese la possibilità di estendere l'ambito di applicazione dell'articolo 42, paragrafo 7, del trattato sull'Unione europea alla Norvegia e la sua potenziale adesione all'UE;</w:t>
            </w:r>
          </w:p>
        </w:tc>
        <w:tc>
          <w:tcPr>
            <w:tcW w:w="4876" w:type="dxa"/>
            <w:tcBorders>
              <w:top w:val="nil"/>
              <w:left w:val="nil"/>
              <w:bottom w:val="nil"/>
              <w:right w:val="nil"/>
            </w:tcBorders>
          </w:tcPr>
          <w:p>
            <w:pPr>
              <w:pStyle w:val="Normal6a"/>
            </w:pPr>
            <w:r>
              <w:t>j)</w:t>
            </w:r>
            <w:r>
              <w:tab/>
            </w:r>
            <w:r>
              <w:t xml:space="preserve">dal momento che l'adesione della Norvegia all'UE rafforzerebbe sia i suoi interessi nazionali sia la resilienza geopolitica dell'UE, colmando lacune critiche nella difesa collettiva di quest'ultima (in particolare per quanto riguarda il varco GIUK), prendere in considerazione una cooperazione più approfondita con la Norvegia, comprese la possibilità di estendere l'ambito di applicazione dell'articolo 42, paragrafo 7, del trattato sull'Unione europea alla Norvegia e la sua potenziale adesione all'UE; </w:t>
            </w:r>
            <w:r>
              <w:rPr>
                <w:b/>
                <w:i/>
              </w:rPr>
              <w:t>collaborare proattivamente con il governo norvegese per promuovere i vantaggi derivanti dall'adesione all'UE e dall'approfondimento delle relazioni economiche all'interno del mercato unico europeo;</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Roberto Vannacci, Susanna Ceccardi, Silvia Sardone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dal momento che l'adesione </w:t>
            </w:r>
            <w:r>
              <w:rPr>
                <w:b/>
                <w:i/>
              </w:rPr>
              <w:t>della Norvegia all'UE rafforzerebbe sia i suoi interessi nazionali sia la resilienza geopolitica dell'UE, colmando lacune critiche nella difesa collettiva di quest'ultima (in particolare per quanto riguarda il varco GIUK</w:t>
            </w:r>
            <w:r>
              <w:t xml:space="preserve">), prendere in considerazione una cooperazione più approfondita con la Norvegia, </w:t>
            </w:r>
            <w:r>
              <w:rPr>
                <w:b/>
                <w:i/>
              </w:rPr>
              <w:t>comprese la possibilità di estendere l'ambito</w:t>
            </w:r>
            <w:r>
              <w:t xml:space="preserve"> di applicazione dell'articolo 42, paragrafo 7, del trattato sull'Unione europea alla Norvegia </w:t>
            </w:r>
            <w:r>
              <w:rPr>
                <w:b/>
                <w:i/>
              </w:rPr>
              <w:t>e la sua potenziale adesione all'UE</w:t>
            </w:r>
            <w:r>
              <w:t>;</w:t>
            </w:r>
          </w:p>
        </w:tc>
        <w:tc>
          <w:tcPr>
            <w:tcW w:w="4876" w:type="dxa"/>
            <w:tcBorders>
              <w:top w:val="nil"/>
              <w:left w:val="nil"/>
              <w:bottom w:val="nil"/>
              <w:right w:val="nil"/>
            </w:tcBorders>
          </w:tcPr>
          <w:p>
            <w:pPr>
              <w:pStyle w:val="Normal6a"/>
            </w:pPr>
            <w:r>
              <w:t>j)</w:t>
            </w:r>
            <w:r>
              <w:tab/>
            </w:r>
            <w:r>
              <w:t xml:space="preserve">dal momento che </w:t>
            </w:r>
            <w:r>
              <w:rPr>
                <w:b/>
                <w:i/>
              </w:rPr>
              <w:t>la Norvegia ha rifiutato</w:t>
            </w:r>
            <w:r>
              <w:t xml:space="preserve"> l'adesione </w:t>
            </w:r>
            <w:r>
              <w:rPr>
                <w:b/>
                <w:i/>
              </w:rPr>
              <w:t>all'UE mediante referendum in due occasioni e che, nonostante ciò, partecipa al mercato unico europeo attraverso lo Spazio economico europeo (SEE) e l'Associazione europea di libero scambio (EFTA</w:t>
            </w:r>
            <w:r>
              <w:t xml:space="preserve">), </w:t>
            </w:r>
            <w:r>
              <w:rPr>
                <w:b/>
                <w:i/>
              </w:rPr>
              <w:t>sostenere la possibilità di</w:t>
            </w:r>
            <w:r>
              <w:t xml:space="preserve"> prendere in considerazione una cooperazione più approfondita con la Norvegia, </w:t>
            </w:r>
            <w:r>
              <w:rPr>
                <w:b/>
                <w:i/>
              </w:rPr>
              <w:t>compresa la potenziale estensione dell'ambito</w:t>
            </w:r>
            <w:r>
              <w:t xml:space="preserve"> di applicazione dell'articolo 42, paragrafo 7, del trattato sull'Unione europea alla Norvegia;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249</w:t>
      </w:r>
      <w:r>
        <w:rPr>
          <w:rStyle w:val="HideTWBExt"/>
        </w:rPr>
        <w:t>&lt;/NumAm&gt;</w:t>
      </w:r>
    </w:p>
    <w:p>
      <w:pPr>
        <w:pStyle w:val="NormalBold"/>
      </w:pPr>
      <w:r>
        <w:rPr>
          <w:rStyle w:val="HideTWBExt"/>
          <w:b w:val="0"/>
        </w:rPr>
        <w:t>&lt;RepeatBlock-By&gt;</w:t>
      </w:r>
      <w:r>
        <w:rPr>
          <w:rStyle w:val="HideTWBExt"/>
          <w:b w:val="0"/>
        </w:rPr>
        <w:t>&lt;Members&gt;</w:t>
      </w:r>
      <w:r>
        <w:t>Łukasz Kohut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dal momento che l'adesione della Norvegia all'UE rafforzerebbe sia i suoi interessi nazionali sia la resilienza geopolitica dell'UE, colmando lacune critiche nella difesa collettiva di quest'ultima (in particolare per quanto riguarda il varco GIUK), prendere in considerazione una cooperazione più approfondita con la Norvegia, comprese la possibilità di estendere l'ambito di applicazione dell'articolo 42, paragrafo 7, del trattato sull'Unione europea alla Norvegia e la sua potenziale adesione all'UE;</w:t>
            </w:r>
          </w:p>
        </w:tc>
        <w:tc>
          <w:tcPr>
            <w:tcW w:w="4876" w:type="dxa"/>
            <w:tcBorders>
              <w:top w:val="nil"/>
              <w:left w:val="nil"/>
              <w:bottom w:val="nil"/>
              <w:right w:val="nil"/>
            </w:tcBorders>
          </w:tcPr>
          <w:p>
            <w:pPr>
              <w:pStyle w:val="Normal6a"/>
            </w:pPr>
            <w:r>
              <w:t>j)</w:t>
            </w:r>
            <w:r>
              <w:tab/>
            </w:r>
            <w:r>
              <w:t xml:space="preserve">dal momento che l'adesione della Norvegia all'UE rafforzerebbe sia i suoi interessi nazionali sia la resilienza geopolitica dell'UE, colmando lacune critiche nella difesa collettiva di quest'ultima (in particolare per quanto riguarda il varco GIUK), prendere in considerazione una cooperazione più approfondita con la Norvegia, comprese la possibilità di estendere l'ambito di applicazione dell'articolo 42, paragrafo 7, del trattato sull'Unione europea alla Norvegia e la sua potenziale adesione all'UE; </w:t>
            </w:r>
            <w:r>
              <w:rPr>
                <w:b/>
                <w:i/>
              </w:rPr>
              <w:t>riconoscere la Norvegia come alleato fondamentale dell'UE e della NATO;</w:t>
            </w:r>
            <w:r>
              <w:t xml:space="preserve"> </w:t>
            </w:r>
            <w:r>
              <w:rPr>
                <w:b/>
                <w:i/>
              </w:rPr>
              <w:t>esprimere la persistente necessità di rafforzare la cooperazione in materia di sicurezza e difesa, in piena conformità con gli impegni della NATO;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250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dal momento che l'adesione della Norvegia all'UE rafforzerebbe sia i suoi interessi nazionali sia la resilienza geopolitica dell'UE, colmando lacune critiche nella difesa collettiva di quest'ultima (in particolare per quanto riguarda il varco GIUK), </w:t>
            </w:r>
            <w:r>
              <w:rPr>
                <w:b/>
                <w:i/>
              </w:rPr>
              <w:t>prendere in considerazione</w:t>
            </w:r>
            <w:r>
              <w:t xml:space="preserve"> una cooperazione più approfondita con la Norvegia, comprese la possibilità di estendere l'ambito di applicazione dell'articolo 42, paragrafo 7, del trattato sull'Unione europea alla Norvegia e la sua potenziale adesione all'UE;</w:t>
            </w:r>
          </w:p>
        </w:tc>
        <w:tc>
          <w:tcPr>
            <w:tcW w:w="4876" w:type="dxa"/>
            <w:tcBorders>
              <w:top w:val="nil"/>
              <w:left w:val="nil"/>
              <w:bottom w:val="nil"/>
              <w:right w:val="nil"/>
            </w:tcBorders>
          </w:tcPr>
          <w:p>
            <w:pPr>
              <w:pStyle w:val="Normal6a"/>
            </w:pPr>
            <w:r>
              <w:t>j)</w:t>
            </w:r>
            <w:r>
              <w:tab/>
            </w:r>
            <w:r>
              <w:t xml:space="preserve">dal momento che l'adesione della Norvegia all'UE rafforzerebbe sia i suoi interessi nazionali sia la resilienza geopolitica dell'UE, colmando lacune critiche nella difesa collettiva di quest'ultima (in particolare per quanto riguarda il varco GIUK), </w:t>
            </w:r>
            <w:r>
              <w:rPr>
                <w:b/>
                <w:i/>
              </w:rPr>
              <w:t>promuovere</w:t>
            </w:r>
            <w:r>
              <w:t xml:space="preserve"> una cooperazione più approfondita con la Norvegia, comprese la possibilità di estendere l'ambito di applicazione dell'articolo 42, paragrafo 7, del trattato sull'Unione europea alla Norvegia e la sua potenziale adesione all'UE; </w:t>
            </w:r>
            <w:r>
              <w:rPr>
                <w:b/>
                <w:i/>
              </w:rPr>
              <w:t>tenere presente, nel contempo, che una cooperazione approfondita con la Norvegia nel settore difesa è già possibile, come dimostra la solida Cooperazione nordica per la difesa;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251</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dal momento che </w:t>
            </w:r>
            <w:r>
              <w:rPr>
                <w:b/>
                <w:i/>
              </w:rPr>
              <w:t>l'adesione</w:t>
            </w:r>
            <w:r>
              <w:t xml:space="preserve"> della Norvegia </w:t>
            </w:r>
            <w:r>
              <w:rPr>
                <w:b/>
                <w:i/>
              </w:rPr>
              <w:t>all'UE</w:t>
            </w:r>
            <w:r>
              <w:t xml:space="preserve"> rafforzerebbe sia i suoi interessi nazionali sia la resilienza geopolitica dell'UE, colmando lacune critiche nella difesa collettiva di quest'ultima (in particolare per quanto riguarda il varco GIUK), prendere in considerazione una cooperazione più approfondita con la Norvegia, comprese la possibilità di estendere l'ambito di applicazione dell'articolo 42, paragrafo 7, del trattato sull'Unione europea alla Norvegia </w:t>
            </w:r>
            <w:r>
              <w:rPr>
                <w:b/>
                <w:i/>
              </w:rPr>
              <w:t>e la sua potenziale adesione all'UE</w:t>
            </w:r>
            <w:r>
              <w:t>;</w:t>
            </w:r>
          </w:p>
        </w:tc>
        <w:tc>
          <w:tcPr>
            <w:tcW w:w="4876" w:type="dxa"/>
            <w:tcBorders>
              <w:top w:val="nil"/>
              <w:left w:val="nil"/>
              <w:bottom w:val="nil"/>
              <w:right w:val="nil"/>
            </w:tcBorders>
          </w:tcPr>
          <w:p>
            <w:pPr>
              <w:pStyle w:val="Normal6a"/>
            </w:pPr>
            <w:r>
              <w:t>j)</w:t>
            </w:r>
            <w:r>
              <w:tab/>
            </w:r>
            <w:r>
              <w:t xml:space="preserve">dal momento che </w:t>
            </w:r>
            <w:r>
              <w:rPr>
                <w:b/>
                <w:i/>
              </w:rPr>
              <w:t>un ruolo di primo piano</w:t>
            </w:r>
            <w:r>
              <w:t xml:space="preserve"> della Norvegia rafforzerebbe sia i suoi interessi nazionali sia la resilienza geopolitica dell'UE, colmando lacune critiche nella difesa collettiva di quest'ultima (in particolare per quanto riguarda il varco GIUK), prendere in considerazione una cooperazione più approfondita con la Norvegia, comprese la possibilità di estendere l'ambito di applicazione dell'articolo 42, paragrafo 7, del trattato sull'Unione europea alla Norvegia;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252</w:t>
      </w:r>
      <w:r>
        <w:rPr>
          <w:rStyle w:val="HideTWBExt"/>
        </w:rPr>
        <w:t>&lt;/NumAm&gt;</w:t>
      </w:r>
    </w:p>
    <w:p>
      <w:pPr>
        <w:pStyle w:val="NormalBold"/>
      </w:pPr>
      <w:r>
        <w:rPr>
          <w:rStyle w:val="HideTWBExt"/>
          <w:b w:val="0"/>
        </w:rPr>
        <w:t>&lt;RepeatBlock-By&gt;</w:t>
      </w:r>
      <w:r>
        <w:rPr>
          <w:rStyle w:val="HideTWBExt"/>
          <w:b w:val="0"/>
        </w:rPr>
        <w:t>&lt;Members&gt;</w:t>
      </w:r>
      <w:r>
        <w:t>Łukasz Kohut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dato il ruolo cruciale della Norvegia per la sicurezza energetica dell'UE, rafforzare la cooperazione in materia di resilienza energetica e diversificazione dell'approvvigionamento quale strumento chiave per l'autonomia strategica dell'UE;</w:t>
            </w:r>
          </w:p>
        </w:tc>
        <w:tc>
          <w:tcPr>
            <w:tcW w:w="4876" w:type="dxa"/>
            <w:tcBorders>
              <w:top w:val="nil"/>
              <w:left w:val="nil"/>
              <w:bottom w:val="nil"/>
              <w:right w:val="nil"/>
            </w:tcBorders>
          </w:tcPr>
          <w:p>
            <w:pPr>
              <w:pStyle w:val="Normal6a"/>
            </w:pPr>
            <w:r>
              <w:t>k)</w:t>
            </w:r>
            <w:r>
              <w:tab/>
            </w:r>
            <w:r>
              <w:t xml:space="preserve">dato il ruolo cruciale della Norvegia per la sicurezza energetica dell'UE, rafforzare la cooperazione in materia di resilienza energetica e diversificazione dell'approvvigionamento quale strumento chiave per l'autonomia strategica dell'UE; </w:t>
            </w:r>
            <w:r>
              <w:rPr>
                <w:b/>
                <w:i/>
              </w:rPr>
              <w:t>per quanto riguarda l'autonomia energetica, osservare che nel 2024 la Norvegia ha rappresentato oltre il 30 % delle importazioni di gas dell'Unione europea;</w:t>
            </w:r>
            <w:r>
              <w:t xml:space="preserve"> </w:t>
            </w:r>
            <w:r>
              <w:rPr>
                <w:b/>
                <w:i/>
              </w:rPr>
              <w:t>tenere conto del fatto che, allo stesso tempo, i progetti di infrastrutture strategiche, come il corridoio del gas del Mar Baltico, rafforzano ulteriormente la resilienza dell'Unione e contribuiscono a ridurre la sua dipendenza dalle forniture russe;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253</w:t>
      </w:r>
      <w:r>
        <w:rPr>
          <w:rStyle w:val="HideTWBExt"/>
        </w:rPr>
        <w:t>&lt;/NumAm&gt;</w:t>
      </w:r>
    </w:p>
    <w:p>
      <w:pPr>
        <w:pStyle w:val="NormalBold"/>
      </w:pPr>
      <w:r>
        <w:rPr>
          <w:rStyle w:val="HideTWBExt"/>
          <w:b w:val="0"/>
        </w:rPr>
        <w:t>&lt;RepeatBlock-By&gt;</w:t>
      </w:r>
      <w:r>
        <w:rPr>
          <w:rStyle w:val="HideTWBExt"/>
          <w:b w:val="0"/>
        </w:rPr>
        <w:t>&lt;Members&gt;</w:t>
      </w:r>
      <w:r>
        <w:t>Łukasz Kohut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dato il ruolo cruciale della Norvegia per la sicurezza energetica dell'UE, rafforzare la cooperazione in materia di resilienza energetica e diversificazione dell'approvvigionamento quale strumento chiave per l'autonomia strategica dell'UE;</w:t>
            </w:r>
          </w:p>
        </w:tc>
        <w:tc>
          <w:tcPr>
            <w:tcW w:w="4876" w:type="dxa"/>
            <w:tcBorders>
              <w:top w:val="nil"/>
              <w:left w:val="nil"/>
              <w:bottom w:val="nil"/>
              <w:right w:val="nil"/>
            </w:tcBorders>
          </w:tcPr>
          <w:p>
            <w:pPr>
              <w:pStyle w:val="Normal6a"/>
            </w:pPr>
            <w:r>
              <w:t>k)</w:t>
            </w:r>
            <w:r>
              <w:tab/>
            </w:r>
            <w:r>
              <w:t xml:space="preserve">dato il ruolo cruciale della Norvegia per la sicurezza energetica dell'UE, rafforzare la cooperazione in materia di resilienza energetica e diversificazione dell'approvvigionamento quale strumento chiave per l'autonomia strategica dell'UE; </w:t>
            </w:r>
            <w:r>
              <w:rPr>
                <w:b/>
                <w:i/>
              </w:rPr>
              <w:t>accogliere con favore il sostegno costante espresso della Norvegia all'Ucraina, compresa l'ultima decisione relativa all'assegnazione di quasi 600 milioni di EUR al sistema di difesa aerea del paese;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254</w:t>
      </w:r>
      <w:r>
        <w:rPr>
          <w:rStyle w:val="HideTWBExt"/>
        </w:rPr>
        <w:t>&lt;/NumAm&gt;</w:t>
      </w:r>
    </w:p>
    <w:p>
      <w:pPr>
        <w:pStyle w:val="NormalBold"/>
      </w:pPr>
      <w:r>
        <w:rPr>
          <w:rStyle w:val="HideTWBExt"/>
          <w:b w:val="0"/>
        </w:rPr>
        <w:t>&lt;RepeatBlock-By&gt;</w:t>
      </w:r>
      <w:r>
        <w:rPr>
          <w:rStyle w:val="HideTWBExt"/>
          <w:b w:val="0"/>
        </w:rPr>
        <w:t>&lt;Members&gt;</w:t>
      </w:r>
      <w:r>
        <w:t>Liudas Mažylis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k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 bis)</w:t>
            </w:r>
            <w:r>
              <w:tab/>
            </w:r>
            <w:r>
              <w:rPr>
                <w:b/>
                <w:i/>
              </w:rPr>
              <w:t>riconoscendo che la Russia sfrutta le sue esportazioni di idrocarburi nell'Artico per finanziare l'aggressione nei confronti dell'Ucraina, accelerare gli sforzi dell'UE e del SEE volti a ridurre la dipendenza dal GNL russo, diversificare i partenariati energetici con l'Artico (in particolare con la Norvegia, l'Islanda e la Groenlandia) e collegarli all'agenda dell'UE in materia di autonomia strategica;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255</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w:t>
            </w:r>
            <w:r>
              <w:tab/>
            </w:r>
            <w:r>
              <w:t>alla luce della crescente importanza della Groenlandia nei quadri di sicurezza artico ed europeo</w:t>
            </w:r>
            <w:r>
              <w:rPr>
                <w:b/>
                <w:i/>
              </w:rPr>
              <w:t>, unitamente al crescente sostegno all'adesione all'UE da parte dei groenlandesi, evidenziato dai sondaggi secondo i quali circa il 60 % dei groenlandesi è ora favorevole alla riadesione all'UE</w:t>
            </w:r>
            <w:r>
              <w:t xml:space="preserve">, accogliere con favore tutte le eventuali iniziative del governo della Groenlandia volte a rafforzare i suoi legami politici, istituzionali ed economici con l'UE e incoraggiare l'UE a impegnarsi in partenariati strategici ed economici più solidi, </w:t>
            </w:r>
            <w:r>
              <w:rPr>
                <w:b/>
                <w:i/>
              </w:rPr>
              <w:t>anche nell'ambito dell'eventuale adesione, se e quando i cittadini groenlandesi lo desiderano;</w:t>
            </w:r>
            <w:r>
              <w:t xml:space="preserve"> sottolineare, a tale riguardo, che </w:t>
            </w:r>
            <w:r>
              <w:rPr>
                <w:b/>
                <w:i/>
              </w:rPr>
              <w:t>l'adesione all'UE garantirebbe</w:t>
            </w:r>
            <w:r>
              <w:t xml:space="preserve"> alla Groenlandia </w:t>
            </w:r>
            <w:r>
              <w:rPr>
                <w:b/>
                <w:i/>
              </w:rPr>
              <w:t>una posizione più forte nella governance artica e</w:t>
            </w:r>
            <w:r>
              <w:t xml:space="preserve"> i mezzi per sviluppare infrastrutture critiche man mano che emergono nuove rotte commerciali settentrionali, rafforzando nel contempo la sua sicurezza;</w:t>
            </w:r>
          </w:p>
        </w:tc>
        <w:tc>
          <w:tcPr>
            <w:tcW w:w="4876" w:type="dxa"/>
            <w:tcBorders>
              <w:top w:val="nil"/>
              <w:left w:val="nil"/>
              <w:bottom w:val="nil"/>
              <w:right w:val="nil"/>
            </w:tcBorders>
          </w:tcPr>
          <w:p>
            <w:pPr>
              <w:pStyle w:val="Normal6a"/>
            </w:pPr>
            <w:r>
              <w:t>l)</w:t>
            </w:r>
            <w:r>
              <w:tab/>
            </w:r>
            <w:r>
              <w:t xml:space="preserve">alla luce della crescente importanza della Groenlandia nei quadri di sicurezza artico ed europeo, accogliere con favore tutte le eventuali iniziative del governo della Groenlandia volte a rafforzare i suoi legami politici, istituzionali ed economici con l'UE e incoraggiare l'UE a impegnarsi in partenariati strategici ed economici più solidi, sottolineare, a tale riguardo, che </w:t>
            </w:r>
            <w:r>
              <w:rPr>
                <w:b/>
                <w:i/>
              </w:rPr>
              <w:t>le iniziative dell'UE, tra cui IRIS</w:t>
            </w:r>
            <w:r>
              <w:rPr>
                <w:b/>
                <w:i/>
                <w:vertAlign w:val="superscript"/>
              </w:rPr>
              <w:t>2</w:t>
            </w:r>
            <w:r>
              <w:t xml:space="preserve"> </w:t>
            </w:r>
            <w:r>
              <w:rPr>
                <w:b/>
                <w:i/>
              </w:rPr>
              <w:t>e Galileo, garantirebbero</w:t>
            </w:r>
            <w:r>
              <w:t xml:space="preserve"> alla Groenlandia i mezzi per sviluppare infrastrutture critiche man mano che emergono nuove rotte commerciali settentrionali, rafforzando nel contempo la sua sicurezza;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256</w:t>
      </w:r>
      <w:r>
        <w:rPr>
          <w:rStyle w:val="HideTWBExt"/>
        </w:rPr>
        <w:t>&lt;/NumAm&gt;</w:t>
      </w:r>
    </w:p>
    <w:p>
      <w:pPr>
        <w:pStyle w:val="NormalBold"/>
      </w:pPr>
      <w:r>
        <w:rPr>
          <w:rStyle w:val="HideTWBExt"/>
          <w:b w:val="0"/>
        </w:rPr>
        <w:t>&lt;RepeatBlock-By&gt;</w:t>
      </w:r>
      <w:r>
        <w:rPr>
          <w:rStyle w:val="HideTWBExt"/>
          <w:b w:val="0"/>
        </w:rPr>
        <w:t>&lt;Members&gt;</w:t>
      </w:r>
      <w:r>
        <w:t>Roberto Vannacci, Susanna Ceccardi, Silvia Sardone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w:t>
            </w:r>
            <w:r>
              <w:tab/>
            </w:r>
            <w:r>
              <w:t>alla luce della crescente importanza della Groenlandia nei quadri di sicurezza artico ed europeo</w:t>
            </w:r>
            <w:r>
              <w:rPr>
                <w:b/>
                <w:i/>
              </w:rPr>
              <w:t>, unitamente al crescente sostegno all'adesione all'UE da parte dei groenlandesi, evidenziato dai sondaggi secondo i quali circa il 60 % dei groenlandesi è ora favorevole alla riadesione all'UE</w:t>
            </w:r>
            <w:r>
              <w:t xml:space="preserve">, accogliere con favore tutte le eventuali iniziative del governo della Groenlandia volte a rafforzare i suoi legami politici, istituzionali ed economici con l'UE e incoraggiare l'UE a impegnarsi in partenariati strategici ed economici più solidi, </w:t>
            </w:r>
            <w:r>
              <w:rPr>
                <w:b/>
                <w:i/>
              </w:rPr>
              <w:t>anche nell'ambito dell'eventuale adesione, se e quando i cittadini groenlandesi lo desiderano;</w:t>
            </w:r>
            <w:r>
              <w:t xml:space="preserve"> </w:t>
            </w:r>
            <w:r>
              <w:rPr>
                <w:b/>
                <w:i/>
              </w:rPr>
              <w:t>sottolineare, a tale riguardo, che l'adesione all'UE garantirebbe alla Groenlandia una posizione più forte nella governance artica e i mezzi per sviluppare infrastrutture critiche man mano che emergono nuove rotte commerciali settentrionali, rafforzando nel contempo la sua sicurezza;</w:t>
            </w:r>
          </w:p>
        </w:tc>
        <w:tc>
          <w:tcPr>
            <w:tcW w:w="4876" w:type="dxa"/>
            <w:tcBorders>
              <w:top w:val="nil"/>
              <w:left w:val="nil"/>
              <w:bottom w:val="nil"/>
              <w:right w:val="nil"/>
            </w:tcBorders>
          </w:tcPr>
          <w:p>
            <w:pPr>
              <w:pStyle w:val="Normal6a"/>
            </w:pPr>
            <w:r>
              <w:t>l)</w:t>
            </w:r>
            <w:r>
              <w:tab/>
            </w:r>
            <w:r>
              <w:rPr>
                <w:b/>
                <w:i/>
              </w:rPr>
              <w:t>dal momento che la Groenlandia ha fatto parte della Comunità economica europea (CEE), in quanto territorio danese, dal 1973 al 1985, anno del suo recesso a seguito di un referendum, e</w:t>
            </w:r>
            <w:r>
              <w:t xml:space="preserve"> alla luce della crescente importanza della Groenlandia nei quadri di sicurezza artico ed europeo, accogliere con favore tutte le eventuali iniziative del governo della Groenlandia volte a rafforzare i suoi legami politici, istituzionali ed economici con l'UE e incoraggiare l'UE a impegnarsi in partenariati strategici ed economici più solidi,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257</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w:t>
            </w:r>
            <w:r>
              <w:tab/>
            </w:r>
            <w:r>
              <w:t>alla luce della crescente importanza della Groenlandia nei quadri di sicurezza artico ed europeo, unitamente al crescente sostegno all'adesione all'UE da parte dei groenlandesi, evidenziato dai sondaggi secondo i quali circa il 60 % dei groenlandesi è ora favorevole alla riadesione all'UE, accogliere con favore tutte le eventuali iniziative del governo della Groenlandia volte a rafforzare i suoi legami politici, istituzionali ed economici con l'UE e incoraggiare l'UE a impegnarsi in partenariati strategici ed economici più solidi, anche nell'ambito dell'eventuale adesione, se e quando i cittadini groenlandesi lo desiderano; sottolineare, a tale riguardo, che l'adesione all'UE garantirebbe alla Groenlandia una posizione più forte nella governance artica e i mezzi per sviluppare infrastrutture critiche man mano che emergono nuove rotte commerciali settentrionali, rafforzando nel contempo la sua sicurezza;</w:t>
            </w:r>
          </w:p>
        </w:tc>
        <w:tc>
          <w:tcPr>
            <w:tcW w:w="4876" w:type="dxa"/>
            <w:tcBorders>
              <w:top w:val="nil"/>
              <w:left w:val="nil"/>
              <w:bottom w:val="nil"/>
              <w:right w:val="nil"/>
            </w:tcBorders>
          </w:tcPr>
          <w:p>
            <w:pPr>
              <w:pStyle w:val="Normal6a"/>
            </w:pPr>
            <w:r>
              <w:t>l)</w:t>
            </w:r>
            <w:r>
              <w:tab/>
            </w:r>
            <w:r>
              <w:t xml:space="preserve">alla luce della crescente importanza della Groenlandia nei quadri di sicurezza artico ed europeo, unitamente al crescente sostegno all'adesione all'UE da parte dei groenlandesi, evidenziato dai sondaggi secondo i quali circa il 60 % dei groenlandesi è ora favorevole alla riadesione all'UE, accogliere con favore tutte le eventuali iniziative del governo della Groenlandia volte a rafforzare i suoi legami politici, istituzionali ed economici con l'UE e incoraggiare l'UE a impegnarsi in partenariati strategici ed economici più solidi, anche nell'ambito dell'eventuale adesione, se e quando i cittadini groenlandesi lo desiderano; sottolineare, a tale riguardo, che l'adesione all'UE garantirebbe alla Groenlandia una posizione più forte nella governance artica e i mezzi per </w:t>
            </w:r>
            <w:r>
              <w:rPr>
                <w:b/>
                <w:i/>
              </w:rPr>
              <w:t>proteggere i suoi ecosistemi essenziali e</w:t>
            </w:r>
            <w:r>
              <w:t xml:space="preserve"> sviluppare </w:t>
            </w:r>
            <w:r>
              <w:rPr>
                <w:b/>
                <w:i/>
              </w:rPr>
              <w:t>in modo sostenibile</w:t>
            </w:r>
            <w:r>
              <w:t xml:space="preserve"> infrastrutture critiche man mano che emergono nuove rotte commerciali settentrionali, rafforzando nel contempo la sua sicurezza;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258</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w:t>
            </w:r>
            <w:r>
              <w:tab/>
            </w:r>
            <w:r>
              <w:t>alla luce della crescente importanza della Groenlandia nei quadri di sicurezza artico ed europeo, unitamente al crescente sostegno all'adesione all'UE da parte dei groenlandesi, evidenziato dai sondaggi secondo i quali circa il 60 % dei groenlandesi è ora favorevole alla riadesione all'UE, accogliere con favore tutte le eventuali iniziative del governo della Groenlandia volte a rafforzare i suoi legami politici, istituzionali ed economici con l'UE e incoraggiare l'UE a impegnarsi in partenariati strategici ed economici più solidi, anche nell'ambito dell'eventuale adesione, se e quando i cittadini groenlandesi lo desiderano; sottolineare, a tale riguardo, che l'adesione all'UE garantirebbe alla Groenlandia una posizione più forte nella governance artica e i mezzi per sviluppare infrastrutture critiche man mano che emergono nuove rotte commerciali settentrionali, rafforzando nel contempo la sua sicurezza;</w:t>
            </w:r>
          </w:p>
        </w:tc>
        <w:tc>
          <w:tcPr>
            <w:tcW w:w="4876" w:type="dxa"/>
            <w:tcBorders>
              <w:top w:val="nil"/>
              <w:left w:val="nil"/>
              <w:bottom w:val="nil"/>
              <w:right w:val="nil"/>
            </w:tcBorders>
          </w:tcPr>
          <w:p>
            <w:pPr>
              <w:pStyle w:val="Normal6a"/>
            </w:pPr>
            <w:r>
              <w:t>l)</w:t>
            </w:r>
            <w:r>
              <w:tab/>
            </w:r>
            <w:r>
              <w:t xml:space="preserve">alla luce della crescente importanza della Groenlandia nei quadri di sicurezza artico ed europeo, unitamente al crescente sostegno all'adesione all'UE da parte dei groenlandesi, evidenziato dai sondaggi secondo i quali circa il 60 % dei groenlandesi è ora favorevole alla riadesione all'UE, accogliere con favore tutte le eventuali iniziative del governo della Groenlandia volte a rafforzare i suoi legami politici, istituzionali ed economici con l'UE e incoraggiare l'UE a impegnarsi in partenariati strategici ed economici più solidi, anche nell'ambito dell'eventuale adesione, se e quando i cittadini groenlandesi lo desiderano; sottolineare, a tale riguardo, che l'adesione all'UE garantirebbe alla Groenlandia una posizione più forte nella governance artica e i mezzi per sviluppare infrastrutture critiche man mano che emergono nuove rotte commerciali settentrionali, rafforzando nel contempo la sua sicurezza </w:t>
            </w:r>
            <w:r>
              <w:rPr>
                <w:b/>
                <w:i/>
              </w:rPr>
              <w:t>e favorendo il suo sviluppo economico</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259</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 xml:space="preserve">rafforzare </w:t>
            </w:r>
            <w:r>
              <w:rPr>
                <w:b/>
                <w:i/>
              </w:rPr>
              <w:t>la</w:t>
            </w:r>
            <w:r>
              <w:t xml:space="preserve"> collaborazione </w:t>
            </w:r>
            <w:r>
              <w:rPr>
                <w:b/>
                <w:i/>
              </w:rPr>
              <w:t>con il Canada</w:t>
            </w:r>
            <w:r>
              <w:t>;</w:t>
            </w:r>
          </w:p>
        </w:tc>
        <w:tc>
          <w:tcPr>
            <w:tcW w:w="4876" w:type="dxa"/>
            <w:tcBorders>
              <w:top w:val="nil"/>
              <w:left w:val="nil"/>
              <w:bottom w:val="nil"/>
              <w:right w:val="nil"/>
            </w:tcBorders>
          </w:tcPr>
          <w:p>
            <w:pPr>
              <w:pStyle w:val="Normal6a"/>
            </w:pPr>
            <w:r>
              <w:t>m)</w:t>
            </w:r>
            <w:r>
              <w:tab/>
            </w:r>
            <w:r>
              <w:rPr>
                <w:b/>
                <w:i/>
              </w:rPr>
              <w:t>dato che il Canada è un attore fondamentale nel quadro della governance artica, un membro fondatore del Consiglio artico e un partner strategico dell'Unione europea,</w:t>
            </w:r>
            <w:r>
              <w:t xml:space="preserve"> rafforzare </w:t>
            </w:r>
            <w:r>
              <w:rPr>
                <w:b/>
                <w:i/>
              </w:rPr>
              <w:t>in modo sostanziale la cooperazione politica, economica, ambientale e in materia di sicurezza con il paese nella regione artica;</w:t>
            </w:r>
            <w:r>
              <w:t xml:space="preserve"> </w:t>
            </w:r>
            <w:r>
              <w:rPr>
                <w:b/>
                <w:i/>
              </w:rPr>
              <w:t>instaurare, nel quadro dell'accordo economico e commerciale globale (CETA), un dialogo strutturato e regolare incentrato sui seguenti aspetti:</w:t>
            </w:r>
            <w:r>
              <w:t xml:space="preserve"> </w:t>
            </w:r>
            <w:r>
              <w:rPr>
                <w:b/>
                <w:i/>
              </w:rPr>
              <w:t>la protezione degli ecosistemi artici e della biodiversità, l'attuazione di norme ambientali internazionali nel settore dello sfruttamento delle risorse, lo sviluppo di infrastrutture sostenibili e resilienti, la sicurezza delle rotte marine artiche e l'integrazione delle conoscenze indigene nei processi decisionali;</w:t>
            </w:r>
            <w:r>
              <w:t xml:space="preserve"> </w:t>
            </w:r>
            <w:r>
              <w:rPr>
                <w:b/>
                <w:i/>
              </w:rPr>
              <w:t>incentivare una più stretta</w:t>
            </w:r>
            <w:r>
              <w:t xml:space="preserve"> collaborazione </w:t>
            </w:r>
            <w:r>
              <w:rPr>
                <w:b/>
                <w:i/>
              </w:rPr>
              <w:t>nell'ambito della ricerca scientifica a sostegno della resilienza ai cambiamenti climatici e dell'innovazione tecnologica nelle regioni artiche</w:t>
            </w:r>
            <w:r>
              <w:t xml:space="preserve">; </w:t>
            </w:r>
            <w:r>
              <w:rPr>
                <w:b/>
                <w:i/>
              </w:rPr>
              <w:t>studiare meccanismi comuni per rafforzare la sicurezza energetica e la cibersicurezza nel contesto artico;</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260</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rafforzare la collaborazione con il Canada;</w:t>
            </w:r>
          </w:p>
        </w:tc>
        <w:tc>
          <w:tcPr>
            <w:tcW w:w="4876" w:type="dxa"/>
            <w:tcBorders>
              <w:top w:val="nil"/>
              <w:left w:val="nil"/>
              <w:bottom w:val="nil"/>
              <w:right w:val="nil"/>
            </w:tcBorders>
          </w:tcPr>
          <w:p>
            <w:pPr>
              <w:pStyle w:val="Normal6a"/>
            </w:pPr>
            <w:r>
              <w:t>m)</w:t>
            </w:r>
            <w:r>
              <w:tab/>
            </w:r>
            <w:r>
              <w:t xml:space="preserve">rafforzare la collaborazione con il Canada </w:t>
            </w:r>
            <w:r>
              <w:rPr>
                <w:b/>
                <w:i/>
              </w:rPr>
              <w:t>e ricordare che l'UE e il Canada si trovano ad affrontare sfide simili nell'Artico</w:t>
            </w:r>
            <w:r>
              <w:t xml:space="preserve">; </w:t>
            </w:r>
            <w:r>
              <w:rPr>
                <w:b/>
                <w:i/>
              </w:rPr>
              <w:t>sottolineare la necessità di una maggiore cooperazione in materia di sicurezza nell'Artico al fine di contrastare le attività sempre più malevole portate avanti dalla Russia e dalla Cina nella regione;</w:t>
            </w:r>
            <w:r>
              <w:t xml:space="preserve"> </w:t>
            </w:r>
            <w:r>
              <w:rPr>
                <w:b/>
                <w:i/>
              </w:rPr>
              <w:t>promuovere lo sviluppo economico nell'Artico in collaborazione con il Canada, sempre ricordando che la cooperazione militare può anche avere una duplice funzione economica, che dovrebbe contribuire al rafforzamento delle comunità locali;</w:t>
            </w:r>
            <w:r>
              <w:t xml:space="preserve"> </w:t>
            </w:r>
            <w:r>
              <w:rPr>
                <w:b/>
                <w:i/>
              </w:rPr>
              <w:t>mettere in luce le possibilità di cooperazione scientifica e culturale con il Canada nella regione, che possono contribuire a rafforzare i popoli indigeni e a conferire loro maggiore potere;</w:t>
            </w:r>
            <w:r>
              <w:t xml:space="preserve"> </w:t>
            </w:r>
            <w:r>
              <w:rPr>
                <w:b/>
                <w:i/>
              </w:rPr>
              <w:t>ricordare l'enorme potenziale offerto dalla cooperazione tra l'UE e il Canada per quanto riguarda l'esplorazione delle risorse naturali canadesi;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261</w:t>
      </w:r>
      <w:r>
        <w:rPr>
          <w:rStyle w:val="HideTWBExt"/>
        </w:rPr>
        <w:t>&lt;/NumAm&gt;</w:t>
      </w:r>
    </w:p>
    <w:p>
      <w:pPr>
        <w:pStyle w:val="NormalBold"/>
      </w:pPr>
      <w:r>
        <w:rPr>
          <w:rStyle w:val="HideTWBExt"/>
          <w:b w:val="0"/>
        </w:rPr>
        <w:t>&lt;RepeatBlock-By&gt;</w:t>
      </w:r>
      <w:r>
        <w:rPr>
          <w:rStyle w:val="HideTWBExt"/>
          <w:b w:val="0"/>
        </w:rPr>
        <w:t>&lt;Members&gt;</w:t>
      </w:r>
      <w:r>
        <w:t>Roberto Vannacci, Susanna Ceccardi, Silvia Sardone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rafforzare la collaborazione con il Canada;</w:t>
            </w:r>
          </w:p>
        </w:tc>
        <w:tc>
          <w:tcPr>
            <w:tcW w:w="4876" w:type="dxa"/>
            <w:tcBorders>
              <w:top w:val="nil"/>
              <w:left w:val="nil"/>
              <w:bottom w:val="nil"/>
              <w:right w:val="nil"/>
            </w:tcBorders>
          </w:tcPr>
          <w:p>
            <w:pPr>
              <w:pStyle w:val="Normal6a"/>
            </w:pPr>
            <w:r>
              <w:t>m)</w:t>
            </w:r>
            <w:r>
              <w:tab/>
            </w:r>
            <w:r>
              <w:t xml:space="preserve">rafforzare la collaborazione con il Canada </w:t>
            </w:r>
            <w:r>
              <w:rPr>
                <w:b/>
                <w:i/>
              </w:rPr>
              <w:t>e gli Stati Uniti nell'ambito della governance artica, dato l'interesse strategico che i due paesi e l'UE nutrono per la regione, così come la cooperazione in materia di protezione dei mari e degli oceani, anche per quanto riguarda la ricerca marina</w:t>
            </w:r>
            <w:r>
              <w:t xml:space="preserve">; </w:t>
            </w:r>
            <w:r>
              <w:rPr>
                <w:b/>
                <w:i/>
              </w:rPr>
              <w:t>sostenere la condivisione di intelligence e la cooperazione nella lotta contro le minacce ibride e il terrorismo e chiedere un dialogo strutturato in materia di migrazione, giustizia e affari interni;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262</w:t>
      </w:r>
      <w:r>
        <w:rPr>
          <w:rStyle w:val="HideTWBExt"/>
        </w:rPr>
        <w:t>&lt;/NumAm&gt;</w:t>
      </w:r>
    </w:p>
    <w:p>
      <w:pPr>
        <w:pStyle w:val="NormalBold"/>
      </w:pPr>
      <w:r>
        <w:rPr>
          <w:rStyle w:val="HideTWBExt"/>
          <w:b w:val="0"/>
        </w:rPr>
        <w:t>&lt;RepeatBlock-By&gt;</w:t>
      </w:r>
      <w:r>
        <w:rPr>
          <w:rStyle w:val="HideTWBExt"/>
          <w:b w:val="0"/>
        </w:rPr>
        <w:t>&lt;Members&gt;</w:t>
      </w:r>
      <w:r>
        <w:t>David McAllister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rafforzare la collaborazione con il Canada;</w:t>
            </w:r>
          </w:p>
        </w:tc>
        <w:tc>
          <w:tcPr>
            <w:tcW w:w="4876" w:type="dxa"/>
            <w:tcBorders>
              <w:top w:val="nil"/>
              <w:left w:val="nil"/>
              <w:bottom w:val="nil"/>
              <w:right w:val="nil"/>
            </w:tcBorders>
          </w:tcPr>
          <w:p>
            <w:pPr>
              <w:pStyle w:val="Normal6a"/>
            </w:pPr>
            <w:r>
              <w:t>m)</w:t>
            </w:r>
            <w:r>
              <w:tab/>
            </w:r>
            <w:r>
              <w:t>rafforzare la collaborazione con il Canada</w:t>
            </w:r>
            <w:r>
              <w:rPr>
                <w:b/>
                <w:i/>
              </w:rPr>
              <w:t>, sottolineando l'importanza strategica del partenariato UE-Canada in virtù dei valori democratici comuni e delle responsabilità condivise a livello mondiale</w:t>
            </w:r>
            <w:r>
              <w:t xml:space="preserve">; </w:t>
            </w:r>
            <w:r>
              <w:rPr>
                <w:b/>
                <w:i/>
              </w:rPr>
              <w:t>promuovere il partenariato in materia di sicurezza e difesa, prestando particolare attenzione alla regione artica nell'ambito di un programma ambizioso e lungimirante tra l'UE e il Canada;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263</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rafforzare la collaborazione con il Canada;</w:t>
            </w:r>
          </w:p>
        </w:tc>
        <w:tc>
          <w:tcPr>
            <w:tcW w:w="4876" w:type="dxa"/>
            <w:tcBorders>
              <w:top w:val="nil"/>
              <w:left w:val="nil"/>
              <w:bottom w:val="nil"/>
              <w:right w:val="nil"/>
            </w:tcBorders>
          </w:tcPr>
          <w:p>
            <w:pPr>
              <w:pStyle w:val="Normal6a"/>
            </w:pPr>
            <w:r>
              <w:t>m)</w:t>
            </w:r>
            <w:r>
              <w:tab/>
            </w:r>
            <w:r>
              <w:t>rafforzare la collaborazione con il Canada</w:t>
            </w:r>
            <w:r>
              <w:rPr>
                <w:b/>
                <w:i/>
              </w:rPr>
              <w:t>, anche nell'ambito della cooperazione scientifica, in linea con il recente partenariato in materia di sicurezza e difesa, per contribuire alla pace nell'Artico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264</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rafforzare la collaborazione con il Canada;</w:t>
            </w:r>
          </w:p>
        </w:tc>
        <w:tc>
          <w:tcPr>
            <w:tcW w:w="4876" w:type="dxa"/>
            <w:tcBorders>
              <w:top w:val="nil"/>
              <w:left w:val="nil"/>
              <w:bottom w:val="nil"/>
              <w:right w:val="nil"/>
            </w:tcBorders>
          </w:tcPr>
          <w:p>
            <w:pPr>
              <w:pStyle w:val="Normal6a"/>
            </w:pPr>
            <w:r>
              <w:t>m)</w:t>
            </w:r>
            <w:r>
              <w:tab/>
            </w:r>
            <w:r>
              <w:t>rafforzare la collaborazione con il Canada</w:t>
            </w:r>
            <w:r>
              <w:rPr>
                <w:b/>
                <w:i/>
              </w:rPr>
              <w:t>, in particolare per quanto riguarda il settore minerario, i modelli di partenariato con i popoli indigeni e le infrastrutture, oltre che le questioni politiche e di sicurezza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265</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rafforzare la collaborazione con il Canada;</w:t>
            </w:r>
          </w:p>
        </w:tc>
        <w:tc>
          <w:tcPr>
            <w:tcW w:w="4876" w:type="dxa"/>
            <w:tcBorders>
              <w:top w:val="nil"/>
              <w:left w:val="nil"/>
              <w:bottom w:val="nil"/>
              <w:right w:val="nil"/>
            </w:tcBorders>
          </w:tcPr>
          <w:p>
            <w:pPr>
              <w:pStyle w:val="Normal6a"/>
            </w:pPr>
            <w:r>
              <w:t>m)</w:t>
            </w:r>
            <w:r>
              <w:tab/>
            </w:r>
            <w:r>
              <w:t>rafforzare la collaborazione con il Canada</w:t>
            </w:r>
            <w:r>
              <w:rPr>
                <w:b/>
                <w:i/>
              </w:rPr>
              <w:t>, in particolare in materia di sicurezza e difesa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266</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rafforzare la collaborazione con il Canada;</w:t>
            </w:r>
          </w:p>
        </w:tc>
        <w:tc>
          <w:tcPr>
            <w:tcW w:w="4876" w:type="dxa"/>
            <w:tcBorders>
              <w:top w:val="nil"/>
              <w:left w:val="nil"/>
              <w:bottom w:val="nil"/>
              <w:right w:val="nil"/>
            </w:tcBorders>
          </w:tcPr>
          <w:p>
            <w:pPr>
              <w:pStyle w:val="Normal6a"/>
            </w:pPr>
            <w:r>
              <w:t>m)</w:t>
            </w:r>
            <w:r>
              <w:tab/>
            </w:r>
            <w:r>
              <w:t xml:space="preserve">rafforzare la collaborazione con il Canada </w:t>
            </w:r>
            <w:r>
              <w:rPr>
                <w:b/>
                <w:i/>
              </w:rPr>
              <w:t>il più rapidamente possibile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267</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 bis)</w:t>
            </w:r>
            <w:r>
              <w:tab/>
            </w:r>
            <w:r>
              <w:rPr>
                <w:b/>
                <w:i/>
              </w:rPr>
              <w:t>riconoscere che un Artico popolato, infrastrutture transfrontaliere e società resilienti rivestono un'importanza strategica per la sicurezza europea;</w:t>
            </w:r>
            <w:r>
              <w:t xml:space="preserve"> </w:t>
            </w:r>
            <w:r>
              <w:rPr>
                <w:b/>
                <w:i/>
              </w:rPr>
              <w:t>sottolineare che gli strumenti dell'UE dovrebbero pertanto mirare attivamente a una maggiore integrazione economica nella regione artica;</w:t>
            </w:r>
            <w:r>
              <w:t xml:space="preserve"> </w:t>
            </w:r>
            <w:r>
              <w:rPr>
                <w:b/>
                <w:i/>
              </w:rPr>
              <w:t>sottolineare che gli investimenti nelle infrastrutture transfrontaliere aumentano la mobilità, incentivano l'innovazione e lo sviluppo delle imprese e rafforzano la sicurezza dell'approvvigionamento e la cooperazione tra attori pubblici e privati in materia di preparazione;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268</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 bis)</w:t>
            </w:r>
            <w:r>
              <w:tab/>
            </w:r>
            <w:r>
              <w:rPr>
                <w:b/>
                <w:i/>
              </w:rPr>
              <w:t>riconoscere che un Artico popolato, infrastrutture transfrontaliere e società resilienti rivestono un'importanza strategica per la sicurezza europea;</w:t>
            </w:r>
            <w:r>
              <w:t xml:space="preserve"> </w:t>
            </w:r>
            <w:r>
              <w:rPr>
                <w:b/>
                <w:i/>
              </w:rPr>
              <w:t>sottolineare che gli strumenti dell'UE dovrebbero pertanto mirare attivamente a una maggiore integrazione economica nella regione artica;</w:t>
            </w:r>
            <w:r>
              <w:t xml:space="preserve"> </w:t>
            </w:r>
            <w:r>
              <w:rPr>
                <w:b/>
                <w:i/>
              </w:rPr>
              <w:t>sottolineare che gli investimenti nelle infrastrutture transfrontaliere aumentano la mobilità, incentivano l'innovazione e lo sviluppo delle imprese e rafforzano la sicurezza dell'approvvigionamento e la cooperazione tra attori pubblici e privati in materia di preparazione;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269</w:t>
      </w:r>
      <w:r>
        <w:rPr>
          <w:rStyle w:val="HideTWBExt"/>
        </w:rPr>
        <w:t>&lt;/NumAm&gt;</w:t>
      </w:r>
    </w:p>
    <w:p>
      <w:pPr>
        <w:pStyle w:val="NormalBold"/>
      </w:pPr>
      <w:r>
        <w:rPr>
          <w:rStyle w:val="HideTWBExt"/>
          <w:b w:val="0"/>
        </w:rPr>
        <w:t>&lt;RepeatBlock-By&gt;</w:t>
      </w:r>
      <w:r>
        <w:rPr>
          <w:rStyle w:val="HideTWBExt"/>
          <w:b w:val="0"/>
        </w:rPr>
        <w:t>&lt;Members&gt;</w:t>
      </w:r>
      <w:r>
        <w:t>Davor Ivo Stier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 bis)</w:t>
            </w:r>
            <w:r>
              <w:tab/>
            </w:r>
            <w:r>
              <w:rPr>
                <w:b/>
                <w:i/>
              </w:rPr>
              <w:t>insistere sulla rivitalizzazione del Consiglio artico in quanto forum preminente per la cooperazione artica, esortando tutti gli Stati artici a riprendere le attività del Consiglio basate sul consenso e a esprimersi a favore della domanda presentata dall'UE per ottenere lo status di osservatore;</w:t>
            </w:r>
            <w:r>
              <w:t xml:space="preserve"> </w:t>
            </w:r>
            <w:r>
              <w:rPr>
                <w:b/>
                <w:i/>
              </w:rPr>
              <w:t>rafforzare il coinvolgimento dell'UE all'interno dei gruppi di lavoro del Consiglio artico e nell'ambito dei programmi scientifici congiunti, al fine di rispondere alle sfide in materia di ambiente e sicurezza;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270</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 bis)</w:t>
            </w:r>
            <w:r>
              <w:tab/>
            </w:r>
            <w:r>
              <w:rPr>
                <w:b/>
                <w:i/>
              </w:rPr>
              <w:t>portare avanti il dialogo tra l'UE e gli Stati Uniti sull'Artico;</w:t>
            </w:r>
            <w:r>
              <w:t xml:space="preserve"> </w:t>
            </w:r>
            <w:r>
              <w:rPr>
                <w:b/>
                <w:i/>
              </w:rPr>
              <w:t>mettere in luce le numerose sfide comuni che l'UE e gli Stati Uniti si trovano ad affrontare nell'Artico, a partire dalle questioni legate al clima fino ad arrivare alla cooperazione in materia di sicurezza;</w:t>
            </w:r>
            <w:r>
              <w:t xml:space="preserve"> </w:t>
            </w:r>
            <w:r>
              <w:rPr>
                <w:b/>
                <w:i/>
              </w:rPr>
              <w:t>sottolineare che la cooperazione tra l'UE e gli Stati Uniti nell'Artico è fondamentale per contenere la Russia e la Cina e garantire la nostra sicurezza comune;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271</w:t>
      </w:r>
      <w:r>
        <w:rPr>
          <w:rStyle w:val="HideTWBExt"/>
        </w:rPr>
        <w:t>&lt;/NumAm&gt;</w:t>
      </w:r>
    </w:p>
    <w:p>
      <w:pPr>
        <w:pStyle w:val="NormalBold"/>
      </w:pPr>
      <w:r>
        <w:rPr>
          <w:rStyle w:val="HideTWBExt"/>
          <w:b w:val="0"/>
        </w:rPr>
        <w:t>&lt;RepeatBlock-By&gt;</w:t>
      </w:r>
      <w:r>
        <w:rPr>
          <w:rStyle w:val="HideTWBExt"/>
          <w:b w:val="0"/>
        </w:rPr>
        <w:t>&lt;Members&gt;</w:t>
      </w:r>
      <w:r>
        <w:t>Liudas Mažylis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 bis)</w:t>
            </w:r>
            <w:r>
              <w:tab/>
            </w:r>
            <w:r>
              <w:rPr>
                <w:b/>
                <w:i/>
              </w:rPr>
              <w:t>rafforzare la cooperazione con gli Stati osservatori del Consiglio artico, quali il Giappone e la Corea del Sud, concentrandosi sulle tecnologie sostenibili, sulle capacità rompighiaccio e sulla sicurezza marittima, salvaguardando nel contempo gli interessi strategici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272</w:t>
      </w:r>
      <w:r>
        <w:rPr>
          <w:rStyle w:val="HideTWBExt"/>
        </w:rPr>
        <w:t>&lt;/NumAm&gt;</w:t>
      </w:r>
    </w:p>
    <w:p>
      <w:pPr>
        <w:pStyle w:val="NormalBold"/>
      </w:pPr>
      <w:r>
        <w:rPr>
          <w:rStyle w:val="HideTWBExt"/>
          <w:b w:val="0"/>
        </w:rPr>
        <w:t>&lt;RepeatBlock-By&gt;</w:t>
      </w:r>
      <w:r>
        <w:rPr>
          <w:rStyle w:val="HideTWBExt"/>
          <w:b w:val="0"/>
        </w:rPr>
        <w:t>&lt;Members&gt;</w:t>
      </w:r>
      <w:r>
        <w:t>Robert Biedroń</w:t>
      </w:r>
      <w:r>
        <w:rPr>
          <w:rStyle w:val="HideTWBExt"/>
          <w:b w:val="0"/>
        </w:rPr>
        <w:t>&lt;/Members&gt;</w:t>
      </w:r>
    </w:p>
    <w:p>
      <w:r>
        <w:rPr>
          <w:rStyle w:val="HideTWBExt"/>
          <w:b w:val="0"/>
        </w:rPr>
        <w:t>&lt;AuNomDe&gt;</w:t>
      </w:r>
      <w:r>
        <w:rPr>
          <w:rStyle w:val="HideTWBInt"/>
        </w:rPr>
        <w:t>{S&amp;D}</w:t>
      </w:r>
      <w:r>
        <w:t>a nome del gruppo S&amp;D</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 bis)</w:t>
            </w:r>
            <w:r>
              <w:tab/>
            </w:r>
            <w:r>
              <w:rPr>
                <w:b/>
                <w:i/>
              </w:rPr>
              <w:t>rinnovare i propri sforzi a sostegno della richiesta dell'UE di diventare un osservatore a pieno titolo in seno al Consiglio 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273</w:t>
      </w:r>
      <w:r>
        <w:rPr>
          <w:rStyle w:val="HideTWBExt"/>
        </w:rPr>
        <w:t>&lt;/NumAm&gt;</w:t>
      </w:r>
    </w:p>
    <w:p>
      <w:pPr>
        <w:pStyle w:val="NormalBold"/>
      </w:pPr>
      <w:r>
        <w:rPr>
          <w:rStyle w:val="HideTWBExt"/>
          <w:b w:val="0"/>
        </w:rPr>
        <w:t>&lt;RepeatBlock-By&gt;</w:t>
      </w:r>
      <w:r>
        <w:rPr>
          <w:rStyle w:val="HideTWBExt"/>
          <w:b w:val="0"/>
        </w:rPr>
        <w:t>&lt;Members&gt;</w:t>
      </w:r>
      <w:r>
        <w:t>Łukasz Kohut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 bis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 bis)</w:t>
            </w:r>
            <w:r>
              <w:tab/>
            </w:r>
            <w:r>
              <w:rPr>
                <w:b/>
                <w:i/>
              </w:rPr>
              <w:t>rafforzare il coinvolgimento dell'UE all'interno dei gruppi di lavoro del Consiglio 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274</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 ter)</w:t>
            </w:r>
            <w:r>
              <w:tab/>
            </w:r>
            <w:r>
              <w:rPr>
                <w:b/>
                <w:i/>
              </w:rPr>
              <w:t>chiedere la creazione di un'unità per l'Artico dedicata in seno al Servizio europeo per l'azione esterna (SEAE), con l'obiettivo di promuovere un dialogo più approfondito e proattivo con gli Stati artici e i portatori di interessi della regione;</w:t>
            </w:r>
            <w:r>
              <w:t xml:space="preserve"> </w:t>
            </w:r>
            <w:r>
              <w:rPr>
                <w:b/>
                <w:i/>
              </w:rPr>
              <w:t>sottolineare che l'UE dovrebbe considerare l'Artico un partner a lungo termine ai fini di una prosperità sostenibile, dando priorità alla collaborazione in materia economica, ambientale e di sicurezza;</w:t>
            </w:r>
            <w:r>
              <w:t xml:space="preserve"> </w:t>
            </w:r>
            <w:r>
              <w:rPr>
                <w:b/>
                <w:i/>
              </w:rPr>
              <w:t>esortare il SEAE a sviluppare competenze specifiche sull'Artico, anche attraverso la formazione del personale e una più stretta cooperazione con le comunità e le istituzioni artiche, e a rafforzare il coinvolgimento dell'UE all'interno dei gruppi di lavoro del Consiglio artico;</w:t>
            </w:r>
            <w:r>
              <w:t xml:space="preserve"> </w:t>
            </w:r>
            <w:r>
              <w:rPr>
                <w:b/>
                <w:i/>
              </w:rPr>
              <w:t>sottolineare che tale sviluppo di capacità deve essere sostenuto da finanziamenti adeguati, tra cui anche risorse destinate alla formazione del personale, alla ricerca e alla creazione di partenariati con le comunità e le istituzioni artiche, al fine di garantire un approccio globale, informato, efficace e coordinato alla politica dell'UE per 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275</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 ter)</w:t>
            </w:r>
            <w:r>
              <w:tab/>
            </w:r>
            <w:r>
              <w:rPr>
                <w:b/>
                <w:i/>
              </w:rPr>
              <w:t>insistere sulla necessità di un dialogo regionale più approfondito con i partner affini nell'Artico e invitare i leader dell'UE a riunire i leader di questi partner con l'obiettivo di definire una strategia a lungo termine comune, concreta e sostenibile per l'Artico;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276</w:t>
      </w:r>
      <w:r>
        <w:rPr>
          <w:rStyle w:val="HideTWBExt"/>
        </w:rPr>
        <w:t>&lt;/NumAm&gt;</w:t>
      </w:r>
    </w:p>
    <w:p>
      <w:pPr>
        <w:pStyle w:val="NormalBold"/>
      </w:pPr>
      <w:r>
        <w:rPr>
          <w:rStyle w:val="HideTWBExt"/>
          <w:b w:val="0"/>
        </w:rPr>
        <w:t>&lt;RepeatBlock-By&gt;</w:t>
      </w:r>
      <w:r>
        <w:rPr>
          <w:rStyle w:val="HideTWBExt"/>
          <w:b w:val="0"/>
        </w:rPr>
        <w:t>&lt;Members&gt;</w:t>
      </w:r>
      <w:r>
        <w:t>Davor Ivo Stier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 ter)</w:t>
            </w:r>
            <w:r>
              <w:tab/>
            </w:r>
            <w:r>
              <w:rPr>
                <w:b/>
                <w:i/>
              </w:rPr>
              <w:t>approfondire la cooperazione pratica tra l'UE e la NATO nell'Artico in settori di interesse comune, tra cui la conoscenza del settore marittimo, la protezione delle infrastrutture critiche, la logistica e l'interoperabilità in materia di ricerca e soccorso;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277</w:t>
      </w:r>
      <w:r>
        <w:rPr>
          <w:rStyle w:val="HideTWBExt"/>
        </w:rPr>
        <w:t>&lt;/NumAm&gt;</w:t>
      </w:r>
    </w:p>
    <w:p>
      <w:pPr>
        <w:pStyle w:val="NormalBold"/>
      </w:pPr>
      <w:r>
        <w:rPr>
          <w:rStyle w:val="HideTWBExt"/>
          <w:b w:val="0"/>
        </w:rPr>
        <w:t>&lt;RepeatBlock-By&gt;</w:t>
      </w:r>
      <w:r>
        <w:rPr>
          <w:rStyle w:val="HideTWBExt"/>
          <w:b w:val="0"/>
        </w:rPr>
        <w:t>&lt;Members&gt;</w:t>
      </w:r>
      <w:r>
        <w:t>Łukasz Kohut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 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 ter)</w:t>
            </w:r>
            <w:r>
              <w:tab/>
            </w:r>
            <w:r>
              <w:rPr>
                <w:b/>
                <w:i/>
              </w:rPr>
              <w:t>rafforzare la cooperazione con l'Artico europeo e al suo interno;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278</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 quater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 quater)</w:t>
            </w:r>
            <w:r>
              <w:tab/>
            </w:r>
            <w:r>
              <w:rPr>
                <w:b/>
                <w:i/>
              </w:rPr>
              <w:t>in considerazione dell'aggressione portata avanti dalla Russia nei confronti dell'Ucraina e delle relative implicazioni per la stabilità dell'Artico, sollecitare la piena attuazione delle sanzioni dell'UE relative alle tecnologie a duplice uso destinate all'espansione militare russa nell'Artico, sostenendo nel contempo il dialogo dell'Ucraina con le strutture di governance dell'Artico, anche in vista dell'ottenimento dello status di osservatore all'interno dei forum pertinenti, al fine di promuovere un ordine basato su regole;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279</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 quater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 quater)</w:t>
            </w:r>
            <w:r>
              <w:tab/>
            </w:r>
            <w:r>
              <w:rPr>
                <w:b/>
                <w:i/>
              </w:rPr>
              <w:t>rafforzare il monitoraggio e l'applicazione della legislazione, imporre sanzioni rigorose alle navi della flotta ombra che si servono di bandiere di comodo per eludere le sanzioni nell'Artico, cooperare a livello internazionale perché tali navi siano inserite nelle liste nere dei porti e delle assicurazioni e garantire che gli Stati di bandiera siano pienamente responsabili del rispetto delle norme ambientali e di sicurezza;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280</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 quinquies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 quinquies)</w:t>
            </w:r>
            <w:r>
              <w:tab/>
            </w:r>
            <w:r>
              <w:rPr>
                <w:b/>
                <w:i/>
              </w:rPr>
              <w:t>riconoscendo l'importanza di una connettività resiliente per le comunità artiche e la sicurezza dell'UE, sostenere lo sviluppo di progetti infrastrutturali tra le regioni del Nord nell'Artico svedese e finlandese, prestando particolare attenzione al miglioramento delle capacità delle ferrovie esistenti tra la Finlandia e l'Oceano Artico e allo studio di nuovi collegamenti di trasporto multimodale per rafforzare la connettività e la mobilità militare tra l'UE e i paesi del Nord;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281</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 quinquies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 quinquies)</w:t>
            </w:r>
            <w:r>
              <w:tab/>
            </w:r>
            <w:r>
              <w:rPr>
                <w:b/>
                <w:i/>
              </w:rPr>
              <w:t>studiare e istituire una rappresentanza formale dell'UE nelle Isole Fær Øer al fine di rafforzare il dialogo politico, intensificare la cooperazione in materia di pesca, resilienza ai cambiamenti climatici e sviluppo sostenibile e consolidare la presenza strategica dell'UE nella regione dell'Atlantico settentrionale;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282</w:t>
      </w:r>
      <w:r>
        <w:rPr>
          <w:rStyle w:val="HideTWBExt"/>
        </w:rPr>
        <w:t>&lt;/NumAm&gt;</w:t>
      </w:r>
    </w:p>
    <w:p>
      <w:pPr>
        <w:pStyle w:val="NormalBold"/>
      </w:pPr>
      <w:r>
        <w:rPr>
          <w:rStyle w:val="HideTWBExt"/>
          <w:b w:val="0"/>
        </w:rPr>
        <w:t>&lt;RepeatBlock-By&gt;</w:t>
      </w:r>
      <w:r>
        <w:rPr>
          <w:rStyle w:val="HideTWBExt"/>
          <w:b w:val="0"/>
        </w:rPr>
        <w:t>&lt;Members&gt;</w:t>
      </w:r>
      <w:r>
        <w:t>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 sexies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 sexies)</w:t>
            </w:r>
            <w:r>
              <w:tab/>
            </w:r>
            <w:r>
              <w:rPr>
                <w:b/>
                <w:i/>
              </w:rPr>
              <w:t>aumentare i finanziamenti e il sostegno a favore della cooperazione con le principali istituzioni artiche, quali il Consiglio economico dell'Artico, il Forum dei sindaci dell'Artico e la commissione permanente dei parlamentari artici, anche attraverso lo sviluppo di capacità, progetti congiunti e iniziative di ricerca, riconoscendone il ruolo essenziale nella promozione dello sviluppo sostenibile e della partecipazione locale in tutta la regione artica;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283</w:t>
      </w:r>
      <w:r>
        <w:rPr>
          <w:rStyle w:val="HideTWBExt"/>
        </w:rPr>
        <w:t>&lt;/NumAm&gt;</w:t>
      </w:r>
    </w:p>
    <w:p>
      <w:pPr>
        <w:pStyle w:val="NormalBold"/>
      </w:pPr>
      <w:r>
        <w:rPr>
          <w:rStyle w:val="HideTWBExt"/>
          <w:b w:val="0"/>
        </w:rPr>
        <w:t>&lt;RepeatBlock-By&gt;</w:t>
      </w:r>
      <w:r>
        <w:rPr>
          <w:rStyle w:val="HideTWBExt"/>
          <w:b w:val="0"/>
        </w:rPr>
        <w:t>&lt;Members&gt;</w:t>
      </w:r>
      <w:r>
        <w:t>Mika Aaltola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 lettera m sexies (nuova)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 sexies)</w:t>
            </w:r>
            <w:r>
              <w:tab/>
            </w:r>
            <w:r>
              <w:rPr>
                <w:b/>
                <w:i/>
              </w:rPr>
              <w:t>sottolineare che l'Europa deve sviluppare una capacità di lancio indipendente e adatta all'Artico per garantire servizi satellitari resilienti nel Grande Nord;</w:t>
            </w:r>
            <w:r>
              <w:t xml:space="preserve"> </w:t>
            </w:r>
            <w:r>
              <w:rPr>
                <w:b/>
                <w:i/>
              </w:rPr>
              <w:t>evidenziare che comunicazioni sicure, l'osservazione della Terra e una navigazione affidabile sono fondamentali per la consapevolezza situazionale, la risposta alle crisi e la difesa, e che tali capacità devono essere salvaguardate contro i disturbi intenzionali, lo "spoofing" e le interferenze ostili;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284</w:t>
      </w:r>
      <w:r>
        <w:rPr>
          <w:rStyle w:val="HideTWBExt"/>
        </w:rPr>
        <w:t>&lt;/NumAm&gt;</w:t>
      </w:r>
    </w:p>
    <w:p>
      <w:pPr>
        <w:pStyle w:val="NormalBold"/>
      </w:pPr>
      <w:r>
        <w:rPr>
          <w:rStyle w:val="HideTWBExt"/>
          <w:b w:val="0"/>
        </w:rPr>
        <w:t>&lt;RepeatBlock-By&gt;</w:t>
      </w:r>
      <w:r>
        <w:rPr>
          <w:rStyle w:val="HideTWBExt"/>
          <w:b w:val="0"/>
        </w:rPr>
        <w:t>&lt;Members&gt;</w:t>
      </w:r>
      <w:r>
        <w:t>Pierre-Romain Thionnet,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bis.</w:t>
            </w:r>
            <w:r>
              <w:tab/>
            </w:r>
            <w:r>
              <w:rPr>
                <w:b/>
                <w:i/>
              </w:rPr>
              <w:t>rivedere la direttiva quadro sulla strategia per l'ambiente marino al fine di prevedere deroghe o di ridurre le attuali restrizioni, in modo da consentire agli Stati membri dell'UE di rilasciare licenze di esplorazione per l'estrazione di minerali strategici in alto mare, compresi quelli indicati nel regolamento sulle materie prime critiche;</w:t>
            </w:r>
            <w:r>
              <w:t xml:space="preserve"> </w:t>
            </w:r>
            <w:r>
              <w:rPr>
                <w:b/>
                <w:i/>
              </w:rPr>
              <w:t>sottolineare che, sebbene la protezione dell'ambiente rimanga fondamentale, l'imposizione di obiettivi ambientali eccessivi risulta attualmente controproducente per la diffusione sul mercato di tecnologie più pulite ed espone gli Stati membri dell'UE a una dipendenza critica nei confronti della Cina e di altri paesi terzi per quanto riguarda tali minerali;</w:t>
            </w:r>
            <w:r>
              <w:t xml:space="preserve"> </w:t>
            </w:r>
            <w:r>
              <w:rPr>
                <w:b/>
                <w:i/>
              </w:rPr>
              <w:t>sottolinea che il modello norvegese può rappresentare un approccio sostenibile alle operazioni di estrazione mineraria in alto mare, in grado di conciliare le esigenze strategiche con le preoccupazioni ambientali;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285</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bis.</w:t>
            </w:r>
            <w:r>
              <w:tab/>
            </w:r>
            <w:r>
              <w:rPr>
                <w:b/>
                <w:i/>
              </w:rPr>
              <w:t>adoperarsi attivamente perché l'UE ottenga lo status di osservatore o di partecipante a pieno titolo in tutti i pertinenti organi di governance artici in cui non è ancora rappresentata, come anche un ruolo più rilevante all'interno dei gruppi di lavoro del Consiglio artico;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777.074</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140</w:t>
    </w:r>
    <w:r>
      <w:fldChar w:fldCharType="end"/>
    </w:r>
    <w:r>
      <w:t>/</w:t>
    </w:r>
    <w:r>
      <w:fldChar w:fldCharType="begin"/>
    </w:r>
    <w:r>
      <w:instrText xml:space="preserve"> NUMPAGES </w:instrText>
    </w:r>
    <w:r>
      <w:fldChar w:fldCharType="separate"/>
    </w:r>
    <w:r>
      <w:t>141</w:t>
    </w:r>
    <w:r>
      <w:fldChar w:fldCharType="end"/>
    </w:r>
    <w:r>
      <w:tab/>
    </w:r>
    <w:r>
      <w:rPr>
        <w:rStyle w:val="HideTWBExt"/>
      </w:rPr>
      <w:t>&lt;PathFdR&gt;</w:t>
    </w:r>
    <w:r>
      <w:t>AM\1328133IT.docx</w:t>
    </w:r>
    <w:r>
      <w:rPr>
        <w:rStyle w:val="HideTWBExt"/>
      </w:rPr>
      <w:t>&lt;/PathFdR&gt;</w:t>
    </w:r>
  </w:p>
  <w:p>
    <w:pPr>
      <w:pStyle w:val="EPFooter2"/>
    </w:pPr>
    <w:r>
      <w:t>IT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AM\1328133IT.docx</w:t>
    </w:r>
    <w:r>
      <w:rPr>
        <w:rStyle w:val="HideTWBExt"/>
      </w:rPr>
      <w:t>&lt;/PathFdR&gt;</w:t>
    </w:r>
    <w:r>
      <w:tab/>
    </w:r>
    <w:r>
      <w:fldChar w:fldCharType="begin"/>
    </w:r>
    <w:r>
      <w:instrText xml:space="preserve"> PAGE </w:instrText>
    </w:r>
    <w:r>
      <w:fldChar w:fldCharType="separate"/>
    </w:r>
    <w:r>
      <w:t>141</w:t>
    </w:r>
    <w:r>
      <w:fldChar w:fldCharType="end"/>
    </w:r>
    <w:r>
      <w:t>/</w:t>
    </w:r>
    <w:r>
      <w:fldChar w:fldCharType="begin"/>
    </w:r>
    <w:r>
      <w:instrText xml:space="preserve"> NUMPAGES </w:instrText>
    </w:r>
    <w:r>
      <w:fldChar w:fldCharType="separate"/>
    </w:r>
    <w:r>
      <w:t>141</w:t>
    </w:r>
    <w:r>
      <w:fldChar w:fldCharType="end"/>
    </w:r>
    <w:r>
      <w:tab/>
    </w:r>
    <w:r>
      <w:t>PE</w:t>
    </w:r>
    <w:r>
      <w:rPr>
        <w:rStyle w:val="HideTWBExt"/>
      </w:rPr>
      <w:t>&lt;NoPE&gt;</w:t>
    </w:r>
    <w:r>
      <w:t>777.074</w:t>
    </w:r>
    <w:r>
      <w:rPr>
        <w:rStyle w:val="HideTWBExt"/>
      </w:rPr>
      <w:t>&lt;/NoPE&gt;</w:t>
    </w:r>
    <w:r>
      <w:rPr>
        <w:rStyle w:val="HideTWBExt"/>
      </w:rPr>
      <w:t>&lt;Version&gt;</w:t>
    </w:r>
    <w:r>
      <w:t>v01-00</w:t>
    </w:r>
    <w:r>
      <w:rPr>
        <w:rStyle w:val="HideTWBExt"/>
      </w:rPr>
      <w:t>&lt;/Version&gt;</w:t>
    </w:r>
  </w:p>
  <w:p>
    <w:pPr>
      <w:pStyle w:val="EPFooter2"/>
    </w:pPr>
    <w:r>
      <w:tab/>
    </w:r>
    <w:r>
      <w:tab/>
    </w:r>
    <w:r>
      <w:t>IT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AM\1328133IT.docx</w:t>
    </w:r>
    <w:r>
      <w:rPr>
        <w:rStyle w:val="HideTWBExt"/>
      </w:rPr>
      <w:t>&lt;/PathFdR&gt;</w:t>
    </w:r>
    <w:r>
      <w:tab/>
    </w:r>
    <w:r>
      <w:tab/>
    </w:r>
    <w:r>
      <w:t>PE</w:t>
    </w:r>
    <w:r>
      <w:rPr>
        <w:rStyle w:val="HideTWBExt"/>
      </w:rPr>
      <w:t>&lt;NoPE&gt;</w:t>
    </w:r>
    <w:r>
      <w:t>777.074</w:t>
    </w:r>
    <w:r>
      <w:rPr>
        <w:rStyle w:val="HideTWBExt"/>
      </w:rPr>
      <w:t>&lt;/NoPE&gt;</w:t>
    </w:r>
    <w:r>
      <w:rPr>
        <w:rStyle w:val="HideTWBExt"/>
      </w:rPr>
      <w:t>&lt;Version&gt;</w:t>
    </w:r>
    <w:r>
      <w:t>v01-00</w:t>
    </w:r>
    <w:r>
      <w:rPr>
        <w:rStyle w:val="HideTWBExt"/>
      </w:rPr>
      <w:t>&lt;/Version&gt;</w:t>
    </w:r>
  </w:p>
  <w:p>
    <w:pPr>
      <w:pStyle w:val="EPFooter2"/>
    </w:pPr>
    <w:r>
      <w:t>IT</w:t>
    </w:r>
    <w:r>
      <w:tab/>
    </w:r>
    <w:r>
      <w:rPr>
        <w:rStyle w:val="EPFooter2Motto"/>
      </w:rPr>
      <w:t>Unita nella diversità</w:t>
    </w:r>
    <w:r>
      <w:tab/>
    </w:r>
    <w:r>
      <w:t>IT</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Logo">
    <w:name w:val="EPLogo"/>
    <w:basedOn w:val="Normal"/>
    <w:pPr>
      <w:widowControl w:val="0"/>
      <w:jc w:val="right"/>
    </w:pPr>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Footer">
    <w:name w:val="EPFooter"/>
    <w:basedOn w:val="Normal"/>
    <w:pPr>
      <w:widowControl w:val="0"/>
      <w:tabs>
        <w:tab w:val="center" w:pos="4534"/>
        <w:tab w:val="right" w:pos="9070"/>
      </w:tabs>
      <w:spacing w:before="240" w:after="240"/>
    </w:pPr>
    <w:rPr>
      <w:sz w:val="2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JustText">
    <w:name w:val="AmJustText"/>
    <w:basedOn w:val="Normal"/>
    <w:pPr>
      <w:widowControl w:val="0"/>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141</Pages>
  <Words>27124</Words>
  <Characters>168238</Characters>
  <Application>Microsoft Office Word</Application>
  <DocSecurity>0</DocSecurity>
  <Lines>1</Lines>
  <Paragraphs>2456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1328133</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253873</vt:lpwstr>
  </property>
  <property fmtid="{D5CDD505-2E9C-101B-9397-08002B2CF9AE}" pid="7" name="dmxml.render.traceId">
    <vt:lpwstr>68e442eca6181eb60d928e7751845ca3</vt:lpwstr>
  </property>
  <property fmtid="{D5CDD505-2E9C-101B-9397-08002B2CF9AE}" pid="8" name="FooterPath">
    <vt:lpwstr>AM\1328133IT.docx</vt:lpwstr>
  </property>
  <property fmtid="{D5CDD505-2E9C-101B-9397-08002B2CF9AE}" pid="9" name="PE Number">
    <vt:lpwstr>777.074</vt:lpwstr>
  </property>
  <property fmtid="{D5CDD505-2E9C-101B-9397-08002B2CF9AE}" pid="10" name="UID">
    <vt:lpwstr>eu.europa.europarl-DIN1-2025-0000175289_02.00-it-01.00_text-xml</vt:lpwstr>
  </property>
</Properties>
</file>