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Ārlietu komiteja</w:t>
      </w:r>
      <w:r>
        <w:rPr>
          <w:rStyle w:val="HideTWBExt"/>
        </w:rPr>
        <w:t>&lt;/Commission&gt;</w:t>
      </w:r>
    </w:p>
    <w:p>
      <w:pPr>
        <w:pStyle w:val="LineBottom"/>
      </w:pPr>
      <w:r>
        <w:t xml:space="preserve"> </w:t>
      </w:r>
    </w:p>
    <w:p>
      <w:pPr>
        <w:pStyle w:val="CoverReference"/>
      </w:pPr>
      <w:r>
        <w:rPr>
          <w:rStyle w:val="HideTWBExt"/>
        </w:rPr>
        <w:t>&lt;RefProc&gt;</w:t>
      </w:r>
      <w:r>
        <w:t>2025/2116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{22/09/2025}</w:t>
      </w:r>
      <w:r>
        <w:t>22.9.2025</w:t>
      </w:r>
      <w:r>
        <w:rPr>
          <w:rStyle w:val="HideTWBExt"/>
        </w:rPr>
        <w:t>&lt;/Date&gt;</w:t>
      </w:r>
    </w:p>
    <w:p>
      <w:pPr>
        <w:pStyle w:val="CoverDocType"/>
      </w:pPr>
      <w:r>
        <w:rPr>
          <w:rStyle w:val="HideTWBExt"/>
        </w:rPr>
        <w:t>&lt;TypeAM&gt;</w:t>
      </w:r>
      <w:r>
        <w:t>GROZĪJUMI Nr.</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Ziņojuma projekts</w:t>
      </w:r>
      <w:r>
        <w:rPr>
          <w:rStyle w:val="HideTWBExt"/>
        </w:rPr>
        <w:t>&lt;/TitreType&gt;</w:t>
      </w:r>
    </w:p>
    <w:p>
      <w:pPr>
        <w:pStyle w:val="CoverBold"/>
      </w:pPr>
      <w:r>
        <w:rPr>
          <w:rStyle w:val="HideTWBExt"/>
        </w:rPr>
        <w:t>&lt;Rapporteur&gt;</w:t>
      </w:r>
      <w:r>
        <w:t>Urmas Paet</w:t>
      </w:r>
      <w:r>
        <w:rPr>
          <w:rStyle w:val="HideTWBExt"/>
        </w:rPr>
        <w:t>&lt;/Rapporteur&gt;</w:t>
      </w:r>
    </w:p>
    <w:p>
      <w:pPr>
        <w:pStyle w:val="CoverNormal24a"/>
      </w:pPr>
      <w:r>
        <w:rPr>
          <w:rStyle w:val="HideTWBExt"/>
        </w:rPr>
        <w:t>&lt;DocRefPE&gt;</w:t>
      </w:r>
      <w:r>
        <w:t>(PE775.465v01-00)</w:t>
      </w:r>
      <w:r>
        <w:rPr>
          <w:rStyle w:val="HideTWBExt"/>
        </w:rPr>
        <w:t>&lt;/DocRefPE&gt;</w:t>
      </w:r>
    </w:p>
    <w:p>
      <w:pPr>
        <w:pStyle w:val="CoverNormal"/>
      </w:pPr>
      <w:r>
        <w:rPr>
          <w:rStyle w:val="HideTWBExt"/>
        </w:rPr>
        <w:t>&lt;Titre&gt;</w:t>
      </w:r>
      <w:r>
        <w:t>Ieteikums Padomei, Komisijai un Komisijas priekšsēdētājas vietniecei / Savienības Augstajai pārstāvei ārlietās un drošības politikas jautājumos par ES diplomātisko stratēģiju un ģeopolitisko sadarbību Arktikā</w:t>
      </w:r>
      <w:r>
        <w:rPr>
          <w:rStyle w:val="HideTWBExt"/>
        </w:rPr>
        <w:t>&lt;/Titre&gt;</w:t>
      </w:r>
    </w:p>
    <w:p>
      <w:pPr>
        <w:pStyle w:val="CoverNormal24a"/>
      </w:pPr>
      <w:r>
        <w:rPr>
          <w:rStyle w:val="HideTWBExt"/>
        </w:rPr>
        <w:t>&lt;DocRef&gt;</w:t>
      </w:r>
      <w:r>
        <w:t>(2025/2116(INI))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Grozījums Nr.</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saistībā ar Apvienoto Nāciju Organizācijas Vispārējo konvenciju par klimata pārmaiņām (UNFCC) pieņemto Parīzes nolīgumu,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Apvienoto Nāciju Organizācijas Vispārējo konvenciju par klimata pārmaiņām (UNFCC),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Nolīgumu, kas saskaņā ar Apvienoto Nāciju Organizācijas Jūras tiesību konvenciju izstrādāts par jūras biodaudzveidības saglabāšanu un ilgtspējīgu izmantošanu teritorijās, kas ir ārpus valstu jurisdikcijas (Atklātās jūras nolīgums),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Baltijas jūras valstu padomes (BJVP) un Barenca jūras Eiroarktikas padomes (BEAC) izveidi,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Starptautiskās Darba organizācijas (SDO) Konvenciju Nr. 169 par pirmiedzīvotāju un cilšu tautām,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Nolīgumu par zvejniecību Ziemeļu Ledus okeāna centrālajā daļā (CAOFA),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2.d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Apvienoto Nāciju Organizācijas Deklarāciju par pirmiedzīvotāju tautu tiesībām,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2.d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Apvienoto Nāciju Organizācijas Deklarāciju par pirmiedzīvotāju tautu tiesībām,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2.e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1920. gada 9. februāra Svalbāras līgumu (iepriekš — Līgums par Špicbergenas arhipelāgu),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2.e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1996. gada Otavas deklarāciju par Arktikas Padomes izveidi,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2.f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1996. gada 19. septembra Otavas deklarāciju par Arktikas Padomes izveidi,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2.g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trīs juridiski saistošos nolīgumus, par kuriem sarunas norisinājās Arktikas Padomes aizgādībā, proti, 2011. gada Nolīgumu par sadarbību aeronavigācijas jomā un meklēšanā un glābšanā uz jūras Arktikā, 2013. gada Nolīgumu par sadarbību naftas piesārņojuma atklāšanas un reaģēšanas jomā Arktikā un 2017. gada Nolīgumu par starptautiskās zinātniskās sadarbības Arktikas jautājumos pastiprināšanu,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kopīgo paziņojumu pēc Eiropas Savienības un Kanādas 2025. gada samita,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Kritiski svarīgo izejvielu aktu (Regula (ES)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Norvēģijas 2024. gada Aktu par derīgo izrakteņu ieguves darbībām kontinentālajā šelfā (Dziļjūras derīgo izrakteņu ieguves akts),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ES biroja atklāšanu Nūkā, Grenlandē 2024. gada 15. martā,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Francijas prezidenta Emmanuel Macron valsts vizīti Grenlandē 2025. gada 15. jūnijā,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tā kā Arktikai arī turpmāk ir jābūt miera un konstruktīvas sadarbības zonai;</w:t>
            </w:r>
          </w:p>
        </w:tc>
        <w:tc>
          <w:tcPr>
            <w:tcW w:w="4876" w:type="dxa"/>
            <w:tcBorders>
              <w:top w:val="nil"/>
              <w:left w:val="nil"/>
              <w:bottom w:val="nil"/>
              <w:right w:val="nil"/>
            </w:tcBorders>
          </w:tcPr>
          <w:p>
            <w:pPr>
              <w:pStyle w:val="Normal6a"/>
            </w:pPr>
            <w:r>
              <w:t>A.</w:t>
            </w:r>
            <w:r>
              <w:tab/>
            </w:r>
            <w:r>
              <w:t xml:space="preserve">tā kā </w:t>
            </w:r>
            <w:r>
              <w:rPr>
                <w:b/>
                <w:i/>
              </w:rPr>
              <w:t>Krievija kopš nelikumīgā agresijas kara pret Ukrainu sākuma ir būtiski pastiprinājusi savu militāro klātbūtni Arktikā;</w:t>
            </w:r>
            <w:r>
              <w:t xml:space="preserve"> </w:t>
            </w:r>
            <w:r>
              <w:rPr>
                <w:b/>
                <w:i/>
              </w:rPr>
              <w:t>tā kā Krievijas militarizācija līdz ar lielāku Ķīnas klātbūtni ir mainījusi politisko un drošības situāciju Arktikā;</w:t>
            </w:r>
            <w:r>
              <w:t xml:space="preserve"> </w:t>
            </w:r>
            <w:r>
              <w:rPr>
                <w:b/>
                <w:i/>
              </w:rPr>
              <w:t>tā kā, neraugoties uz Krievijas īstenoto militarizāciju,</w:t>
            </w:r>
            <w:r>
              <w:t xml:space="preserve"> Arktikai arī turpmāk ir jābūt miera un konstruktīvas sadarbības zonai;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w:t>
            </w:r>
            <w:r>
              <w:rPr>
                <w:b/>
                <w:i/>
              </w:rPr>
              <w:t>Arktikai</w:t>
            </w:r>
            <w:r>
              <w:t xml:space="preserve"> arī turpmāk ir jābūt miera un konstruktīvas sadarbības zonai;</w:t>
            </w:r>
          </w:p>
        </w:tc>
        <w:tc>
          <w:tcPr>
            <w:tcW w:w="4876" w:type="dxa"/>
            <w:tcBorders>
              <w:top w:val="nil"/>
              <w:left w:val="nil"/>
              <w:bottom w:val="nil"/>
              <w:right w:val="nil"/>
            </w:tcBorders>
          </w:tcPr>
          <w:p>
            <w:pPr>
              <w:pStyle w:val="Normal6a"/>
            </w:pPr>
            <w:r>
              <w:t>A.</w:t>
            </w:r>
            <w:r>
              <w:tab/>
            </w:r>
            <w:r>
              <w:t xml:space="preserve">tā kā </w:t>
            </w:r>
            <w:r>
              <w:rPr>
                <w:b/>
                <w:i/>
              </w:rPr>
              <w:t>Arktika ir sarežģīta, dinamiska un trausla ekosistēma, kurā pieaugošas spriedzes apstākļos atrodas, darbojas un mijiedarbojas vairākas Arktikas piekrastes valstis, kā arī citi dalībnieki;</w:t>
            </w:r>
            <w:r>
              <w:t xml:space="preserve"> </w:t>
            </w:r>
            <w:r>
              <w:rPr>
                <w:b/>
                <w:i/>
              </w:rPr>
              <w:t>tā kā tai</w:t>
            </w:r>
            <w:r>
              <w:t xml:space="preserve"> arī turpmāk ir jābūt miera un konstruktīvas sadarbības zonai;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w:t>
            </w:r>
            <w:r>
              <w:rPr>
                <w:b/>
                <w:i/>
              </w:rPr>
              <w:t>Arktikai</w:t>
            </w:r>
            <w:r>
              <w:t xml:space="preserve"> arī turpmāk ir jābūt miera un konstruktīvas sadarbības zonai;</w:t>
            </w:r>
          </w:p>
        </w:tc>
        <w:tc>
          <w:tcPr>
            <w:tcW w:w="4876" w:type="dxa"/>
            <w:tcBorders>
              <w:top w:val="nil"/>
              <w:left w:val="nil"/>
              <w:bottom w:val="nil"/>
              <w:right w:val="nil"/>
            </w:tcBorders>
          </w:tcPr>
          <w:p>
            <w:pPr>
              <w:pStyle w:val="Normal6a"/>
            </w:pPr>
            <w:r>
              <w:t>A.</w:t>
            </w:r>
            <w:r>
              <w:tab/>
            </w:r>
            <w:r>
              <w:t xml:space="preserve">tā kā </w:t>
            </w:r>
            <w:r>
              <w:rPr>
                <w:b/>
                <w:i/>
              </w:rPr>
              <w:t>Arktika ir reģions, ko apdzīvo vairāk nekā 4 miljoni cilvēku, kuri pārstāv dažādas kultūras, kopienas un ekonomikas, un tāpēc tai</w:t>
            </w:r>
            <w:r>
              <w:t xml:space="preserve"> arī turpmāk ir jābūt miera un konstruktīvas sadarbības zonai</w:t>
            </w:r>
            <w:r>
              <w:rPr>
                <w:b/>
                <w:i/>
              </w:rPr>
              <w:t>, kas pasargāta no pieaugošas globālās spriedzes un konkurences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tā kā Arktikai arī turpmāk ir jābūt miera un konstruktīvas sadarbības zonai;</w:t>
            </w:r>
          </w:p>
        </w:tc>
        <w:tc>
          <w:tcPr>
            <w:tcW w:w="4876" w:type="dxa"/>
            <w:tcBorders>
              <w:top w:val="nil"/>
              <w:left w:val="nil"/>
              <w:bottom w:val="nil"/>
              <w:right w:val="nil"/>
            </w:tcBorders>
          </w:tcPr>
          <w:p>
            <w:pPr>
              <w:pStyle w:val="Normal6a"/>
            </w:pPr>
            <w:r>
              <w:t>A.</w:t>
            </w:r>
            <w:r>
              <w:tab/>
            </w:r>
            <w:r>
              <w:t>tā kā Arktikai arī turpmāk ir jābūt miera</w:t>
            </w:r>
            <w:r>
              <w:rPr>
                <w:b/>
                <w:i/>
              </w:rPr>
              <w:t>, saudzīgas attieksmes pret bioloģisko daudzveidību un ekosistēmām</w:t>
            </w:r>
            <w:r>
              <w:t xml:space="preserve"> un konstruktīvas sadarbības zonai;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ES, kuras daļa teritorija atrodas Arktikā un kurai ir stratēģiskas un pastāvīgas intereses gan Arktikas Eiropas daļā, gan plašākā Arktikas reģionā, ir būtiskas iespējas stratēģiski veicināt pozitīvas pārmaiņas drošības, sociālekonomiskajā un vides jomā, jo īpaši īstenojot daudzpusēju sadarbību;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tā kā Arktikas reģiona izmantošana militāriem mērķiem paātrinās, vienlaikus vājinoties starptautiskajam tiesiskajam regulējumam attiecībā uz ieroču, tostarp kodolieroču, kontroli;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ir būtiski stingri ievērot starptautiskās tiesības, jo īpaši UNCLOS;</w:t>
            </w:r>
          </w:p>
        </w:tc>
        <w:tc>
          <w:tcPr>
            <w:tcW w:w="4876" w:type="dxa"/>
            <w:tcBorders>
              <w:top w:val="nil"/>
              <w:left w:val="nil"/>
              <w:bottom w:val="nil"/>
              <w:right w:val="nil"/>
            </w:tcBorders>
          </w:tcPr>
          <w:p>
            <w:pPr>
              <w:pStyle w:val="Normal6a"/>
            </w:pPr>
            <w:r>
              <w:t>B.</w:t>
            </w:r>
            <w:r>
              <w:tab/>
            </w:r>
            <w:r>
              <w:t xml:space="preserve">tā kā ir būtiski stingri ievērot starptautiskās tiesības, jo īpaši UNCLOS </w:t>
            </w:r>
            <w:r>
              <w:rPr>
                <w:b/>
                <w:i/>
              </w:rPr>
              <w:t>un Starptautiskās Jūrniecības organizācijas (SJO) konvencijas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ir būtiski stingri ievērot starptautiskās tiesības, jo īpaši UNCLOS;</w:t>
            </w:r>
          </w:p>
        </w:tc>
        <w:tc>
          <w:tcPr>
            <w:tcW w:w="4876" w:type="dxa"/>
            <w:tcBorders>
              <w:top w:val="nil"/>
              <w:left w:val="nil"/>
              <w:bottom w:val="nil"/>
              <w:right w:val="nil"/>
            </w:tcBorders>
          </w:tcPr>
          <w:p>
            <w:pPr>
              <w:pStyle w:val="Normal6a"/>
            </w:pPr>
            <w:r>
              <w:t>B.</w:t>
            </w:r>
            <w:r>
              <w:tab/>
            </w:r>
            <w:r>
              <w:t>tā kā</w:t>
            </w:r>
            <w:r>
              <w:rPr>
                <w:b/>
                <w:i/>
              </w:rPr>
              <w:t>, lai saglabātu mieru un stabilitāti Arktikā,</w:t>
            </w:r>
            <w:r>
              <w:t xml:space="preserve"> ir būtiski stingri ievērot starptautiskās tiesības, jo īpaši UNCLOS;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politikas virzienos ir jāņem vērā Arktikas atšķirīgā realitāte, tostarp atšķirīgās pārvaldības sistēmas, tiesiskais regulējums, infrastruktūras spējas un sociālekonomiskie apstākļi;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Arktikas Padome ir nozīmīgākais forums sadarbībai Arktikas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tā kā Arktikas Padome ir nozīmīgākais forums sadarbībai Arktikas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šis reģions sasilst aptuveni četras reizes vairāk nekā vidēji pasaulē;</w:t>
            </w:r>
          </w:p>
        </w:tc>
        <w:tc>
          <w:tcPr>
            <w:tcW w:w="4876" w:type="dxa"/>
            <w:tcBorders>
              <w:top w:val="nil"/>
              <w:left w:val="nil"/>
              <w:bottom w:val="nil"/>
              <w:right w:val="nil"/>
            </w:tcBorders>
          </w:tcPr>
          <w:p>
            <w:pPr>
              <w:pStyle w:val="Normal6a"/>
            </w:pPr>
            <w:r>
              <w:t>C.</w:t>
            </w:r>
            <w:r>
              <w:tab/>
            </w:r>
            <w:r>
              <w:t xml:space="preserve">tā kā šis reģions sasilst aptuveni četras reizes vairāk nekā vidēji pasaulē; </w:t>
            </w:r>
            <w:r>
              <w:rPr>
                <w:b/>
                <w:i/>
              </w:rPr>
              <w:t>tā kā Arktiku ir īpaši skārušas klimata pārmaiņas un bioloģiskās daudzveidības samazināšanās;</w:t>
            </w:r>
            <w:r>
              <w:t xml:space="preserve"> </w:t>
            </w:r>
            <w:r>
              <w:rPr>
                <w:b/>
                <w:i/>
              </w:rPr>
              <w:t>tā kā klimata pārmaiņas aizvien biežāk tiek raksturotas kā apdraudējumu pastiprinošs faktors;</w:t>
            </w:r>
            <w:r>
              <w:t xml:space="preserve"> </w:t>
            </w:r>
            <w:r>
              <w:rPr>
                <w:b/>
                <w:i/>
              </w:rPr>
              <w:t>tā kā Parīzes nolīguma un Eiropas zaļā kursa īstenošana joprojām ir būtisks priekšnosacījums, lai novērstu klimata pārmaiņu smagākās sekas;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šis reģions sasilst aptuveni četras reizes vairāk nekā vidēji pasaulē;</w:t>
            </w:r>
          </w:p>
        </w:tc>
        <w:tc>
          <w:tcPr>
            <w:tcW w:w="4876" w:type="dxa"/>
            <w:tcBorders>
              <w:top w:val="nil"/>
              <w:left w:val="nil"/>
              <w:bottom w:val="nil"/>
              <w:right w:val="nil"/>
            </w:tcBorders>
          </w:tcPr>
          <w:p>
            <w:pPr>
              <w:pStyle w:val="Normal6a"/>
            </w:pPr>
            <w:r>
              <w:t>C.</w:t>
            </w:r>
            <w:r>
              <w:tab/>
            </w:r>
            <w:r>
              <w:t xml:space="preserve">tā kā šis reģions sasilst aptuveni četras reizes vairāk nekā vidēji pasaulē </w:t>
            </w:r>
            <w:r>
              <w:rPr>
                <w:b/>
                <w:i/>
              </w:rPr>
              <w:t>klimata krīzes un rūpniecības intensitātes palielināšanās dēļ</w:t>
            </w:r>
            <w:r>
              <w:t xml:space="preserve">; </w:t>
            </w:r>
            <w:r>
              <w:rPr>
                <w:b/>
                <w:i/>
              </w:rPr>
              <w:t>tā kā līdz ar to vasarā jūras ledus strauji izzūd, novedot pie plaša mēroga dzīvotņu iznīcināšanas un no sniega un ledus atkarīgo sugu populāciju samazināšanās;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šis reģions sasilst aptuveni </w:t>
            </w:r>
            <w:r>
              <w:rPr>
                <w:b/>
                <w:i/>
              </w:rPr>
              <w:t>četras</w:t>
            </w:r>
            <w:r>
              <w:t xml:space="preserve"> reizes vairāk nekā vidēji pasaulē;</w:t>
            </w:r>
          </w:p>
        </w:tc>
        <w:tc>
          <w:tcPr>
            <w:tcW w:w="4876" w:type="dxa"/>
            <w:tcBorders>
              <w:top w:val="nil"/>
              <w:left w:val="nil"/>
              <w:bottom w:val="nil"/>
              <w:right w:val="nil"/>
            </w:tcBorders>
          </w:tcPr>
          <w:p>
            <w:pPr>
              <w:pStyle w:val="Normal6a"/>
            </w:pPr>
            <w:r>
              <w:t>C.</w:t>
            </w:r>
            <w:r>
              <w:tab/>
            </w:r>
            <w:r>
              <w:t xml:space="preserve">tā kā šis reģions sasilst aptuveni </w:t>
            </w:r>
            <w:r>
              <w:rPr>
                <w:b/>
                <w:i/>
              </w:rPr>
              <w:t>trīs</w:t>
            </w:r>
            <w:r>
              <w:t xml:space="preserve"> reizes vairāk nekā vidēji pasaulē</w:t>
            </w:r>
            <w:r>
              <w:rPr>
                <w:b/>
                <w:i/>
              </w:rPr>
              <w:t>, paātrinot ledus izzušanu un apdraudot planētas klimatisko stabilitāti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w:t>
            </w:r>
            <w:r>
              <w:rPr>
                <w:b/>
                <w:i/>
              </w:rPr>
              <w:t>šis reģions</w:t>
            </w:r>
            <w:r>
              <w:t xml:space="preserve"> sasilst aptuveni četras reizes vairāk nekā vidēji pasaulē;</w:t>
            </w:r>
          </w:p>
        </w:tc>
        <w:tc>
          <w:tcPr>
            <w:tcW w:w="4876" w:type="dxa"/>
            <w:tcBorders>
              <w:top w:val="nil"/>
              <w:left w:val="nil"/>
              <w:bottom w:val="nil"/>
              <w:right w:val="nil"/>
            </w:tcBorders>
          </w:tcPr>
          <w:p>
            <w:pPr>
              <w:pStyle w:val="Normal6a"/>
            </w:pPr>
            <w:r>
              <w:t>C.</w:t>
            </w:r>
            <w:r>
              <w:tab/>
            </w:r>
            <w:r>
              <w:t xml:space="preserve">tā kā </w:t>
            </w:r>
            <w:r>
              <w:rPr>
                <w:b/>
                <w:i/>
              </w:rPr>
              <w:t>Arktika</w:t>
            </w:r>
            <w:r>
              <w:t xml:space="preserve"> sasilst aptuveni četras reizes vairāk nekā vidēji pasaulē </w:t>
            </w:r>
            <w:r>
              <w:rPr>
                <w:b/>
                <w:i/>
              </w:rPr>
              <w:t>un to var uzskatīt par reģionu, kur klimata un drošības jautājumu mijiedarbība ir visizteiktākā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satelītattēli liecina, ka Krievija ir paplašinājusi militāro objektu būvniecību Ušakovskā, kas atrodas Vrangeļa salā Čukču jūrā, proti, ir uzstādījusi vai modernizējusi Sopka-2 gaisa telpas novērošanas radaru un ar to saistīto atbalsta infrastruktūru</w:t>
            </w:r>
            <w:r>
              <w:rPr>
                <w:b/>
                <w:i/>
                <w:vertAlign w:val="superscript"/>
              </w:rPr>
              <w:t>3a</w:t>
            </w:r>
            <w:r>
              <w:rPr>
                <w:b/>
                <w:i/>
              </w:rPr>
              <w:t>;</w:t>
            </w:r>
            <w:r>
              <w:t xml:space="preserve"> </w:t>
            </w:r>
            <w:r>
              <w:rPr>
                <w:b/>
                <w:i/>
              </w:rPr>
              <w:t>tā kā Vrangeļa sala ir UNESCO Pasaules mantojumā iekļauta teritorija un dabas rezervāts un šādas darbības rada nopietnas bažas vides, drošības un juridiskajā aspektā;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mūžīgā sasaluma izzušana rada drošības, vides un bioloģisko apdraudējumu un tai ir postoša ietekme uz infrastruktūru, palielinot klimatam kaitīgas metāna emisijas un izraisot ilgstoši neaktīvu un nezināmu vīrusu un baktēriju atkārtotu parādīšanos;</w:t>
            </w:r>
            <w:r>
              <w:t xml:space="preserve"> </w:t>
            </w:r>
            <w:r>
              <w:rPr>
                <w:b/>
                <w:i/>
              </w:rPr>
              <w:t>tā kā zemūdens mūžīgais sasalums Austrumsibīrijas Arktikas šelfā varētu kļūt par vēl vienu metāna emisiju avotu;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jūras ledus kušanai, mūžīgā sasaluma izzušanai un izmaiņām ekosistēmās ir pārrobežu ietekme, kas tostarp izpaužas kā jūras līmeņa paaugstināšanās, siltumnīcefekta gāzu emisijas un laikapstākļu izmaiņas visā Eiropā un ārpus tās;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tā kā jūras ledus straujā atkāpšanās sezonāli un, iespējams, visa gada garumā atver komerciālus koridorus, piemēram, Ziemeļjūras maršrutu, Ziemeļrietumu jūras koridoru un nākotnes transpolāro maršrutu, kas varētu pārveidot globālos tirdzniecības modeļus, vienlaikus radot būtiskas vides, drošības un pārvaldības problēmas Arktikā;</w:t>
            </w:r>
          </w:p>
        </w:tc>
        <w:tc>
          <w:tcPr>
            <w:tcW w:w="4876" w:type="dxa"/>
            <w:tcBorders>
              <w:top w:val="nil"/>
              <w:left w:val="nil"/>
              <w:bottom w:val="nil"/>
              <w:right w:val="nil"/>
            </w:tcBorders>
          </w:tcPr>
          <w:p>
            <w:pPr>
              <w:pStyle w:val="Normal6a"/>
            </w:pPr>
            <w:r>
              <w:t>D.</w:t>
            </w:r>
            <w:r>
              <w:tab/>
            </w:r>
            <w:r>
              <w:t xml:space="preserve">tā kā jūras ledus straujā atkāpšanās sezonāli un, iespējams, visa gada garumā atver komerciālus koridorus, piemēram, Ziemeļjūras maršrutu, Ziemeļrietumu jūras koridoru un nākotnes transpolāro maršrutu, kas varētu pārveidot globālos tirdzniecības modeļus, vienlaikus radot būtiskas vides, drošības un pārvaldības problēmas Arktikā; </w:t>
            </w:r>
            <w:r>
              <w:rPr>
                <w:b/>
                <w:i/>
              </w:rPr>
              <w:t>tā kā skarbi laikapstākļi, ierobežotas meklēšanas un glābšanas spējas un augstas apdrošināšanas izmaksas ir galvenie šķēršļi šo iespēju pilnīgai īstenošanai;</w:t>
            </w:r>
            <w:r>
              <w:t xml:space="preserve"> </w:t>
            </w:r>
            <w:r>
              <w:rPr>
                <w:b/>
                <w:i/>
              </w:rPr>
              <w:t>tā kā Arktikas reģiona valstis pēdējos gados ir pastiprinājušas sadarbību šajā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tā kā jūras ledus straujā atkāpšanās sezonāli un, iespējams, visa gada garumā atver komerciālus koridorus, piemēram, Ziemeļjūras maršrutu, Ziemeļrietumu jūras koridoru un nākotnes transpolāro maršrutu, kas varētu pārveidot globālos tirdzniecības modeļus, vienlaikus radot būtiskas vides, drošības un pārvaldības problēmas Arktikā;</w:t>
            </w:r>
          </w:p>
        </w:tc>
        <w:tc>
          <w:tcPr>
            <w:tcW w:w="4876" w:type="dxa"/>
            <w:tcBorders>
              <w:top w:val="nil"/>
              <w:left w:val="nil"/>
              <w:bottom w:val="nil"/>
              <w:right w:val="nil"/>
            </w:tcBorders>
          </w:tcPr>
          <w:p>
            <w:pPr>
              <w:pStyle w:val="Normal6a"/>
            </w:pPr>
            <w:r>
              <w:t>D.</w:t>
            </w:r>
            <w:r>
              <w:tab/>
            </w:r>
            <w:r>
              <w:t xml:space="preserve">tā kā jūras ledus straujā atkāpšanās sezonāli un, iespējams, visa gada garumā atver komerciālus koridorus, piemēram, Ziemeļjūras maršrutu, Ziemeļrietumu jūras koridoru un nākotnes transpolāro maršrutu, kas varētu pārveidot globālos tirdzniecības modeļus, vienlaikus radot būtiskas vides, drošības un pārvaldības problēmas Arktikā; </w:t>
            </w:r>
            <w:r>
              <w:rPr>
                <w:b/>
                <w:i/>
              </w:rPr>
              <w:t>tā kā pastāv atklāti jautājumi par šā jaunā jūras maršruta starptautisko juridisko statusu un ir izteikti priekšlikumi to uzskatīt par daļu no "globālajiem kopresursiem";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tā kā jūras ledus straujā atkāpšanās sezonāli un, iespējams, visa gada garumā atver komerciālus koridorus, piemēram, Ziemeļjūras maršrutu, Ziemeļrietumu jūras koridoru un nākotnes transpolāro maršrutu, kas varētu pārveidot globālos tirdzniecības modeļus, vienlaikus radot būtiskas vides, drošības un pārvaldības problēmas Arktikā;</w:t>
            </w:r>
          </w:p>
        </w:tc>
        <w:tc>
          <w:tcPr>
            <w:tcW w:w="4876" w:type="dxa"/>
            <w:tcBorders>
              <w:top w:val="nil"/>
              <w:left w:val="nil"/>
              <w:bottom w:val="nil"/>
              <w:right w:val="nil"/>
            </w:tcBorders>
          </w:tcPr>
          <w:p>
            <w:pPr>
              <w:pStyle w:val="Normal6a"/>
            </w:pPr>
            <w:r>
              <w:t>D.</w:t>
            </w:r>
            <w:r>
              <w:tab/>
            </w:r>
            <w:r>
              <w:rPr>
                <w:b/>
                <w:i/>
              </w:rPr>
              <w:t>tā kā jūras ledus apjoma samazināšanās palielina interesi pasaules mērogā par Arktiku un tās resursiem;</w:t>
            </w:r>
            <w:r>
              <w:t xml:space="preserve"> tā kā jūras ledus straujā atkāpšanās sezonāli un, iespējams, visa gada garumā atver komerciālus koridorus, piemēram, Ziemeļjūras maršrutu, Ziemeļrietumu jūras koridoru un nākotnes transpolāro maršrutu, kas varētu pārveidot globālos tirdzniecības modeļus, vienlaikus radot būtiskas vides, drošības un pārvaldības problēmas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tā kā jūras ledus straujā atkāpšanās sezonāli un, iespējams, visa gada garumā atver komerciālus koridorus, piemēram, Ziemeļjūras maršrutu, Ziemeļrietumu jūras koridoru un nākotnes transpolāro maršrutu, kas varētu pārveidot globālos tirdzniecības modeļus, vienlaikus radot būtiskas vides, drošības un pārvaldības problēmas Arktikā;</w:t>
            </w:r>
          </w:p>
        </w:tc>
        <w:tc>
          <w:tcPr>
            <w:tcW w:w="4876" w:type="dxa"/>
            <w:tcBorders>
              <w:top w:val="nil"/>
              <w:left w:val="nil"/>
              <w:bottom w:val="nil"/>
              <w:right w:val="nil"/>
            </w:tcBorders>
          </w:tcPr>
          <w:p>
            <w:pPr>
              <w:pStyle w:val="Normal6a"/>
            </w:pPr>
            <w:r>
              <w:t>D.</w:t>
            </w:r>
            <w:r>
              <w:tab/>
            </w:r>
            <w:r>
              <w:t xml:space="preserve">tā kā jūras ledus straujā atkāpšanās sezonāli un, iespējams, visa gada garumā atver komerciālus koridorus, piemēram, Ziemeļjūras maršrutu, Ziemeļrietumu jūras koridoru un nākotnes transpolāro </w:t>
            </w:r>
            <w:r>
              <w:rPr>
                <w:b/>
                <w:i/>
              </w:rPr>
              <w:t>jūras</w:t>
            </w:r>
            <w:r>
              <w:t xml:space="preserve"> maršrutu, kas varētu pārveidot globālos tirdzniecības modeļus, vienlaikus radot būtiskas vides, drošības un pārvaldības problēmas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jūras ledus straujā atkāpšanās sezonāli un, iespējams, visa gada garumā atver komerciālus koridorus, piemēram, Ziemeļjūras maršrutu, Ziemeļrietumu jūras koridoru un nākotnes transpolāro maršrutu, kas </w:t>
            </w:r>
            <w:r>
              <w:rPr>
                <w:b/>
                <w:i/>
              </w:rPr>
              <w:t>varētu pārveidot</w:t>
            </w:r>
            <w:r>
              <w:t xml:space="preserve"> globālos tirdzniecības modeļus, vienlaikus radot būtiskas vides, drošības un pārvaldības problēmas Arktikā;</w:t>
            </w:r>
          </w:p>
        </w:tc>
        <w:tc>
          <w:tcPr>
            <w:tcW w:w="4876" w:type="dxa"/>
            <w:tcBorders>
              <w:top w:val="nil"/>
              <w:left w:val="nil"/>
              <w:bottom w:val="nil"/>
              <w:right w:val="nil"/>
            </w:tcBorders>
          </w:tcPr>
          <w:p>
            <w:pPr>
              <w:pStyle w:val="Normal6a"/>
            </w:pPr>
            <w:r>
              <w:t>D.</w:t>
            </w:r>
            <w:r>
              <w:tab/>
            </w:r>
            <w:r>
              <w:t xml:space="preserve">tā kā jūras ledus straujā atkāpšanās sezonāli un, iespējams, visa gada garumā atver komerciālus koridorus, piemēram, Ziemeļjūras maršrutu, Ziemeļrietumu jūras koridoru un nākotnes transpolāro maršrutu, kas </w:t>
            </w:r>
            <w:r>
              <w:rPr>
                <w:b/>
                <w:i/>
              </w:rPr>
              <w:t>pārveidos</w:t>
            </w:r>
            <w:r>
              <w:t xml:space="preserve"> globālos tirdzniecības modeļus, vienlaikus radot būtiskas vides, drošības un pārvaldības problēmas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Arktikas reģions vēsturiski ir ticis uzskatīts par miera un sadarbības zonu, ko raksturo, piemēram, 1987. gada Murmanskas iniciatīva, kura sekmēja ieroču kontroles, uzticības veidošanas, vides aizsardzības un diplomātiskā dialoga uzlabošanu;</w:t>
            </w:r>
            <w:r>
              <w:t xml:space="preserve"> </w:t>
            </w:r>
            <w:r>
              <w:rPr>
                <w:b/>
                <w:i/>
              </w:rPr>
              <w:t>tā kā nesenā Krievijas militāro spēku koncentrēšana, kodolledlauži, pastiprināta spārnoto raķešu izvietošana un cita stratēģiska militārā un divējāda lietojuma infrastruktūra var apdraudēt šo statusu;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klimata krīzes izraisītās pārmaiņas Arktikā ir nesaraujami saistītas ar Eiropu:</w:t>
            </w:r>
            <w:r>
              <w:t xml:space="preserve"> </w:t>
            </w:r>
            <w:r>
              <w:rPr>
                <w:b/>
                <w:i/>
              </w:rPr>
              <w:t>temperatūras un jūras līmeņa paaugstināšanās, bioloģiskās daudzveidības samazināšanās un ekstremāli laikapstākļi ietekmē kā cilvēkus, tā dabu Eiropā, un tas nozīmē, ka ir vajadzīga uz zināšanām un zinātni balstīta politika, kurā iesaistītas vietējās Arktikas kopienas un zinātniskās iestādes;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Starptautiskā Jūrniecības organizācija (SJO) ir pasaulē galvenā iestāde kuģošanas drošības un vides aizsardzības jomā un tās juridiski saistošās konvencijas un brīvprātīgās pamatnostādnes piemēro visā pasaulē, tostarp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Starptautiskā Jūrniecības organizācija (SJO) ir pasaulē galvenā iestāde kuģošanas drošības un vides aizsardzības jomā un tās juridiski saistošās konvencijas un brīvprātīgās pamatnostādnes piemēro visā pasaulē, tostarp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tā kā Krievija ir ievērojami paplašinājusi savu Arktikas spēku pozīciju un palielinājusi reģionālo militāro spriedzi;</w:t>
            </w:r>
          </w:p>
        </w:tc>
        <w:tc>
          <w:tcPr>
            <w:tcW w:w="4876" w:type="dxa"/>
            <w:tcBorders>
              <w:top w:val="nil"/>
              <w:left w:val="nil"/>
              <w:bottom w:val="nil"/>
              <w:right w:val="nil"/>
            </w:tcBorders>
          </w:tcPr>
          <w:p>
            <w:pPr>
              <w:pStyle w:val="Normal6a"/>
            </w:pPr>
            <w:r>
              <w:t>E.</w:t>
            </w:r>
            <w:r>
              <w:tab/>
            </w:r>
            <w:r>
              <w:t xml:space="preserve">tā kā Krievija ir ievērojami paplašinājusi savu Arktikas spēku pozīciju un palielinājusi reģionālo militāro spriedzi; </w:t>
            </w:r>
            <w:r>
              <w:rPr>
                <w:b/>
                <w:i/>
              </w:rPr>
              <w:t>tā kā 2023. gada Krievijas ārpolitikas koncepcijā Arktika ir noteikta par vienu no Krievijas prioritārajiem reģioniem;</w:t>
            </w:r>
            <w:r>
              <w:t xml:space="preserve"> </w:t>
            </w:r>
            <w:r>
              <w:rPr>
                <w:b/>
                <w:i/>
              </w:rPr>
              <w:t>tā kā Arktikas militarizācija ir pretrunā sadarbības garam, kas līdz šim ir bijis Arktikas reģiona valstu attiecību pamatā;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Krievija ir ievērojami </w:t>
            </w:r>
            <w:r>
              <w:rPr>
                <w:b/>
                <w:i/>
              </w:rPr>
              <w:t>paplašinājusi savu Arktikas spēku pozīciju un palielinājusi reģionālo</w:t>
            </w:r>
            <w:r>
              <w:t xml:space="preserve"> militāro spriedzi;</w:t>
            </w:r>
          </w:p>
        </w:tc>
        <w:tc>
          <w:tcPr>
            <w:tcW w:w="4876" w:type="dxa"/>
            <w:tcBorders>
              <w:top w:val="nil"/>
              <w:left w:val="nil"/>
              <w:bottom w:val="nil"/>
              <w:right w:val="nil"/>
            </w:tcBorders>
          </w:tcPr>
          <w:p>
            <w:pPr>
              <w:pStyle w:val="Normal6a"/>
            </w:pPr>
            <w:r>
              <w:t>E.</w:t>
            </w:r>
            <w:r>
              <w:tab/>
            </w:r>
            <w:r>
              <w:t xml:space="preserve">tā kā Krievija ir ievērojami </w:t>
            </w:r>
            <w:r>
              <w:rPr>
                <w:b/>
                <w:i/>
              </w:rPr>
              <w:t>nostiprinājusi savu militāro klātbūtni un infrastruktūru Arktikā, palielinot</w:t>
            </w:r>
            <w:r>
              <w:t xml:space="preserve"> militāro spriedzi </w:t>
            </w:r>
            <w:r>
              <w:rPr>
                <w:b/>
                <w:i/>
              </w:rPr>
              <w:t>reģionā</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sadarbības padziļināšanās Arktikā starp Ķīnu un Krieviju, izveidojot kopīgus enerģētikas projektus, veicot investīcijas infrastruktūrā un dibinot kuģniecības uzņēmumus pārvadājumiem jaunajos Arktikas maršrutos, var nostiprināt stratēģisku aliansi, kas veicina resursu izmantošanu un ierobežo piekļuvi, kaitējot Arktikas piekrastes kopienām, pirmiedzīvotājiem un globālajiem vides aizsardzības pasākumiem;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Krievijas īstenotie kaimiņvalstu suverenitātes un teritoriālās integritātes pārkāpumi apvienojumā ar tās praksi ierobežot kuģošanu Azovas jūrā, Melnajā jūrā un Baltijas jūrā rada nopietnas bažas, kas jāņem vērā, novērtējot izredzes saglabāt mierīgu līdzāspastāvēšanu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Krievija pilnveido savu Arktikas infrastruktūru, būvējot un nododot ekspluatācijā universālus kodolledlaužus, tostarp “Chukotka” (projekts 22220), kas ir daļa no plašākas programmas, kuras mērķis ir padarīt iespējamu kuģošanu ziemeļu jūras ceļā visu gadu;</w:t>
            </w:r>
            <w:r>
              <w:t xml:space="preserve"> </w:t>
            </w:r>
            <w:r>
              <w:rPr>
                <w:b/>
                <w:i/>
              </w:rPr>
              <w:t>tā kā "Chukotka" ir piektais šīs klases kuģis un Krievija šā paša projekta ietvaros būvē arī citus ledlaužus, piemēram, "Leningrad" un "Stalingrad";</w:t>
            </w:r>
            <w:r>
              <w:t xml:space="preserve"> </w:t>
            </w:r>
            <w:r>
              <w:rPr>
                <w:b/>
                <w:i/>
              </w:rPr>
              <w:t>tā kā šie kuģi ir vieni no jaudīgākajiem ledlaužiem pasaulē, kas spēj pavadīt lieltonnāžas kuģus, darboties gan seklos, gan dziļos ūdeņos Arktikā, veikt glābšanas operācijas un palīdzēt Krievijai sasniegt tās stratēģiskos mērķus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tā kā 2023. gadā uzņemti satelītattēli atklāja plaša mēroga jaunu ēku un infrastruktūras būvniecību Novajā Zemļā — nomaļā Arktikas salā, ko Krievija vēsturiski ir izmantojusi kodolieroču izmēģinājumiem;</w:t>
            </w:r>
            <w:r>
              <w:t xml:space="preserve"> </w:t>
            </w:r>
            <w:r>
              <w:rPr>
                <w:b/>
                <w:i/>
              </w:rPr>
              <w:t>tā kā šāda rīcība rada nopietnas bažas par kodolizmēģinājumu atsākšanu Arktikā un to radīto iespējamo apdraudējumu reģionālajai drošībai un videi</w:t>
            </w:r>
            <w:r>
              <w:rPr>
                <w:b/>
                <w:i/>
                <w:vertAlign w:val="superscript"/>
              </w:rPr>
              <w:t>1a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tā kā 2024. gada martā Krievijas Federācija pieņēma dekrētu, ar ko tika paplašināta Krievijas Federācijas Arktikas zona, iekļaujot tajā Hantimansijskas autonomā apgabala Berezovskas un Belojarskas rajonus</w:t>
            </w:r>
            <w:r>
              <w:rPr>
                <w:b/>
                <w:i/>
                <w:vertAlign w:val="superscript"/>
              </w:rPr>
              <w:t>2a</w:t>
            </w:r>
            <w:r>
              <w:rPr>
                <w:b/>
                <w:i/>
              </w:rPr>
              <w:t>;</w:t>
            </w:r>
            <w:r>
              <w:t xml:space="preserve"> </w:t>
            </w:r>
            <w:r>
              <w:rPr>
                <w:b/>
                <w:i/>
              </w:rPr>
              <w:t>tā kā šī paplašināšana ir daļa no Krievijas stratēģijas nostiprināt federālo kontroli pār dabas resursiem, pastiprināt savas teritoriālās pretenzijas un piesaistīt investorus, izmantojot īpašās ekonomiskās zonas stimulus;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Ķīna pasludināja polārā zīda ceļa izveidi un pastāvīgi palielina savu pēdu uz ziemeļiem no polārā loka;</w:t>
            </w:r>
          </w:p>
        </w:tc>
        <w:tc>
          <w:tcPr>
            <w:tcW w:w="4876" w:type="dxa"/>
            <w:tcBorders>
              <w:top w:val="nil"/>
              <w:left w:val="nil"/>
              <w:bottom w:val="nil"/>
              <w:right w:val="nil"/>
            </w:tcBorders>
          </w:tcPr>
          <w:p>
            <w:pPr>
              <w:pStyle w:val="Normal6a"/>
            </w:pPr>
            <w:r>
              <w:t>F.</w:t>
            </w:r>
            <w:r>
              <w:tab/>
            </w:r>
            <w:r>
              <w:rPr>
                <w:b/>
                <w:i/>
              </w:rPr>
              <w:t>tā kā Ķīna ir pasludinājusi sevi par “Arktikai tuvu valsti”, neraugoties uz tās ievērojamo ģeogrāfisko attālumu no Arktikas reģiona;</w:t>
            </w:r>
            <w:r>
              <w:t xml:space="preserve"> tā kā Ķīna pasludināja polārā zīda ceļa izveidi un pastāvīgi palielina savu pēdu uz ziemeļiem no polārā loka;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Ķīna pasludināja polārā zīda ceļa izveidi un pastāvīgi palielina savu pēdu uz ziemeļiem no polārā loka;</w:t>
            </w:r>
          </w:p>
        </w:tc>
        <w:tc>
          <w:tcPr>
            <w:tcW w:w="4876" w:type="dxa"/>
            <w:tcBorders>
              <w:top w:val="nil"/>
              <w:left w:val="nil"/>
              <w:bottom w:val="nil"/>
              <w:right w:val="nil"/>
            </w:tcBorders>
          </w:tcPr>
          <w:p>
            <w:pPr>
              <w:pStyle w:val="Normal6a"/>
            </w:pPr>
            <w:r>
              <w:t>F.</w:t>
            </w:r>
            <w:r>
              <w:tab/>
            </w:r>
            <w:r>
              <w:t xml:space="preserve">tā kā Ķīna pasludināja polārā zīda ceļa izveidi un pastāvīgi palielina savu pēdu uz ziemeļiem no polārā loka; </w:t>
            </w:r>
            <w:r>
              <w:rPr>
                <w:b/>
                <w:i/>
              </w:rPr>
              <w:t>tā kā 2025. gada septembrī tā uzsāka regulāru konteineru kuģu satiksmi pa Ziemeļu–Austrumu jūrasceļu;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Ķīna pasludināja polārā zīda ceļa izveidi un pastāvīgi palielina savu pēdu uz ziemeļiem no polārā loka;</w:t>
            </w:r>
          </w:p>
        </w:tc>
        <w:tc>
          <w:tcPr>
            <w:tcW w:w="4876" w:type="dxa"/>
            <w:tcBorders>
              <w:top w:val="nil"/>
              <w:left w:val="nil"/>
              <w:bottom w:val="nil"/>
              <w:right w:val="nil"/>
            </w:tcBorders>
          </w:tcPr>
          <w:p>
            <w:pPr>
              <w:pStyle w:val="Normal6a"/>
            </w:pPr>
            <w:r>
              <w:t>F.</w:t>
            </w:r>
            <w:r>
              <w:tab/>
            </w:r>
            <w:r>
              <w:t xml:space="preserve">tā kā Ķīna pasludināja polārā zīda ceļa izveidi un pastāvīgi palielina savu pēdu uz ziemeļiem no polārā loka; </w:t>
            </w:r>
            <w:r>
              <w:rPr>
                <w:b/>
                <w:i/>
              </w:rPr>
              <w:t>tā kā zinātnisku pētījumu aizsegā Ķīna slepeni veic militāras un politiskas darbības;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Ķīna pasludināja polārā zīda ceļa izveidi un pastāvīgi palielina savu pēdu uz ziemeļiem no polārā loka;</w:t>
            </w:r>
          </w:p>
        </w:tc>
        <w:tc>
          <w:tcPr>
            <w:tcW w:w="4876" w:type="dxa"/>
            <w:tcBorders>
              <w:top w:val="nil"/>
              <w:left w:val="nil"/>
              <w:bottom w:val="nil"/>
              <w:right w:val="nil"/>
            </w:tcBorders>
          </w:tcPr>
          <w:p>
            <w:pPr>
              <w:pStyle w:val="Normal6a"/>
            </w:pPr>
            <w:r>
              <w:t>F.</w:t>
            </w:r>
            <w:r>
              <w:tab/>
            </w:r>
            <w:r>
              <w:t>tā kā Ķīna pasludināja polārā zīda ceļa izveidi un pastāvīgi palielina savu pēdu uz ziemeļiem no polārā loka</w:t>
            </w:r>
            <w:r>
              <w:rPr>
                <w:b/>
                <w:i/>
              </w:rPr>
              <w:t>, tostarp investējot Krievijas uzņēmumos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Ķīna pasludināja polārā zīda ceļa izveidi un pastāvīgi palielina savu pēdu uz ziemeļiem no polārā loka;</w:t>
            </w:r>
          </w:p>
        </w:tc>
        <w:tc>
          <w:tcPr>
            <w:tcW w:w="4876" w:type="dxa"/>
            <w:tcBorders>
              <w:top w:val="nil"/>
              <w:left w:val="nil"/>
              <w:bottom w:val="nil"/>
              <w:right w:val="nil"/>
            </w:tcBorders>
          </w:tcPr>
          <w:p>
            <w:pPr>
              <w:pStyle w:val="Normal6a"/>
            </w:pPr>
            <w:r>
              <w:t>F.</w:t>
            </w:r>
            <w:r>
              <w:tab/>
            </w:r>
            <w:r>
              <w:t>tā kā Ķīna pasludināja polārā zīda ceļa</w:t>
            </w:r>
            <w:r>
              <w:rPr>
                <w:b/>
                <w:i/>
              </w:rPr>
              <w:t>, kas ir iniciatīvas "Viena josla, viens ceļš" turpinājums,</w:t>
            </w:r>
            <w:r>
              <w:t xml:space="preserve"> izveidi un pastāvīgi palielina savu pēdu uz ziemeļiem no polārā loka;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tā kā Ķīna pasludināja polārā zīda ceļa izveidi un </w:t>
            </w:r>
            <w:r>
              <w:rPr>
                <w:b/>
                <w:i/>
              </w:rPr>
              <w:t>pastāvīgi</w:t>
            </w:r>
            <w:r>
              <w:t xml:space="preserve"> palielina savu pēdu uz ziemeļiem no polārā loka;</w:t>
            </w:r>
          </w:p>
        </w:tc>
        <w:tc>
          <w:tcPr>
            <w:tcW w:w="4876" w:type="dxa"/>
            <w:tcBorders>
              <w:top w:val="nil"/>
              <w:left w:val="nil"/>
              <w:bottom w:val="nil"/>
              <w:right w:val="nil"/>
            </w:tcBorders>
          </w:tcPr>
          <w:p>
            <w:pPr>
              <w:pStyle w:val="Normal6a"/>
            </w:pPr>
            <w:r>
              <w:t>F.</w:t>
            </w:r>
            <w:r>
              <w:tab/>
            </w:r>
            <w:r>
              <w:t xml:space="preserve">tā kā Ķīna pasludināja polārā zīda ceļa izveidi un </w:t>
            </w:r>
            <w:r>
              <w:rPr>
                <w:b/>
                <w:i/>
              </w:rPr>
              <w:t>strauji</w:t>
            </w:r>
            <w:r>
              <w:t xml:space="preserve"> palielina savu </w:t>
            </w:r>
            <w:r>
              <w:rPr>
                <w:b/>
                <w:i/>
              </w:rPr>
              <w:t>civilo un militāro</w:t>
            </w:r>
            <w:r>
              <w:t xml:space="preserve"> pēdu uz ziemeļiem no polārā loka;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Krievijas Federācija un Ķīnas Tautas Republika pēdējos gados ir padziļinājušas sadarbību Arktikā, sākot no kopīgām militārām mācībām, piemēram, “Okeāns 2024” un “Klusā okeāna patruļa 2024”, reģionos, kas atrodas Arktikas tiešā tuvumā, līdz tehnoloģiskiem un kuģubūves projektiem un jaunu tirdzniecības koridoru attīstīšanai Ziemeļu jūras ceļā, tādējādi padziļinot savu stratēģisko tuvināšanos Tālajos Ziemeļos;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Ķīna un Krievija pastiprina militāro sadarbību Arktikā, par ko liecina Krasta apsardzes sadarbības līguma parakstīšana, kopīgu militāro mācību organizēšana Karas jūrā, kā arī kopīgi bumbvedēju lidojumi Aļaskas gaisa aizsardzības identifikācijas zonā;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Ķīna ir pasludinājusi sevi par “Arktikai tuvu valsti” un investē divējāda lietojuma infrastruktūrā un zinātniskos pētījumos Tālajos Ziemeļos, radot bažas par stratēģisko atkarību un iespējamu militarizāciju civilās darbības aizsegā;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ES iesaiste Arktikā turpinās jau vairākas desmitgades un sakņojas vēsturē, ģeogrāfijā, ekonomiskajās attiecībās un zinātniskajā sadarbībā;</w:t>
            </w:r>
            <w:r>
              <w:t xml:space="preserve"> </w:t>
            </w:r>
            <w:r>
              <w:rPr>
                <w:b/>
                <w:i/>
              </w:rPr>
              <w:t>tā kā ES konsekventi pauž apņemšanos veicināt mieru, ilgtspējīgu attīstību un sadarbību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Krievija un Ķīna pastiprina sadarbību Arktikas reģionā, savukārt Ķīna aizstāj rietumvalstu uzņēmumu investīcijas, kas tika pārtrauktas pēc rietumvalstu sankciju ieviešanas, reaģējot uz Krievijas pilna mēroga iebrukumu Ukrainā;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kopš Krievijas agresijas kara pret Ukrainu sākuma Ķīna ir turpinājusi sadarbību ar Krieviju Arktikā;</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tā kā Amerikas Savienoto Valstu pieeja reģionam pēdējā laikā būtiski mainās, palielinoties šīs valsts iesaistei, un īpašu satraukumu rada tieši draudi Grenlandes suverenitātei un Dānijas teritoriālajai integritātei, musinošu vēstījumu izplatīšana un hibrīddarbību veikšana Grenlandē;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tā kā Ķīnas 2025. gada baltajā grāmatā par valsts drošību “drošība polārajos reģionos” ir noteikta par daļu no tās visaptverošās valsts drošības koncepcijas;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tā kā 2016. gadā Dānijas Karaliste valsts drošības apsvērumu dēļ bloķēja Honkongā reģistrētā uzņēmuma General Nice Group mēģinājumu iegādāties Grenlandes Grenedāles jūras spēku bāzi, kuras ekspluatācija ir pārtraukta;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tā kā Somija 2018. gadā valsts drošības apsvērumu dēļ bloķēja Ķīnas priekšlikumu iegādāties Kemijervi lidostu, kas atrodas netālu no militārās zonas;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Fe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tā kā Ķīnas Huanhe pētniecības stacijā Nīolesunnā, Svalbārā pētnieki veic vides un kosmosa zinātnisko izpēti, tostarp atmosfēras, glacioloģisko un jonosfēras monitoringu, un šīm darbībām ir arī divējāda lietojuma potenciāls, kas saistīts ar satelītnavigāciju un militārās situācijas apzināšanu;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Ff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Ff.</w:t>
            </w:r>
            <w:r>
              <w:tab/>
            </w:r>
            <w:r>
              <w:rPr>
                <w:b/>
                <w:i/>
              </w:rPr>
              <w:t>tā kā 2024. gadā Norvēģijas Karaliste apturēja zemes pārdošanu Sērefagerfjordā, Svalbārā pircējiem no Ķīnas, atsaucoties uz valsts drošības riskiem;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Fg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Fg.</w:t>
            </w:r>
            <w:r>
              <w:tab/>
            </w:r>
            <w:r>
              <w:rPr>
                <w:b/>
                <w:i/>
              </w:rPr>
              <w:t>tā kā Ķīnas un Islandes Arktikas zinātniskā observatorija Kārholā nodarbojas ar satelītu tālizpēti un pētniecību ģeozinātnes, okeanogrāfijas un kosmosa jomā, kam ir divējāda lietojuma potenciāls saskaņā ar Ķīnas civilmilitārās integrācijas stratēģiju;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Fh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Fh.</w:t>
            </w:r>
            <w:r>
              <w:tab/>
            </w:r>
            <w:r>
              <w:rPr>
                <w:b/>
                <w:i/>
              </w:rPr>
              <w:t>tā kā Ķīna savā 2018. gada baltajā grāmatā par Arktiku un citos oficiālos dokumentos ir pasludinājusi sevi par “Arktikai tuvu valstij”, kas ir maldinošs apzīmējums, jo Ķīnai nav likumīgu tiesību, privilēģiju vai pamatojuma attiecībā uz tās militāro klātbūtni Tālajos Ziemeļos;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Fi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Fi.</w:t>
            </w:r>
            <w:r>
              <w:tab/>
            </w:r>
            <w:r>
              <w:rPr>
                <w:b/>
                <w:i/>
              </w:rPr>
              <w:t>tā kā 2024. gada oktobrī Ķīnas krasta apsardze paziņoja, ka tās kuģi pirmo reizi ir ienākuši Ziemeļu Ledus okeāna ūdeņos kopīgas patruļas laikā ar Krieviju;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tā kā pirmiedzīvotāju tautām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w:t>
            </w:r>
          </w:p>
        </w:tc>
        <w:tc>
          <w:tcPr>
            <w:tcW w:w="4876" w:type="dxa"/>
            <w:tcBorders>
              <w:top w:val="nil"/>
              <w:left w:val="nil"/>
              <w:bottom w:val="nil"/>
              <w:right w:val="nil"/>
            </w:tcBorders>
          </w:tcPr>
          <w:p>
            <w:pPr>
              <w:pStyle w:val="Normal6a"/>
            </w:pPr>
            <w:r>
              <w:t>G.</w:t>
            </w:r>
            <w:r>
              <w:tab/>
            </w:r>
            <w:r>
              <w:t>tā kā pirmiedzīvotāju tautām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w:t>
            </w:r>
            <w:r>
              <w:rPr>
                <w:b/>
                <w:i/>
              </w:rPr>
              <w:t>, atzinīgi vērtē pirmiedzīvotāju organizāciju pārstāvju iekļaušanu delegācijās, vienlaikus paužot nožēlu, ka viņu līdzdalība joprojām aprobežojas ar novērotāja statusu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tā kā pirmiedzīvotāju tautām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w:t>
            </w:r>
          </w:p>
        </w:tc>
        <w:tc>
          <w:tcPr>
            <w:tcW w:w="4876" w:type="dxa"/>
            <w:tcBorders>
              <w:top w:val="nil"/>
              <w:left w:val="nil"/>
              <w:bottom w:val="nil"/>
              <w:right w:val="nil"/>
            </w:tcBorders>
          </w:tcPr>
          <w:p>
            <w:pPr>
              <w:pStyle w:val="Normal6a"/>
            </w:pPr>
            <w:r>
              <w:t>G.</w:t>
            </w:r>
            <w:r>
              <w:tab/>
            </w:r>
            <w:r>
              <w:t xml:space="preserve">tā kā pirmiedzīvotāju tautām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 </w:t>
            </w:r>
            <w:r>
              <w:rPr>
                <w:b/>
                <w:i/>
              </w:rPr>
              <w:t>tā kā Eiropas politikas veidotāji lielākoties uzskata, ka pamatiedzīvotāji ir jāatbalsta vēl vairāk un ka viņu interesēm politikas veidošanas procesā ir jāpiešķir lielāka prioritāte;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tā kā pirmiedzīvotāju tautām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w:t>
            </w:r>
          </w:p>
        </w:tc>
        <w:tc>
          <w:tcPr>
            <w:tcW w:w="4876" w:type="dxa"/>
            <w:tcBorders>
              <w:top w:val="nil"/>
              <w:left w:val="nil"/>
              <w:bottom w:val="nil"/>
              <w:right w:val="nil"/>
            </w:tcBorders>
          </w:tcPr>
          <w:p>
            <w:pPr>
              <w:pStyle w:val="Normal6a"/>
            </w:pPr>
            <w:r>
              <w:t>G.</w:t>
            </w:r>
            <w:r>
              <w:tab/>
            </w:r>
            <w:r>
              <w:t xml:space="preserve">tā kā pirmiedzīvotāju tautām </w:t>
            </w:r>
            <w:r>
              <w:rPr>
                <w:b/>
                <w:i/>
              </w:rPr>
              <w:t>un vietējām kopienām</w:t>
            </w:r>
            <w:r>
              <w:t xml:space="preserve">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 </w:t>
            </w:r>
            <w:r>
              <w:rPr>
                <w:b/>
                <w:i/>
              </w:rPr>
              <w:t>tādēļ ir jānodrošina pilnvērtīga pirmiedzīvotāju tautu un vietējo kopienu līdzdalība lēmumu pieņemšanā, garantējot, ka viņu tradicionālās zināšanas tiek ņemtas vērā visos politikas veidošanas procesos;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tā kā pirmiedzīvotāju tautām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w:t>
            </w:r>
          </w:p>
        </w:tc>
        <w:tc>
          <w:tcPr>
            <w:tcW w:w="4876" w:type="dxa"/>
            <w:tcBorders>
              <w:top w:val="nil"/>
              <w:left w:val="nil"/>
              <w:bottom w:val="nil"/>
              <w:right w:val="nil"/>
            </w:tcBorders>
          </w:tcPr>
          <w:p>
            <w:pPr>
              <w:pStyle w:val="Normal6a"/>
            </w:pPr>
            <w:r>
              <w:t>G.</w:t>
            </w:r>
            <w:r>
              <w:tab/>
            </w:r>
            <w:r>
              <w:t xml:space="preserve">tā kā pirmiedzīvotāju tautām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 </w:t>
            </w:r>
            <w:r>
              <w:rPr>
                <w:b/>
                <w:i/>
              </w:rPr>
              <w:t>tā kā Arktikas iedzīvotājiem, tai skaitā daudziem pirmiedzīvotājiem, krīze ir īpaši akūta, būtiski ietekmējot viņu vidi, ekonomiku un sabiedrisko dzīvi;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tā kā pirmiedzīvotāju tautām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w:t>
            </w:r>
          </w:p>
        </w:tc>
        <w:tc>
          <w:tcPr>
            <w:tcW w:w="4876" w:type="dxa"/>
            <w:tcBorders>
              <w:top w:val="nil"/>
              <w:left w:val="nil"/>
              <w:bottom w:val="nil"/>
              <w:right w:val="nil"/>
            </w:tcBorders>
          </w:tcPr>
          <w:p>
            <w:pPr>
              <w:pStyle w:val="Normal6a"/>
            </w:pPr>
            <w:r>
              <w:t>G.</w:t>
            </w:r>
            <w:r>
              <w:tab/>
            </w:r>
            <w:r>
              <w:t xml:space="preserve">tā kā pirmiedzīvotāju tautām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 </w:t>
            </w:r>
            <w:r>
              <w:rPr>
                <w:b/>
                <w:i/>
              </w:rPr>
              <w:t>tā kā Arktikas Padome ir veikusi būtiskus pasākumus, lai risinātu šo jautājumu;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tā kā pirmiedzīvotāju tautām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w:t>
            </w:r>
          </w:p>
        </w:tc>
        <w:tc>
          <w:tcPr>
            <w:tcW w:w="4876" w:type="dxa"/>
            <w:tcBorders>
              <w:top w:val="nil"/>
              <w:left w:val="nil"/>
              <w:bottom w:val="nil"/>
              <w:right w:val="nil"/>
            </w:tcBorders>
          </w:tcPr>
          <w:p>
            <w:pPr>
              <w:pStyle w:val="Normal6a"/>
            </w:pPr>
            <w:r>
              <w:t>G.</w:t>
            </w:r>
            <w:r>
              <w:tab/>
            </w:r>
            <w:r>
              <w:t xml:space="preserve">tā kā pirmiedzīvotāju tautām </w:t>
            </w:r>
            <w:r>
              <w:rPr>
                <w:b/>
                <w:i/>
              </w:rPr>
              <w:t>un vietējām kopienām</w:t>
            </w:r>
            <w:r>
              <w:t xml:space="preserve"> ir neaizstājamas tradicionālās zināšanas, tās darbojas kā Arktikas ekosistēmu primārie sargi un tās nesamērīgi ietekmē klimata pārmaiņas, sociālekonomiskā atstumtība un vides degradācija, vienlaikus bieži vien tām paliekot izslēgtām no lēmumu pieņemšanas procesiem;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tā kā Dānija, Zviedrija un Somija ir parakstījušas 1996. gada Otavas deklarāciju, kurā ir apstiprināta apņemšanās nodrošināt Arktikas iedzīvotāju labbūtību, tostarp īpaši atzīstot īpašās attiecības ar pirmiedzīvotāju tautām un viņu kopienām, viņu unikālo ieguldījumu Arktikā un viņu tradicionālās zināšanas un aicinot nodrošināt pilnvērtīgu apspriešanos ar pirmiedzīvotājiem un viņu kopienām, kā arī garantēt viņu un pārējo Arktikas iedzīvotāju līdzdalību lēmumu pieņemšanas procesos;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tā kā ES Arktikas reģioni ir vārti uz ES iesaisti un klātbūtni plašākā Arktikas reģionā, nodrošinot resursus Eiropas stratēģiskajai autonomijai, tomēr vienlaikus līdzsvarojot dažādas vietējās intereses, piemēram, pieaugošo pieprasījumu pēc dabas resursiem un pirmiedzīvotāju tiesības, un ES atbalsts šiem reģioniem, izmantojot kohēzijas politikas, Interreg, “Apvārsnis Eiropa” un lauku attīstības programmas, kā arī atbalsts mazapdzīvotajām ziemeļu teritorijām un tādiem tīkliem kā Arktikas pilsētu mēru forums un Arctic Six alianse ir būtisks ES interesēm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tā kā ES Arktikas reģioni ir vārti uz ES iesaisti un klātbūtni plašākā Arktikas reģionā, nodrošinot resursus Eiropas stratēģiskajai autonomijai, tomēr vienlaikus līdzsvarojot dažādas vietējās intereses, piemēram, pieaugošo pieprasījumu pēc dabas resursiem un pirmiedzīvotāju tiesības, un ES atbalsts šiem reģioniem, izmantojot kohēzijas politikas, Interreg, “Apvārsnis Eiropa” un lauku attīstības programmas, kā arī atbalsts mazapdzīvotajām ziemeļu teritorijām un tādiem tīkliem kā Arktikas pilsētu mēru forums un Arctic Six alianse ir būtisks ES interesēm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tā kā Krievijas agresijas kara pret Ukrainu dēļ Eiropas Savienība, Islande un Norvēģija līdz turpmākam paziņojumam ir apturējušas visas darbības Ziemeļu dimensijas ietvaros;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tā kā tādas iniciatīvas kā Barenca jūras Eiroarktiskā reģiona sāmu tautu samits, kas 2023. gadā notika Eiropas Parlamentā, var vēl vairāk stiprināt sadarbību ar sāmu kopienu;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tā kā Arktikas Padome, kuras dalībnieki darbojas uz brīvprātības pamata un kurai nav juridiski saistošu pilnvaru, ir veicinājusi konstruktīvu sadarbību un panākusi vairākas saistošas vienošanās, tomēr tās ierobežotās pilnvaras ierobežo tās spēju reaģēt uz tādām būtiskām problēmām kā vides katastrofas vai pieaugošā ģeopolitiskā spriedze, kas varētu apdraudēt Arktikas kā zema spriedzes reģiona statusu;</w:t>
            </w:r>
            <w:r>
              <w:t xml:space="preserve"> </w:t>
            </w:r>
            <w:r>
              <w:rPr>
                <w:b/>
                <w:i/>
              </w:rPr>
              <w:t>tā kā neizprovocētā Krievijas agresijas kara pret Ukrainu dēļ Arktikas Padomes politiskās sanāksmes ir apturētas, ierobežojot tās iespējas īstenot savas pilnvaras un pilnvērtīgi veikt savas funkcijas;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tā kā tādas iniciatīvas kā Barenca jūras Eiroarktiskā reģiona sāmu tautu samits, kas 2023. gadā notika Eiropas Parlamentā, var vēl vairāk stiprināt sadarbību ar sāmu kopienu;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 Grenlande Dānijas Karalistes vārdā vadīs Arktikas padomi 2025.–2027. gadā, sniedzot būtisku iespēju stiprināt iekļaujošu, uz noteikumiem balstītu Arktikas pārvaldību;</w:t>
            </w:r>
          </w:p>
        </w:tc>
        <w:tc>
          <w:tcPr>
            <w:tcW w:w="4876" w:type="dxa"/>
            <w:tcBorders>
              <w:top w:val="nil"/>
              <w:left w:val="nil"/>
              <w:bottom w:val="nil"/>
              <w:right w:val="nil"/>
            </w:tcBorders>
          </w:tcPr>
          <w:p>
            <w:pPr>
              <w:pStyle w:val="Normal6a"/>
            </w:pPr>
            <w:r>
              <w:t>H.</w:t>
            </w:r>
            <w:r>
              <w:tab/>
            </w:r>
            <w:r>
              <w:t xml:space="preserve">tā kā Grenlande Dānijas Karalistes vārdā vadīs Arktikas padomi 2025.–2027. gadā, sniedzot būtisku iespēju stiprināt iekļaujošu, uz noteikumiem balstītu Arktikas pārvaldību; </w:t>
            </w:r>
            <w:r>
              <w:rPr>
                <w:b/>
                <w:i/>
              </w:rPr>
              <w:t xml:space="preserve">tā kā Zviedrija, Somija un Dānija ir pilntiesīgas Arktikas Padomes locekles; </w:t>
            </w:r>
            <w:r>
              <w:t xml:space="preserve"> </w:t>
            </w:r>
            <w:r>
              <w:rPr>
                <w:b/>
                <w:i/>
              </w:rPr>
              <w:t>tā kā Francijai, Nīderlandei, Spānijai, Itālijai, Vācijai un Polijai Arktikas Padomē ir novērotāja statuss;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tā kā Grenlandes stratēģijā ir paredzēta pārstāvniecības izveide Otavā un izteikts aicinājums Kanādai atvērt ģenerālkonsulātu Nūkā;</w:t>
            </w:r>
            <w:r>
              <w:t xml:space="preserve"> </w:t>
            </w:r>
            <w:r>
              <w:rPr>
                <w:b/>
                <w:i/>
              </w:rPr>
              <w:t>tā kā Grenlandei jau ir pārstāvniecības Vašingtonā, Pekinā, Islandē un Briselē (ES) un tās stratēģija paredz izveidot biroju ANO Ņujorkā un nosūtīt pārstāvjus, kas darbotos ANO Ženēvā;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tā kā Arktikā notiekošās pārmaiņas vides, bioloģiskās daudzveidības, klimata, ģeopolitikas un drošības jomā cieši skar arī pārējo Eiropu, tādējādi uzsverot nepieciešamību īstenot uz zinātniskiem faktiem balstītu politiku un tās veidošanā aktīvi iesaistot vietējās Arktikas kopienas un pētniecības iestādes;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tā kā Arktikā notiekošās pārmaiņas vides, bioloģiskās daudzveidības, klimata, ģeopolitikas un drošības jomā cieši skar arī pārējo Eiropu, tādējādi uzsverot nepieciešamību īstenot uz zinātniskiem faktiem balstītu politiku un tās veidošanā aktīvi iesaistot vietējās Arktikas kopienas un pētniecības iestādes;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tā kā Arktikas Padomes, kas ir vienīgā struktūra, kurā ir pārstāvētas visas šā reģiona valstis, darbība kopš Krievijas nelikumīgā iebrukuma Ukrainā joprojām ir paralizēta;</w:t>
            </w:r>
            <w:r>
              <w:t xml:space="preserve"> </w:t>
            </w:r>
            <w:r>
              <w:rPr>
                <w:b/>
                <w:i/>
              </w:rPr>
              <w:t>tā kā apstākļos, kad Arktikas Padome nespēj pilnvērtīgi darboties, ir vajadzīgi citi ar Arktiku saistītas pieredzes apmaiņas un diskusiju forumi;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tā kā Arktikas Padome un tās darba grupas ir ļāvušas īstenot veiksmīgu un konstruktīvu starptautisko sadarbību un, neraugoties uz pieaugošo ģeopolitisko spriedzi, Arktikas Padome joprojām ir galvenais sadarbības forums ar šo reģionu saistītos jautājumos;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tā kā Arktika ir reģions, kas ir bagāts ar energoresursiem, jo īpaši ogļūdeņražiem, piemēram, naftu un dabasgāzi, tomēr tam ir arī ievērojams atjaunīgo energoresursu, tostarp vēja enerģijas un hidroenerģijas, ražošanas potenciāls;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tā kā Pitufikā, Grenlandē izvietotā ASV militārā bāze ir stratēģiski būtiska NATO pretraķešu aizsardzības sistēmas darbībai un kosmosā veikto darbību novērošanai;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tā kā Eiropas Savienība beidzot ir izveidojusi ES biroju Nūkā, tādējādi palielinot savu diplomātisko klātbūtni un padarot sadarbību ar Grenlandi ciešāku;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tā kā Somijas un Zviedrijas pievienošanās NATO ir padziļinājusi alianses orientāciju uz Arktiku un uzlabos tās pozīcijas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tā kā nav panākts progress attiecībā uz ES pieteikumu par pastāvīga novērotāja statusa iegūšanu Arktikas Padomē;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tā kā Grenlandes, Islandes un Apvienotās Karalistes (GIUK) koridors ir stratēģiski nozīmīgs, jo ļauj kontrolēt jūras satiksmi un atklāt hibrīdapdraudējumus;</w:t>
            </w:r>
            <w:r>
              <w:t xml:space="preserve"> </w:t>
            </w:r>
            <w:r>
              <w:rPr>
                <w:b/>
                <w:i/>
              </w:rPr>
              <w:t>tā kā Krievija ir pastiprinājusi hibrīddarbības Arktikas reģionā, tostarp īstenojot kiberoperācijas un slāpējot GPS signālu;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tā kā ES un Fēru Salas ir vienojušās par ciešāku partnerību, tostarp par sadarbību, piemēram, zivsaimniecības, klimata un citos jautājumos;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tā kā Arktikas bagātīgie ogļūdeņraži, retzemju elementi, zivsaimniecība un citi resursi ir arvien vairāk pieprasīti, tāpēc ir vajadzīgi stingri ilgtspējas standarti un taisnīga ieguvumu sadale;</w:t>
            </w:r>
          </w:p>
        </w:tc>
        <w:tc>
          <w:tcPr>
            <w:tcW w:w="4876" w:type="dxa"/>
            <w:tcBorders>
              <w:top w:val="nil"/>
              <w:left w:val="nil"/>
              <w:bottom w:val="nil"/>
              <w:right w:val="nil"/>
            </w:tcBorders>
          </w:tcPr>
          <w:p>
            <w:pPr>
              <w:pStyle w:val="Normal6a"/>
            </w:pPr>
            <w:r>
              <w:t>I.</w:t>
            </w:r>
            <w:r>
              <w:tab/>
            </w:r>
            <w:r>
              <w:t xml:space="preserve">tā kā Arktikas bagātīgie ogļūdeņraži, retzemju elementi, zivsaimniecība un citi resursi ir arvien vairāk pieprasīti, tāpēc ir vajadzīgi stingri ilgtspējas standarti un taisnīga ieguvumu sadale; </w:t>
            </w:r>
            <w:r>
              <w:rPr>
                <w:b/>
                <w:i/>
              </w:rPr>
              <w:t>uzsver Arktikas reģiona dabas resursu potenciālu diversificēt izejvielu piegādes Eiropā un samazināt pārmērīgo atkarību no nedrošiem piegādātājiem;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tā kā Arktikas bagātīgie ogļūdeņraži, retzemju elementi, zivsaimniecība un citi resursi ir arvien vairāk pieprasīti, tāpēc ir vajadzīgi stingri ilgtspējas standarti un taisnīga ieguvumu sadale;</w:t>
            </w:r>
          </w:p>
        </w:tc>
        <w:tc>
          <w:tcPr>
            <w:tcW w:w="4876" w:type="dxa"/>
            <w:tcBorders>
              <w:top w:val="nil"/>
              <w:left w:val="nil"/>
              <w:bottom w:val="nil"/>
              <w:right w:val="nil"/>
            </w:tcBorders>
          </w:tcPr>
          <w:p>
            <w:pPr>
              <w:pStyle w:val="Normal6a"/>
            </w:pPr>
            <w:r>
              <w:t>I.</w:t>
            </w:r>
            <w:r>
              <w:tab/>
            </w:r>
            <w:r>
              <w:t xml:space="preserve">tā kā Arktikas bagātīgie ogļūdeņraži, retzemju elementi, zivsaimniecība un citi resursi ir arvien vairāk pieprasīti, tāpēc ir vajadzīgi stingri ilgtspējas standarti un taisnīga ieguvumu sadale; </w:t>
            </w:r>
            <w:r>
              <w:rPr>
                <w:b/>
                <w:i/>
              </w:rPr>
              <w:t>tā kā Grenlandē ir ievērojamas militārajā rūpniecībā būtiskā grafīta atradnes;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tā kā Arktikas </w:t>
            </w:r>
            <w:r>
              <w:rPr>
                <w:b/>
                <w:i/>
              </w:rPr>
              <w:t>bagātīgie</w:t>
            </w:r>
            <w:r>
              <w:t xml:space="preserve"> ogļūdeņraži, retzemju elementi, zivsaimniecība un citi resursi ir arvien vairāk pieprasīti, tāpēc ir vajadzīgi stingri ilgtspējas standarti un taisnīga ieguvumu sadale;</w:t>
            </w:r>
          </w:p>
        </w:tc>
        <w:tc>
          <w:tcPr>
            <w:tcW w:w="4876" w:type="dxa"/>
            <w:tcBorders>
              <w:top w:val="nil"/>
              <w:left w:val="nil"/>
              <w:bottom w:val="nil"/>
              <w:right w:val="nil"/>
            </w:tcBorders>
          </w:tcPr>
          <w:p>
            <w:pPr>
              <w:pStyle w:val="Normal6a"/>
            </w:pPr>
            <w:r>
              <w:t>I.</w:t>
            </w:r>
            <w:r>
              <w:tab/>
            </w:r>
            <w:r>
              <w:t xml:space="preserve">tā kā Arktikas </w:t>
            </w:r>
            <w:r>
              <w:rPr>
                <w:b/>
                <w:i/>
              </w:rPr>
              <w:t>jūras resursi, piemēram,</w:t>
            </w:r>
            <w:r>
              <w:t xml:space="preserve"> ogļūdeņraži, retzemju elementi, zivsaimniecība un citi resursi</w:t>
            </w:r>
            <w:r>
              <w:rPr>
                <w:b/>
                <w:i/>
              </w:rPr>
              <w:t>,</w:t>
            </w:r>
            <w:r>
              <w:t xml:space="preserve"> ir arvien vairāk pieprasīti, tāpēc ir vajadzīgi stingri ilgtspējas standarti un taisnīga ieguvumu sadale;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tā kā Arktikas bagātīgie ogļūdeņraži, retzemju elementi, zivsaimniecība un citi resursi ir arvien vairāk pieprasīti, tāpēc ir vajadzīgi stingri ilgtspējas standarti un taisnīga </w:t>
            </w:r>
            <w:r>
              <w:rPr>
                <w:b/>
                <w:i/>
              </w:rPr>
              <w:t>ieguvumu</w:t>
            </w:r>
            <w:r>
              <w:t xml:space="preserve"> sadale;</w:t>
            </w:r>
          </w:p>
        </w:tc>
        <w:tc>
          <w:tcPr>
            <w:tcW w:w="4876" w:type="dxa"/>
            <w:tcBorders>
              <w:top w:val="nil"/>
              <w:left w:val="nil"/>
              <w:bottom w:val="nil"/>
              <w:right w:val="nil"/>
            </w:tcBorders>
          </w:tcPr>
          <w:p>
            <w:pPr>
              <w:pStyle w:val="Normal6a"/>
            </w:pPr>
            <w:r>
              <w:t>I.</w:t>
            </w:r>
            <w:r>
              <w:tab/>
            </w:r>
            <w:r>
              <w:t xml:space="preserve">tā kā Arktikas bagātīgie ogļūdeņraži, retzemju elementi, zivsaimniecība un citi resursi ir arvien vairāk pieprasīti, tāpēc ir vajadzīgi stingri ilgtspējas standarti un taisnīga </w:t>
            </w:r>
            <w:r>
              <w:rPr>
                <w:b/>
                <w:i/>
              </w:rPr>
              <w:t>resursu</w:t>
            </w:r>
            <w:r>
              <w:t xml:space="preserve"> sadale;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ieguves rūpniecības lobisti mudina valdības atļaut dziļjūras derīgo izrakteņu ieguvi Arktikas jūras gultnē — mazizpētītā ekosistēmā;</w:t>
            </w:r>
            <w:r>
              <w:t xml:space="preserve"> </w:t>
            </w:r>
            <w:r>
              <w:rPr>
                <w:b/>
                <w:i/>
              </w:rPr>
              <w:t>tā kā šīs darbības apdraud Arktikas bioloģisko daudzveidību, sadrumstalojot dzīvotnes, izspiežot savvaļas dzīvniekus no to pastāvīgajām dzīvotnēm un nodarot kaitējumu svarīgām vairošanās un barošanās vietām;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Arktikā ir daudzveidīgi ES zaļās un digitālās pārkārtošanas procesam būtiski energoresursi, tostarp ūdeņraža enerģija, hidroenerģija, vēja enerģija un ģeotermālā enerģija, kas var palīdzēt diversificēt un dekarbonizēt ES energoresursu struktūru, papildinot esošos ogļūdeņražu piegādes avotus;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tādas iniciatīvas kā Polar Connect un Vision 2030 paredz izveidot noturīgu Arktikas zemūdens kabeļu infrastruktūru, kas Grenlandi un Islandi savieno ar kontinentālo Eiropu;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Apvienoto Nāciju Organizācijas Jūras tiesību konvencijā ir iekļauti noteikumi par valstu tiesībām, pienākumiem un atbildību aizsargāt vidi;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tā kā ir nepieciešamas stratēģiskas investīcijas, lai nodrošinātu kritiski svarīgo izejvielu pieejamību, kas ir būtiska ES rūpniecības konkurētspējai un aizsardzības spēju stiprināšanai;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tā kā Grenlande, Islande un Norvēģija pārvalda Arktikas lielākās ilgtspējīgās zivsaimniecības un šajā reģionā tiek attīstītas speciālās zināšanas biotehnoloģijā un inovācijā, kas ir būtiskas ES nodrošinātībai ar pārtiku, zilajai ekonomikai un zinātniskajai līderībai;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tā kā Arktikas ekonomiskais potenciāls aptver ne tikai dabas resursus, bet arī tādas nozares kā tūrisms, kosmosa tehnoloģijas un datu centru infrastruktūra, sniedzot ES iespējas veidot stratēģiskas partnerības, kas izmanto tādas priekšrocības kā reģiona unikālā ģeogrāfija, atjaunīgie energoresursi un un ģeogrāfiskais tuvums stratēģiski svarīgiem partneriem;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tā kā enerģētikas savienojumiem ar Arktiku, tostarp naftas un gāzes importam no Norvēģijas Barenca jūras, sašķidrinātas dabasgāzes sūtījumiem pa Arktikas kuģošanas ceļiem, atjaunīgās enerģijas eksportam un zaļā ūdeņraža potenciālam no Islandes un Grenlandes, ES atbalstītiem infrastruktūras projektiem, piemēram, zemūdens kabeļiem un cauruļvadiem, un sadarbībai pētniecībā un inovācijā ilgtspējīgai attīstībai ir izšķiroša nozīme ES enerģētiskajā drošībā un turpmākajā ekonomikas attīstībā;</w:t>
            </w:r>
          </w:p>
        </w:tc>
        <w:tc>
          <w:tcPr>
            <w:tcW w:w="4876" w:type="dxa"/>
            <w:tcBorders>
              <w:top w:val="nil"/>
              <w:left w:val="nil"/>
              <w:bottom w:val="nil"/>
              <w:right w:val="nil"/>
            </w:tcBorders>
          </w:tcPr>
          <w:p>
            <w:pPr>
              <w:pStyle w:val="Normal6a"/>
            </w:pPr>
            <w:r>
              <w:t>J.</w:t>
            </w:r>
            <w:r>
              <w:tab/>
            </w:r>
            <w:r>
              <w:t xml:space="preserve">tā kā enerģētikas savienojumiem ar Arktiku, tostarp naftas un gāzes importam no Norvēģijas Barenca jūras, sašķidrinātas dabasgāzes sūtījumiem pa Arktikas kuģošanas ceļiem, atjaunīgās enerģijas eksportam un zaļā ūdeņraža potenciālam no Islandes un Grenlandes, ES atbalstītiem infrastruktūras projektiem, piemēram, zemūdens kabeļiem un cauruļvadiem, un sadarbībai pētniecībā un inovācijā ilgtspējīgai attīstībai ir izšķiroša nozīme ES enerģētiskajā drošībā un turpmākajā ekonomikas attīstībā; </w:t>
            </w:r>
            <w:r>
              <w:rPr>
                <w:b/>
                <w:i/>
              </w:rPr>
              <w:t>tā kā Arktika saskaras ar infrastruktūras trūkumu, kas ierobežo vietējo kopienu un citu iedzīvotāju iespējas;</w:t>
            </w:r>
            <w:r>
              <w:t xml:space="preserve"> </w:t>
            </w:r>
            <w:r>
              <w:rPr>
                <w:b/>
                <w:i/>
              </w:rPr>
              <w:t>tā kā daudzfunkcionālu infrastruktūras projektu izstrāde varētu palīdzēt novērst gan šos trūkumus, gan plašākas drošības problēmas;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tā kā enerģētikas savienojumiem ar Arktiku, tostarp naftas un gāzes importam no Norvēģijas Barenca jūras, sašķidrinātas dabasgāzes sūtījumiem pa Arktikas kuģošanas ceļiem, atjaunīgās enerģijas eksportam un zaļā ūdeņraža potenciālam no Islandes un Grenlandes, ES atbalstītiem infrastruktūras projektiem, piemēram, zemūdens kabeļiem un cauruļvadiem, un sadarbībai pētniecībā un inovācijā ilgtspējīgai attīstībai ir izšķiroša nozīme ES enerģētiskajā drošībā un turpmākajā ekonomikas attīstībā;</w:t>
            </w:r>
          </w:p>
        </w:tc>
        <w:tc>
          <w:tcPr>
            <w:tcW w:w="4876" w:type="dxa"/>
            <w:tcBorders>
              <w:top w:val="nil"/>
              <w:left w:val="nil"/>
              <w:bottom w:val="nil"/>
              <w:right w:val="nil"/>
            </w:tcBorders>
          </w:tcPr>
          <w:p>
            <w:pPr>
              <w:pStyle w:val="Normal6a"/>
            </w:pPr>
            <w:r>
              <w:t>J.</w:t>
            </w:r>
            <w:r>
              <w:tab/>
            </w:r>
            <w:r>
              <w:t xml:space="preserve">tā kā enerģētikas savienojumiem ar Arktiku, tostarp naftas un gāzes importam no Norvēģijas Barenca jūras, sašķidrinātas dabasgāzes sūtījumiem pa Arktikas kuģošanas ceļiem, atjaunīgās enerģijas eksportam un zaļā ūdeņraža potenciālam no Islandes un Grenlandes, ES atbalstītiem infrastruktūras projektiem, piemēram, zemūdens kabeļiem un cauruļvadiem, un sadarbībai pētniecībā un inovācijā ilgtspējīgai attīstībai ir izšķiroša nozīme ES enerģētiskajā drošībā un turpmākajā ekonomikas attīstībā; </w:t>
            </w:r>
            <w:r>
              <w:rPr>
                <w:b/>
                <w:i/>
              </w:rPr>
              <w:t>tā kā šajā kontekstā uzticami partneri un stabila energoapgāde ir svarīgi nosacījumi vispārējai drošībai, kā to pierāda Krievijas agresijas kara pret Ukrainu izraisītā enerģētikas krīze, kas ir skaidrs brīdinājums par šādiem riskiem;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tā kā enerģētikas savienojumiem ar Arktiku, tostarp naftas un gāzes importam no Norvēģijas Barenca jūras, sašķidrinātas dabasgāzes sūtījumiem pa Arktikas kuģošanas ceļiem, atjaunīgās enerģijas eksportam un zaļā ūdeņraža potenciālam no Islandes un Grenlandes, ES atbalstītiem infrastruktūras projektiem, piemēram, zemūdens kabeļiem un cauruļvadiem, un sadarbībai pētniecībā un inovācijā ilgtspējīgai attīstībai ir izšķiroša nozīme ES enerģētiskajā drošībā un turpmākajā ekonomikas attīstībā;</w:t>
            </w:r>
          </w:p>
        </w:tc>
        <w:tc>
          <w:tcPr>
            <w:tcW w:w="4876" w:type="dxa"/>
            <w:tcBorders>
              <w:top w:val="nil"/>
              <w:left w:val="nil"/>
              <w:bottom w:val="nil"/>
              <w:right w:val="nil"/>
            </w:tcBorders>
          </w:tcPr>
          <w:p>
            <w:pPr>
              <w:pStyle w:val="Normal6a"/>
            </w:pPr>
            <w:r>
              <w:t>J.</w:t>
            </w:r>
            <w:r>
              <w:tab/>
            </w:r>
            <w:r>
              <w:t>tā kā enerģētikas savienojumiem ar Arktiku, tostarp naftas un gāzes importam no Norvēģijas Barenca jūras, sašķidrinātas dabasgāzes sūtījumiem pa Arktikas kuģošanas ceļiem, atjaunīgās enerģijas eksportam un zaļā ūdeņraža potenciālam no Islandes un Grenlandes, ES atbalstītiem infrastruktūras projektiem, piemēram, zemūdens kabeļiem un cauruļvadiem, un sadarbībai pētniecībā un inovācijā ilgtspējīgai attīstībai ir izšķiroša nozīme ES enerģētiskajā drošībā un turpmākajā ekonomikas attīstībā</w:t>
            </w:r>
            <w:r>
              <w:rPr>
                <w:b/>
                <w:i/>
              </w:rPr>
              <w:t>, vienlaikus nodrošinot investīcijas Arktikas vietējās ekonomikās un infrastruktūrā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tā kā Ziemeļu jūras ceļš ir viens no trim galvenajiem Arktikas kuģošanas ceļiem, kurš aizvien vairāk piesaista uzmanību pasaulē kā potenciāls tirdzniecības koridors;</w:t>
            </w:r>
            <w:r>
              <w:t xml:space="preserve"> </w:t>
            </w:r>
            <w:r>
              <w:rPr>
                <w:b/>
                <w:i/>
              </w:rPr>
              <w:t>tā kā Krievija ir vienpusēji noteikusi tiesisko režīmu, kas reglamentē kuģošanu Ziemeļu jūras ceļā, tostarp ar jauno 2022. gada 5. decembra likumu, kas ierobežo ārvalstu karakuģu pārvietošanos;</w:t>
            </w:r>
            <w:r>
              <w:t xml:space="preserve"> </w:t>
            </w:r>
            <w:r>
              <w:rPr>
                <w:b/>
                <w:i/>
              </w:rPr>
              <w:t>tā kā šāda rīcība rada nopietnas bažas starptautisko tiesību, jo īpaši Apvienoto Nāciju Organizācijas Jūras tiesību konvencijas (UNCLOS), kontekstā un var saasināt ģeopolitisko spriedzi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tā kā jaunizbūvētie un plānotie LNG termināļi, jo īpaši peldošās uzglabāšanas un regazifikācijas iekārtas, kuras izveidot ES dalībvalstis ir apņēmušās pēdējo divu gadu laikā, nodrošina būtisku piekļuvi Norvēģijas LNG, ļaujot vēl vairāk diversificēt piegādes un stiprināt to drošību;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tā kā turpmāka ledlaužu projektēšana un būvniecība ir būtiska Arktikas izpētei un drošībai;</w:t>
            </w:r>
            <w:r>
              <w:t xml:space="preserve"> </w:t>
            </w:r>
            <w:r>
              <w:rPr>
                <w:b/>
                <w:i/>
              </w:rPr>
              <w:t>tā kā Somijai šajā jomā ir īpaša lietpratība;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tā kā tādās iniciatīvās kā Polar Connect un Vision 2030 ir ierosināts ievilkt zemūdens kabeļus pāri Ziemeļu Ledus okeānam, lai līdz 2030. gadam savienotu Grenlandi un Islandi ar kontinentālo Eiropu;</w:t>
            </w:r>
          </w:p>
        </w:tc>
        <w:tc>
          <w:tcPr>
            <w:tcW w:w="4876" w:type="dxa"/>
            <w:tcBorders>
              <w:top w:val="nil"/>
              <w:left w:val="nil"/>
              <w:bottom w:val="nil"/>
              <w:right w:val="nil"/>
            </w:tcBorders>
          </w:tcPr>
          <w:p>
            <w:pPr>
              <w:pStyle w:val="Normal6a"/>
            </w:pPr>
            <w:r>
              <w:t>K.</w:t>
            </w:r>
            <w:r>
              <w:tab/>
            </w:r>
            <w:r>
              <w:t xml:space="preserve">tā kā tādās iniciatīvās kā Polar Connect un Vision 2030 ir ierosināts ievilkt zemūdens kabeļus pāri Ziemeļu Ledus okeānam, lai līdz 2030. gadam savienotu Grenlandi un Islandi ar kontinentālo Eiropu; </w:t>
            </w:r>
            <w:r>
              <w:rPr>
                <w:b/>
                <w:i/>
              </w:rPr>
              <w:t>tā kā šādi projekti ir neaizsargāti pret hibrīdapdraudējumiem no ļaunprātīgu dalībnieku, piemēram, Krievijas un Ķīnas, puses;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tā kā ar kodolenerģiju darbināmiem kuģiem ir būtiska nozīme Arktikā, ņemot vērā pašreizējās infrastruktūras un piegādes ceļu ierobežojumus;</w:t>
            </w:r>
            <w:r>
              <w:t xml:space="preserve"> </w:t>
            </w:r>
            <w:r>
              <w:rPr>
                <w:b/>
                <w:i/>
              </w:rPr>
              <w:t>tā kā neviena ES vai NATO dalībvalsts neekspluatē kodolledlaužus;</w:t>
            </w:r>
            <w:r>
              <w:t xml:space="preserve"> </w:t>
            </w:r>
            <w:r>
              <w:rPr>
                <w:b/>
                <w:i/>
              </w:rPr>
              <w:t>tā kā Krievijai joprojām ir šādi ledlauži, savukārt Ķīna ir paudusi interesi par ledus laušanas tehnoloģiju, lai attīstītu savu Polārā Zīda ceļa iniciatīvu, kā arī aktīvi paplašina savu floti, tostarp būvējot kodolledlauzi;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tā kā tādu Arktikas zemūdens optisko šķiedru kabeļu izstrāde, kuri savieno Eiropu ar Japānu un Dienvidkoreju, ir stratēģiska iespēja padarīt drošāku un ātrdarbīgāku digitālo savienojamību, stiprināt ES digitālo suverenitāti un padziļināt ES un Āzijas sadarbību;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tā kā Ķīna, izmantojot kravas kuģi, izmēģina tiešo maršrutu uz Eiropu caur Arktiku ar mērķi izveidot regulāru pārvadājumu maršrutu pa Krievijas Ziemeļu jūras ceļu, kas savienotu vairākas ostas Āzijā un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tā kā zemūdens kabeļu, cauruļvadu, sakaru sistēmu un transporta koridoru aizsardzība Arktikā ir īpaši būtiska ES un EEZ digitālajai, enerģētiskajai un ekonomiskajai drošībai;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tā kā Francija ir vienīgā ES dalībvalsts, kurai ir ar kodolzemūdenes, kas spēj darboties Arktikas zemūdens maršrutos;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tā kā globālā sasilšana Arktikā paver iespējas izveidot jaunus alternatīvus tirdzniecības ceļus, jo īpaši Ziemeļu jūras ceļu, kas ļauj samazināt ceļā pavadīto laiku un veikto attālumu starp Eiropu un Āziju par 30–40 % salīdzinājumā ar tradicionālo maršrutu caur Suecas kanālu;</w:t>
            </w:r>
            <w:r>
              <w:t xml:space="preserve"> </w:t>
            </w:r>
            <w:r>
              <w:rPr>
                <w:b/>
                <w:i/>
              </w:rPr>
              <w:t>tā kā klimata pārmaiņu apstākļos kļūst aktuāli juridiska rakstura jautājumi par UNCLOS 234. panta piemērošanu, kas pašlaik ļauj Krievijai noteikt būtiskus juridiskus ierobežojumus kuģošanas brīvībai jūras šaurumos Ziemeļu jūras maršrutā, no kuriem vairākos lielāko gada daļu nav ledus;</w:t>
            </w:r>
            <w:r>
              <w:t xml:space="preserve"> </w:t>
            </w:r>
            <w:r>
              <w:rPr>
                <w:b/>
                <w:i/>
              </w:rPr>
              <w:t>tā kā tas, ka Krievija šos jūras šaurumus ir pasludinājusi par saviem teritoriālajiem ūdeņiem, vēl vairāk apdraud kuģošanas brīvību un rada bažas par Ziemeļu jūras ceļa ilgtermiņa pieejamību ES dalībvalstīm;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Kd.</w:t>
            </w:r>
            <w:r>
              <w:tab/>
            </w:r>
            <w:r>
              <w:rPr>
                <w:b/>
                <w:i/>
              </w:rPr>
              <w:t>tā kā Arktikā atrodas daudzi kritiski svarīgi resursi;</w:t>
            </w:r>
            <w:r>
              <w:t xml:space="preserve"> </w:t>
            </w:r>
            <w:r>
              <w:rPr>
                <w:b/>
                <w:i/>
              </w:rPr>
              <w:t>tā kā globālā sasilšana paver iespējas attīstīt naftas un gāzes ieguvi, tostarp ES dalībvalstu un EBTA valstu ekskluzīvajās ekonomiskajās zonās;</w:t>
            </w:r>
            <w:r>
              <w:t xml:space="preserve"> </w:t>
            </w:r>
            <w:r>
              <w:rPr>
                <w:b/>
                <w:i/>
              </w:rPr>
              <w:t>tā kā Grenlandē un Arktikas jūras gultnē atrodas 25 no 34 kritiski svarīgajām izejvielām, kas uzskaitītas Kritiski svarīgo izejvielu aktā;</w:t>
            </w:r>
            <w:r>
              <w:t xml:space="preserve"> </w:t>
            </w:r>
            <w:r>
              <w:rPr>
                <w:b/>
                <w:i/>
              </w:rPr>
              <w:t>tā kā Norvēģija ir atļāvusi veikt izpēti potenciālai dziļjūras izrakteņu ieguvei 280 000 km² lielā teritorijā tās Arktikas kontinentālajā šelfā;</w:t>
            </w:r>
            <w:r>
              <w:t xml:space="preserve"> </w:t>
            </w:r>
            <w:r>
              <w:rPr>
                <w:b/>
                <w:i/>
              </w:rPr>
              <w:t>tā kā 90 % retzemju elementu globālās ražošanas un attīrīšanas notiek Ķīnā, ir steidzami vajadzīgi inovatīvi risinājumi, lai mazinātu milzīgo stratēģisko atkarību, kas pakļauj ES dalībvalstis ekonomiskam un diplomātiskam spiedienam;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Ke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Ke.</w:t>
            </w:r>
            <w:r>
              <w:tab/>
            </w:r>
            <w:r>
              <w:rPr>
                <w:b/>
                <w:i/>
              </w:rPr>
              <w:t>tā kā Amerikas Savienotās Valstis ir paziņojušas, ka kontrole pār Grenlandi tām ir būtiska, lai garantētu valsts un starptautisko drošību;</w:t>
            </w:r>
            <w:r>
              <w:t xml:space="preserve"> </w:t>
            </w:r>
            <w:r>
              <w:rPr>
                <w:b/>
                <w:i/>
              </w:rPr>
              <w:t>tā kā ASV iepriekš ir ierosinājusi iegādāties šo salu no Dānijas Karalistes;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Kf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Kf.</w:t>
            </w:r>
            <w:r>
              <w:tab/>
            </w:r>
            <w:r>
              <w:rPr>
                <w:b/>
                <w:i/>
              </w:rPr>
              <w:t>tā kā Eiropas Parlaments 2021. un 2023. gadā pieņēma nesaistošas rezolūcijas, aicinot noteikt moratoriju dziļjūras izrakteņu ieguvei;</w:t>
            </w:r>
            <w:r>
              <w:t xml:space="preserve"> </w:t>
            </w:r>
            <w:r>
              <w:rPr>
                <w:b/>
                <w:i/>
              </w:rPr>
              <w:t>tā kā Jūras stratēģijas pamatdirektīva faktiski liedz ES dalībvalstīm paplašināt dziļjūras izrakteņu ieguvi vai pat veikt izpēti savās ekskluzīvajās ekonomikas zonās;</w:t>
            </w:r>
            <w:r>
              <w:t xml:space="preserve"> </w:t>
            </w:r>
            <w:r>
              <w:rPr>
                <w:b/>
                <w:i/>
              </w:rPr>
              <w:t>tā kā Ķīna pastiprina savas stratēģiskās darbības dziļjūras izrakteņu ieguves jomā, tostarp ir parakstījusi nolīgumu ar Kuka Salām, lai saglabātu savu vadošo lomu pasaulē kritiski svarīgo materiālu jomā;</w:t>
            </w:r>
            <w:r>
              <w:t xml:space="preserve"> </w:t>
            </w:r>
            <w:r>
              <w:rPr>
                <w:b/>
                <w:i/>
              </w:rPr>
              <w:t>tā kā pārmērīgi regulatīvie ierobežojumi sauszemes komerciālām darbībām ar retzemju minerāliem apvienojumā ar ideoloģisku pretestību pat dziļjūras izrakteņu ieguves potenciāla izpētei rada gan vidisku, gan stratēģisku risku, jo tie palēnina tīrāku tehnoloģiju ieviešanu tirgū, vienlaikus palielinot Eiropas atkarību no Ķīnas un citām trešām valstīm izejvielu un kritiski svarīgo materiālu ziņā;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Kg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Kg.</w:t>
            </w:r>
            <w:r>
              <w:tab/>
            </w:r>
            <w:r>
              <w:rPr>
                <w:b/>
                <w:i/>
              </w:rPr>
              <w:t>tā kā Krievija paplašina un atjauno savu Ziemeļu flotes kodolzemūdeņu un kodolledlaužu potenciālu, vienlaikus arī atjaunojot padomju perioda aerodromus ziemeļu piekrastē un stiprinot savas A2/AD spējas;</w:t>
            </w:r>
            <w:r>
              <w:t xml:space="preserve"> </w:t>
            </w:r>
            <w:r>
              <w:rPr>
                <w:b/>
                <w:i/>
              </w:rPr>
              <w:t>tā kā GIUK koridora stratēģiskā nozīme pieaug, jo tas ir īpaši svarīgs jūras apgabals gan topošajam Ziemeļu jūras ceļam, gan koridora dienvidu daļā esošo transatlantisko zemūdens kabeļu, kas nodrošina gandrīz visu Eiropas datu plūsmu, aizsardzībai;</w:t>
            </w:r>
            <w:r>
              <w:t xml:space="preserve"> </w:t>
            </w:r>
            <w:r>
              <w:rPr>
                <w:b/>
                <w:i/>
              </w:rPr>
              <w:t>tā kā nepieciešamība efektīvi aizsargāt zemūdens kabeļus kļūst vēl svarīgāka, jo pieaug mākslīgā intelekta, mākoņdatošanas un citu datu ietilpīgu tehnoloģiju izmantošanas apjoms;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tā kā ES finansēta pētniecība, pamatprogrammas “Apvārsnis Eiropa” partnerības un Copernicus satelītu pakalpojumi sniedz būtiskus datus klimatnoturībai, navigācijas drošībai un vides pārvaldībai Tālajos ziemeļos,</w:t>
            </w:r>
          </w:p>
        </w:tc>
        <w:tc>
          <w:tcPr>
            <w:tcW w:w="4876" w:type="dxa"/>
            <w:tcBorders>
              <w:top w:val="nil"/>
              <w:left w:val="nil"/>
              <w:bottom w:val="nil"/>
              <w:right w:val="nil"/>
            </w:tcBorders>
          </w:tcPr>
          <w:p>
            <w:pPr>
              <w:pStyle w:val="Normal6a"/>
            </w:pPr>
            <w:r>
              <w:t>L.</w:t>
            </w:r>
            <w:r>
              <w:tab/>
            </w:r>
            <w:r>
              <w:t xml:space="preserve">tā kā ES finansēta pētniecība, pamatprogrammas “Apvārsnis Eiropa” partnerības un Copernicus satelītu pakalpojumi sniedz būtiskus datus </w:t>
            </w:r>
            <w:r>
              <w:rPr>
                <w:b/>
                <w:i/>
              </w:rPr>
              <w:t>drošībai,</w:t>
            </w:r>
            <w:r>
              <w:t xml:space="preserve"> klimatnoturībai, navigācijas drošībai un vides pārvaldībai Tālajos ziemeļos,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NATO 2022. gadā atzina klimata pārmaiņas par vienu no būtiskākajām problēmām un draudus pastiprinošu faktoru, kas būtiski ietekmē drošību un militārās operācijas, tostarp Tālajos Ziemeļos, un noteica Tālos Ziemeļus par stratēģiski svarīgu reģionu, kurā Krievijas spēja kavēt sabiedroto spēku nostiprināšanos un kuģošanas brīvību Ziemeļatlantijas reģionā rada tiešu izaicinājumu aliansei;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droša, noturīga un autonoma satelītsavienojamība ir stratēģisks aktīvs, lai garantētu sakaru drošību, uzlabotu situācijas apzināšanu, aizsargātu kritisko infrastruktūru un stiprinātu Savienības spēju novērst hibrīdapdraudējumus un konvencionālos apdraudējumus Arktikā, atturēt no tiem un reaģēt uz 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droša, noturīga un autonoma satelītsavienojamība ir stratēģisks aktīvs, lai garantētu sakaru drošību, uzlabotu situācijas apzināšanu, aizsargātu kritisko infrastruktūru un stiprinātu Savienības spēju novērst hibrīdapdraudējumus un konvencionālos apdraudējumus Arktikā, atturēt no tiem un reaģēt uz 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droša, noturīga un autonoma satelītsavienojamība ir stratēģisks aktīvs, lai garantētu sakaru drošību, uzlabotu situācijas apzināšanu, aizsargātu kritisko infrastruktūru un stiprinātu Savienības spēju novērst hibrīdapdraudējumus un konvencionālos apdraudējumus Arktikā, atturēt no tiem un reaģēt uz 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ā kā Arktikas Padomē darbojas trīs ES dalībvalstis un vēl divas Eiropas Ekonomikas zonas valstis;</w:t>
            </w:r>
            <w:r>
              <w:t xml:space="preserve"> </w:t>
            </w:r>
            <w:r>
              <w:rPr>
                <w:b/>
                <w:i/>
              </w:rPr>
              <w:t>tā kā septiņas no valstīm, kas darbojas Arktikas Padomē, ir NATO dalībvalstis;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drošai un autonomai satelītsavienojamībai ir būtiska nozīme sakaru, kritiskās infrastruktūras, situācijas apzināšanas un Savienības spējas novērst apdraudējumus Arktikā ziņā;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starptautiskās diplomātijas pamatā arī turpmāk jābūt teritoriālās integritātes ievērošanai un tas jo īpaši attiecas uz Arktiku;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tā kā “nenodarīt būtisku kaitējumu” nozīmē attiecīgi neatbalstīt vai neveikt saimnieciskas darbības, kas būtiski kaitē kādam vides mērķim Regulas (ES) 2020/852 17. panta izpratnē;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tā kā Eiropas Ārējās darbības dienestam (EĀDD) ir īpaši būtiska loma ES Arktikas politikas veidošanā un koordinēšanā;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Lc.</w:t>
            </w:r>
            <w:r>
              <w:tab/>
            </w:r>
            <w:r>
              <w:rPr>
                <w:b/>
                <w:i/>
              </w:rPr>
              <w:t>tā kā Arktikas ūdeņos arvien vairāk tiek izmantoti novecojoši un slikti uzturēti Krievijas “ēnu flotes” kuģi, kas kuģo ar izdevīguma karogiem, lai apietu starptautiskās sankcijas, radot būtiskus riskus videi, drošumam un drošībai šajā neaizsargātajā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Ld.</w:t>
            </w:r>
            <w:r>
              <w:tab/>
            </w:r>
            <w:r>
              <w:rPr>
                <w:b/>
                <w:i/>
              </w:rPr>
              <w:t>tā kā kosmosa tehnoloģijas, tostarp pozicionēšana, navigācija, Zemes novērošana un satelītsakari, ir būtiskas situācijas apzināšanas, vides monitoringa un savienojamības nodrošināšanai Arktikā;</w:t>
            </w:r>
            <w:r>
              <w:t xml:space="preserve"> </w:t>
            </w:r>
            <w:r>
              <w:rPr>
                <w:b/>
                <w:i/>
              </w:rPr>
              <w:t>tā kā Norvēģijas ģeogrāfiskā atrašanās vieta un tādi objekti kā Annejas Kosmosa centrs, kā arī Arktikas satelītu platjoslas misija nodrošina ES kritiski svarīgu infrastruktūru un neatkarīgu piekļuvi kosmosam;</w:t>
            </w:r>
            <w:r>
              <w:t xml:space="preserve"> </w:t>
            </w:r>
            <w:r>
              <w:rPr>
                <w:b/>
                <w:i/>
              </w:rPr>
              <w:t>tā kā ciešākai sadarbībai ar Norvēģiju kosmosa tehnoloģiju jomā ir īpaši būtiska nozīme ES Arktikas stratēģijas stiprināšanā un drošības veicināšanā;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atzīt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w:t>
            </w:r>
          </w:p>
        </w:tc>
        <w:tc>
          <w:tcPr>
            <w:tcW w:w="4876" w:type="dxa"/>
            <w:tcBorders>
              <w:top w:val="nil"/>
              <w:left w:val="nil"/>
              <w:bottom w:val="nil"/>
              <w:right w:val="nil"/>
            </w:tcBorders>
          </w:tcPr>
          <w:p>
            <w:pPr>
              <w:pStyle w:val="Normal6a"/>
            </w:pPr>
            <w:r>
              <w:t>a)</w:t>
            </w:r>
            <w:r>
              <w:tab/>
            </w:r>
            <w:r>
              <w:t xml:space="preserve">atzīt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 </w:t>
            </w:r>
            <w:r>
              <w:rPr>
                <w:b/>
                <w:i/>
              </w:rPr>
              <w:t>mudināt ES piekrastes dalībvalstis vajadzības gadījumā modernizēt un paplašināt savas jūras spēku spējas, jo īpaši attiecībā uz jūras patruļas gaisa kuģiem, zemūdenēm, pretzemūdeņu ieročiem, autonomiem zemūdens transportlīdzekļiem un uzlabotām uzraudzības spējām, lai labāk uzraudzītu Arktikas reģionu, Ziemeļu jūras maršrutu un GIUK koridoru;</w:t>
            </w:r>
            <w:r>
              <w:t xml:space="preserve"> </w:t>
            </w:r>
            <w:r>
              <w:rPr>
                <w:b/>
                <w:i/>
              </w:rPr>
              <w:t>uzsvērt, ka, ņemot vērā ASV stratēģisko nenoteiktību attiecībā uz Eiropu un jo īpaši to teritoriālās prasības pret Grenlandi, prioritāte būtu jāpiešķir iepirkumam no ES reģistrētiem vai cieši sabiedrotiem partneriem, piemēram, no Norvēģijas un Apvienotās Karalistes, jo lielāko daļu šo spēju var nodrošināt Eiropas uzņēmumi;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atzīt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w:t>
            </w:r>
          </w:p>
        </w:tc>
        <w:tc>
          <w:tcPr>
            <w:tcW w:w="4876" w:type="dxa"/>
            <w:tcBorders>
              <w:top w:val="nil"/>
              <w:left w:val="nil"/>
              <w:bottom w:val="nil"/>
              <w:right w:val="nil"/>
            </w:tcBorders>
          </w:tcPr>
          <w:p>
            <w:pPr>
              <w:pStyle w:val="Normal6a"/>
            </w:pPr>
            <w:r>
              <w:t>a)</w:t>
            </w:r>
            <w:r>
              <w:tab/>
            </w:r>
            <w:r>
              <w:t xml:space="preserve">atzīt pieaugošo Arktikas militarizāciju, jo īpaši Krievijas plašās militārās pārstrukturēšanas dēļ, tostarp Jūras kolēģijas izveidi, kas ir vēl vairāk saasinājusi reģionālo spriedzi un iedragājusi reģionālo stabilitāti; </w:t>
            </w:r>
            <w:r>
              <w:rPr>
                <w:b/>
                <w:i/>
              </w:rPr>
              <w:t>ņemt vērā arī Ķīnas Polārā zīda ceļa stratēģiju un divējāda lietojuma tehnoloģijas, kas līdz ar Krievijas īstenotajām darbībām rada sistēmisku apdraudējumu uz noteikumiem balstītai kārtībai;</w:t>
            </w:r>
            <w:r>
              <w:t xml:space="preserve"> sadarboties ar dalībvalstīm un NATO sabiedrotajiem, lai stiprinātu atturošas reaģēšanas spējas</w:t>
            </w:r>
            <w:r>
              <w:rPr>
                <w:b/>
                <w:i/>
              </w:rPr>
              <w:t>, tostarp iesaistoties intensīvākā ES un NATO stratēģiskajā dialogā par situācijas apzināšanu Arktikas reģionā un īstenojot kopīgas uz aizsardzību vērstas mācības Tālajos Ziemeļos</w:t>
            </w:r>
            <w:r>
              <w:t xml:space="preserve">; </w:t>
            </w:r>
            <w:r>
              <w:rPr>
                <w:b/>
                <w:i/>
              </w:rPr>
              <w:t>atzīt arī risku, ka lielāka Ķīnas klātbūtne un tās stratēģiskā sadarbība ar Krieviju var būtiski ietekmēt drošību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atzīt pieaugošo Arktikas militarizāciju, jo īpaši Krievijas plašās militārās pārstrukturēšanas dēļ, tostarp Jūras kolēģijas izveidi, kas ir vēl vairāk saasinājusi reģionālo spriedzi un iedragājusi reģionālo stabilitāti; </w:t>
            </w:r>
            <w:r>
              <w:rPr>
                <w:b/>
                <w:i/>
              </w:rPr>
              <w:t>sadarboties</w:t>
            </w:r>
            <w:r>
              <w:t xml:space="preserve"> ar dalībvalstīm un NATO sabiedrotajiem, lai stiprinātu atturošas reaģēšanas spējas;</w:t>
            </w:r>
          </w:p>
        </w:tc>
        <w:tc>
          <w:tcPr>
            <w:tcW w:w="4876" w:type="dxa"/>
            <w:tcBorders>
              <w:top w:val="nil"/>
              <w:left w:val="nil"/>
              <w:bottom w:val="nil"/>
              <w:right w:val="nil"/>
            </w:tcBorders>
          </w:tcPr>
          <w:p>
            <w:pPr>
              <w:pStyle w:val="Normal6a"/>
            </w:pPr>
            <w:r>
              <w:t>a)</w:t>
            </w:r>
            <w:r>
              <w:tab/>
            </w:r>
            <w:r>
              <w:t xml:space="preserve">atzīt pieaugošo Arktikas militarizāciju, jo īpaši Krievijas plašās militārās pārstrukturēšanas dēļ, tostarp Jūras kolēģijas izveidi, kas ir vēl vairāk saasinājusi reģionālo spriedzi un iedragājusi reģionālo stabilitāti; </w:t>
            </w:r>
            <w:r>
              <w:rPr>
                <w:b/>
                <w:i/>
              </w:rPr>
              <w:t>nosodīt Ķīnas pieaugošo interesi par Arktikas reģionu;</w:t>
            </w:r>
            <w:r>
              <w:t xml:space="preserve"> </w:t>
            </w:r>
            <w:r>
              <w:rPr>
                <w:b/>
                <w:i/>
              </w:rPr>
              <w:t>norādīt, ka savas drošības dēļ Eiropa vērot notiekošo no malas, bet tai ir jāsadarbojas</w:t>
            </w:r>
            <w:r>
              <w:t xml:space="preserve"> ar dalībvalstīm un NATO sabiedrotajiem, lai stiprinātu atturošas reaģēšanas spējas; </w:t>
            </w:r>
            <w:r>
              <w:rPr>
                <w:b/>
                <w:i/>
              </w:rPr>
              <w:t xml:space="preserve">ES finansējuma piešķiršanā ņemt vērā Somijas, Zviedrijas un Dānijas – vienīgo ES Arktikas valstu – īpašo pieredzi karadarbībā Arktikā, kurai ir neaizstājama nozīme ES un NATO drošības </w:t>
            </w:r>
            <w:r>
              <w:t xml:space="preserve"> </w:t>
            </w:r>
            <w:r>
              <w:rPr>
                <w:b/>
                <w:i/>
              </w:rPr>
              <w:t>garantēšanā;</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atzīt </w:t>
            </w:r>
            <w:r>
              <w:rPr>
                <w:b/>
                <w:i/>
              </w:rPr>
              <w:t>pieaugošo Arktikas militarizāciju</w:t>
            </w:r>
            <w:r>
              <w:t>,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w:t>
            </w:r>
          </w:p>
        </w:tc>
        <w:tc>
          <w:tcPr>
            <w:tcW w:w="4876" w:type="dxa"/>
            <w:tcBorders>
              <w:top w:val="nil"/>
              <w:left w:val="nil"/>
              <w:bottom w:val="nil"/>
              <w:right w:val="nil"/>
            </w:tcBorders>
          </w:tcPr>
          <w:p>
            <w:pPr>
              <w:pStyle w:val="Normal6a"/>
            </w:pPr>
            <w:r>
              <w:t>a)</w:t>
            </w:r>
            <w:r>
              <w:tab/>
            </w:r>
            <w:r>
              <w:t xml:space="preserve">atzīt </w:t>
            </w:r>
            <w:r>
              <w:rPr>
                <w:b/>
                <w:i/>
              </w:rPr>
              <w:t>drošības situācijas pasliktināšanos Arktikā</w:t>
            </w:r>
            <w:r>
              <w:t xml:space="preserve">,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 </w:t>
            </w:r>
            <w:r>
              <w:rPr>
                <w:b/>
                <w:i/>
              </w:rPr>
              <w:t>aicināt Komisiju ņemt vērā visus iespējamos apdraudējuma scenārijus, kas saistīti ar situāciju Ukrainā, tostarp Krievijas klātbūtnes iespējamo nostiprināšanos Arktikā gadījumā, ja konflikts Ukrainā tiek iesaldēts;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atzīt</w:t>
            </w:r>
            <w:r>
              <w:t xml:space="preserve">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w:t>
            </w:r>
          </w:p>
        </w:tc>
        <w:tc>
          <w:tcPr>
            <w:tcW w:w="4876" w:type="dxa"/>
            <w:tcBorders>
              <w:top w:val="nil"/>
              <w:left w:val="nil"/>
              <w:bottom w:val="nil"/>
              <w:right w:val="nil"/>
            </w:tcBorders>
          </w:tcPr>
          <w:p>
            <w:pPr>
              <w:pStyle w:val="Normal6a"/>
            </w:pPr>
            <w:r>
              <w:t>a)</w:t>
            </w:r>
            <w:r>
              <w:tab/>
            </w:r>
            <w:r>
              <w:rPr>
                <w:b/>
                <w:i/>
              </w:rPr>
              <w:t>reaģēt uz</w:t>
            </w:r>
            <w:r>
              <w:t xml:space="preserve">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 </w:t>
            </w:r>
            <w:r>
              <w:rPr>
                <w:b/>
                <w:i/>
              </w:rPr>
              <w:t>cieši sadarboties ar NATO struktūrām un Eiropas Izcilības centru hibrīddraudu novēršanai (Hybrid CoE), lai veidotu noturību un izstrādātu kopīgus standartus infrastruktūras aizsardzībai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atzīt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w:t>
            </w:r>
          </w:p>
        </w:tc>
        <w:tc>
          <w:tcPr>
            <w:tcW w:w="4876" w:type="dxa"/>
            <w:tcBorders>
              <w:top w:val="nil"/>
              <w:left w:val="nil"/>
              <w:bottom w:val="nil"/>
              <w:right w:val="nil"/>
            </w:tcBorders>
          </w:tcPr>
          <w:p>
            <w:pPr>
              <w:pStyle w:val="Normal6a"/>
            </w:pPr>
            <w:r>
              <w:t>a)</w:t>
            </w:r>
            <w:r>
              <w:tab/>
            </w:r>
            <w:r>
              <w:t>atzīt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w:t>
            </w:r>
            <w:r>
              <w:rPr>
                <w:b/>
                <w:i/>
              </w:rPr>
              <w:t>,</w:t>
            </w:r>
            <w:r>
              <w:t xml:space="preserve"> </w:t>
            </w:r>
            <w:r>
              <w:rPr>
                <w:b/>
                <w:i/>
              </w:rPr>
              <w:t>jo īpaši rīkojot militārās mācības, kuras būtu līdzīgas 2023. gadā notikušajām mācībām "Arctic challenge", ko rīkoja Zviedrija, Somija un Norvēģija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atzīt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w:t>
            </w:r>
          </w:p>
        </w:tc>
        <w:tc>
          <w:tcPr>
            <w:tcW w:w="4876" w:type="dxa"/>
            <w:tcBorders>
              <w:top w:val="nil"/>
              <w:left w:val="nil"/>
              <w:bottom w:val="nil"/>
              <w:right w:val="nil"/>
            </w:tcBorders>
          </w:tcPr>
          <w:p>
            <w:pPr>
              <w:pStyle w:val="Normal6a"/>
            </w:pPr>
            <w:r>
              <w:t>a)</w:t>
            </w:r>
            <w:r>
              <w:tab/>
            </w:r>
            <w:r>
              <w:t xml:space="preserve">atzīt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 </w:t>
            </w:r>
            <w:r>
              <w:rPr>
                <w:b/>
                <w:i/>
              </w:rPr>
              <w:t>un militāro sadarbību starp Eiropas partneriem Arktikā nolūkā palielināt drošību un stabilitāti šajā reģionā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atzīt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w:t>
            </w:r>
          </w:p>
        </w:tc>
        <w:tc>
          <w:tcPr>
            <w:tcW w:w="4876" w:type="dxa"/>
            <w:tcBorders>
              <w:top w:val="nil"/>
              <w:left w:val="nil"/>
              <w:bottom w:val="nil"/>
              <w:right w:val="nil"/>
            </w:tcBorders>
          </w:tcPr>
          <w:p>
            <w:pPr>
              <w:pStyle w:val="Normal6a"/>
            </w:pPr>
            <w:r>
              <w:t>a)</w:t>
            </w:r>
            <w:r>
              <w:tab/>
            </w:r>
            <w:r>
              <w:t>atzīt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w:t>
            </w:r>
            <w:r>
              <w:rPr>
                <w:b/>
                <w:i/>
              </w:rPr>
              <w:t>, vienlaikus strādājot pie tā, lai nepieļautu ģeopolitisko konfliktu izplatīšanos šajā reģionā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atzīt pieaugošo Arktikas militarizāciju, jo īpaši Krievijas plašās militārās pārstrukturēšanas dēļ, tostarp Jūras kolēģijas izveidi, kas ir vēl vairāk saasinājusi reģionālo spriedzi un iedragājusi reģionālo stabilitāti; sadarboties ar dalībvalstīm un NATO sabiedrotajiem, lai stiprinātu atturošas reaģēšanas spējas;</w:t>
            </w:r>
          </w:p>
        </w:tc>
        <w:tc>
          <w:tcPr>
            <w:tcW w:w="4876" w:type="dxa"/>
            <w:tcBorders>
              <w:top w:val="nil"/>
              <w:left w:val="nil"/>
              <w:bottom w:val="nil"/>
              <w:right w:val="nil"/>
            </w:tcBorders>
          </w:tcPr>
          <w:p>
            <w:pPr>
              <w:pStyle w:val="Normal6a"/>
            </w:pPr>
            <w:r>
              <w:t>a)</w:t>
            </w:r>
            <w:r>
              <w:tab/>
            </w:r>
            <w:r>
              <w:t xml:space="preserve">atzīt pieaugošo Arktikas militarizāciju, jo īpaši Krievijas plašās militārās pārstrukturēšanas </w:t>
            </w:r>
            <w:r>
              <w:rPr>
                <w:b/>
                <w:i/>
              </w:rPr>
              <w:t>un nepārprotamo Ķīnas interešu šajā reģionā</w:t>
            </w:r>
            <w:r>
              <w:t xml:space="preserve"> dēļ, tostarp Jūras kolēģijas izveidi, kas ir vēl vairāk saasinājusi reģionālo spriedzi un iedragājusi reģionālo stabilitāti;sadarboties ar dalībvalstīm un NATO sabiedrotajiem, lai stiprinātu atturošas reaģēšanas spējas;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ņemot vērā Ķīnas krasta apsardzes kuģu un Krievijas jūras flotes pieaugošo klātbūtni Arktikā, ciešā koordinācijā ar dalībvalstīm un NATO uzlabot Savienības esošos mehānismus sadarbībai izlūkošanas un aizsardzības spēju jomā, lai aizsargātu Eiropas intereses un stabilitāti Tālajos Ziemeļos;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veicināt reālistisku un pragmatisku sadarbību Arktikā un prioritāti piešķirt energoapgādes drošībai, kuģošanas brīvībai un Eiropas ekonomisko interešu aizsardzībai, ņemot vērā citu lielvaru interesi par šā reģiona attīstības perspektīvām;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aicināt visaptveroši pārskatīt politiku attiecībā uz Arktiku, atsakoties no novecojušā Arktikas īpašā statusa jēdziena un to turpmāk izmantojot kā instrumentu jaunu uzdevumu izvērtēšanai, lai uzsvērtu Arktikas jauno stratēģisko lomu mainīgajā ģeopolitiskajā kontekstā;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ņemot vērā Ķīnas un Krievijas sadarbību Tālajos Ziemeļos, tostarp kopīgus projektus enerģētikas un kuģniecības jomā, izstrādāt ES EEZ stratēģiju, lai uzraudzītu un apkarotu iespējamu tādu ekskluzīvu tirdzniecības koridoru attīstīšanu vai divējāda lietojuma infrastruktūras objektu izveidi, kas apdraud kuģošanas brīvību un starptautiskās tiesības;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atzīt – lai pilnveidotu un uzlabotu ES Arktikas stratēģiju, ir vajadzīgi arī papildu finanšu resursi;</w:t>
            </w:r>
            <w:r>
              <w:t xml:space="preserve"> </w:t>
            </w:r>
            <w:r>
              <w:rPr>
                <w:b/>
                <w:i/>
              </w:rPr>
              <w:t>gaidāmajās sarunās par DFS panākt, lai šim mērķim tiktu piešķirtas pietiekamas summas;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ņemot vērā to, ka Ķīna izmanto pētniecības stacijas Arktikā, tostarp Huanhe pētniecības staciju Svalbārā un Ķīnas un Islandes Arktikas zinātnisko observatoriju, kuru darbība ietver hidroakustisko monitoringu un okeanogrāfisko kartēšanu un kurām piemīt divējāda lietojuma potenciāls, palielināt modrību ES sadarbībā ar ārējiem partneriem un izveidot ES līmeņa drošības pārbaudes mehānismus attiecībā uz ārvalstu Arktikas pētniecības un infrastruktūras projektiem, dalībvalstīm paziņot Komisijai un citu dalībvalstu valdībām par šādām investīcijām, savukārt Komisijai izveidot uzraudzības mehānismu informācijas apmaiņai par šiem projektiem, nodrošinot, ka zinātniskā sadarbība ar trešām valstīm neapdraud Savienības drošības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lai līdzsvarotu Ķīnas pieaugošo klātbūtni Arktikas infrastruktūrā, telekomunikācijās un pētniecības stacijās, veicināt ES virzītas investīcijas un partnerības ar uzticamiem sabiedrotajiem nolūkā nodrošināt kritisko Arktikas infrastruktūru un samazināt atkarību no autoritārām lielvarām;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ab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nodrošināt, ka ES darbības Tālajos Ziemeļos papildina NATO 2022. gada stratēģisko koncepciju un gūst labumu no alianses pastiprinātas klātbūtnes jūrā;</w:t>
            </w:r>
            <w:r>
              <w:t xml:space="preserve"> </w:t>
            </w:r>
            <w:r>
              <w:rPr>
                <w:b/>
                <w:i/>
              </w:rPr>
              <w:t>veicināt NATO un ES sadarbības koordināciju konfliktsituāciju nepieļaušanai un kopīgu situācijas izpratni;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b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ņemot vērā nesenos incidentus Baltijas jūrā, būtiski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w:t>
            </w:r>
          </w:p>
        </w:tc>
        <w:tc>
          <w:tcPr>
            <w:tcW w:w="4876" w:type="dxa"/>
            <w:tcBorders>
              <w:top w:val="nil"/>
              <w:left w:val="nil"/>
              <w:bottom w:val="nil"/>
              <w:right w:val="nil"/>
            </w:tcBorders>
          </w:tcPr>
          <w:p>
            <w:pPr>
              <w:pStyle w:val="Normal6a"/>
            </w:pPr>
            <w:r>
              <w:t>b)</w:t>
            </w:r>
            <w:r>
              <w:tab/>
            </w:r>
            <w:r>
              <w:t xml:space="preserve">ņemot vērā nesenos incidentus Baltijas jūrā, būtiski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 </w:t>
            </w:r>
            <w:r>
              <w:rPr>
                <w:b/>
                <w:i/>
              </w:rPr>
              <w:t>atbalstīt kopīgu kiberdrošības un noturības standartu ieviešanu zemūdens kabeļiem, izkraušanas vietām un kritiskajai digitālajai infrastruktūrai Arktikā, tostarp šo standartu izstrādi un ieviešanu veicināt ar kopīgiem riska novērtējumiem, prasībām ziņot par incidentiem un regulārām noturības pārbaudēm, vienlaikus paturot prātā to stratēģisko nozīmi Savienības savienojamībai un atvērtai stratēģiskajai autonomijai;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b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ņemot vērā nesenos incidentus Baltijas jūrā, būtiski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w:t>
            </w:r>
          </w:p>
        </w:tc>
        <w:tc>
          <w:tcPr>
            <w:tcW w:w="4876" w:type="dxa"/>
            <w:tcBorders>
              <w:top w:val="nil"/>
              <w:left w:val="nil"/>
              <w:bottom w:val="nil"/>
              <w:right w:val="nil"/>
            </w:tcBorders>
          </w:tcPr>
          <w:p>
            <w:pPr>
              <w:pStyle w:val="Normal6a"/>
            </w:pPr>
            <w:r>
              <w:t>b)</w:t>
            </w:r>
            <w:r>
              <w:tab/>
            </w:r>
            <w:r>
              <w:t xml:space="preserve">ņemot vērā nesenos incidentus Baltijas jūrā, būtiski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 </w:t>
            </w:r>
            <w:r>
              <w:rPr>
                <w:b/>
                <w:i/>
              </w:rPr>
              <w:t>turklāt sadarbībā ar Ziemeļvalstu partneriem atbalstīt ES finansētu hibrīdnovērošanas tehnoloģiju, tostarp bezpilota sistēmu, pētniecību, testēšanu un pakāpenisku ieviešanu, lai uzraudzītu hibrīdapdraudējumus un reaģētu uz 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b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ņemot vērā nesenos incidentus Baltijas jūrā, būtiski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w:t>
            </w:r>
          </w:p>
        </w:tc>
        <w:tc>
          <w:tcPr>
            <w:tcW w:w="4876" w:type="dxa"/>
            <w:tcBorders>
              <w:top w:val="nil"/>
              <w:left w:val="nil"/>
              <w:bottom w:val="nil"/>
              <w:right w:val="nil"/>
            </w:tcBorders>
          </w:tcPr>
          <w:p>
            <w:pPr>
              <w:pStyle w:val="Normal6a"/>
            </w:pPr>
            <w:r>
              <w:t>b)</w:t>
            </w:r>
            <w:r>
              <w:tab/>
            </w:r>
            <w:r>
              <w:rPr>
                <w:b/>
                <w:i/>
              </w:rPr>
              <w:t>vērst uzmanību uz to, ka Arktikas un Baltijas jūras reģioni veido savstarpēji saistītu telpu ar kopīgiem uzdevumiem un interesēm, un,</w:t>
            </w:r>
            <w:r>
              <w:t xml:space="preserve"> ņemot vērā nesenos incidentus Baltijas jūrā, būtiski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b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ņemot vērā nesenos incidentus Baltijas jūrā, būtiski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w:t>
            </w:r>
          </w:p>
        </w:tc>
        <w:tc>
          <w:tcPr>
            <w:tcW w:w="4876" w:type="dxa"/>
            <w:tcBorders>
              <w:top w:val="nil"/>
              <w:left w:val="nil"/>
              <w:bottom w:val="nil"/>
              <w:right w:val="nil"/>
            </w:tcBorders>
          </w:tcPr>
          <w:p>
            <w:pPr>
              <w:pStyle w:val="Normal6a"/>
            </w:pPr>
            <w:r>
              <w:t>b)</w:t>
            </w:r>
            <w:r>
              <w:tab/>
            </w:r>
            <w:r>
              <w:t xml:space="preserve">ņemot vērā nesenos incidentus Baltijas jūrā, </w:t>
            </w:r>
            <w:r>
              <w:rPr>
                <w:b/>
                <w:i/>
              </w:rPr>
              <w:t>vērsties pret hibrīdapdraudējumiem, piemēram, kiberuzbrukumiem, GPS signāla slāpēšanu un zemūdens kabeļu bojāšanu, nodrošinot nepieciešamos pastiprinātas uzraudzības un reaģēšanas mehānismus;</w:t>
            </w:r>
            <w:r>
              <w:t xml:space="preserve"> būtiski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b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ņemot vērā </w:t>
            </w:r>
            <w:r>
              <w:rPr>
                <w:b/>
                <w:i/>
              </w:rPr>
              <w:t>nesenos incidentus</w:t>
            </w:r>
            <w:r>
              <w:t xml:space="preserve"> Baltijas jūrā, būtiski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w:t>
            </w:r>
          </w:p>
        </w:tc>
        <w:tc>
          <w:tcPr>
            <w:tcW w:w="4876" w:type="dxa"/>
            <w:tcBorders>
              <w:top w:val="nil"/>
              <w:left w:val="nil"/>
              <w:bottom w:val="nil"/>
              <w:right w:val="nil"/>
            </w:tcBorders>
          </w:tcPr>
          <w:p>
            <w:pPr>
              <w:pStyle w:val="Normal6a"/>
            </w:pPr>
            <w:r>
              <w:t>b)</w:t>
            </w:r>
            <w:r>
              <w:tab/>
            </w:r>
            <w:r>
              <w:t xml:space="preserve">ņemot vērā </w:t>
            </w:r>
            <w:r>
              <w:rPr>
                <w:b/>
                <w:i/>
              </w:rPr>
              <w:t>Krievijas kaitnieciskās darbības</w:t>
            </w:r>
            <w:r>
              <w:t xml:space="preserve"> Baltijas jūrā</w:t>
            </w:r>
            <w:r>
              <w:rPr>
                <w:b/>
                <w:i/>
              </w:rPr>
              <w:t>, jo īpaši Krievijas ēnu flotes kuģu un Ķīnas kuģu iesaisti zemūdens kabeļu bojāšanā</w:t>
            </w:r>
            <w:r>
              <w:t>, būtiski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b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ņemot vērā nesenos incidentus Baltijas jūrā, </w:t>
            </w:r>
            <w:r>
              <w:rPr>
                <w:b/>
                <w:i/>
              </w:rPr>
              <w:t>būtiski</w:t>
            </w:r>
            <w:r>
              <w:t xml:space="preserve">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w:t>
            </w:r>
          </w:p>
        </w:tc>
        <w:tc>
          <w:tcPr>
            <w:tcW w:w="4876" w:type="dxa"/>
            <w:tcBorders>
              <w:top w:val="nil"/>
              <w:left w:val="nil"/>
              <w:bottom w:val="nil"/>
              <w:right w:val="nil"/>
            </w:tcBorders>
          </w:tcPr>
          <w:p>
            <w:pPr>
              <w:pStyle w:val="Normal6a"/>
            </w:pPr>
            <w:r>
              <w:t>b)</w:t>
            </w:r>
            <w:r>
              <w:tab/>
            </w:r>
            <w:r>
              <w:t xml:space="preserve">ņemot vērā nesenos incidentus Baltijas jūrā, </w:t>
            </w:r>
            <w:r>
              <w:rPr>
                <w:b/>
                <w:i/>
              </w:rPr>
              <w:t>pastiprināt tiesisko regulējumu sankcijām un pretpasākumiem, ar mērķi ievērojami</w:t>
            </w:r>
            <w:r>
              <w:t xml:space="preserve"> stiprināt būtiskas zemūdens infrastruktūras aizsardzību Arktikā, jo īpaši zemūdens kabeļu un cauruļvadu aizsardzību, lai ievērotu un izpildītu UNCLOS 112.–115. pantā noteiktos pienākumus, kas ir būtiski, lai aizsargātu Eiropas digitālo un enerģētisko savienojamību no ģeopolitiskiem traucējumiem;</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ba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aicina stiprināt sadarbspēju starp ES dalībvalstīm un citiem NATO sabiedrotajiem Arktikas drošības, jūras uzraudzības, meklēšanas un glābšanas operāciju un kritiskās infrastruktūras aizsardzības jomā;</w:t>
            </w:r>
            <w:r>
              <w:t xml:space="preserve"> </w:t>
            </w:r>
            <w:r>
              <w:rPr>
                <w:b/>
                <w:i/>
              </w:rPr>
              <w:t>mudina panākt ciešāku koordināciju ilgtspējīgas ekonomikas attīstības, pirmiedzīvotāju tiesību un tādas noturības jomā, kas nepieciešama, stājoties pretī trešo valstu radītajiem ģeopolitiskajiem izaicinājumiem;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ba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ņemot vērā pieaugošos hibrīddraudus Arktikā, tostarp kiberuzbrukumus, dezinformācijas kampaņas un elektroniskās karadarbības spējas, izstrādāt kopīgu ES un NATO uzraudzības un reaģēšanas satvaru, lai aizsargātu Arktikas infrastruktūru, komunikācijas līnijas un pārvaldības struktūras;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ba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ieguldīt modernizētos satelītsakaros, zemūdens dronos un jūras gultnes kartēšanā, lai uzraudzītu Arktiku un jo īpaši atklātu Krievijas vai Ķīnas militārās darbības;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bb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nodrošināt, ka nākamā daudzgadu finanšu shēma stimulē stratēģiskas investīcijas Arktikas kuģniecības spējās, modernās sakaru sistēmās, loģistikas centros un atbalsta infrastruktūrā, tostarp ledlaužu kuģos, lai līdzsvarotu Krievijas pieaugošo dominējošo stāvokli šajā jomā;</w:t>
            </w:r>
            <w:r>
              <w:t xml:space="preserve"> </w:t>
            </w:r>
            <w:r>
              <w:rPr>
                <w:b/>
                <w:i/>
              </w:rPr>
              <w:t>uzsver, ka šādiem ieguldījumiem ir jāgarantē stingra atbilstība vides standartiem un jānodrošina pirmiedzīvotāju jēgpilna līdzdalība visos plānošanas un īstenošanas posmos;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atzīt pieaugošo ģeopolitisko konkurenci Arktikas jūras maršrutos, jo īpaši Ziemeļjūras maršrutā;</w:t>
            </w:r>
            <w:r>
              <w:t xml:space="preserve"> </w:t>
            </w:r>
            <w:r>
              <w:rPr>
                <w:b/>
                <w:i/>
              </w:rPr>
              <w:t>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w:t>
            </w:r>
          </w:p>
        </w:tc>
        <w:tc>
          <w:tcPr>
            <w:tcW w:w="4876" w:type="dxa"/>
            <w:tcBorders>
              <w:top w:val="nil"/>
              <w:left w:val="nil"/>
              <w:bottom w:val="nil"/>
              <w:right w:val="nil"/>
            </w:tcBorders>
          </w:tcPr>
          <w:p>
            <w:pPr>
              <w:pStyle w:val="Normal6a"/>
            </w:pPr>
            <w:r>
              <w:t>c)</w:t>
            </w:r>
            <w:r>
              <w:tab/>
            </w:r>
            <w:r>
              <w:t xml:space="preserve">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 </w:t>
            </w:r>
            <w:r>
              <w:rPr>
                <w:b/>
                <w:i/>
              </w:rPr>
              <w:t>uzsver, ka Krievija joprojām ir nenovēršams sarunu partneris šajos jautājumos, ņemot vērā to, ka Ziemeļu jūras ceļš (NSR) lielā mērā atrodas tās EEZ, un ka pašreizējie un potenciālie juridiskie strīdi par UNCLOS darbības jomu un piemērošanu ir jāatrisina diplomātiski, lai NSR kļūtu par ticamu alternatīvu Suecas kanālam;</w:t>
            </w:r>
            <w:r>
              <w:t xml:space="preserve"> </w:t>
            </w:r>
            <w:r>
              <w:rPr>
                <w:b/>
                <w:i/>
              </w:rPr>
              <w:t>pauž bažas par Krievijas 2022. gada jūras doktrīnu, kurā atkārtoti paustas pārmērīgas bāzlīnijas prasības, kas ietver būtiskos jūras šaurumus NSR ietvaros;</w:t>
            </w:r>
            <w:r>
              <w:t xml:space="preserve"> </w:t>
            </w:r>
            <w:r>
              <w:rPr>
                <w:b/>
                <w:i/>
              </w:rPr>
              <w:t>uzsver, ka noteikumi, ko Krievija piemēro, pamatojoties uz UNCLOS 234. pantu, ir pārmērīgi, ņemot vērā to, ka gada lielāko daļu daudzus jūras šaurumus nepārklāj ledus;</w:t>
            </w:r>
            <w:r>
              <w:t xml:space="preserve"> </w:t>
            </w:r>
            <w:r>
              <w:rPr>
                <w:b/>
                <w:i/>
              </w:rPr>
              <w:t>uzsver, ka nodrošināt kuģošanas brīvību NSR ietvaros ir pašas Krievijas ekonomiskās interesēs;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w:t>
            </w:r>
          </w:p>
        </w:tc>
        <w:tc>
          <w:tcPr>
            <w:tcW w:w="4876" w:type="dxa"/>
            <w:tcBorders>
              <w:top w:val="nil"/>
              <w:left w:val="nil"/>
              <w:bottom w:val="nil"/>
              <w:right w:val="nil"/>
            </w:tcBorders>
          </w:tcPr>
          <w:p>
            <w:pPr>
              <w:pStyle w:val="Normal6a"/>
            </w:pPr>
            <w:r>
              <w:t>c)</w:t>
            </w:r>
            <w:r>
              <w:tab/>
            </w:r>
            <w:r>
              <w:t xml:space="preserve">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 </w:t>
            </w:r>
            <w:r>
              <w:rPr>
                <w:b/>
                <w:i/>
              </w:rPr>
              <w:t>iesaistīties dialogos par nolīguma, kas saskaņā ar Apvienoto Nāciju Organizācijas Jūras tiesību konvenciju izstrādāts par jūras biodaudzveidības saglabāšanu un ilgtspējīgu izmantošanu teritorijās, kas ir ārpus valstu jurisdikcijas (Atklātās jūras nolīgums), īstenošanu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w:t>
            </w:r>
          </w:p>
        </w:tc>
        <w:tc>
          <w:tcPr>
            <w:tcW w:w="4876" w:type="dxa"/>
            <w:tcBorders>
              <w:top w:val="nil"/>
              <w:left w:val="nil"/>
              <w:bottom w:val="nil"/>
              <w:right w:val="nil"/>
            </w:tcBorders>
          </w:tcPr>
          <w:p>
            <w:pPr>
              <w:pStyle w:val="Normal6a"/>
            </w:pPr>
            <w:r>
              <w:t>c)</w:t>
            </w:r>
            <w:r>
              <w:tab/>
            </w:r>
            <w:r>
              <w:t xml:space="preserve">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 </w:t>
            </w:r>
            <w:r>
              <w:rPr>
                <w:b/>
                <w:i/>
              </w:rPr>
              <w:t>iesaistīties dialogos par nolīguma, kas saskaņā ar Apvienoto Nāciju Organizācijas Jūras tiesību konvenciju izstrādāts par jūras biodaudzveidības saglabāšanu un ilgtspējīgu izmantošanu teritorijās, kas ir ārpus valstu jurisdikcijas (Atklātās jūras nolīgums), īstenošanu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w:t>
            </w:r>
          </w:p>
        </w:tc>
        <w:tc>
          <w:tcPr>
            <w:tcW w:w="4876" w:type="dxa"/>
            <w:tcBorders>
              <w:top w:val="nil"/>
              <w:left w:val="nil"/>
              <w:bottom w:val="nil"/>
              <w:right w:val="nil"/>
            </w:tcBorders>
          </w:tcPr>
          <w:p>
            <w:pPr>
              <w:pStyle w:val="Normal6a"/>
            </w:pPr>
            <w:r>
              <w:t>c)</w:t>
            </w:r>
            <w:r>
              <w:tab/>
            </w:r>
            <w:r>
              <w:t xml:space="preserve">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 </w:t>
            </w:r>
            <w:r>
              <w:rPr>
                <w:b/>
                <w:i/>
              </w:rPr>
              <w:t>ar mūsu stratēģiskajiem partneriem izstrādāt stratēģiju par to, kā kopīgi veicināt mūsu kopīgās iesaistes spējas, kas cita starpā ietver ledlaužu ražošanu, kā arī citu kritisko infrastruktūru;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w:t>
            </w:r>
          </w:p>
        </w:tc>
        <w:tc>
          <w:tcPr>
            <w:tcW w:w="4876" w:type="dxa"/>
            <w:tcBorders>
              <w:top w:val="nil"/>
              <w:left w:val="nil"/>
              <w:bottom w:val="nil"/>
              <w:right w:val="nil"/>
            </w:tcBorders>
          </w:tcPr>
          <w:p>
            <w:pPr>
              <w:pStyle w:val="Normal6a"/>
            </w:pPr>
            <w:r>
              <w:t>c)</w:t>
            </w:r>
            <w:r>
              <w:tab/>
            </w:r>
            <w:r>
              <w:t xml:space="preserve">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 </w:t>
            </w:r>
            <w:r>
              <w:rPr>
                <w:b/>
                <w:i/>
              </w:rPr>
              <w:t>iesaistīties dialogos par nolīguma, kas saskaņā ar UNCLOS izstrādāts par jūras biodaudzveidības saglabāšanu un ilgtspējīgu izmantošanu teritorijās, kas ir ārpus valstu jurisdikcijas (Atklātās jūras nolīgums), īstenošanu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w:t>
            </w:r>
          </w:p>
        </w:tc>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w:t>
            </w:r>
            <w:r>
              <w:rPr>
                <w:b/>
                <w:i/>
              </w:rPr>
              <w:t>, tostarp vēršoties pret mēģinājumiem leģitimizēt apstrīdētos kuģošanas koridorus vai īstenot ģeopolitisku ietekmi, aizbildinoties ar zinātnisko vai ekonomisko sadarbību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w:t>
            </w:r>
          </w:p>
        </w:tc>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w:t>
            </w:r>
            <w:r>
              <w:rPr>
                <w:b/>
                <w:i/>
              </w:rPr>
              <w:t>; publiski nosodīt to, ka Krievija ierobežo brīvu kuģošanas kustību Ziemeļjūras maršrutā, definējot starptautiskos ūdeņus kā valstu ūdeņus, pārkāpjot starptautiskās tiesības</w:t>
            </w:r>
            <w:r>
              <w:t>; tādēļ atbalstīt diplomātiskos dialogus, kuru mērķis ir izveidot skaidrus starptautiskus nolīgumus par kuģošanas brīvību un miermīlīgu sadarbību jūrlietu jomā, iebilstot pret vienpusējām prasībām un veicinot starptautisko jūras tiesību piemērošanu saskaņā ar UNCLOS;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w:t>
            </w:r>
            <w:r>
              <w:rPr>
                <w:b/>
                <w:i/>
              </w:rPr>
              <w:t>;</w:t>
            </w:r>
            <w:r>
              <w:t xml:space="preserve"> </w:t>
            </w:r>
            <w:r>
              <w:rPr>
                <w:b/>
                <w:i/>
              </w:rPr>
              <w:t>tādēļ atbalstīt diplomātiskos dialogus, kuru mērķis ir izveidot skaidrus starptautiskus nolīgumus par</w:t>
            </w:r>
            <w:r>
              <w:t xml:space="preserve"> kuģošanas brīvību </w:t>
            </w:r>
            <w:r>
              <w:rPr>
                <w:b/>
                <w:i/>
              </w:rPr>
              <w:t>un miermīlīgu sadarbību jūrlietu jomā</w:t>
            </w:r>
            <w:r>
              <w:t>, iebilstot pret vienpusējām prasībām un veicinot starptautisko jūras tiesību piemērošanu saskaņā ar UNCLOS;</w:t>
            </w:r>
          </w:p>
        </w:tc>
        <w:tc>
          <w:tcPr>
            <w:tcW w:w="4876" w:type="dxa"/>
            <w:tcBorders>
              <w:top w:val="nil"/>
              <w:left w:val="nil"/>
              <w:bottom w:val="nil"/>
              <w:right w:val="nil"/>
            </w:tcBorders>
          </w:tcPr>
          <w:p>
            <w:pPr>
              <w:pStyle w:val="Normal6a"/>
            </w:pPr>
            <w:r>
              <w:t>c)</w:t>
            </w:r>
            <w:r>
              <w:tab/>
            </w:r>
            <w:r>
              <w:t>atzīt pieaugošo ģeopolitisko konkurenci Arktikas jūras maršrutos, jo īpaši Ziemeļjūras maršrutā</w:t>
            </w:r>
            <w:r>
              <w:rPr>
                <w:b/>
                <w:i/>
              </w:rPr>
              <w:t>, kur Krievija stiprina savu militāro infrastruktūru;</w:t>
            </w:r>
            <w:r>
              <w:t xml:space="preserve"> </w:t>
            </w:r>
            <w:r>
              <w:rPr>
                <w:b/>
                <w:i/>
              </w:rPr>
              <w:t>izmantot visus līdzekļus, lai tādējādi atbalstītu mērķus aizsargāt</w:t>
            </w:r>
            <w:r>
              <w:t xml:space="preserve"> kuģošanas brīvību, iebilstot pret vienpusējām prasībām un veicinot starptautisko jūras tiesību piemērošanu saskaņā ar UNCLOS;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cieši uzraudzīt Ķīnas pieaugošo stratēģisko interesi un darbības Arktikas reģionā polārā zīda ceļa ietvaros; atzīt, ka Ķīnas paziņotais mērķis līdz 2030. gadam kļūt par “polāru lielvaru” un tās pieaugošā klātbūtne, izmantojot pētniecības misijas, stratēģiskas investīcijas infrastruktūrā un divējāda lietojuma partnerības, var apdraudēt iedibinātos pārvaldības principus;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pilnībā atzinīgi vērtē Grenlandes - Islandes - Apvienotās Karalistes (GIUK) plaisas nozīmi kā jūras tranzīta koridoru, kas nav nošķirams no ES interesēm, kā arī riskus, kas saistīti ar tā kā pelēkās zonas operāciju arēnas izveidošanos, un attiecīgi cenšas sadarbībā ar konstruktīviem partneriem veidot šo valstu institucionālo noturību;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ņemt vērā Grenlandes pirmo drošības stratēģiju “Grenlande pasaulē: par mums nekas netiek lemts bez mums — Grenlandes ārpolitika, drošības un aizsardzības politika 2024.–2033. gadam”;</w:t>
            </w:r>
            <w:r>
              <w:t xml:space="preserve"> </w:t>
            </w:r>
            <w:r>
              <w:rPr>
                <w:b/>
                <w:i/>
              </w:rPr>
              <w:t>uzsver, ka šī stratēģija ir īpaši svarīga, jo tā atspoguļo Arktikas tautu jēgpilnas iekļaušanas principu, veidojot politiku, kas ietekmē viņu reģionu;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atzīt, ka ES darbības Arktikā ir jāsaskaņo ar ES attīstības darbībām, kas tiek īstenotas ES austrumu pierobežas apgabalos ziemeļos, un jāatbalsta tās, lai maksimāli palielinātu šo darbību pozitīvo ietekmi uz Eiropas Arktikas reģiona attīstību un iztiku;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aicina Savienību uzņemties nozīmīgāku lomu Arktikā, arī lai aizsargātu ES ekonomisko drošību un konkurētspēju;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cc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stiprināt īpašā sūtņa Arktikas jautājumos pilnvaras, piešķirot skaidrākus uzdevumus, atbilstošus resursus un pienākumus uzraudzīt norises drošības un vides jomā, pārstāvēt ES Arktikas forumos, koordinēt Arktikas politiku, sadarboties ar pirmiedzīvotāju kopienām un ziņot Padomei un Eiropas Parlamentam;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cd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veicināt Nolīguma par zveju Ziemeļu Ledus okeāna centrālajā daļā pilnīgu īstenošanu, nodrošinot stabilu kopīgu zinātnes un pamatzināšanu integrāciju pirms jebkādas turpmākas komerciālās zvejas;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ņemot vērā klimata pārmaiņu nesamērīgo ietekmi uz Arktiku, sadarbībā ar starptautiskajiem partneriem steidzami uzlabot pielāgošanās stratēģijas, atbalstīt plašas uzraudzības iniciatīvas un ievērojami palielināt ieguldījumus pētniecības programmās;</w:t>
            </w:r>
          </w:p>
        </w:tc>
        <w:tc>
          <w:tcPr>
            <w:tcW w:w="4876" w:type="dxa"/>
            <w:tcBorders>
              <w:top w:val="nil"/>
              <w:left w:val="nil"/>
              <w:bottom w:val="nil"/>
              <w:right w:val="nil"/>
            </w:tcBorders>
          </w:tcPr>
          <w:p>
            <w:pPr>
              <w:pStyle w:val="Normal6a"/>
            </w:pPr>
            <w:r>
              <w:t>d)</w:t>
            </w:r>
            <w:r>
              <w:tab/>
            </w:r>
            <w:r>
              <w:rPr>
                <w:b/>
                <w:i/>
              </w:rPr>
              <w:t>par prioritāti noteikt nepieciešamību līdzsvarot ekonomikas izaugsmi, vienlaikus aizsargājot kritiskās ekosistēmas Arktikā saskaņā ar principu “nenodari būtisku kaitējumu”, kas noteikts Regulas (ES) 2020/852 17. pantā;</w:t>
            </w:r>
            <w:r>
              <w:t xml:space="preserve"> ņemot vērā klimata pārmaiņu nesamērīgo ietekmi uz Arktiku, sadarbībā ar </w:t>
            </w:r>
            <w:r>
              <w:rPr>
                <w:b/>
                <w:i/>
              </w:rPr>
              <w:t>Arktikas pamatiedzīvotājiem un</w:t>
            </w:r>
            <w:r>
              <w:t xml:space="preserve"> starptautiskajiem partneriem steidzami uzlabot pielāgošanās stratēģijas, atbalstīt plašas uzraudzības iniciatīvas un ievērojami palielināt ieguldījumus pētniecības programmās;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ņemot vērā klimata pārmaiņu nesamērīgo ietekmi uz Arktiku, sadarbībā ar starptautiskajiem partneriem steidzami uzlabot pielāgošanās stratēģijas, atbalstīt plašas uzraudzības iniciatīvas un ievērojami palielināt ieguldījumus pētniecības programmās;</w:t>
            </w:r>
          </w:p>
        </w:tc>
        <w:tc>
          <w:tcPr>
            <w:tcW w:w="4876" w:type="dxa"/>
            <w:tcBorders>
              <w:top w:val="nil"/>
              <w:left w:val="nil"/>
              <w:bottom w:val="nil"/>
              <w:right w:val="nil"/>
            </w:tcBorders>
          </w:tcPr>
          <w:p>
            <w:pPr>
              <w:pStyle w:val="Normal6a"/>
            </w:pPr>
            <w:r>
              <w:t>d)</w:t>
            </w:r>
            <w:r>
              <w:tab/>
            </w:r>
            <w:r>
              <w:t xml:space="preserve">ņemot vērā klimata pārmaiņu nesamērīgo ietekmi uz Arktiku, sadarbībā ar starptautiskajiem partneriem steidzami uzlabot pielāgošanās stratēģijas, atbalstīt plašas uzraudzības iniciatīvas un ievērojami palielināt ieguldījumus pētniecības programmās; </w:t>
            </w:r>
            <w:r>
              <w:rPr>
                <w:b/>
                <w:i/>
              </w:rPr>
              <w:t>palielināt finansiālo atbalstu atjaunīgās enerģijas izmantošanai attālās Arktikas kopienās;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ņemot vērā klimata pārmaiņu nesamērīgo ietekmi uz Arktiku, sadarbībā ar starptautiskajiem partneriem steidzami uzlabot pielāgošanās stratēģijas, atbalstīt plašas uzraudzības iniciatīvas un </w:t>
            </w:r>
            <w:r>
              <w:rPr>
                <w:b/>
                <w:i/>
              </w:rPr>
              <w:t>ievērojami palielināt ieguldījumus</w:t>
            </w:r>
            <w:r>
              <w:t xml:space="preserve"> pētniecības </w:t>
            </w:r>
            <w:r>
              <w:rPr>
                <w:b/>
                <w:i/>
              </w:rPr>
              <w:t>programmās</w:t>
            </w:r>
            <w:r>
              <w:t>;</w:t>
            </w:r>
          </w:p>
        </w:tc>
        <w:tc>
          <w:tcPr>
            <w:tcW w:w="4876" w:type="dxa"/>
            <w:tcBorders>
              <w:top w:val="nil"/>
              <w:left w:val="nil"/>
              <w:bottom w:val="nil"/>
              <w:right w:val="nil"/>
            </w:tcBorders>
          </w:tcPr>
          <w:p>
            <w:pPr>
              <w:pStyle w:val="Normal6a"/>
            </w:pPr>
            <w:r>
              <w:t>d)</w:t>
            </w:r>
            <w:r>
              <w:tab/>
            </w:r>
            <w:r>
              <w:t xml:space="preserve">ņemot vērā klimata pārmaiņu nesamērīgo ietekmi uz Arktiku, sadarbībā ar starptautiskajiem partneriem steidzami uzlabot pielāgošanās stratēģijas, atbalstīt plašas uzraudzības iniciatīvas un </w:t>
            </w:r>
            <w:r>
              <w:rPr>
                <w:b/>
                <w:i/>
              </w:rPr>
              <w:t>atbalstīt mērķtiecīgas</w:t>
            </w:r>
            <w:r>
              <w:t xml:space="preserve"> pētniecības </w:t>
            </w:r>
            <w:r>
              <w:rPr>
                <w:b/>
                <w:i/>
              </w:rPr>
              <w:t>iniciatīvas partnerībā ar dalībvalstīm un Arktikas valstīm, lai sasniegtu taustāmus un konkrētus rezultātus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ņemot vērā klimata pārmaiņu nesamērīgo ietekmi uz Arktiku, sadarbībā ar starptautiskajiem partneriem steidzami uzlabot pielāgošanās stratēģijas, atbalstīt plašas uzraudzības iniciatīvas un ievērojami palielināt ieguldījumus pētniecības programmās;</w:t>
            </w:r>
          </w:p>
        </w:tc>
        <w:tc>
          <w:tcPr>
            <w:tcW w:w="4876" w:type="dxa"/>
            <w:tcBorders>
              <w:top w:val="nil"/>
              <w:left w:val="nil"/>
              <w:bottom w:val="nil"/>
              <w:right w:val="nil"/>
            </w:tcBorders>
          </w:tcPr>
          <w:p>
            <w:pPr>
              <w:pStyle w:val="Normal6a"/>
            </w:pPr>
            <w:r>
              <w:t>d)</w:t>
            </w:r>
            <w:r>
              <w:tab/>
            </w:r>
            <w:r>
              <w:t xml:space="preserve">ņemot vērā klimata pārmaiņu nesamērīgo ietekmi uz Arktiku, sadarbībā ar starptautiskajiem partneriem steidzami uzlabot pielāgošanās stratēģijas, atbalstīt plašas uzraudzības iniciatīvas un </w:t>
            </w:r>
            <w:r>
              <w:rPr>
                <w:b/>
                <w:i/>
              </w:rPr>
              <w:t>izpētīt iespējas</w:t>
            </w:r>
            <w:r>
              <w:t xml:space="preserve"> ievērojami palielināt ieguldījumus pētniecības programmās</w:t>
            </w:r>
            <w:r>
              <w:rPr>
                <w:b/>
                <w:i/>
              </w:rPr>
              <w:t>, kurām ir arī drošības politikas dimensija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da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pilnībā integrēt Kiruna paziņojuma ieteikumus Arktikas politikā, tostarp:</w:t>
            </w:r>
            <w:r>
              <w:t xml:space="preserve"> </w:t>
            </w:r>
            <w:r>
              <w:rPr>
                <w:b/>
                <w:i/>
              </w:rPr>
              <w:t>atbalstīt lielāku finansējumu atjaunīgajai enerģijai un ilgtspējīgai atkritumu apsaimniekošanai Arktikas kopienās;</w:t>
            </w:r>
            <w:r>
              <w:t xml:space="preserve"> </w:t>
            </w:r>
            <w:r>
              <w:rPr>
                <w:b/>
                <w:i/>
              </w:rPr>
              <w:t>stiprināt mehānismus pirmiedzīvotāju jēgpilnai līdzdalībai Arktikas pārvaldībā un lēmumu pieņemšanā;</w:t>
            </w:r>
            <w:r>
              <w:t xml:space="preserve"> </w:t>
            </w:r>
            <w:r>
              <w:rPr>
                <w:b/>
                <w:i/>
              </w:rPr>
              <w:t>uzlabot civilās drošības un ārkārtas reaģēšanas spējas Arktikas reģionos, tostarp meklēšanu un glābšanu, infrastruktūru spējai reaģēt katastrofas gadījumā, un iekļaut tradicionālās zināšanas sagatavotības plānos;</w:t>
            </w:r>
            <w:r>
              <w:t xml:space="preserve"> </w:t>
            </w:r>
            <w:r>
              <w:rPr>
                <w:b/>
                <w:i/>
              </w:rPr>
              <w:t>veicināt starpdisciplināras pētniecības un izglītības partnerības, tostarp atbalstīt Arktikas jauniešus un vietējās un pirmiedzīvotāju iestādes, lai palielinātu spējas risināt vides, ekonomikas un sociālās problēmas;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da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atzīst, ka, lai gan klimata pārmaiņas apdraud Arktikas ekosistēmas, temperatūras paaugstināšanās rada arī būtisku ietekmi uz sabiedrību Arktikas reģionos, uzsverot, ka pētniecības centrā ir jābūt Arktikas iedzīvotājiem un pētniecības darbību radītajiem ieguvumiem, lai iegūtu vairāk informācijas par to, kā vietējās kopienas varētu labāk pielāgoties klimata pārmaiņu sekām un kļūt noturīgākas;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da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atzīst, ka, lai gan klimata pārmaiņas apdraud Arktikas ekosistēmas, temperatūras paaugstināšanās rada arī būtisku ietekmi uz sabiedrību Arktikas reģionos, uzsverot, ka pētniecības centrā ir jābūt Arktikas iedzīvotājiem un pētniecības darbību radītajiem ieguvumiem, lai iegūtu vairāk informācijas par to, kā vietējās kopienas varētu labāk pielāgoties klimata pārmaiņu sekām un kļūt noturīgākas;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da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atzīst, ka, lai gan klimata pārmaiņas apdraud Arktikas ekosistēmas, temperatūras paaugstināšanās rada arī būtisku ietekmi uz sabiedrību Arktikas reģionos, uzsverot, ka pētniecības centrā ir jābūt Arktikas iedzīvotājiem un pētniecības darbību radītajiem ieguvumiem, lai iegūtu vairāk informācijas par to, kā vietējās kopienas varētu labāk pielāgoties klimata pārmaiņu sekām un kļūt noturīgākas;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da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ņemot vērā jauno Arktikas kuģošanas ceļu potenciālu, strādāt pie tā, lai izveidotu saistošu starptautisku atbildības režīmu vides jomā, kas nodrošinātu, ka piesārņotāji uzņemas pilnu atbildību par negadījumiem un ekoloģisko kaitējumu Arktikas ūdeņos;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db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atzīt, ka ES darbības Arktikā ir jāsaskaņo ar ES attīstības darbībām, kas tiek īstenotas ES austrumu pierobežas apgabalos ziemeļos, un jāatbalsta tās, lai maksimāli palielinātu šo darbību pozitīvo ietekmi uz Eiropas Arktikas reģiona attīstību un iztiku;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db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pauž bažas par to, ka ar kodolenerģiju darbināmu ledlaužu jaudas paplašināšana un modernizācija, ko Krievija veic saskaņā ar projektu 22220, var veicināt ne tikai civilo navigāciju un ekonomikas attīstību, bet arī de facto militāro ietekmi Arktikas jūras ceļos;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ņemot vērā Arktikas dabas resursu, tostarp ogļūdeņražu, retzemju elementu un zivsaimniecības, nozīmi un sadarbojoties ar dalībvalstīm, stiprināt partnerības ar Grenlandi un citām Arktikas ieinteresētajām personām ilgtspējīgas resursu ieguves jomā, </w:t>
            </w:r>
            <w:r>
              <w:rPr>
                <w:b/>
                <w:i/>
              </w:rPr>
              <w:t>stingri</w:t>
            </w:r>
            <w:r>
              <w:t xml:space="preserve"> ievērojot </w:t>
            </w:r>
            <w:r>
              <w:rPr>
                <w:b/>
                <w:i/>
              </w:rPr>
              <w:t>vides</w:t>
            </w:r>
            <w:r>
              <w:t xml:space="preserve"> noteikumus;</w:t>
            </w:r>
          </w:p>
        </w:tc>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 stiprināt partnerības ar Grenlandi un citām Arktikas ieinteresētajām personām ilgtspējīgas resursu ieguves jomā, ievērojot noteikumus</w:t>
            </w:r>
            <w:r>
              <w:rPr>
                <w:b/>
                <w:i/>
              </w:rPr>
              <w:t>, kas aizsargā gan vidi, gan arī nepiemēro aizliedzošus šķēršļus attiecībā uz potenciālajām komercdarbībām</w:t>
            </w:r>
            <w:r>
              <w:t xml:space="preserve">; </w:t>
            </w:r>
            <w:r>
              <w:rPr>
                <w:b/>
                <w:i/>
              </w:rPr>
              <w:t>uzsver, ka pārmērīgs vides regulējums bija galvenais faktors retzemju metālu ieguves darbību slēgšanai ES un lielākajā daļā Rietumu 20. gadsimta 80. un 90. gados, tādējādi veicinot Ķīnas pašreizējo monopolstāvokli attiecībā uz kritiski svarīgām izejvielām un radot ievērojami sliktāku globālo ietekmi uz vidi nekā tad, ja šie resursi būtu iegūti Eiropā, vienlaikus pakļaujot ES dalībvalstis trešo valstu ekonomiskai un stratēģiskai piespiešanai un palēninot tīrāku tehnoloģiju ieviešanu tirgū;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 stiprināt partnerības ar Grenlandi un citām Arktikas ieinteresētajām personām ilgtspējīgas resursu ieguves jomā, stingri ievērojot vides noteikumus;</w:t>
            </w:r>
          </w:p>
        </w:tc>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w:t>
            </w:r>
            <w:r>
              <w:rPr>
                <w:b/>
                <w:i/>
              </w:rPr>
              <w:t>, atrast saskaņotu turpmāku ceļu</w:t>
            </w:r>
            <w:r>
              <w:t xml:space="preserve">, stiprināt partnerības ar Grenlandi un citām Arktikas ieinteresētajām personām ilgtspējīgas resursu ieguves jomā, stingri ievērojot vides noteikumus; </w:t>
            </w:r>
            <w:r>
              <w:rPr>
                <w:b/>
                <w:i/>
              </w:rPr>
              <w:t>atgādina, ka šāda sadarbība dabas resursu jomā arī palīdzētu samazināt ES atkarību no Ķīnas un citiem neuzticamiem piegādātājiem;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ņemot vērā Arktikas dabas resursu, tostarp ogļūdeņražu, retzemju elementu un zivsaimniecības, nozīmi un sadarbojoties ar dalībvalstīm, stiprināt partnerības ar Grenlandi un citām Arktikas ieinteresētajām personām ilgtspējīgas resursu ieguves jomā, stingri ievērojot </w:t>
            </w:r>
            <w:r>
              <w:rPr>
                <w:b/>
                <w:i/>
              </w:rPr>
              <w:t>vides</w:t>
            </w:r>
            <w:r>
              <w:t xml:space="preserve"> noteikumus;</w:t>
            </w:r>
          </w:p>
        </w:tc>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 stiprināt partnerības ar Grenlandi un citām Arktikas ieinteresētajām personām ilgtspējīgas resursu ieguves jomā, stingri ievērojot noteikumus</w:t>
            </w:r>
            <w:r>
              <w:rPr>
                <w:b/>
                <w:i/>
              </w:rPr>
              <w:t>, vienlaikus arī ņemot vērā ES stratēģiskās intereses, kas pieprasa nodrošināt piekļuvi kritiskajām izejvielām no uzticamiem un līdzīgi domājošiem partneriem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 stiprināt partnerības ar Grenlandi un citām Arktikas ieinteresētajām personām ilgtspējīgas resursu ieguves jomā, stingri ievērojot vides noteikumus;</w:t>
            </w:r>
          </w:p>
        </w:tc>
        <w:tc>
          <w:tcPr>
            <w:tcW w:w="4876" w:type="dxa"/>
            <w:tcBorders>
              <w:top w:val="nil"/>
              <w:left w:val="nil"/>
              <w:bottom w:val="nil"/>
              <w:right w:val="nil"/>
            </w:tcBorders>
          </w:tcPr>
          <w:p>
            <w:pPr>
              <w:pStyle w:val="Normal6a"/>
            </w:pPr>
            <w:r>
              <w:t>e)</w:t>
            </w:r>
            <w:r>
              <w:tab/>
            </w:r>
            <w:r>
              <w:t xml:space="preserve">ņemot vērā Arktikas dabas resursu, tostarp ogļūdeņražu, retzemju elementu un zivsaimniecības, nozīmi un sadarbojoties ar dalībvalstīm, stiprināt partnerības ar Grenlandi un citām Arktikas ieinteresētajām personām ilgtspējīgas resursu ieguves jomā, stingri ievērojot vides noteikumus; </w:t>
            </w:r>
            <w:r>
              <w:rPr>
                <w:b/>
                <w:i/>
              </w:rPr>
              <w:t>uzsvērt katastrofālās sekas, ko rada šādu noteikumu neievērošana, par ko liecina Noriļskas 2020. gada naftas noplūde;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 stiprināt partnerības ar Grenlandi un citām Arktikas ieinteresētajām personām ilgtspējīgas resursu ieguves jomā, stingri ievērojot vides noteikumus;</w:t>
            </w:r>
          </w:p>
        </w:tc>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 stiprināt partnerības ar Grenlandi un citām Arktikas ieinteresētajām personām ilgtspējīgas resursu ieguves</w:t>
            </w:r>
            <w:r>
              <w:rPr>
                <w:b/>
                <w:i/>
              </w:rPr>
              <w:t>, iedzīvotāju izaugsmes un vietējo kopienu atdzīvināšanas</w:t>
            </w:r>
            <w:r>
              <w:t xml:space="preserve"> jomā, stingri ievērojot vides noteikumus;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 stiprināt partnerības ar Grenlandi un citām Arktikas ieinteresētajām personām ilgtspējīgas resursu ieguves jomā, stingri ievērojot vides noteikumus;</w:t>
            </w:r>
          </w:p>
        </w:tc>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 stiprināt partnerības ar Grenlandi un citām Arktikas ieinteresētajām personām</w:t>
            </w:r>
            <w:r>
              <w:rPr>
                <w:b/>
                <w:i/>
              </w:rPr>
              <w:t>, tostarp pamatiedzīvotāju kopienām,</w:t>
            </w:r>
            <w:r>
              <w:t xml:space="preserve"> ilgtspējīgas resursu ieguves jomā, stingri ievērojot vides noteikumus;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 stiprināt partnerības ar Grenlandi un citām Arktikas ieinteresētajām personām ilgtspējīgas resursu ieguves jomā, stingri ievērojot vides noteikumus;</w:t>
            </w:r>
          </w:p>
        </w:tc>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w:t>
            </w:r>
            <w:r>
              <w:rPr>
                <w:b/>
                <w:i/>
              </w:rPr>
              <w:t>, lai atbalstītu ekonomikas izaugsmi Eiropā</w:t>
            </w:r>
            <w:r>
              <w:t>, stiprināt partnerības ar Grenlandi un citām Arktikas ieinteresētajām personām ilgtspējīgas resursu ieguves jomā, stingri ievērojot vides noteikumus;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ņemot vērā Arktikas dabas resursu, tostarp ogļūdeņražu, retzemju elementu un zivsaimniecības, nozīmi un sadarbojoties ar dalībvalstīm, stiprināt partnerības ar Grenlandi un citām Arktikas ieinteresētajām personām ilgtspējīgas resursu ieguves jomā, stingri ievērojot vides noteikumus;</w:t>
            </w:r>
          </w:p>
        </w:tc>
        <w:tc>
          <w:tcPr>
            <w:tcW w:w="4876" w:type="dxa"/>
            <w:tcBorders>
              <w:top w:val="nil"/>
              <w:left w:val="nil"/>
              <w:bottom w:val="nil"/>
              <w:right w:val="nil"/>
            </w:tcBorders>
          </w:tcPr>
          <w:p>
            <w:pPr>
              <w:pStyle w:val="Normal6a"/>
            </w:pPr>
            <w:r>
              <w:t>e)</w:t>
            </w:r>
            <w:r>
              <w:tab/>
            </w:r>
            <w:r>
              <w:t>ņemot vērā Arktikas dabas resursu, tostarp ogļūdeņražu, retzemju elementu</w:t>
            </w:r>
            <w:r>
              <w:rPr>
                <w:b/>
                <w:i/>
              </w:rPr>
              <w:t>, kritiski svarīgo izejvielu</w:t>
            </w:r>
            <w:r>
              <w:t xml:space="preserve"> un zivsaimniecības, nozīmi un sadarbojoties ar dalībvalstīm, stiprināt partnerības ar Grenlandi un citām Arktikas ieinteresētajām personām ilgtspējīgas resursu ieguves jomā, stingri ievērojot vides noteikumus;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atzīt, ka ES atbalsts Arktikas attīstībai un sadarbībai ir vitāli svarīgs, lai veicinātu attiecības, uzticēšanos un attīstības spējas mazapdzīvotos neaizsargātos ziemeļu apgabalos, kas ir svarīgi, lai saglabātu zemu spriedzi, uzlabotu sagatavotību, pielāgotos slēgtām robežām ar Krieviju un vajadzību pēc jauniem austrumu-rietumu tirdzniecības maršrutiem un partnerībām, tādējādi stiprinot Eiropas Arktikas noturību un aizsardzības spējas Eiropas stratēģisko interešu un autonomijas labā;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atzīt, ka ES atbalsts Arktikas attīstībai un sadarbībai ir vitāli svarīgs, lai veicinātu attiecības, uzticēšanos un attīstības spējas mazapdzīvotos neaizsargātos ziemeļu apgabalos, kas ir svarīgi, lai saglabātu zemu spriedzi, uzlabotu sagatavotību, pielāgotos slēgtām robežām ar Krieviju un vajadzību pēc jauniem austrumu-rietumu tirdzniecības maršrutiem un partnerībām, tādējādi stiprinot Eiropas Arktikas noturību un aizsardzības spējas Eiropas stratēģisko interešu un autonomijas labā;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nosodīt Krievijas Arktikas pastāvīgo militarizāciju, tostarp divējāda lietojuma infrastruktūras attīstību, stratēģisku ieroču sistēmu izvietošanu un jūras mācības kritiskos jūras maršrutos;</w:t>
            </w:r>
            <w:r>
              <w:t xml:space="preserve"> </w:t>
            </w:r>
            <w:r>
              <w:rPr>
                <w:b/>
                <w:i/>
              </w:rPr>
              <w:t>aicina stiprināt ES un NATO koordinācijas mehānismu attiecībā uz Arktikas situācijas apzināšanos, satelītnovērošanu un kopīgām jūras mācībām, lai nodrošinātu atturēšanu un kuģošanas brīvību saskaņā ar UNCLOS;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uzsver Arktikas nozīmīgumu attiecībā uz ES energoapgādes drošību;</w:t>
            </w:r>
            <w:r>
              <w:t xml:space="preserve"> </w:t>
            </w:r>
            <w:r>
              <w:rPr>
                <w:b/>
                <w:i/>
              </w:rPr>
              <w:t>atbalsta nepieciešamību stiprināt energoefektivitātes politiku, kuras mērķis būtu ievērojami samazināt Savienības atkarību no ārējiem avotiem;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norāda, ka Arktikā ir bagātīgi minerālresursi, un uzsver Eiropas Arktikas būtisko lomu izejvielu piegādē;</w:t>
            </w:r>
            <w:r>
              <w:t xml:space="preserve"> </w:t>
            </w:r>
            <w:r>
              <w:rPr>
                <w:b/>
                <w:i/>
              </w:rPr>
              <w:t>turklāt norāda, ka lielākā daļa ES kritiski svarīgo izejvielu atrodas Arktikā, kas, ja tās tiktu labi pārvaldītas, varētu palīdzēt stiprināt Savienības stratēģisko autonomiju;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padziļināt partnerības ar Grenlandi un citām Arktikas ieinteresētajām personām attiecībā uz kritiski svarīgām izejvielām un zivsaimniecību, piemērojot savā klasē vislabākos vides aizsardzības pasākumus, brīvu, iepriekšēju un informētu piekrišanu attiecībā uz pirmiedzīvotāju tiesībām;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ec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uzsvērt, cik svarīgas ir Dānijas vadītās mācības "Arctic Light 2025", kas notika no 2025. gada 9. līdz 19. septembrim Grenlandē un tās tuvumā un kurās piedalījās vairāk nekā 550 darbinieki no Dānijas un NATO sabiedrotajiem, lai stiprinātu bruņoto spēku operatīvo gatavību, kā arī civilmilitāro sadarbību, uzlabotu sadarbspēju un stiprinātu kopīgās reaģēšanas spējas pret dažādiem draudiem Grenlandei, Dānijas Karalistei un NATO gan Ziemeļatlantijas, gan Arktikas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ņemot vērā Parlamenta dziļās bažas par Grenlandes pieaugošo ģeopolitisko nozīmi, ko pastiprina ārējo dalībnieku paziņojumi, kuros apšaubīta Dānijas konstitucionālā kārtība, atkārtoti apstiprināt Grenlandes pašnoteikšanās tiesību ievērošanu, uzsverot, ka lēmumi par Grenlandes konstitucionālo nākotni un starptautiskajām attiecībām ir jāpieņem vienīgi Grenlandes pilsoņiem bez ārēja spiediena;</w:t>
            </w:r>
          </w:p>
        </w:tc>
        <w:tc>
          <w:tcPr>
            <w:tcW w:w="4876" w:type="dxa"/>
            <w:tcBorders>
              <w:top w:val="nil"/>
              <w:left w:val="nil"/>
              <w:bottom w:val="nil"/>
              <w:right w:val="nil"/>
            </w:tcBorders>
          </w:tcPr>
          <w:p>
            <w:pPr>
              <w:pStyle w:val="Normal6a"/>
            </w:pPr>
            <w:r>
              <w:t>f)</w:t>
            </w:r>
            <w:r>
              <w:tab/>
            </w:r>
            <w:r>
              <w:t>ņemot vērā Parlamenta dziļās bažas par Grenlandes pieaugošo ģeopolitisko nozīmi, ko pastiprina ārējo dalībnieku paziņojumi, kuros apšaubīta Dānijas konstitucionālā kārtība</w:t>
            </w:r>
            <w:r>
              <w:rPr>
                <w:b/>
                <w:i/>
              </w:rPr>
              <w:t>, kā arī ziņojumi par ārvalstu iejaukšanos tās iekšējās lietās</w:t>
            </w:r>
            <w:r>
              <w:t>, atkārtoti apstiprināt Grenlandes pašnoteikšanās tiesību ievērošanu, uzsverot, ka lēmumi par Grenlandes konstitucionālo nākotni un starptautiskajām attiecībām ir jāpieņem vienīgi Grenlandes pilsoņiem bez ārēja spiediena;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ņemot vērā Parlamenta dziļās bažas par Grenlandes pieaugošo ģeopolitisko nozīmi, ko pastiprina </w:t>
            </w:r>
            <w:r>
              <w:rPr>
                <w:b/>
                <w:i/>
              </w:rPr>
              <w:t>ārējo dalībnieku</w:t>
            </w:r>
            <w:r>
              <w:t xml:space="preserve"> paziņojumi, kuros apšaubīta Dānijas konstitucionālā kārtība, atkārtoti apstiprināt Grenlandes pašnoteikšanās tiesību ievērošanu, uzsverot, ka lēmumi par Grenlandes konstitucionālo nākotni un starptautiskajām attiecībām ir jāpieņem vienīgi Grenlandes pilsoņiem bez ārēja spiediena;</w:t>
            </w:r>
          </w:p>
        </w:tc>
        <w:tc>
          <w:tcPr>
            <w:tcW w:w="4876" w:type="dxa"/>
            <w:tcBorders>
              <w:top w:val="nil"/>
              <w:left w:val="nil"/>
              <w:bottom w:val="nil"/>
              <w:right w:val="nil"/>
            </w:tcBorders>
          </w:tcPr>
          <w:p>
            <w:pPr>
              <w:pStyle w:val="Normal6a"/>
            </w:pPr>
            <w:r>
              <w:t>f)</w:t>
            </w:r>
            <w:r>
              <w:tab/>
            </w:r>
            <w:r>
              <w:t xml:space="preserve">ņemot vērā Parlamenta dziļās bažas par Grenlandes pieaugošo ģeopolitisko nozīmi, ko pastiprina </w:t>
            </w:r>
            <w:r>
              <w:rPr>
                <w:b/>
                <w:i/>
              </w:rPr>
              <w:t>Amerikas Savienoto Valstu agresīvie</w:t>
            </w:r>
            <w:r>
              <w:t xml:space="preserve"> paziņojumi, kuros apšaubīta Dānijas konstitucionālā kārtība </w:t>
            </w:r>
            <w:r>
              <w:rPr>
                <w:b/>
                <w:i/>
              </w:rPr>
              <w:t>un suverenitāte</w:t>
            </w:r>
            <w:r>
              <w:t>, atkārtoti apstiprināt Grenlandes pašnoteikšanās tiesību ievērošanu, uzsverot, ka lēmumi par Grenlandes konstitucionālo nākotni un starptautiskajām attiecībām ir jāpieņem vienīgi Grenlandes pilsoņiem bez ārēja spiediena;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ņemot vērā Parlamenta dziļās bažas par Grenlandes pieaugošo ģeopolitisko nozīmi, ko pastiprina </w:t>
            </w:r>
            <w:r>
              <w:rPr>
                <w:b/>
                <w:i/>
              </w:rPr>
              <w:t>ārējo dalībnieku</w:t>
            </w:r>
            <w:r>
              <w:t xml:space="preserve"> paziņojumi, kuros apšaubīta Dānijas konstitucionālā kārtība, atkārtoti apstiprināt Grenlandes pašnoteikšanās tiesību ievērošanu, uzsverot, ka lēmumi par Grenlandes konstitucionālo nākotni un starptautiskajām attiecībām ir jāpieņem vienīgi Grenlandes pilsoņiem bez ārēja spiediena;</w:t>
            </w:r>
          </w:p>
        </w:tc>
        <w:tc>
          <w:tcPr>
            <w:tcW w:w="4876" w:type="dxa"/>
            <w:tcBorders>
              <w:top w:val="nil"/>
              <w:left w:val="nil"/>
              <w:bottom w:val="nil"/>
              <w:right w:val="nil"/>
            </w:tcBorders>
          </w:tcPr>
          <w:p>
            <w:pPr>
              <w:pStyle w:val="Normal6a"/>
            </w:pPr>
            <w:r>
              <w:t>f)</w:t>
            </w:r>
            <w:r>
              <w:tab/>
            </w:r>
            <w:r>
              <w:t xml:space="preserve">ņemot vērā Parlamenta dziļās bažas par Grenlandes pieaugošo ģeopolitisko nozīmi, ko pastiprina </w:t>
            </w:r>
            <w:r>
              <w:rPr>
                <w:b/>
                <w:i/>
              </w:rPr>
              <w:t>pašreizējās ASV administrācijas</w:t>
            </w:r>
            <w:r>
              <w:t xml:space="preserve"> paziņojumi, kuros apšaubīta Dānijas konstitucionālā kārtība, atkārtoti apstiprināt Grenlandes pašnoteikšanās tiesību ievērošanu, uzsverot, ka lēmumi par Grenlandes konstitucionālo nākotni un starptautiskajām attiecībām ir jāpieņem vienīgi Grenlandes pilsoņiem bez ārēja spiediena;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ņemot vērā Parlamenta dziļās bažas par Grenlandes pieaugošo ģeopolitisko nozīmi, ko pastiprina ārējo dalībnieku paziņojumi, kuros apšaubīta Dānijas konstitucionālā kārtība, atkārtoti apstiprināt Grenlandes pašnoteikšanās tiesību ievērošanu, uzsverot, ka lēmumi par Grenlandes konstitucionālo nākotni un starptautiskajām attiecībām ir jāpieņem vienīgi Grenlandes </w:t>
            </w:r>
            <w:r>
              <w:rPr>
                <w:b/>
                <w:i/>
              </w:rPr>
              <w:t>pilsoņiem</w:t>
            </w:r>
            <w:r>
              <w:t xml:space="preserve"> bez ārēja spiediena;</w:t>
            </w:r>
          </w:p>
        </w:tc>
        <w:tc>
          <w:tcPr>
            <w:tcW w:w="4876" w:type="dxa"/>
            <w:tcBorders>
              <w:top w:val="nil"/>
              <w:left w:val="nil"/>
              <w:bottom w:val="nil"/>
              <w:right w:val="nil"/>
            </w:tcBorders>
          </w:tcPr>
          <w:p>
            <w:pPr>
              <w:pStyle w:val="Normal6a"/>
            </w:pPr>
            <w:r>
              <w:t>f)</w:t>
            </w:r>
            <w:r>
              <w:tab/>
            </w:r>
            <w:r>
              <w:t xml:space="preserve">ņemot vērā Parlamenta dziļās bažas par Grenlandes pieaugošo ģeopolitisko nozīmi, ko pastiprina ārējo dalībnieku paziņojumi, kuros apšaubīta Dānijas konstitucionālā kārtība, atkārtoti apstiprināt Grenlandes pašnoteikšanās tiesību ievērošanu, uzsverot, ka lēmumi par Grenlandes konstitucionālo nākotni un starptautiskajām attiecībām ir jāpieņem vienīgi Grenlandes </w:t>
            </w:r>
            <w:r>
              <w:rPr>
                <w:b/>
                <w:i/>
              </w:rPr>
              <w:t>iedzīvotājiem</w:t>
            </w:r>
            <w:r>
              <w:t xml:space="preserve"> bez ārēja spiediena;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atzīt, ka konkurētspēja un krīžu pārvarēšana sarežģītā drošības politikas vidē ir atkarīga no spēcīgas, inovatīvas sabiedrības, tostarp pilntiesīgām un aizsargātām pirmiedzīvotāju kopienām, un vietējiem uzņēmumiem, kuriem ir savas spējas, un pārrobežu sadarbības starp politikas veidotājiem, pētniekiem, uzņēmumiem un kopienām, un ES ciešā sadarbībā ar vietējiem iedzīvotājiem un dialogā ar attiecīgajām valstīm un reģionālajām struktūrām turpināt atbalstīt noturīgāku un ilgtspējīgāku Arktikas kopienu spēju veidošanu;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atzīt, ka konkurētspēja un krīžu pārvarēšana sarežģītā drošības politikas vidē ir atkarīga no spēcīgas, inovatīvas sabiedrības un vietējiem uzņēmumiem, kuriem ir savas spējas, un pārrobežu sadarbības starp politikas veidotājiem, pētniekiem, uzņēmumiem un kopienām, un ES ciešā sadarbībā ar vietējiem iedzīvotājiem un dialogā ar attiecīgajām valstīm un reģionālajām struktūrām turpināt atbalstīt noturīgāku un ilgtspējīgāku Arktikas kopienu spēju veidošanu;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ņemt vērā Grenlandes ārpolitikā, drošības un aizsardzības politikā 2024.–2033. gadam ietverto ieteikumu Nūkā izveidot miera centru, kas veicinātu dialogu, atvieglotu pētniecību un mediāciju, sekmētu uzticības veicināšanas pasākumus un atbalstītu Grenlandes mērķi saglabāt Arktiku kā miera un zemas spriedzes reģionu;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aicina Arktikā nodrošināt lielāku piekļuvi digitālajai infrastruktūrai un uzlabot digitālo savienojamību, kas veicinātu uzņēmējdarbību, inovāciju un ekonomikas attīstības diversifikāciju;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atzinīgi vērtēt to, ka Dānija ir piešķīrusi aptuveni 14,6 miljardus DKK (1,95 miljardus EUR) Arktikas un Ziemeļatlantijas drošības stiprināšanai, tostarp jaunu jūras kuģu, tāldarbības dronu un satelītu jaudas palielināšanai;</w:t>
            </w:r>
            <w:r>
              <w:t xml:space="preserve"> </w:t>
            </w:r>
            <w:r>
              <w:rPr>
                <w:b/>
                <w:i/>
              </w:rPr>
              <w:t>apsvērt līdzīgas investīcijas Arktikas politikā, stiprinot Savienības uzraudzības, jūras drošības un aizsardzības infrastruktūras spējas reģionā, vienlaikus nodrošinot cilvēktiesību ievērošanu, vides aizsardzību un vietējo kopienu interešu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uzskata, ka lielāki ieguldījumi Arktikas reģionā varētu veicināt ekonomisko, sociālo un ilgtspējīgu attīstību Arktikas kopienu interesēs, jo īpaši enerģētikas, transporta un infrastruktūras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fc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uzsver, ka lielos attālumos un mazapdzīvotos apgabalos ir vajadzīga labāka savienojamība, pieejamība un kopienas integrācija, veicot ieguldījumus informācijas un komunikācijas tehnoloģijās, kā arī transporta infrastruktūrā (dzelzceļa, jūras, sauszemes un gaisa infrastruktūrā);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g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ņemot vērā nepieciešamību ievērot un veicināt pirmiedzīvotāju tautu tiesības visā Arktikā, strādāt pie tā, lai pirmiedzīvotāju zināšanas iekļautu vides un politikas veidošanas procesos;</w:t>
            </w:r>
          </w:p>
        </w:tc>
        <w:tc>
          <w:tcPr>
            <w:tcW w:w="4876" w:type="dxa"/>
            <w:tcBorders>
              <w:top w:val="nil"/>
              <w:left w:val="nil"/>
              <w:bottom w:val="nil"/>
              <w:right w:val="nil"/>
            </w:tcBorders>
          </w:tcPr>
          <w:p>
            <w:pPr>
              <w:pStyle w:val="Normal6a"/>
            </w:pPr>
            <w:r>
              <w:t>g)</w:t>
            </w:r>
            <w:r>
              <w:tab/>
            </w:r>
            <w:r>
              <w:t xml:space="preserve">ņemot vērā nepieciešamību ievērot un veicināt pirmiedzīvotāju tautu tiesības visā Arktikā, strādāt pie tā, lai pirmiedzīvotāju zināšanas iekļautu vides un politikas veidošanas procesos; </w:t>
            </w:r>
            <w:r>
              <w:rPr>
                <w:b/>
                <w:i/>
              </w:rPr>
              <w:t>ievērot ANO Deklarācijas par pirmiedzīvotāju tautu tiesībām 19. pantu, kurā noteikts, ka, pirms pieņemt un īstenot leģislatīvus vai administratīvus pasākumus, kas var viņas ietekmēt, ir jāsaņem šo tautu brīva, iepriekšēja un apzināta piekrišana;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g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ņemot vērā nepieciešamību ievērot un veicināt pirmiedzīvotāju tautu tiesības visā Arktikā, strādāt pie tā, lai pirmiedzīvotāju zināšanas iekļautu vides un politikas veidošanas procesos;</w:t>
            </w:r>
          </w:p>
        </w:tc>
        <w:tc>
          <w:tcPr>
            <w:tcW w:w="4876" w:type="dxa"/>
            <w:tcBorders>
              <w:top w:val="nil"/>
              <w:left w:val="nil"/>
              <w:bottom w:val="nil"/>
              <w:right w:val="nil"/>
            </w:tcBorders>
          </w:tcPr>
          <w:p>
            <w:pPr>
              <w:pStyle w:val="Normal6a"/>
            </w:pPr>
            <w:r>
              <w:t>g)</w:t>
            </w:r>
            <w:r>
              <w:tab/>
            </w:r>
            <w:r>
              <w:t xml:space="preserve">ņemot vērā nepieciešamību ievērot un veicināt pirmiedzīvotāju tautu tiesības visā Arktikā, strādāt pie tā, lai pirmiedzīvotāju zināšanas iekļautu vides un politikas veidošanas procesos; </w:t>
            </w:r>
            <w:r>
              <w:rPr>
                <w:b/>
                <w:i/>
              </w:rPr>
              <w:t>tāpat nodrošināt, ka ES un dalībvalstu darbības Arktikas reģionā veicina un nekaitē Arktikas reģiona pirmiedzīvotāju kopienu labklājībai un tiesībām saskaņā ar 1996. gada Otavas deklarāciju;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g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ņemot vērā nepieciešamību ievērot un veicināt pirmiedzīvotāju tautu tiesības visā Arktikā, strādāt pie tā, lai </w:t>
            </w:r>
            <w:r>
              <w:rPr>
                <w:b/>
                <w:i/>
              </w:rPr>
              <w:t>pirmiedzīvotāju</w:t>
            </w:r>
            <w:r>
              <w:t xml:space="preserve"> zināšanas iekļautu vides un politikas veidošanas procesos;</w:t>
            </w:r>
          </w:p>
        </w:tc>
        <w:tc>
          <w:tcPr>
            <w:tcW w:w="4876" w:type="dxa"/>
            <w:tcBorders>
              <w:top w:val="nil"/>
              <w:left w:val="nil"/>
              <w:bottom w:val="nil"/>
              <w:right w:val="nil"/>
            </w:tcBorders>
          </w:tcPr>
          <w:p>
            <w:pPr>
              <w:pStyle w:val="Normal6a"/>
            </w:pPr>
            <w:r>
              <w:t>g)</w:t>
            </w:r>
            <w:r>
              <w:tab/>
            </w:r>
            <w:r>
              <w:t xml:space="preserve">ņemot vērā nepieciešamību ievērot un veicināt pirmiedzīvotāju tautu tiesības visā Arktikā, strādāt pie tā, lai </w:t>
            </w:r>
            <w:r>
              <w:rPr>
                <w:b/>
                <w:i/>
              </w:rPr>
              <w:t>pamatiedzīvotāju</w:t>
            </w:r>
            <w:r>
              <w:t xml:space="preserve"> zināšanas iekļautu vides un politikas veidošanas procesos</w:t>
            </w:r>
            <w:r>
              <w:rPr>
                <w:b/>
                <w:i/>
              </w:rPr>
              <w:t>, vienlaikus ņemot vērā un apkarojot viņu paaugstināto pakļautību ārvalstu iejaukšanās un dezinformācijas manevriem, kuru mērķis ir instrumentalizēt sarežģītus un unikālus kontekstus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g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ņemot vērā nepieciešamību ievērot un veicināt pirmiedzīvotāju tautu tiesības visā Arktikā, strādāt pie tā, lai pirmiedzīvotāju zināšanas iekļautu vides un politikas veidošanas procesos;</w:t>
            </w:r>
          </w:p>
        </w:tc>
        <w:tc>
          <w:tcPr>
            <w:tcW w:w="4876" w:type="dxa"/>
            <w:tcBorders>
              <w:top w:val="nil"/>
              <w:left w:val="nil"/>
              <w:bottom w:val="nil"/>
              <w:right w:val="nil"/>
            </w:tcBorders>
          </w:tcPr>
          <w:p>
            <w:pPr>
              <w:pStyle w:val="Normal6a"/>
            </w:pPr>
            <w:r>
              <w:t>g)</w:t>
            </w:r>
            <w:r>
              <w:tab/>
            </w:r>
            <w:r>
              <w:t xml:space="preserve">ņemot vērā nepieciešamību ievērot un veicināt pirmiedzīvotāju tautu tiesības visā Arktikā, strādāt pie tā, lai pirmiedzīvotāju zināšanas iekļautu vides un politikas veidošanas procesos; </w:t>
            </w:r>
            <w:r>
              <w:rPr>
                <w:b/>
                <w:i/>
              </w:rPr>
              <w:t>nodrošināt, ka viņu intereses un zināšanas ir labi integrētas visos ES politikas veidošanas līmeņos;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g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ņemot vērā nepieciešamību ievērot un veicināt pirmiedzīvotāju tautu tiesības visā Arktikā, strādāt pie tā, lai pirmiedzīvotāju zināšanas iekļautu vides un politikas veidošanas procesos;</w:t>
            </w:r>
          </w:p>
        </w:tc>
        <w:tc>
          <w:tcPr>
            <w:tcW w:w="4876" w:type="dxa"/>
            <w:tcBorders>
              <w:top w:val="nil"/>
              <w:left w:val="nil"/>
              <w:bottom w:val="nil"/>
              <w:right w:val="nil"/>
            </w:tcBorders>
          </w:tcPr>
          <w:p>
            <w:pPr>
              <w:pStyle w:val="Normal6a"/>
            </w:pPr>
            <w:r>
              <w:t>g)</w:t>
            </w:r>
            <w:r>
              <w:tab/>
            </w:r>
            <w:r>
              <w:t xml:space="preserve">ņemot vērā nepieciešamību ievērot un veicināt pirmiedzīvotāju tautu tiesības visā Arktikā, strādāt pie tā, lai pirmiedzīvotāju zināšanas iekļautu vides un politikas veidošanas procesos; </w:t>
            </w:r>
            <w:r>
              <w:rPr>
                <w:b/>
                <w:i/>
              </w:rPr>
              <w:t>palīdzēt pirmiedzīvotājiem saglabāt savu valodu un kultūru;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g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ņemot vērā nepieciešamību ievērot un veicināt pirmiedzīvotāju tautu tiesības visā Arktikā, strādāt pie tā, lai pirmiedzīvotāju zināšanas iekļautu vides un politikas veidošanas procesos;</w:t>
            </w:r>
          </w:p>
        </w:tc>
        <w:tc>
          <w:tcPr>
            <w:tcW w:w="4876" w:type="dxa"/>
            <w:tcBorders>
              <w:top w:val="nil"/>
              <w:left w:val="nil"/>
              <w:bottom w:val="nil"/>
              <w:right w:val="nil"/>
            </w:tcBorders>
          </w:tcPr>
          <w:p>
            <w:pPr>
              <w:pStyle w:val="Normal6a"/>
            </w:pPr>
            <w:r>
              <w:t>g)</w:t>
            </w:r>
            <w:r>
              <w:tab/>
            </w:r>
            <w:r>
              <w:t xml:space="preserve">ņemot vērā nepieciešamību ievērot un veicināt pirmiedzīvotāju tautu tiesības visā Arktikā, strādāt pie tā, lai pirmiedzīvotāju </w:t>
            </w:r>
            <w:r>
              <w:rPr>
                <w:b/>
                <w:i/>
              </w:rPr>
              <w:t>un visu citu atbilstīgu avotu</w:t>
            </w:r>
            <w:r>
              <w:t xml:space="preserve"> zināšanas iekļautu vides un politikas veidošanas procesos;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ga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uzsvērt, ka Eiropas Komisijas biroja atvēršana Nūkā iezīmē jaunu posmu sadarbībā ar Grenlandi, kura, lai gan nav viena no dalībvalstīm, jau sen uztur ciešu saikni ar ES un ir saņēmusi tās finansiālo atbalstu, tostarp izglītības nozarē;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ga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uzsver nepieciešamību nodrošināt pirmiedzīvotāju kultūru, tradīciju un valodu saglabāšanu;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gb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ES Arktikas sadarbībā par prioritāti noteikt garīgās veselības, rakstpratības, valodas un jaunatnes programmas, reaģējot uz Arktikas pirmiedzīvotāju un jauniešu forumu ieteikumiem;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gc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atzīt, ka Grenlande pievienojās ES sankcijām pret Krieviju pēc tās iebrukuma Ukrainā;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ņemot vērā starptautiskās zinātniskās sadarbības izšķirošo nozīmi Arktikas pārvaldībā un izpratnē par klimatu, atbalstīt pastāvīgu ES finansējumu un aktīvu līdzdalību Arktikas pētniecības projektos un zinātniskajos dialogos, kā arī veicināt atklātu datu apmaiņu un zinātnisko konstatējumu integrēšanu politikas veidošanas procesos;</w:t>
            </w:r>
          </w:p>
        </w:tc>
        <w:tc>
          <w:tcPr>
            <w:tcW w:w="4876" w:type="dxa"/>
            <w:tcBorders>
              <w:top w:val="nil"/>
              <w:left w:val="nil"/>
              <w:bottom w:val="nil"/>
              <w:right w:val="nil"/>
            </w:tcBorders>
          </w:tcPr>
          <w:p>
            <w:pPr>
              <w:pStyle w:val="Normal6a"/>
            </w:pPr>
            <w:r>
              <w:t>h)</w:t>
            </w:r>
            <w:r>
              <w:tab/>
            </w:r>
            <w:r>
              <w:t>ņemot vērā starptautiskās zinātniskās sadarbības izšķirošo nozīmi Arktikas pārvaldībā un izpratnē par klimatu, atbalstīt pastāvīgu ES finansējumu un aktīvu līdzdalību Arktikas pētniecības projektos un zinātniskajos dialogos, kā arī veicināt atklātu datu apmaiņu un zinātnisko konstatējumu integrēšanu politikas veidošanas procesos</w:t>
            </w:r>
            <w:r>
              <w:rPr>
                <w:b/>
                <w:i/>
              </w:rPr>
              <w:t>, vienlaikus nodrošinot, ka zinātnisko viedokļu apmaiņā tiek ņemti vērā pašreizējie aizsardzības un drošības riski, kas izriet no ģeopolitiskās situācijas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atzīt, ka universitātēm Arktikas lauku apvidos ir unikāla loma kā reģionālās attīstības un ekonomikas izaugsmes virzītājspēkam, kas sekmē inovāciju pētniecībā un uzņēmumos, piesaista jaunpienācējus, uzlabo vietējās un reģionālās kompetences un prasmes, veicina reģionālo kohēziju, izplata zināšanas un informāciju (tādējādi veicinot noturību un sagatavotību), palīdz veicināt pārrobežu un starpnozaru sadarbību, un tādējādi atbalstīt Arktikas universitātes, tostarp sniedzot finansiālu ieguldījumu, izmantojot dažādas ES programmas;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atzīt, ka universitātēm Arktikas lauku apvidos ir unikāla loma kā reģionālās attīstības un ekonomikas izaugsmes virzītājspēkam, kas sekmē inovāciju pētniecībā un uzņēmumos, piesaista jaunpienācējus, uzlabo vietējās un reģionālās kompetences un prasmes, veicina reģionālo kohēziju, izplata zināšanas un informāciju (tādējādi veicinot noturību un sagatavotību), palīdz veicināt pārrobežu un starpnozaru sadarbību, un tādējādi atbalstīt Arktikas universitātes, tostarp sniedzot finansiālu ieguldījumu, izmantojot dažādas ES programmas;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atzīt, ka universitātēm Arktikas lauku apvidos ir unikāla loma kā reģionālās attīstības un ekonomikas izaugsmes virzītājspēkam, kas sekmē inovāciju pētniecībā un uzņēmumos, piesaista jaunpienācējus, uzlabo vietējās un reģionālās kompetences un prasmes, veicina reģionālo kohēziju, izplata zināšanas un informāciju (tādējādi veicinot noturību un sagatavotību), palīdz veicināt pārrobežu un starpnozaru sadarbību, un tādējādi atbalstīt Arktikas universitātes, tostarp sniedzot finansiālu ieguldījumu, izmantojot dažādas ES programmas;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palielināt finansējumu starpdisciplinārai Arktikas pētniecībai un atbalstīt “Eiropas Izcilības centra Arktikas pētniecībā” izveidi, izmantojot Copernicus pakalpojumus un atvērto datu infrastruktūras, mērījumus uz vietas un tradicionālās zināšanas, lai nodrošinātu operatīvus zinātniskus produktus, kas atbalsta ES lēmumu pieņemšanu un sadarbību ar likumīgiem starptautiskiem partneriem;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ņemot vērā Arktikas kosmosā balstīto spēju pieaugošo stratēģisko nozīmi Eiropas drošībai, pastiprināt ieguldījumus drošās un autonomās satelītu sistēmās, lai stiprinātu kolektīvo situācijas apzināšanos, noturību un reģionālo stabilitāti Tālajos ziemeļos;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atbalstīt iniciatīvas izglītības un pētniecības mobilitātei starp ES universitātēm un Arktikas augstākās izglītības iestādēm, jo īpaši Grenlandē, Islandē un Ziemeļnorvēģijā, lai veicinātu jaunas Arktikas ekspertu paaudzes rašanos un padziļinātu cilvēku savstarpējo sadarbību;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ņemot vērā pieaugošo stratēģisko nozīmi un paļaušanos uz Arktikas kosmosā balstītām spējām Eiropas drošībai, stiprināt kolektīvo situācijas apzināšanos, noturību un reģionālo stabilitāti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atzīt, ka Arktikas kosmosā balstītām spējām ir aizvien lielāka stratēģiskā nozīme Eiropas drošībai, stiprinot kolektīvo situācijas apzināšanos, noturību un reģionālo stabilitāti Arktikā, un palielinās paļaušanās uz tām;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uzsver Arktikas kosmosā balstīto spēju stratēģisko nozīmi Eiropas drošībai un nepieciešamību stiprināt kolektīvo informētību, noturību un stabilitāti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hc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stiprināt daudzpusējo pārvaldību un sadarbību Arktikas Padomes paspārnē, īpaši šobrīd, kad, Grenlandei uzņemoties vadošo lomu, tās priekšsēdētāja ir Dānijas Karaliste (2025.–2027. gads);</w:t>
            </w:r>
            <w:r>
              <w:t xml:space="preserve"> </w:t>
            </w:r>
            <w:r>
              <w:rPr>
                <w:b/>
                <w:i/>
              </w:rPr>
              <w:t>šajā sakarībā mudina visas dalībvalstis uzturēt miermīlīgas, uz tiesību aktiem balstītas pārvaldības sistēmas un atjaunot efektīvu daudzpusēju sadarbību, īpašu uzmanību pievēršot vides aizsardzībai, ilgtspējīgai attīstībai un pirmiedzīvotāju tiesībām;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hc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aktīvi rīkoties, lai nodrošinātu lielāku drošību saistībā ar zemūdens kabeļiem Arktikā, jo īpaši Grenlandes tuvumā, un apstiprināt Eiropas Savienības apņemšanos ārkārtas situācijā palīdzēt nodrošināt telesakarus, izmantojot satelītu sistēmas kā Copernicus programmu;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i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ņemot vērā to, ka Islandē pieaug atbalsts dalībai ES, atzinīgi vērtē</w:t>
            </w:r>
            <w:r>
              <w:t xml:space="preserve"> vietējo iestāžu pausto nodomu līdz 2027. gadam rīkot referendumu par </w:t>
            </w:r>
            <w:r>
              <w:rPr>
                <w:b/>
                <w:i/>
              </w:rPr>
              <w:t>pievienošanos ES un apņemas</w:t>
            </w:r>
            <w:r>
              <w:t xml:space="preserve"> ievērot tā iznākumu, ko demokrātiski paudusi Islandes tauta</w:t>
            </w:r>
            <w:r>
              <w:rPr>
                <w:b/>
                <w:i/>
              </w:rPr>
              <w:t>;</w:t>
            </w:r>
            <w:r>
              <w:t xml:space="preserve"> tikmēr </w:t>
            </w:r>
            <w:r>
              <w:rPr>
                <w:b/>
                <w:i/>
              </w:rPr>
              <w:t>aktīvi sadarboties</w:t>
            </w:r>
            <w:r>
              <w:t xml:space="preserve"> ar Islandes valdību, lai veicinātu priekšrocības, ko sniedz dalība ES, un uzlabotu sagatavotību atjaunotam pievienošanās procesam, ja Islande oficiāli no jauna aktivizēs tās pieteikumu;</w:t>
            </w:r>
          </w:p>
        </w:tc>
        <w:tc>
          <w:tcPr>
            <w:tcW w:w="4876" w:type="dxa"/>
            <w:tcBorders>
              <w:top w:val="nil"/>
              <w:left w:val="nil"/>
              <w:bottom w:val="nil"/>
              <w:right w:val="nil"/>
            </w:tcBorders>
          </w:tcPr>
          <w:p>
            <w:pPr>
              <w:pStyle w:val="Normal6a"/>
            </w:pPr>
            <w:r>
              <w:t>i)</w:t>
            </w:r>
            <w:r>
              <w:tab/>
            </w:r>
            <w:r>
              <w:rPr>
                <w:b/>
                <w:i/>
              </w:rPr>
              <w:t>pieņem zināšanai</w:t>
            </w:r>
            <w:r>
              <w:t xml:space="preserve"> vietējo iestāžu pausto nodomu līdz 2027. gadam rīkot referendumu par </w:t>
            </w:r>
            <w:r>
              <w:rPr>
                <w:b/>
                <w:i/>
              </w:rPr>
              <w:t>Islandes pievienošanās sarunu atsākšanu un apņemties</w:t>
            </w:r>
            <w:r>
              <w:t xml:space="preserve"> ievērot tā iznākumu, ko demokrātiski paudusi Islandes tauta</w:t>
            </w:r>
            <w:r>
              <w:rPr>
                <w:b/>
                <w:i/>
              </w:rPr>
              <w:t>.</w:t>
            </w:r>
            <w:r>
              <w:t xml:space="preserve"> tikmēr </w:t>
            </w:r>
            <w:r>
              <w:rPr>
                <w:b/>
                <w:i/>
              </w:rPr>
              <w:t>atbalstīt aktīvu sadarbību</w:t>
            </w:r>
            <w:r>
              <w:t xml:space="preserve"> ar Islandes valdību, lai veicinātu priekšrocības, ko sniedz dalība ES, un uzlabotu sagatavotību atjaunotam pievienošanās procesam, ja Islande oficiāli no jauna aktivizēs tās pieteikumu; </w:t>
            </w:r>
            <w:r>
              <w:rPr>
                <w:b/>
                <w:i/>
              </w:rPr>
              <w:t>šajā sakarībā atgādina, ka Islande pieteikumu dalībai ES iesniedza 2009. gada 17. jūlijā, un ES Padome 2010. gada 17. jūnijā vienojās sākt pievienošanās sarunas.</w:t>
            </w:r>
            <w:r>
              <w:t xml:space="preserve"> </w:t>
            </w:r>
            <w:r>
              <w:rPr>
                <w:b/>
                <w:i/>
              </w:rPr>
              <w:t>Tomēr 2013. gadā jaunā Islandes valdība nolēma apturēt pievienošanās sarunas un 2015. gada martā lūdza Briseli vairs neuzskatīt Islandi par kandidātvalsti;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i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ņemot vērā to, ka Islandē pieaug atbalsts dalībai ES, atzinīgi vērtē vietējo iestāžu pausto nodomu līdz 2027. gadam rīkot referendumu par pievienošanos ES un apņemas ievērot tā iznākumu, ko demokrātiski paudusi Islandes tauta; tikmēr aktīvi sadarboties ar Islandes valdību, lai veicinātu priekšrocības, ko sniedz dalība ES, un uzlabotu sagatavotību atjaunotam pievienošanās procesam, ja Islande oficiāli no jauna aktivizēs tās pieteikumu;</w:t>
            </w:r>
          </w:p>
        </w:tc>
        <w:tc>
          <w:tcPr>
            <w:tcW w:w="4876" w:type="dxa"/>
            <w:tcBorders>
              <w:top w:val="nil"/>
              <w:left w:val="nil"/>
              <w:bottom w:val="nil"/>
              <w:right w:val="nil"/>
            </w:tcBorders>
          </w:tcPr>
          <w:p>
            <w:pPr>
              <w:pStyle w:val="Normal6a"/>
            </w:pPr>
            <w:r>
              <w:t>i)</w:t>
            </w:r>
            <w:r>
              <w:tab/>
            </w:r>
            <w:r>
              <w:t>ņemot vērā to, ka Islandē pieaug atbalsts dalībai ES, atzinīgi vērtē vietējo iestāžu pausto nodomu līdz 2027. gadam rīkot referendumu par pievienošanos ES un apņemas ievērot tā iznākumu, ko demokrātiski paudusi Islandes tauta; tikmēr aktīvi sadarboties ar Islandes valdību, lai veicinātu priekšrocības, ko sniedz dalība ES, un uzlabotu sagatavotību atjaunotam pievienošanās procesam, ja Islande oficiāli no jauna aktivizēs tās pieteikumu</w:t>
            </w:r>
            <w:r>
              <w:rPr>
                <w:b/>
                <w:i/>
              </w:rPr>
              <w:t>, vienlaikus nekavējoties uzlabojot sadarbību kopīgu interešu jomā un piedāvājot ES palīdzību cīņā pret hibrīddraudiem un ārvalstu iejaukšanos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i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ņemot vērā to, ka Islandē pieaug atbalsts dalībai ES, atzinīgi vērtē vietējo iestāžu pausto nodomu līdz 2027. gadam rīkot referendumu par pievienošanos ES un apņemas ievērot tā iznākumu, ko demokrātiski paudusi Islandes tauta; tikmēr aktīvi sadarboties ar Islandes valdību, lai veicinātu priekšrocības, ko sniedz dalība ES, un uzlabotu sagatavotību atjaunotam pievienošanās procesam, ja Islande oficiāli no jauna aktivizēs tās pieteikumu;</w:t>
            </w:r>
          </w:p>
        </w:tc>
        <w:tc>
          <w:tcPr>
            <w:tcW w:w="4876" w:type="dxa"/>
            <w:tcBorders>
              <w:top w:val="nil"/>
              <w:left w:val="nil"/>
              <w:bottom w:val="nil"/>
              <w:right w:val="nil"/>
            </w:tcBorders>
          </w:tcPr>
          <w:p>
            <w:pPr>
              <w:pStyle w:val="Normal6a"/>
            </w:pPr>
            <w:r>
              <w:t>i)</w:t>
            </w:r>
            <w:r>
              <w:tab/>
            </w:r>
            <w:r>
              <w:t xml:space="preserve">ņemot vērā to, ka Islandē pieaug atbalsts dalībai ES, atzinīgi vērtē vietējo iestāžu pausto nodomu līdz 2027. gadam rīkot referendumu par pievienošanos ES un apņemas ievērot tā iznākumu, ko demokrātiski paudusi Islandes tauta; tikmēr aktīvi sadarboties ar Islandes valdību, lai veicinātu priekšrocības, ko sniedz dalība ES, un uzlabotu sagatavotību atjaunotam pievienošanās procesam, ja Islande oficiāli no jauna aktivizēs tās pieteikumu; </w:t>
            </w:r>
            <w:r>
              <w:rPr>
                <w:b/>
                <w:i/>
              </w:rPr>
              <w:t>pastiprināt sadarbību starp ES un Islandi neatkarīgi no situācijas saistībā ar iespējamo dalību 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i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ņemot vērā to, ka Islandē pieaug atbalsts dalībai ES, </w:t>
            </w:r>
            <w:r>
              <w:rPr>
                <w:b/>
                <w:i/>
              </w:rPr>
              <w:t>atzinīgi vērtē vietējo</w:t>
            </w:r>
            <w:r>
              <w:t xml:space="preserve"> iestāžu pausto nodomu līdz 2027. gadam rīkot referendumu par pievienošanos ES un apņemas ievērot tā iznākumu, ko demokrātiski paudusi Islandes tauta; tikmēr aktīvi sadarboties ar Islandes valdību, lai veicinātu priekšrocības, ko sniedz </w:t>
            </w:r>
            <w:r>
              <w:rPr>
                <w:b/>
                <w:i/>
              </w:rPr>
              <w:t>dalība ES, un uzlabotu sagatavotību atjaunotam pievienošanās procesam, ja Islande oficiāli no jauna aktivizēs tās pieteikumu</w:t>
            </w:r>
            <w:r>
              <w:t>;</w:t>
            </w:r>
          </w:p>
        </w:tc>
        <w:tc>
          <w:tcPr>
            <w:tcW w:w="4876" w:type="dxa"/>
            <w:tcBorders>
              <w:top w:val="nil"/>
              <w:left w:val="nil"/>
              <w:bottom w:val="nil"/>
              <w:right w:val="nil"/>
            </w:tcBorders>
          </w:tcPr>
          <w:p>
            <w:pPr>
              <w:pStyle w:val="Normal6a"/>
            </w:pPr>
            <w:r>
              <w:t>i)</w:t>
            </w:r>
            <w:r>
              <w:tab/>
            </w:r>
            <w:r>
              <w:t xml:space="preserve">ņemot vērā to, ka Islandē pieaug atbalsts dalībai ES, </w:t>
            </w:r>
            <w:r>
              <w:rPr>
                <w:b/>
                <w:i/>
              </w:rPr>
              <w:t>atzīmē valsts</w:t>
            </w:r>
            <w:r>
              <w:t xml:space="preserve"> iestāžu pausto nodomu līdz 2027. gadam rīkot referendumu par pievienošanos ES un apņemas ievērot tā iznākumu, ko demokrātiski paudusi Islandes tauta; tikmēr aktīvi sadarboties ar Islandes valdību, lai veicinātu priekšrocības, ko sniedz </w:t>
            </w:r>
            <w:r>
              <w:rPr>
                <w:b/>
                <w:i/>
              </w:rPr>
              <w:t>ciešāka sadarbība ar ES un tās dalībvalstīm</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i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ņemot vērā to, ka Islandē pieaug atbalsts dalībai ES, atzinīgi vērtē vietējo iestāžu pausto nodomu līdz 2027. gadam rīkot referendumu par pievienošanos ES un apņemas ievērot tā iznākumu, ko demokrātiski paudusi Islandes tauta; tikmēr aktīvi sadarboties ar Islandes valdību, lai veicinātu priekšrocības, ko sniedz dalība ES, un uzlabotu sagatavotību atjaunotam pievienošanās procesam, ja Islande oficiāli no jauna aktivizēs tās pieteikumu;</w:t>
            </w:r>
          </w:p>
        </w:tc>
        <w:tc>
          <w:tcPr>
            <w:tcW w:w="4876" w:type="dxa"/>
            <w:tcBorders>
              <w:top w:val="nil"/>
              <w:left w:val="nil"/>
              <w:bottom w:val="nil"/>
              <w:right w:val="nil"/>
            </w:tcBorders>
          </w:tcPr>
          <w:p>
            <w:pPr>
              <w:pStyle w:val="Normal6a"/>
            </w:pPr>
            <w:r>
              <w:t>i)</w:t>
            </w:r>
            <w:r>
              <w:tab/>
            </w:r>
            <w:r>
              <w:t xml:space="preserve">ņemot vērā to, ka Islandē pieaug atbalsts dalībai ES, atzinīgi vērtē vietējo iestāžu pausto nodomu līdz 2027. gadam rīkot referendumu </w:t>
            </w:r>
            <w:r>
              <w:rPr>
                <w:b/>
                <w:i/>
              </w:rPr>
              <w:t>par sarunu atsākšanu</w:t>
            </w:r>
            <w:r>
              <w:t xml:space="preserve"> par pievienošanos ES un apņemas ievērot tā iznākumu, ko demokrātiski paudusi Islandes tauta; tikmēr aktīvi sadarboties ar Islandes valdību, lai veicinātu priekšrocības, ko sniedz dalība ES, un uzlabotu sagatavotību atjaunotam pievienošanās procesam, ja Islande oficiāli no jauna aktivizēs tās pieteikumu;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ia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atzinīgi vērtē Islandes valdības lēmumu sākt sarunas ar ES par drošības un aizsardzības partnerību;</w:t>
            </w:r>
            <w:r>
              <w:t xml:space="preserve"> </w:t>
            </w:r>
            <w:r>
              <w:rPr>
                <w:b/>
                <w:i/>
              </w:rPr>
              <w:t>pauž, ka nolīgumam būs būtiska nozīme turpmākajās ES un Islandes attiecībās;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j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ņemot vērā, ka Norvēģijas dalība ES stiprinātu gan tās nacionālās intereses, gan ES ģeopolitisko noturību, novēršot kritiskās nepilnības tās kolektīvajā aizsardzībā (jo īpaši attiecībā uz GIUK plaisu), izpētīt dziļāku sadarbību ar Norvēģiju, tostarp Līguma par Eiropas Savienību 42. panta 7. punkta iespējamo attiecināšanu uz Norvēģiju un Norvēģijas iespējamo pievienošanos ES;</w:t>
            </w:r>
          </w:p>
        </w:tc>
        <w:tc>
          <w:tcPr>
            <w:tcW w:w="4876" w:type="dxa"/>
            <w:tcBorders>
              <w:top w:val="nil"/>
              <w:left w:val="nil"/>
              <w:bottom w:val="nil"/>
              <w:right w:val="nil"/>
            </w:tcBorders>
          </w:tcPr>
          <w:p>
            <w:pPr>
              <w:pStyle w:val="Normal6a"/>
            </w:pPr>
            <w:r>
              <w:t>j)</w:t>
            </w:r>
            <w:r>
              <w:tab/>
            </w:r>
            <w:r>
              <w:t xml:space="preserve">ņemot vērā, ka Norvēģijas dalība ES stiprinātu gan tās nacionālās intereses, gan ES ģeopolitisko noturību, novēršot kritiskās nepilnības tās kolektīvajā aizsardzībā (jo īpaši attiecībā uz GIUK plaisu), izpētīt dziļāku sadarbību ar Norvēģiju, tostarp Līguma par Eiropas Savienību 42. panta 7. punkta iespējamo attiecināšanu uz Norvēģiju un Norvēģijas iespējamo pievienošanos ES; </w:t>
            </w:r>
            <w:r>
              <w:rPr>
                <w:b/>
                <w:i/>
              </w:rPr>
              <w:t>aktīvi sadarboties ar Norvēģijas valdību, lai veicinātu priekšrocības, ko sniedz dalība ES un ekonomisko attiecību padziļināšana Eiropas vienotajā tirgū;</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j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rPr>
                <w:b/>
                <w:i/>
              </w:rPr>
              <w:t>ņemot vērā, ka Norvēģijas dalība ES stiprinātu gan tās nacionālās intereses, gan ES ģeopolitisko noturību, novēršot kritiskās nepilnības tās kolektīvajā aizsardzībā (jo īpaši attiecībā uz GIUK plaisu</w:t>
            </w:r>
            <w:r>
              <w:t xml:space="preserve">), izpētīt dziļāku sadarbību ar Norvēģiju, tostarp Līguma par Eiropas Savienību 42. panta 7. punkta iespējamo attiecināšanu uz Norvēģiju </w:t>
            </w:r>
            <w:r>
              <w:rPr>
                <w:b/>
                <w:i/>
              </w:rPr>
              <w:t>un Norvēģijas iespējamo pievienošanos ES</w:t>
            </w:r>
            <w:r>
              <w:t>;</w:t>
            </w:r>
          </w:p>
        </w:tc>
        <w:tc>
          <w:tcPr>
            <w:tcW w:w="4876" w:type="dxa"/>
            <w:tcBorders>
              <w:top w:val="nil"/>
              <w:left w:val="nil"/>
              <w:bottom w:val="nil"/>
              <w:right w:val="nil"/>
            </w:tcBorders>
          </w:tcPr>
          <w:p>
            <w:pPr>
              <w:pStyle w:val="Normal6a"/>
            </w:pPr>
            <w:r>
              <w:t>j)</w:t>
            </w:r>
            <w:r>
              <w:tab/>
            </w:r>
            <w:r>
              <w:rPr>
                <w:b/>
                <w:i/>
              </w:rPr>
              <w:t>tā kā Norvēģija, izmantojot referendumus, divas reizes ir noraidījusi dalību ES un, neraugoties uz to, piedalās Eiropas vienotajā tirgū ar Eiropas Ekonomikas zonas (EEZ</w:t>
            </w:r>
            <w:r>
              <w:t xml:space="preserve">) </w:t>
            </w:r>
            <w:r>
              <w:rPr>
                <w:b/>
                <w:i/>
              </w:rPr>
              <w:t>un Eiropas Brīvās tirdzniecības asociācijas (EBTA) starpniecību</w:t>
            </w:r>
            <w:r>
              <w:t xml:space="preserve">, </w:t>
            </w:r>
            <w:r>
              <w:rPr>
                <w:b/>
                <w:i/>
              </w:rPr>
              <w:t>atbalstī iespēju</w:t>
            </w:r>
            <w:r>
              <w:t xml:space="preserve"> izpētīt dziļāku sadarbību ar Norvēģiju, tostarp Līguma par Eiropas Savienību 42. panta 7. punkta iespējamo attiecināšanu uz Norvēģiju;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j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ņemot vērā, ka Norvēģijas dalība ES stiprinātu gan tās nacionālās intereses, gan ES ģeopolitisko noturību, novēršot kritiskās nepilnības tās kolektīvajā aizsardzībā (jo īpaši attiecībā uz GIUK plaisu), izpētīt dziļāku sadarbību ar Norvēģiju, tostarp Līguma par Eiropas Savienību 42. panta 7. punkta iespējamo attiecināšanu uz Norvēģiju un Norvēģijas iespējamo pievienošanos ES;</w:t>
            </w:r>
          </w:p>
        </w:tc>
        <w:tc>
          <w:tcPr>
            <w:tcW w:w="4876" w:type="dxa"/>
            <w:tcBorders>
              <w:top w:val="nil"/>
              <w:left w:val="nil"/>
              <w:bottom w:val="nil"/>
              <w:right w:val="nil"/>
            </w:tcBorders>
          </w:tcPr>
          <w:p>
            <w:pPr>
              <w:pStyle w:val="Normal6a"/>
            </w:pPr>
            <w:r>
              <w:t>j)</w:t>
            </w:r>
            <w:r>
              <w:tab/>
            </w:r>
            <w:r>
              <w:t xml:space="preserve">ņemot vērā, ka Norvēģijas dalība ES stiprinātu gan tās nacionālās intereses, gan ES ģeopolitisko noturību, novēršot kritiskās nepilnības tās kolektīvajā aizsardzībā (jo īpaši attiecībā uz GIUK plaisu), izpētīt dziļāku sadarbību ar Norvēģiju, tostarp Līguma par Eiropas Savienību 42. panta 7. punkta iespējamo attiecināšanu uz Norvēģiju un Norvēģijas iespējamo pievienošanos ES; </w:t>
            </w:r>
            <w:r>
              <w:rPr>
                <w:b/>
                <w:i/>
              </w:rPr>
              <w:t>atzīst Norvēģiju par svarīgu ES un NATO sabiedroto;</w:t>
            </w:r>
            <w:r>
              <w:t xml:space="preserve"> </w:t>
            </w:r>
            <w:r>
              <w:rPr>
                <w:b/>
                <w:i/>
              </w:rPr>
              <w:t>norāda, ka joprojām ir jāstiprina sadarbība drošības un aizsardzības jomā, pilnībā ievērojot NATO saistības;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j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ņemot vērā, ka Norvēģijas dalība ES stiprinātu gan tās nacionālās intereses, gan ES ģeopolitisko noturību, novēršot kritiskās nepilnības tās kolektīvajā aizsardzībā (jo īpaši </w:t>
            </w:r>
            <w:r>
              <w:rPr>
                <w:b/>
                <w:i/>
              </w:rPr>
              <w:t>attiecībā uz GIUK plaisu</w:t>
            </w:r>
            <w:r>
              <w:t>)</w:t>
            </w:r>
            <w:r>
              <w:rPr>
                <w:b/>
                <w:i/>
              </w:rPr>
              <w:t>, izpētīt dziļāku sadarbību</w:t>
            </w:r>
            <w:r>
              <w:t xml:space="preserve"> ar Norvēģiju, </w:t>
            </w:r>
            <w:r>
              <w:rPr>
                <w:b/>
                <w:i/>
              </w:rPr>
              <w:t>tostarp Līguma par Eiropas Savienību 42. panta 7. punkta iespējamo attiecināšanu uz Norvēģiju un Norvēģijas iespējamo pievienošanos ES</w:t>
            </w:r>
            <w:r>
              <w:t>;</w:t>
            </w:r>
          </w:p>
        </w:tc>
        <w:tc>
          <w:tcPr>
            <w:tcW w:w="4876" w:type="dxa"/>
            <w:tcBorders>
              <w:top w:val="nil"/>
              <w:left w:val="nil"/>
              <w:bottom w:val="nil"/>
              <w:right w:val="nil"/>
            </w:tcBorders>
          </w:tcPr>
          <w:p>
            <w:pPr>
              <w:pStyle w:val="Normal6a"/>
            </w:pPr>
            <w:r>
              <w:t>j)</w:t>
            </w:r>
            <w:r>
              <w:tab/>
            </w:r>
            <w:r>
              <w:rPr>
                <w:b/>
                <w:i/>
              </w:rPr>
              <w:t>veicināt ciešāku sadarbību ar Norvēģiju, tostarp Līguma par Eiropas Savienību 42. panta 7. punkta iespējamo attiecināšanu uz Norvēģiju un Norvēģijas iespējamo pievienošanos ES,</w:t>
            </w:r>
            <w:r>
              <w:t xml:space="preserve"> ņemot vērā, ka Norvēģijas dalība ES stiprinātu gan tās nacionālās intereses, gan ES ģeopolitisko noturību, novēršot kritiskās nepilnības tās kolektīvajā aizsardzībā (jo īpaši </w:t>
            </w:r>
            <w:r>
              <w:rPr>
                <w:b/>
                <w:i/>
              </w:rPr>
              <w:t>jūras zonā starp Grenlandi, Islandi un Apvienoto Karalisti, tā sauktajā</w:t>
            </w:r>
            <w:r>
              <w:t xml:space="preserve"> </w:t>
            </w:r>
            <w:r>
              <w:rPr>
                <w:b/>
                <w:i/>
              </w:rPr>
              <w:t>GIUK plaisā</w:t>
            </w:r>
            <w:r>
              <w:t>)</w:t>
            </w:r>
            <w:r>
              <w:rPr>
                <w:b/>
                <w:i/>
              </w:rPr>
              <w:t>;</w:t>
            </w:r>
            <w:r>
              <w:t xml:space="preserve"> </w:t>
            </w:r>
            <w:r>
              <w:rPr>
                <w:b/>
                <w:i/>
              </w:rPr>
              <w:t>vienlaikus ņemt vērā, ka jau ir iespējama plaša sadarbība aizsardzības jomā</w:t>
            </w:r>
            <w:r>
              <w:t xml:space="preserve"> ar Norvēģiju, </w:t>
            </w:r>
            <w:r>
              <w:rPr>
                <w:b/>
                <w:i/>
              </w:rPr>
              <w:t>par ko liecina spēcīgā Ziemeļvalstu sadarbība aizsardzības jomā</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j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ņemot vērā, ka Norvēģijas </w:t>
            </w:r>
            <w:r>
              <w:rPr>
                <w:b/>
                <w:i/>
              </w:rPr>
              <w:t>dalība ES</w:t>
            </w:r>
            <w:r>
              <w:t xml:space="preserve"> stiprinātu gan tās nacionālās intereses, gan ES ģeopolitisko noturību, novēršot kritiskās nepilnības tās kolektīvajā aizsardzībā (jo īpaši attiecībā uz GIUK plaisu), izpētīt dziļāku sadarbību ar Norvēģiju, tostarp Līguma par Eiropas Savienību 42. panta 7. punkta iespējamo attiecināšanu uz Norvēģiju </w:t>
            </w:r>
            <w:r>
              <w:rPr>
                <w:b/>
                <w:i/>
              </w:rPr>
              <w:t>un Norvēģijas iespējamo pievienošanos ES</w:t>
            </w:r>
            <w:r>
              <w:t>;</w:t>
            </w:r>
          </w:p>
        </w:tc>
        <w:tc>
          <w:tcPr>
            <w:tcW w:w="4876" w:type="dxa"/>
            <w:tcBorders>
              <w:top w:val="nil"/>
              <w:left w:val="nil"/>
              <w:bottom w:val="nil"/>
              <w:right w:val="nil"/>
            </w:tcBorders>
          </w:tcPr>
          <w:p>
            <w:pPr>
              <w:pStyle w:val="Normal6a"/>
            </w:pPr>
            <w:r>
              <w:t>j)</w:t>
            </w:r>
            <w:r>
              <w:tab/>
            </w:r>
            <w:r>
              <w:t xml:space="preserve">ņemot vērā, ka Norvēģijas </w:t>
            </w:r>
            <w:r>
              <w:rPr>
                <w:b/>
                <w:i/>
              </w:rPr>
              <w:t>nozīmīgā loma</w:t>
            </w:r>
            <w:r>
              <w:t xml:space="preserve"> stiprinātu gan tās nacionālās intereses, gan ES ģeopolitisko noturību, novēršot kritiskās nepilnības tās kolektīvajā aizsardzībā (jo īpaši attiecībā uz GIUK plaisu), izpētīt dziļāku sadarbību ar Norvēģiju, tostarp Līguma par Eiropas Savienību 42. panta 7. punkta iespējamo attiecināšanu uz Norvēģiju;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k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ņemot vērā Norvēģijas izšķirošo lomu ES enerģētiskajā drošībā, uzlabot sadarbību energoapgādes noturības un piegādes dažādošanas jomā, kas ir svarīgs instruments virzībā uz ES stratēģisko autonomiju;</w:t>
            </w:r>
          </w:p>
        </w:tc>
        <w:tc>
          <w:tcPr>
            <w:tcW w:w="4876" w:type="dxa"/>
            <w:tcBorders>
              <w:top w:val="nil"/>
              <w:left w:val="nil"/>
              <w:bottom w:val="nil"/>
              <w:right w:val="nil"/>
            </w:tcBorders>
          </w:tcPr>
          <w:p>
            <w:pPr>
              <w:pStyle w:val="Normal6a"/>
            </w:pPr>
            <w:r>
              <w:t>k)</w:t>
            </w:r>
            <w:r>
              <w:tab/>
            </w:r>
            <w:r>
              <w:t xml:space="preserve">ņemot vērā Norvēģijas izšķirošo lomu ES enerģētiskajā drošībā, uzlabot sadarbību energoapgādes noturības un piegādes dažādošanas jomā, kas ir svarīgs instruments virzībā uz ES stratēģisko autonomiju; </w:t>
            </w:r>
            <w:r>
              <w:rPr>
                <w:b/>
                <w:i/>
              </w:rPr>
              <w:t>attiecībā uz enerģētisko autonomiju Norvēģija 2024. gadā veidoja vairāk nekā 30 % no Eiropas Savienības gāzes importa.</w:t>
            </w:r>
            <w:r>
              <w:t xml:space="preserve"> </w:t>
            </w:r>
            <w:r>
              <w:rPr>
                <w:b/>
                <w:i/>
              </w:rPr>
              <w:t>Tajā pašā laikā stratēģiskie infrastruktūras projekti, piemēram, Baltijas jūras gāzes koridors, vēl vairāk uzlabo Savienības noturību un palīdz samazināt tās atkarību no Krievijas piegādēm;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k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ņemot vērā Norvēģijas izšķirošo lomu ES enerģētiskajā drošībā, uzlabot sadarbību energoapgādes noturības un piegādes dažādošanas jomā, kas ir svarīgs instruments virzībā uz ES stratēģisko autonomiju;</w:t>
            </w:r>
          </w:p>
        </w:tc>
        <w:tc>
          <w:tcPr>
            <w:tcW w:w="4876" w:type="dxa"/>
            <w:tcBorders>
              <w:top w:val="nil"/>
              <w:left w:val="nil"/>
              <w:bottom w:val="nil"/>
              <w:right w:val="nil"/>
            </w:tcBorders>
          </w:tcPr>
          <w:p>
            <w:pPr>
              <w:pStyle w:val="Normal6a"/>
            </w:pPr>
            <w:r>
              <w:t>k)</w:t>
            </w:r>
            <w:r>
              <w:tab/>
            </w:r>
            <w:r>
              <w:t xml:space="preserve">ņemot vērā Norvēģijas izšķirošo lomu ES enerģētiskajā drošībā, uzlabot sadarbību energoapgādes noturības un piegādes dažādošanas jomā, kas ir svarīgs instruments virzībā uz ES stratēģisko autonomiju; </w:t>
            </w:r>
            <w:r>
              <w:rPr>
                <w:b/>
                <w:i/>
              </w:rPr>
              <w:t>atzinīgi vērtē Norvēģijas pastāvīgo atbalstu Ukrainai, tostarp pēdējo lēmumu piešķirt gandrīz 600 miljonus EUR Ukrainas gaisa aizsardzības sistēmai;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ka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atzīstot, ka Krievija savu Arktikas ogļūdeņražu eksportu izmanto, lai finansētu agresiju pret Ukrainu, paātrināt ES EEZ centienus samazināt atkarību no Krievijas LNG, dažādot Arktikas enerģētikas partnerības (jo īpaši ar Norvēģiju, Islandi, Grenlandi) un sasaistīt tās ar ES stratēģiskās autonomijas programmu;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l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ņemot vērā Grenlandes pieaugošo nozīmi Arktikas un Eiropas drošības sistēmās</w:t>
            </w:r>
            <w:r>
              <w:rPr>
                <w:b/>
                <w:i/>
              </w:rPr>
              <w:t>, kā arī pieaugošo Grenlandes iedzīvotāju atbalstu dalībai ES, par ko liecina aptaujas, kas norāda, ka aptuveni 60 % Grenlandes iedzīvotāju tagad atbalsta atgriešanos ES</w:t>
            </w:r>
            <w:r>
              <w:t>, atzinīgi vērtēt Grenlandes valdības iespējamo iniciatīvu stiprināt politiskās, institucionālās un ekonomiskās saites ar ES un mudināt ES iesaistīties dziļākās stratēģiskās un ekonomiskās partnerībās</w:t>
            </w:r>
            <w:r>
              <w:rPr>
                <w:b/>
                <w:i/>
              </w:rPr>
              <w:t>, tostarp saistībā ar iespējamo pievienošanos, ja un kad Grenlandes iedzīvotāji to vēlas</w:t>
            </w:r>
            <w:r>
              <w:t xml:space="preserve">; šajā sakarībā uzsver, ka </w:t>
            </w:r>
            <w:r>
              <w:rPr>
                <w:b/>
                <w:i/>
              </w:rPr>
              <w:t>dalība</w:t>
            </w:r>
            <w:r>
              <w:t xml:space="preserve"> ES dotu Grenlandei </w:t>
            </w:r>
            <w:r>
              <w:rPr>
                <w:b/>
                <w:i/>
              </w:rPr>
              <w:t>lielāku ietekmi Arktikas pārvaldībā un</w:t>
            </w:r>
            <w:r>
              <w:t xml:space="preserve"> līdzekļus kritiskās infrastruktūras attīstībai, parādoties jauniem ziemeļu tirdzniecības maršrutiem, vienlaikus stiprinot tās drošību;</w:t>
            </w:r>
          </w:p>
        </w:tc>
        <w:tc>
          <w:tcPr>
            <w:tcW w:w="4876" w:type="dxa"/>
            <w:tcBorders>
              <w:top w:val="nil"/>
              <w:left w:val="nil"/>
              <w:bottom w:val="nil"/>
              <w:right w:val="nil"/>
            </w:tcBorders>
          </w:tcPr>
          <w:p>
            <w:pPr>
              <w:pStyle w:val="Normal6a"/>
            </w:pPr>
            <w:r>
              <w:t>l)</w:t>
            </w:r>
            <w:r>
              <w:tab/>
            </w:r>
            <w:r>
              <w:t xml:space="preserve">ņemot vērā Grenlandes pieaugošo nozīmi Arktikas un Eiropas drošības sistēmās, atzinīgi vērtēt Grenlandes valdības iespējamo iniciatīvu stiprināt politiskās, institucionālās un ekonomiskās saites ar ES un mudināt ES iesaistīties dziļākās stratēģiskās un ekonomiskās partnerībās; šajā sakarībā uzsver, ka ES </w:t>
            </w:r>
            <w:r>
              <w:rPr>
                <w:b/>
                <w:i/>
              </w:rPr>
              <w:t>iniciatīvas, tostarp Iris</w:t>
            </w:r>
            <w:r>
              <w:rPr>
                <w:b/>
                <w:i/>
                <w:vertAlign w:val="superscript"/>
              </w:rPr>
              <w:t>2</w:t>
            </w:r>
            <w:r>
              <w:t xml:space="preserve"> </w:t>
            </w:r>
            <w:r>
              <w:rPr>
                <w:b/>
                <w:i/>
              </w:rPr>
              <w:t>and Galileo</w:t>
            </w:r>
            <w:r>
              <w:t xml:space="preserve"> dotu Grenlandei līdzekļus kritiskās infrastruktūras attīstībai, parādoties jauniem ziemeļu tirdzniecības maršrutiem, vienlaikus stiprinot tās drošību;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l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ņemot vērā Grenlandes pieaugošo nozīmi Arktikas un Eiropas drošības sistēmās, </w:t>
            </w:r>
            <w:r>
              <w:rPr>
                <w:b/>
                <w:i/>
              </w:rPr>
              <w:t>kā arī pieaugošo Grenlandes iedzīvotāju atbalstu dalībai ES, par ko liecina aptaujas, kas norāda, ka aptuveni 60 % Grenlandes iedzīvotāju tagad atbalsta atgriešanos ES,</w:t>
            </w:r>
            <w:r>
              <w:t xml:space="preserve"> atzinīgi vērtēt Grenlandes valdības iespējamo iniciatīvu stiprināt politiskās, institucionālās un ekonomiskās saites ar ES un </w:t>
            </w:r>
            <w:r>
              <w:rPr>
                <w:b/>
                <w:i/>
              </w:rPr>
              <w:t>mudināt</w:t>
            </w:r>
            <w:r>
              <w:t xml:space="preserve"> ES iesaistīties dziļākās stratēģiskās un ekonomiskās partnerībās</w:t>
            </w:r>
            <w:r>
              <w:rPr>
                <w:b/>
                <w:i/>
              </w:rPr>
              <w:t>, tostarp saistībā ar iespējamo pievienošanos, ja un kad Grenlandes iedzīvotāji to vēlas</w:t>
            </w:r>
            <w:r>
              <w:t xml:space="preserve">; </w:t>
            </w:r>
            <w:r>
              <w:rPr>
                <w:b/>
                <w:i/>
              </w:rPr>
              <w:t>šajā sakarībā uzsver, ka dalība ES dotu Grenlandei lielāku ietekmi Arktikas pārvaldībā un līdzekļus kritiskās infrastruktūras attīstībai, parādoties jauniem ziemeļu tirdzniecības maršrutiem, vienlaikus stiprinot tās drošību;</w:t>
            </w:r>
          </w:p>
        </w:tc>
        <w:tc>
          <w:tcPr>
            <w:tcW w:w="4876" w:type="dxa"/>
            <w:tcBorders>
              <w:top w:val="nil"/>
              <w:left w:val="nil"/>
              <w:bottom w:val="nil"/>
              <w:right w:val="nil"/>
            </w:tcBorders>
          </w:tcPr>
          <w:p>
            <w:pPr>
              <w:pStyle w:val="Normal6a"/>
            </w:pPr>
            <w:r>
              <w:t>l)</w:t>
            </w:r>
            <w:r>
              <w:tab/>
            </w:r>
            <w:r>
              <w:rPr>
                <w:b/>
                <w:i/>
              </w:rPr>
              <w:t>tā kā Grenlande kā Dānijas teritorija no 1973. gada līdz tās izstāšanās dienai 1985. gadā pēc referenduma bija daļa no Eiropas Ekonomikas kopienas (EEK);</w:t>
            </w:r>
            <w:r>
              <w:t xml:space="preserve"> ņemot vērā Grenlandes pieaugošo nozīmi Arktikas un Eiropas drošības sistēmās, atzinīgi vērtēt Grenlandes valdības iespējamo iniciatīvu</w:t>
            </w:r>
            <w:r>
              <w:rPr>
                <w:b/>
                <w:i/>
              </w:rPr>
              <w:t>, kuras mērķis ir</w:t>
            </w:r>
            <w:r>
              <w:t xml:space="preserve"> stiprināt </w:t>
            </w:r>
            <w:r>
              <w:rPr>
                <w:b/>
                <w:i/>
              </w:rPr>
              <w:t>tās</w:t>
            </w:r>
            <w:r>
              <w:t xml:space="preserve"> politiskās, institucionālās un ekonomiskās saites ar ES un </w:t>
            </w:r>
            <w:r>
              <w:rPr>
                <w:b/>
                <w:i/>
              </w:rPr>
              <w:t>mudinā</w:t>
            </w:r>
            <w:r>
              <w:t xml:space="preserve"> ES iesaistīties dziļākās stratēģiskās un ekonomiskās partnerībās;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l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ņemot vērā Grenlandes pieaugošo nozīmi Arktikas un Eiropas drošības sistēmās, kā arī pieaugošo Grenlandes iedzīvotāju atbalstu dalībai ES, par ko liecina aptaujas, kas norāda, ka aptuveni 60 % Grenlandes iedzīvotāju tagad atbalsta atgriešanos ES, atzinīgi vērtēt Grenlandes valdības iespējamo iniciatīvu stiprināt politiskās, institucionālās un ekonomiskās saites ar ES un mudināt ES iesaistīties dziļākās stratēģiskās un ekonomiskās partnerībās, tostarp saistībā ar iespējamo pievienošanos, ja un kad Grenlandes iedzīvotāji to vēlas; šajā sakarībā uzsver, ka dalība ES dotu Grenlandei lielāku ietekmi Arktikas pārvaldībā un līdzekļus kritiskās infrastruktūras </w:t>
            </w:r>
            <w:r>
              <w:rPr>
                <w:b/>
                <w:i/>
              </w:rPr>
              <w:t>attīstībai</w:t>
            </w:r>
            <w:r>
              <w:t>, parādoties jauniem ziemeļu tirdzniecības maršrutiem, vienlaikus stiprinot tās drošību;</w:t>
            </w:r>
          </w:p>
        </w:tc>
        <w:tc>
          <w:tcPr>
            <w:tcW w:w="4876" w:type="dxa"/>
            <w:tcBorders>
              <w:top w:val="nil"/>
              <w:left w:val="nil"/>
              <w:bottom w:val="nil"/>
              <w:right w:val="nil"/>
            </w:tcBorders>
          </w:tcPr>
          <w:p>
            <w:pPr>
              <w:pStyle w:val="Normal6a"/>
            </w:pPr>
            <w:r>
              <w:t>l)</w:t>
            </w:r>
            <w:r>
              <w:tab/>
            </w:r>
            <w:r>
              <w:t xml:space="preserve">ņemot vērā Grenlandes pieaugošo nozīmi Arktikas un Eiropas drošības sistēmās, kā arī pieaugošo Grenlandes iedzīvotāju atbalstu dalībai ES, par ko liecina aptaujas, kas norāda, ka aptuveni 60 % Grenlandes iedzīvotāju tagad atbalsta atgriešanos ES, atzinīgi vērtēt Grenlandes valdības iespējamo iniciatīvu stiprināt politiskās, institucionālās un ekonomiskās saites ar ES un mudināt ES iesaistīties dziļākās stratēģiskās un ekonomiskās partnerībās, tostarp saistībā ar iespējamo pievienošanos, ja un kad Grenlandes iedzīvotāji to vēlas; šajā sakarībā uzsver, ka dalība ES dotu Grenlandei lielāku ietekmi Arktikas pārvaldībā un līdzekļus </w:t>
            </w:r>
            <w:r>
              <w:rPr>
                <w:b/>
                <w:i/>
              </w:rPr>
              <w:t>aizsargāt tās kritisko ekosistēmu un panākt ilgtspējīgu</w:t>
            </w:r>
            <w:r>
              <w:t xml:space="preserve"> kritiskās infrastruktūras </w:t>
            </w:r>
            <w:r>
              <w:rPr>
                <w:b/>
                <w:i/>
              </w:rPr>
              <w:t>attīstību</w:t>
            </w:r>
            <w:r>
              <w:t>, parādoties jauniem ziemeļu tirdzniecības maršrutiem, vienlaikus stiprinot tās drošību;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l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ņemot vērā Grenlandes pieaugošo nozīmi Arktikas un Eiropas drošības sistēmās, kā arī pieaugošo Grenlandes iedzīvotāju atbalstu dalībai ES, par ko liecina aptaujas, kas norāda, ka aptuveni 60 % Grenlandes iedzīvotāju tagad atbalsta atgriešanos ES, atzinīgi vērtēt Grenlandes valdības iespējamo iniciatīvu stiprināt politiskās, institucionālās un ekonomiskās saites ar ES un mudināt ES iesaistīties dziļākās stratēģiskās un ekonomiskās partnerībās, tostarp saistībā ar iespējamo pievienošanos, ja un kad Grenlandes iedzīvotāji to vēlas; šajā sakarībā uzsver, ka dalība ES dotu Grenlandei lielāku ietekmi Arktikas pārvaldībā un līdzekļus kritiskās infrastruktūras attīstībai, parādoties jauniem ziemeļu tirdzniecības maršrutiem, vienlaikus stiprinot tās drošību;</w:t>
            </w:r>
          </w:p>
        </w:tc>
        <w:tc>
          <w:tcPr>
            <w:tcW w:w="4876" w:type="dxa"/>
            <w:tcBorders>
              <w:top w:val="nil"/>
              <w:left w:val="nil"/>
              <w:bottom w:val="nil"/>
              <w:right w:val="nil"/>
            </w:tcBorders>
          </w:tcPr>
          <w:p>
            <w:pPr>
              <w:pStyle w:val="Normal6a"/>
            </w:pPr>
            <w:r>
              <w:t>l)</w:t>
            </w:r>
            <w:r>
              <w:tab/>
            </w:r>
            <w:r>
              <w:t xml:space="preserve">ņemot vērā Grenlandes pieaugošo nozīmi Arktikas un Eiropas drošības sistēmās, kā arī pieaugošo Grenlandes iedzīvotāju atbalstu dalībai ES, par ko liecina aptaujas, kas norāda, ka aptuveni 60 % Grenlandes iedzīvotāju tagad atbalsta atgriešanos ES, atzinīgi vērtēt Grenlandes valdības iespējamo iniciatīvu stiprināt politiskās, institucionālās un ekonomiskās saites ar ES un mudināt ES iesaistīties dziļākās stratēģiskās un ekonomiskās partnerībās, tostarp saistībā ar iespējamo pievienošanos, ja un kad Grenlandes iedzīvotāji to vēlas; šajā sakarībā uzsver, ka dalība ES dotu Grenlandei lielāku ietekmi Arktikas pārvaldībā un līdzekļus kritiskās infrastruktūras attīstībai, parādoties jauniem ziemeļu tirdzniecības maršrutiem, vienlaikus stiprinot tās drošību </w:t>
            </w:r>
            <w:r>
              <w:rPr>
                <w:b/>
                <w:i/>
              </w:rPr>
              <w:t>un ekonomikas attīstību</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stiprināt sadarbību ar Kanādu;</w:t>
            </w:r>
          </w:p>
        </w:tc>
        <w:tc>
          <w:tcPr>
            <w:tcW w:w="4876" w:type="dxa"/>
            <w:tcBorders>
              <w:top w:val="nil"/>
              <w:left w:val="nil"/>
              <w:bottom w:val="nil"/>
              <w:right w:val="nil"/>
            </w:tcBorders>
          </w:tcPr>
          <w:p>
            <w:pPr>
              <w:pStyle w:val="Normal6a"/>
            </w:pPr>
            <w:r>
              <w:t>m)</w:t>
            </w:r>
            <w:r>
              <w:tab/>
            </w:r>
            <w:r>
              <w:rPr>
                <w:b/>
                <w:i/>
              </w:rPr>
              <w:t>ņemot vērā to, ka Kanāda ir nozīmīga Arktikas pārvaldības dalībniece, viena no Arktikas Padomes dibinātājām un Eiropas Savienības stratēģiskā partnere, būtiski</w:t>
            </w:r>
            <w:r>
              <w:t xml:space="preserve"> stiprināt </w:t>
            </w:r>
            <w:r>
              <w:rPr>
                <w:b/>
                <w:i/>
              </w:rPr>
              <w:t>politisko, ekonomisko, vides un drošības</w:t>
            </w:r>
            <w:r>
              <w:t xml:space="preserve"> sadarbību ar Kanādu </w:t>
            </w:r>
            <w:r>
              <w:rPr>
                <w:b/>
                <w:i/>
              </w:rPr>
              <w:t>Arktikas reģionā</w:t>
            </w:r>
            <w:r>
              <w:t xml:space="preserve">; </w:t>
            </w:r>
            <w:r>
              <w:rPr>
                <w:b/>
                <w:i/>
              </w:rPr>
              <w:t>izveidot strukturētu un regulāru dialogu saistībā ar Visaptverošo ekonomikas un tirdzniecības nolīgumu (CETA), galveno uzmanību pievēršot:</w:t>
            </w:r>
            <w:r>
              <w:t xml:space="preserve"> </w:t>
            </w:r>
            <w:r>
              <w:rPr>
                <w:b/>
                <w:i/>
              </w:rPr>
              <w:t>Arktikas ekosistēmu un bioloģiskās daudzveidības aizsardzība, starptautisko vides standartu īstenošana resursu izmantošanas jomā, ilgtspējīgas un noturīgas infrastruktūras attīstība, Arktikas jūras ceļu drošība un vietējo zināšanu iekļaušana lēmumu pieņemšanas procesos;</w:t>
            </w:r>
            <w:r>
              <w:t xml:space="preserve"> </w:t>
            </w:r>
            <w:r>
              <w:rPr>
                <w:b/>
                <w:i/>
              </w:rPr>
              <w:t>veicināt ciešāku sadarbību zinātniskajā pētniecībā, lai atbalstītu klimatnoturību un tehnoloģisko inovāciju Arktikas reģionos;</w:t>
            </w:r>
            <w:r>
              <w:t xml:space="preserve"> </w:t>
            </w:r>
            <w:r>
              <w:rPr>
                <w:b/>
                <w:i/>
              </w:rPr>
              <w:t>izpētīt kopīgus mehānismus enerģētiskās drošības un kiberdrošības stiprināšanai Arktikas kontekstā;</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stiprināt sadarbību ar Kanādu;</w:t>
            </w:r>
          </w:p>
        </w:tc>
        <w:tc>
          <w:tcPr>
            <w:tcW w:w="4876" w:type="dxa"/>
            <w:tcBorders>
              <w:top w:val="nil"/>
              <w:left w:val="nil"/>
              <w:bottom w:val="nil"/>
              <w:right w:val="nil"/>
            </w:tcBorders>
          </w:tcPr>
          <w:p>
            <w:pPr>
              <w:pStyle w:val="Normal6a"/>
            </w:pPr>
            <w:r>
              <w:t>m)</w:t>
            </w:r>
            <w:r>
              <w:tab/>
            </w:r>
            <w:r>
              <w:t xml:space="preserve">stiprināt sadarbību ar Kanādu </w:t>
            </w:r>
            <w:r>
              <w:rPr>
                <w:b/>
                <w:i/>
              </w:rPr>
              <w:t>un atgādināt, ka mums ir līdzīgas problēmas Arktikā</w:t>
            </w:r>
            <w:r>
              <w:t xml:space="preserve">; </w:t>
            </w:r>
            <w:r>
              <w:rPr>
                <w:b/>
                <w:i/>
              </w:rPr>
              <w:t>uzsvērt nepieciešamību pastiprināt sadarbību drošības jomā Arktikā, lai cīnītos pret Krievijas un Ķīnas aizvien ļaunprātīgākajām darbībām Arktikā;</w:t>
            </w:r>
            <w:r>
              <w:t xml:space="preserve"> </w:t>
            </w:r>
            <w:r>
              <w:rPr>
                <w:b/>
                <w:i/>
              </w:rPr>
              <w:t>stiprināt ekonomisko attīstību Arktikā ar Kanādu, vienlaikus atgādinot, ka militārajai sadarbībai var būt arī divējāda ekonomiska funkcija, kam tad būtu jāstiprina vietējās kopienas;</w:t>
            </w:r>
            <w:r>
              <w:t xml:space="preserve"> </w:t>
            </w:r>
            <w:r>
              <w:rPr>
                <w:b/>
                <w:i/>
              </w:rPr>
              <w:t>uzsvērt iespējas, ko sniedz zinātniskā, kā arī kultūras sadarbība Arktikā ar Kanādu, kas var palīdzēt stiprināt pirmiedzīvotājus un dot viņiem pilnvērtīgas iespējas;</w:t>
            </w:r>
            <w:r>
              <w:t xml:space="preserve"> </w:t>
            </w:r>
            <w:r>
              <w:rPr>
                <w:b/>
                <w:i/>
              </w:rPr>
              <w:t>atgādināt par milzīgo potenciālu ES un Kanādas sadarbībai Kanādas dabas resursu izpētē;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stiprināt sadarbību ar Kanādu;</w:t>
            </w:r>
          </w:p>
        </w:tc>
        <w:tc>
          <w:tcPr>
            <w:tcW w:w="4876" w:type="dxa"/>
            <w:tcBorders>
              <w:top w:val="nil"/>
              <w:left w:val="nil"/>
              <w:bottom w:val="nil"/>
              <w:right w:val="nil"/>
            </w:tcBorders>
          </w:tcPr>
          <w:p>
            <w:pPr>
              <w:pStyle w:val="Normal6a"/>
            </w:pPr>
            <w:r>
              <w:t>m)</w:t>
            </w:r>
            <w:r>
              <w:tab/>
            </w:r>
            <w:r>
              <w:t xml:space="preserve">stiprināt sadarbību ar Kanādu </w:t>
            </w:r>
            <w:r>
              <w:rPr>
                <w:b/>
                <w:i/>
              </w:rPr>
              <w:t>un Amerikas Savienotajām Valstīm Arktikas pārvaldībā, ņemot vērā šo valstu un ES stratēģiskās intereses reģionā, kā arī to sadarbību jūru un okeānu aizsardzībā, tostarp jūras pētniecībā</w:t>
            </w:r>
            <w:r>
              <w:t xml:space="preserve">; </w:t>
            </w:r>
            <w:r>
              <w:rPr>
                <w:b/>
                <w:i/>
              </w:rPr>
              <w:t>atbalsta izlūkdatu apmaiņu un sadarbību hibrīddraudu un terorisma apkarošanā un aicina veidot strukturētu dialogu par migrāciju, tieslietām un iekšlietām;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stiprināt sadarbību ar Kanādu;</w:t>
            </w:r>
          </w:p>
        </w:tc>
        <w:tc>
          <w:tcPr>
            <w:tcW w:w="4876" w:type="dxa"/>
            <w:tcBorders>
              <w:top w:val="nil"/>
              <w:left w:val="nil"/>
              <w:bottom w:val="nil"/>
              <w:right w:val="nil"/>
            </w:tcBorders>
          </w:tcPr>
          <w:p>
            <w:pPr>
              <w:pStyle w:val="Normal6a"/>
            </w:pPr>
            <w:r>
              <w:t>m)</w:t>
            </w:r>
            <w:r>
              <w:tab/>
            </w:r>
            <w:r>
              <w:t>stiprināt sadarbību ar Kanādu</w:t>
            </w:r>
            <w:r>
              <w:rPr>
                <w:b/>
                <w:i/>
              </w:rPr>
              <w:t>, uzsverot ES un Kanādas partnerības stratēģisko nozīmi, ņemot vērā kopīgās demokrātiskās vērtības un globālo atbildību</w:t>
            </w:r>
            <w:r>
              <w:t xml:space="preserve">; </w:t>
            </w:r>
            <w:r>
              <w:rPr>
                <w:b/>
                <w:i/>
              </w:rPr>
              <w:t>veicināt drošības un aizsardzības partnerību, īpašu uzmanību pievēršot Arktikas reģionam, kā daļu no vērienīgas un tālredzīgas ES un Kanādas programmas;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stiprināt sadarbību ar Kanādu;</w:t>
            </w:r>
          </w:p>
        </w:tc>
        <w:tc>
          <w:tcPr>
            <w:tcW w:w="4876" w:type="dxa"/>
            <w:tcBorders>
              <w:top w:val="nil"/>
              <w:left w:val="nil"/>
              <w:bottom w:val="nil"/>
              <w:right w:val="nil"/>
            </w:tcBorders>
          </w:tcPr>
          <w:p>
            <w:pPr>
              <w:pStyle w:val="Normal6a"/>
            </w:pPr>
            <w:r>
              <w:t>m)</w:t>
            </w:r>
            <w:r>
              <w:tab/>
            </w:r>
            <w:r>
              <w:t>stiprināt sadarbību ar Kanādu</w:t>
            </w:r>
            <w:r>
              <w:rPr>
                <w:b/>
                <w:i/>
              </w:rPr>
              <w:t>, tostarp zinātnisko sadarbību, un saskaņā ar neseno drošības un aizsardzības partnerību, veicināt mieru Arktikā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stiprināt sadarbību ar Kanādu;</w:t>
            </w:r>
          </w:p>
        </w:tc>
        <w:tc>
          <w:tcPr>
            <w:tcW w:w="4876" w:type="dxa"/>
            <w:tcBorders>
              <w:top w:val="nil"/>
              <w:left w:val="nil"/>
              <w:bottom w:val="nil"/>
              <w:right w:val="nil"/>
            </w:tcBorders>
          </w:tcPr>
          <w:p>
            <w:pPr>
              <w:pStyle w:val="Normal6a"/>
            </w:pPr>
            <w:r>
              <w:t>m)</w:t>
            </w:r>
            <w:r>
              <w:tab/>
            </w:r>
            <w:r>
              <w:t>stiprināt sadarbību ar Kanādu</w:t>
            </w:r>
            <w:r>
              <w:rPr>
                <w:b/>
                <w:i/>
              </w:rPr>
              <w:t>, jo īpaši kalnrūpniecības, pirmiedzīvotāju partnerības modeļu un infrastruktūras jomā, kā arī politiskos un drošības jautājumos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stiprināt sadarbību ar Kanādu;</w:t>
            </w:r>
          </w:p>
        </w:tc>
        <w:tc>
          <w:tcPr>
            <w:tcW w:w="4876" w:type="dxa"/>
            <w:tcBorders>
              <w:top w:val="nil"/>
              <w:left w:val="nil"/>
              <w:bottom w:val="nil"/>
              <w:right w:val="nil"/>
            </w:tcBorders>
          </w:tcPr>
          <w:p>
            <w:pPr>
              <w:pStyle w:val="Normal6a"/>
            </w:pPr>
            <w:r>
              <w:t>m)</w:t>
            </w:r>
            <w:r>
              <w:tab/>
            </w:r>
            <w:r>
              <w:t>stiprināt sadarbību ar Kanādu</w:t>
            </w:r>
            <w:r>
              <w:rPr>
                <w:b/>
                <w:i/>
              </w:rPr>
              <w:t>, jo īpaši drošības un aizsardzības jautājumos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stiprināt sadarbību ar Kanādu;</w:t>
            </w:r>
          </w:p>
        </w:tc>
        <w:tc>
          <w:tcPr>
            <w:tcW w:w="4876" w:type="dxa"/>
            <w:tcBorders>
              <w:top w:val="nil"/>
              <w:left w:val="nil"/>
              <w:bottom w:val="nil"/>
              <w:right w:val="nil"/>
            </w:tcBorders>
          </w:tcPr>
          <w:p>
            <w:pPr>
              <w:pStyle w:val="Normal6a"/>
            </w:pPr>
            <w:r>
              <w:t>m)</w:t>
            </w:r>
            <w:r>
              <w:tab/>
            </w:r>
            <w:r>
              <w:rPr>
                <w:b/>
                <w:i/>
              </w:rPr>
              <w:t>pēc iespējas straujāk</w:t>
            </w:r>
            <w:r>
              <w:t xml:space="preserve"> stiprināt sadarbību ar Kanādu;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atzīt, ka Eiropas drošībai stratēģiski svarīga ir apdzīvota Arktika, pārrobežu infrastruktūra un noturīga sabiedrība;</w:t>
            </w:r>
            <w:r>
              <w:t xml:space="preserve"> </w:t>
            </w:r>
            <w:r>
              <w:rPr>
                <w:b/>
                <w:i/>
              </w:rPr>
              <w:t>tādēļ ES instrumentiem būtu aktīvi jāpievēršas pastiprinātai ekonomiskajai integrācijai Arktikas reģionā;</w:t>
            </w:r>
            <w:r>
              <w:t xml:space="preserve"> </w:t>
            </w:r>
            <w:r>
              <w:rPr>
                <w:b/>
                <w:i/>
              </w:rPr>
              <w:t>investīcijas pārrobežu infrastruktūrā palielina mobilitāti, stimulē inovāciju un uzņēmējdarbības attīstību un stiprina piegādes drošību un sadarbību gatavības jomā starp publiskā un privātā sektora dalībniekiem;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atzīt, ka Eiropas drošībai stratēģiski svarīga ir apdzīvota Arktika, pārrobežu infrastruktūra un noturīga sabiedrība;</w:t>
            </w:r>
            <w:r>
              <w:t xml:space="preserve"> </w:t>
            </w:r>
            <w:r>
              <w:rPr>
                <w:b/>
                <w:i/>
              </w:rPr>
              <w:t>tādēļ ES instrumentiem būtu aktīvi jāpievēršas pastiprinātai ekonomiskajai integrācijai Arktikas reģionā;</w:t>
            </w:r>
            <w:r>
              <w:t xml:space="preserve"> </w:t>
            </w:r>
            <w:r>
              <w:rPr>
                <w:b/>
                <w:i/>
              </w:rPr>
              <w:t>investīcijas pārrobežu infrastruktūrā palielina mobilitāti, stimulē inovāciju un uzņēmējdarbības attīstību un stiprina piegādes drošību un sadarbību gatavības jomā starp publiskā un privātā sektora dalībniekiem;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 Nr.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uzsvērt Arktikas Padomes kā galvenā Arktikas sadarbības foruma atdzīvināšanu, mudinot visas Arktikas valstis atsākt uz konsensu balstītas padomes darbības un atbalstīt ES kā novērotājas pieteikumu;</w:t>
            </w:r>
            <w:r>
              <w:t xml:space="preserve"> </w:t>
            </w:r>
            <w:r>
              <w:rPr>
                <w:b/>
                <w:i/>
              </w:rPr>
              <w:t>padziļināt ES iesaisti Arktikas Padomes darba grupās un kopīgās zinātniskajās programmās, lai risinātu vides un drošības problēmas;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veicināt ES un ASV dialogu par Arktiku;</w:t>
            </w:r>
            <w:r>
              <w:t xml:space="preserve"> </w:t>
            </w:r>
            <w:r>
              <w:rPr>
                <w:b/>
                <w:i/>
              </w:rPr>
              <w:t>uzsvērt daudzās kopīgās ES un ASV problēmas Arktikā, sākot ar klimatu un beidzot ar sadarbību drošības jomā;</w:t>
            </w:r>
            <w:r>
              <w:t xml:space="preserve"> </w:t>
            </w:r>
            <w:r>
              <w:rPr>
                <w:b/>
                <w:i/>
              </w:rPr>
              <w:t>uzsvērt, ka ES un ASV sadarbība Arktikā ir būtiska, lai ierobežotu Krieviju un Ķīnu un panāktu mūsu kopējo drošību;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stiprināt sadarbību ar Arktikas Padomes novērotājām valstīm, piemēram, Japānu un Dienvidkoreju, galveno uzmanību pievēršot ilgtspējīgām tehnoloģijām, ledlaušanas spējām un kuģošanas drošībai, vienlaikus aizsargājot ES stratēģiskās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atjaunot centienus atbalstīt ES pieteikumu par pastāvīga novērotāja statusa iegūšanu Arktikas Padomē;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stiprināt ES dalību Arktikas Padomes darba grupās;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aicina Eiropas Ārējās darbības dienestā (EĀDD) izveidot īpašu Arktikas vienību, lai veicinātu visaptverošāku un aktīvāku sadarbību ar Arktikas valstīm un ieinteresētajām personām;</w:t>
            </w:r>
            <w:r>
              <w:t xml:space="preserve"> </w:t>
            </w:r>
            <w:r>
              <w:rPr>
                <w:b/>
                <w:i/>
              </w:rPr>
              <w:t>uzsver, ka ES pret Arktiku būtu jāizturas kā pret ilgtermiņa partneri ilgtspējīgas labklājības jomā, par prioritāti nosakot sadarbību ekonomikas, vides un drošības jautājumos;</w:t>
            </w:r>
            <w:r>
              <w:t xml:space="preserve"> </w:t>
            </w:r>
            <w:r>
              <w:rPr>
                <w:b/>
                <w:i/>
              </w:rPr>
              <w:t>mudina EĀDD veidot ar Arktiku saistītas speciālās zināšanas, tostarp izmantojot darbinieku apmācību un ciešāku sadarbību ar Arktikas kopienām un iestādēm, un stiprināt ES līdzdalību Arktikas Padomes darba grupās;</w:t>
            </w:r>
            <w:r>
              <w:t xml:space="preserve"> </w:t>
            </w:r>
            <w:r>
              <w:rPr>
                <w:b/>
                <w:i/>
              </w:rPr>
              <w:t>uzsver, ka šī spēju veidošana ir jāatbalsta ar pietiekamu finansējumu, tostarp resursiem personāla apmācībai, pētniecībai un partnerības veidošanai ar Arktikas kopienām un iestādēm, lai nodrošinātu visaptverošu, uz informāciju balstītu, efektīvu un koordinētu pieeju ES Arktikas politikai;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uzsver, ka ir vajadzīgs spēcīgāks reģionālais dialogs ar līdzīgi domājošiem partneriem Arktikā, un aicina ES vadītājus apvienot līdzīgi domājošu Arktikas partneru vadītājus, lai izveidotu kopīgu, nozīmīgu un dzīvotspējīgu ilgtermiņa stratēģiju Arktikā;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padziļināt praktisko ES un NATO sadarbību Arktikā jomās, kas rada kopīgas bažas, tostarp tādās kā jūrlietu situācijas apzināšanās, kritiskās infrastruktūras aizsardzība, loģistika un meklēšanas un glābšanas operāciju sadarbspēja;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mb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stiprināt sadarbību Eiropas Arktikā un ar 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mc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ņemot vērā Krievijas agresiju Ukrainā un tās ietekmi uz Arktikas stabilitāti, mudināt pilnībā īstenot ES sankcijas attiecībā uz divējāda lietojuma tehnoloģijām, kas paredzētas Krievijas militārajai ekspansijai Arktikā, vienlaikus atbalstot Ukrainas iesaisti Arktikas pārvaldības struktūrās, tostarp novērotāja statusa perspektīvu attiecīgajos forumos, lai veicinātu noteikumos balstītu kārtību;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mc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stiprināt uzraudzību un izpildi, noteikt stingras sankcijas ēnu flotes kuģiem, kas izmanto izdevīguma karogus, lai izvairītos no sankcijām Arktikā, sadarboties starptautiskā mērogā, lai šādus kuģus iekļautu ostu un apdrošināšanas melnajā sarakstā, un saukt karoga valstis pilnībā pie atbildības par vides un drošības standartu ievērošanas nodrošināšanu;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md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md)</w:t>
            </w:r>
            <w:r>
              <w:tab/>
            </w:r>
            <w:r>
              <w:rPr>
                <w:b/>
                <w:i/>
              </w:rPr>
              <w:t>atzīstot, cik svarīga Arktikas kopienām un ES drošībai ir noturīga savienojamība, atbalstīt ziemeļu-ziemeļu infrastruktūras projektu izstrādi Zviedrijas un Somijas Arktikā, īpašu uzmanību pievēršot jaudas palielināšanai esošajā dzelzceļā no Somijas līdz Ziemeļu Ledus okeānam un jaunu multimodālu transporta savienojumu izpētei, lai stiprinātu ES un Ziemeļu savienojamību un militāro mobilitāti;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md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md)</w:t>
            </w:r>
            <w:r>
              <w:tab/>
            </w:r>
            <w:r>
              <w:rPr>
                <w:b/>
                <w:i/>
              </w:rPr>
              <w:t>izpētīt un izveidot oficiālu ES pārstāvniecību Fēru salās, lai stiprinātu politisko dialogu, uzlabotu sadarbību zivsaimniecības, klimatnoturības un ilgtspējīgas attīstības jomā un konsolidētu ES stratēģisko klātbūtni Ziemeļatlantijas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me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w:t>
            </w:r>
            <w:r>
              <w:tab/>
            </w:r>
            <w:r>
              <w:rPr>
                <w:b/>
                <w:i/>
              </w:rPr>
              <w:t>palielināt finansējumu un atbalstu sadarbībai ar galvenajām Arktikas iestādēm, piemēram, Arktikas Ekonomikas padomi, Arktikas pilsētu mēru forumu un Arktikas parlamentāriešu pastāvīgo komiteju, tostarp izmantojot spēju veidošanu, kopīgus projektus un pētniecības iniciatīvas, atzīstot to būtisko nozīmi ilgtspējīgas attīstības un vietējās iesaistes veicināšanā visā Arktikas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 – me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w:t>
            </w:r>
            <w:r>
              <w:tab/>
            </w:r>
            <w:r>
              <w:rPr>
                <w:b/>
                <w:i/>
              </w:rPr>
              <w:t>uzsver, ka Eiropai ir jāattīsta neatkarīga Arktikas reģionā darbotiesspējīga palaišanas spēja, lai nodrošinātu noturīgus satelītu pakalpojumus Tālajos ziemeļos;</w:t>
            </w:r>
            <w:r>
              <w:t xml:space="preserve"> </w:t>
            </w:r>
            <w:r>
              <w:rPr>
                <w:b/>
                <w:i/>
              </w:rPr>
              <w:t>uzsver, ka droši sakari, Zemes novērošana un uzticama navigācija ir būtiski faktori situācijas apzināšanā, reaģēšanā uz krīzēm un aizsardzībā un ka šādas spējas ir jāaizsargā pret traucēšanu, maldināšanu un naidīgu iejaukšanos;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pārskatīt Jūras stratēģijas pamatdirektīvu, lai paredzētu atkāpes vai samazinātu pašreizējos ierobežojumus tā, lai ES dalībvalstis varētu izdot izpētes licences stratēģisku derīgo izrakteņu ieguvei dziļjūrā, tostarp tādu izrakteņu ieguvei, kuri identificēti Kritiski svarīgo izejvielu aktā;</w:t>
            </w:r>
            <w:r>
              <w:t xml:space="preserve"> </w:t>
            </w:r>
            <w:r>
              <w:rPr>
                <w:b/>
                <w:i/>
              </w:rPr>
              <w:t>uzsver — lai gan vides aizsardzība joprojām ir būtiska, pārmērīgi augstu vides mērķu noteikšana pašlaik nav produktīva attiecībā uz tīrāku tehnoloģiju izvēršanu tirgū un rada ES dalībvalstu kritisku atkarību no Ķīnas un citām trešām valstīm attiecībā uz šādiem izrakteņiem;</w:t>
            </w:r>
            <w:r>
              <w:t xml:space="preserve"> </w:t>
            </w:r>
            <w:r>
              <w:rPr>
                <w:b/>
                <w:i/>
              </w:rPr>
              <w:t>uzsver, ka Norvēģijas modelis var piedāvāt ilgtspējīgu pieeju dziļjūras izrakteņu ieguves darbībām, saskaņojot stratēģiskās prasības ar vides apsvērumiem;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aktīvi tiekties panākt ES novērotājas vai dalībnieces statusu visās attiecīgajās Arktikas pārvaldības struktūrās, ja tāda vēl nav, tostarp palielināt lomu Arktikas Padomes darba grupās;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777.074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130</w:t>
    </w:r>
    <w:r>
      <w:fldChar w:fldCharType="end"/>
    </w:r>
    <w:r>
      <w:t>/</w:t>
    </w:r>
    <w:r>
      <w:fldChar w:fldCharType="begin"/>
    </w:r>
    <w:r>
      <w:instrText xml:space="preserve"> NUMPAGES </w:instrText>
    </w:r>
    <w:r>
      <w:fldChar w:fldCharType="separate"/>
    </w:r>
    <w:r>
      <w:t>131</w:t>
    </w:r>
    <w:r>
      <w:fldChar w:fldCharType="end"/>
    </w:r>
    <w:r>
      <w:tab/>
    </w:r>
    <w:r>
      <w:rPr>
        <w:rStyle w:val="HideTWBExt"/>
      </w:rPr>
      <w:t>&lt;PathFdR&gt;</w:t>
    </w:r>
    <w:r>
      <w:t>AM\1328133LV.docx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AM\1328133LV.docx</w:t>
    </w:r>
    <w:r>
      <w:rPr>
        <w:rStyle w:val="HideTWBExt"/>
      </w:rPr>
      <w:t>&lt;/PathFdR&gt;</w:t>
    </w:r>
    <w:r>
      <w:tab/>
    </w:r>
    <w:r>
      <w:fldChar w:fldCharType="begin"/>
    </w:r>
    <w:r>
      <w:instrText xml:space="preserve"> PAGE </w:instrText>
    </w:r>
    <w:r>
      <w:fldChar w:fldCharType="separate"/>
    </w:r>
    <w:r>
      <w:t>131</w:t>
    </w:r>
    <w:r>
      <w:fldChar w:fldCharType="end"/>
    </w:r>
    <w:r>
      <w:t>/</w:t>
    </w:r>
    <w:r>
      <w:fldChar w:fldCharType="begin"/>
    </w:r>
    <w:r>
      <w:instrText xml:space="preserve"> NUMPAGES </w:instrText>
    </w:r>
    <w:r>
      <w:fldChar w:fldCharType="separate"/>
    </w:r>
    <w:r>
      <w:t>131</w:t>
    </w:r>
    <w:r>
      <w:fldChar w:fldCharType="end"/>
    </w:r>
    <w:r>
      <w:tab/>
    </w:r>
    <w:r>
      <w:t>PE</w:t>
    </w:r>
    <w:r>
      <w:rPr>
        <w:rStyle w:val="HideTWBExt"/>
      </w:rPr>
      <w:t>&lt;NoPE&gt;</w:t>
    </w:r>
    <w:r>
      <w:t>777.074</w:t>
    </w:r>
    <w:r>
      <w:rPr>
        <w:rStyle w:val="HideTWBExt"/>
      </w:rPr>
      <w:t>&lt;/NoPE&gt;</w:t>
    </w:r>
    <w:r>
      <w:rPr>
        <w:rStyle w:val="HideTWBExt"/>
      </w:rPr>
      <w:t>&lt;Version&gt;</w:t>
    </w:r>
    <w:r>
      <w:t>v01-00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AM\1328133LV.docx</w:t>
    </w:r>
    <w:r>
      <w:rPr>
        <w:rStyle w:val="HideTWBExt"/>
      </w:rPr>
      <w:t>&lt;/PathFdR&gt;</w:t>
    </w:r>
    <w:r>
      <w:tab/>
    </w:r>
    <w:r>
      <w:tab/>
    </w:r>
    <w:r>
      <w:t>PE</w:t>
    </w:r>
    <w:r>
      <w:rPr>
        <w:rStyle w:val="HideTWBExt"/>
      </w:rPr>
      <w:t>&lt;NoPE&gt;</w:t>
    </w:r>
    <w:r>
      <w:t>777.074</w:t>
    </w:r>
    <w:r>
      <w:rPr>
        <w:rStyle w:val="HideTWBExt"/>
      </w:rPr>
      <w:t>&lt;/NoPE&gt;</w:t>
    </w:r>
    <w:r>
      <w:rPr>
        <w:rStyle w:val="HideTWBExt"/>
      </w:rPr>
      <w:t>&lt;Version&gt;</w:t>
    </w:r>
    <w:r>
      <w:t>v01-00</w:t>
    </w:r>
    <w:r>
      <w:rPr>
        <w:rStyle w:val="HideTWBExt"/>
      </w:rPr>
      <w:t>&lt;/Version&gt;</w:t>
    </w:r>
  </w:p>
  <w:p>
    <w:pPr>
      <w:pStyle w:val="EPFooter2"/>
    </w:pPr>
    <w:r>
      <w:t>LV</w:t>
    </w:r>
    <w:r>
      <w:tab/>
    </w:r>
    <w:r>
      <w:rPr>
        <w:rStyle w:val="EPFooter2Motto"/>
      </w:rPr>
      <w:t>Vienoti daudzveidībā</w:t>
    </w:r>
    <w:r>
      <w:tab/>
    </w:r>
    <w:r>
      <w:t>LV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131</Pages>
  <Words>21076</Words>
  <Characters>145188</Characters>
  <Application>Microsoft Office Word</Application>
  <DocSecurity>0</DocSecurity>
  <Lines>1</Lines>
  <Paragraphs>2450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1328133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253997</vt:lpwstr>
  </property>
  <property fmtid="{D5CDD505-2E9C-101B-9397-08002B2CF9AE}" pid="7" name="dmxml.render.traceId">
    <vt:lpwstr>68e4b36fa5f64aeed3dd09a9ec780fbf</vt:lpwstr>
  </property>
  <property fmtid="{D5CDD505-2E9C-101B-9397-08002B2CF9AE}" pid="8" name="FooterPath">
    <vt:lpwstr>AM\1328133LV.docx</vt:lpwstr>
  </property>
  <property fmtid="{D5CDD505-2E9C-101B-9397-08002B2CF9AE}" pid="9" name="PE Number">
    <vt:lpwstr>777.074</vt:lpwstr>
  </property>
  <property fmtid="{D5CDD505-2E9C-101B-9397-08002B2CF9AE}" pid="10" name="UID">
    <vt:lpwstr>eu.europa.europarl-DIN1-2025-0000175289_02.00-lv-01.00_text-xml</vt:lpwstr>
  </property>
</Properties>
</file>