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699</w:t>
      </w:r>
      <w:r>
        <w:t xml:space="preserve"> - </w:t>
      </w:r>
      <w:r>
        <w:t>825</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Attuazione della politica estera e di sicurezza comune – relazione annuale 2025</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ribadisce che l'azione esterna dell'UE è irrevocabilmente legata ai valori e ai principi sanciti dall'articolo 2, dall'articolo 3, paragrafo 5, e dall'articolo 21 TUE;</w:t>
            </w:r>
          </w:p>
        </w:tc>
        <w:tc>
          <w:tcPr>
            <w:tcW w:w="4876" w:type="dxa"/>
            <w:tcBorders>
              <w:top w:val="nil"/>
              <w:left w:val="nil"/>
              <w:bottom w:val="nil"/>
              <w:right w:val="nil"/>
            </w:tcBorders>
          </w:tcPr>
          <w:p>
            <w:pPr>
              <w:pStyle w:val="Normal6a"/>
            </w:pPr>
            <w:r>
              <w:t>30.</w:t>
            </w:r>
            <w:r>
              <w:tab/>
            </w:r>
            <w:r>
              <w:t xml:space="preserve">ribadisce che l'azione esterna dell'UE è irrevocabilmente legata ai valori e ai principi sanciti dall'articolo 2, dall'articolo 3, paragrafo 5, e dall'articolo 21 TUE; </w:t>
            </w:r>
            <w:r>
              <w:rPr>
                <w:b/>
                <w:i/>
              </w:rPr>
              <w:t>sostiene la recente decisione della Commissione di sospendere il sostegno bilaterale dell'UE a Israele e di interrompere tutti i pagamenti in tali settori, senza compromettere il lavoro dell'UE con la società civile israeliana o lo Yad Vashem;</w:t>
            </w:r>
            <w:r>
              <w:t xml:space="preserve"> </w:t>
            </w:r>
            <w:r>
              <w:rPr>
                <w:b/>
                <w:i/>
              </w:rPr>
              <w:t>appoggia la sospensione parziale dell'accordo di associazione UE-Israele per quanto riguarda le questioni commerciali;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ribadisce che l'azione esterna dell'UE è irrevocabilmente legata ai valori e ai principi sanciti dall'articolo 2, dall'articolo 3, paragrafo 5, e dall'articolo 21 TUE;</w:t>
            </w:r>
          </w:p>
        </w:tc>
        <w:tc>
          <w:tcPr>
            <w:tcW w:w="4876" w:type="dxa"/>
            <w:tcBorders>
              <w:top w:val="nil"/>
              <w:left w:val="nil"/>
              <w:bottom w:val="nil"/>
              <w:right w:val="nil"/>
            </w:tcBorders>
          </w:tcPr>
          <w:p>
            <w:pPr>
              <w:pStyle w:val="Normal6a"/>
            </w:pPr>
            <w:r>
              <w:t>30.</w:t>
            </w:r>
            <w:r>
              <w:tab/>
            </w:r>
            <w:r>
              <w:t>ribadisce che l'azione esterna dell'UE è irrevocabilmente legata ai valori e ai principi sanciti dall'articolo 2, dall'articolo 3, paragrafo 5, e dall'articolo 21 TUE</w:t>
            </w:r>
            <w:r>
              <w:rPr>
                <w:b/>
                <w:i/>
              </w:rPr>
              <w:t>, tra cui la sovranità, l'indipendenza e l'integrità territoriale di tutti gli Stati membri, in conformità alla Carta delle Nazioni Unite</w:t>
            </w:r>
            <w:r>
              <w:t xml:space="preserve">; </w:t>
            </w:r>
            <w:r>
              <w:rPr>
                <w:b/>
                <w:i/>
              </w:rPr>
              <w:t>sottolinea che tali principi si applicano anche a Cipro;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ribadisce che l'azione esterna dell'UE è irrevocabilmente legata ai valori e ai principi sanciti dall'articolo 2, dall'articolo 3, paragrafo 5, e dall'articolo 21 TUE;</w:t>
            </w:r>
          </w:p>
        </w:tc>
        <w:tc>
          <w:tcPr>
            <w:tcW w:w="4876" w:type="dxa"/>
            <w:tcBorders>
              <w:top w:val="nil"/>
              <w:left w:val="nil"/>
              <w:bottom w:val="nil"/>
              <w:right w:val="nil"/>
            </w:tcBorders>
          </w:tcPr>
          <w:p>
            <w:pPr>
              <w:pStyle w:val="Normal6a"/>
            </w:pPr>
            <w:r>
              <w:t>30.</w:t>
            </w:r>
            <w:r>
              <w:tab/>
            </w:r>
            <w:r>
              <w:t xml:space="preserve">ribadisce che l'azione esterna dell'UE è irrevocabilmente legata ai valori e ai principi sanciti dall'articolo 2, dall'articolo 3, paragrafo 5, e dall'articolo 21 TUE; </w:t>
            </w:r>
            <w:r>
              <w:rPr>
                <w:b/>
                <w:i/>
              </w:rPr>
              <w:t>deplora che alcune politiche dell'UE, anche nei confronti di Cuba, mettano in discussione tali valori e principi;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ribadisce che l'azione</w:t>
            </w:r>
            <w:r>
              <w:t xml:space="preserve"> esterna </w:t>
            </w:r>
            <w:r>
              <w:rPr>
                <w:b/>
                <w:i/>
              </w:rPr>
              <w:t>dell'UE è irrevocabilmente legata ai</w:t>
            </w:r>
            <w:r>
              <w:t xml:space="preserve"> valori e </w:t>
            </w:r>
            <w:r>
              <w:rPr>
                <w:b/>
                <w:i/>
              </w:rPr>
              <w:t>ai</w:t>
            </w:r>
            <w:r>
              <w:t xml:space="preserve"> principi sanciti </w:t>
            </w:r>
            <w:r>
              <w:rPr>
                <w:b/>
                <w:i/>
              </w:rPr>
              <w:t>dall'articolo 2, dall'articolo</w:t>
            </w:r>
            <w:r>
              <w:t xml:space="preserve"> 3, paragrafo 5, e </w:t>
            </w:r>
            <w:r>
              <w:rPr>
                <w:b/>
                <w:i/>
              </w:rPr>
              <w:t>dall'articolo</w:t>
            </w:r>
            <w:r>
              <w:t xml:space="preserve"> 21 TUE;</w:t>
            </w:r>
          </w:p>
        </w:tc>
        <w:tc>
          <w:tcPr>
            <w:tcW w:w="4876" w:type="dxa"/>
            <w:tcBorders>
              <w:top w:val="nil"/>
              <w:left w:val="nil"/>
              <w:bottom w:val="nil"/>
              <w:right w:val="nil"/>
            </w:tcBorders>
          </w:tcPr>
          <w:p>
            <w:pPr>
              <w:pStyle w:val="Normal6a"/>
            </w:pPr>
            <w:r>
              <w:t>30.</w:t>
            </w:r>
            <w:r>
              <w:tab/>
            </w:r>
            <w:r>
              <w:rPr>
                <w:b/>
                <w:i/>
              </w:rPr>
              <w:t>ricorda che nella sua azione</w:t>
            </w:r>
            <w:r>
              <w:t xml:space="preserve"> esterna </w:t>
            </w:r>
            <w:r>
              <w:rPr>
                <w:b/>
                <w:i/>
              </w:rPr>
              <w:t>l'UE dovrebbe essere guidata dai</w:t>
            </w:r>
            <w:r>
              <w:t xml:space="preserve"> valori e </w:t>
            </w:r>
            <w:r>
              <w:rPr>
                <w:b/>
                <w:i/>
              </w:rPr>
              <w:t>dai</w:t>
            </w:r>
            <w:r>
              <w:t xml:space="preserve"> principi sanciti </w:t>
            </w:r>
            <w:r>
              <w:rPr>
                <w:b/>
                <w:i/>
              </w:rPr>
              <w:t>all'articolo 2, all'articolo</w:t>
            </w:r>
            <w:r>
              <w:t xml:space="preserve"> 3, paragrafo 5, e </w:t>
            </w:r>
            <w:r>
              <w:rPr>
                <w:b/>
                <w:i/>
              </w:rPr>
              <w:t>all'articolo</w:t>
            </w:r>
            <w:r>
              <w:t xml:space="preserve"> 21 TUE</w:t>
            </w:r>
            <w:r>
              <w:rPr>
                <w:b/>
                <w:i/>
              </w:rPr>
              <w:t>, che hanno ispirato la creazione, lo sviluppo e l'allargamento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ribadisce che la minaccia dell'uso della forza (casus belli) contro uno Stato membro e la continua presenza militare illegale sul territorio di uno Stato membro sono del tutto incompatibili con i principi dell'UE, della Carta delle Nazioni Unite e della PESC;</w:t>
            </w:r>
            <w:r>
              <w:t xml:space="preserve"> </w:t>
            </w:r>
            <w:r>
              <w:rPr>
                <w:b/>
                <w:i/>
              </w:rPr>
              <w:t>sottolinea che tali pratiche non sono in linea con la politica di sicurezza e di difesa dell'UE e invita la VP/AR a rispondere in un modo che sia coerente al modo in cui sono stati affrontati altri casi di violazione del diritto internazionale;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sottolinea l'assoluta necessità di una politica estera che ponga la lotta all'immigrazione irregolare e al terrorismo islamico al centro delle priorità dell'Unione;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 </w:t>
            </w:r>
            <w:r>
              <w:rPr>
                <w:b/>
                <w:i/>
              </w:rPr>
              <w:t>sostiene la forte opposizione alla corruzione e al clientelismo espressa dalle società asiatiche negli ultimi tempi, anche in Nepal e nello Sri Lanka;</w:t>
            </w:r>
            <w:r>
              <w:t xml:space="preserve"> </w:t>
            </w:r>
            <w:r>
              <w:rPr>
                <w:b/>
                <w:i/>
              </w:rPr>
              <w:t>appoggia gli sforzi volti a combattere la corruzione, compresa la sua dimensione transnazionale, e a rafforzare la trasparenza, la responsabilità e il buon governo;</w:t>
            </w:r>
            <w:r>
              <w:t xml:space="preserve"> </w:t>
            </w:r>
            <w:r>
              <w:rPr>
                <w:b/>
                <w:i/>
              </w:rPr>
              <w:t>deplora che l'UE non abbia intrapreso misure sufficienti per evitare di essere essa stessa un'esportatrice di corruzione e invita l'UE, prendendo esempio della legge statunitense sulle pratiche di corruzione all'estero (Foreign Corrupt Practices Act), a elaborare una legislazione equivalente, senza la quale qualsiasi altra misura sarà priva di impatti significativi;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w:t>
            </w:r>
            <w:r>
              <w:rPr>
                <w:b/>
                <w:i/>
              </w:rPr>
              <w:t>è fondamentale per la corretta attuazione della sua azione esterna;</w:t>
            </w:r>
            <w:r>
              <w:t xml:space="preserve"> </w:t>
            </w:r>
            <w:r>
              <w:rPr>
                <w:b/>
                <w:i/>
              </w:rPr>
              <w:t>insiste sul fatto che la credibilità dell'UE</w:t>
            </w:r>
            <w:r>
              <w:t xml:space="preserve"> dipende </w:t>
            </w:r>
            <w:r>
              <w:rPr>
                <w:b/>
                <w:i/>
              </w:rPr>
              <w:t>dalla sua capacità di garantire il massimo livello di coordinamento e coerenza nella sua azione esterna, in particolare per quanto riguarda la sua rappresentanza esterna, nonché</w:t>
            </w:r>
            <w:r>
              <w:t xml:space="preserv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 </w:t>
            </w:r>
            <w:r>
              <w:rPr>
                <w:b/>
                <w:i/>
              </w:rPr>
              <w:t>evidenzia che il ricorso a due pesi e due misure nell'attuazione della sua politica estera nuoce all'immagine e alla credibilità dell'UE, in particolare nei confronti di partner, partner potenziali e paesi terzi del Sud del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w:t>
            </w:r>
            <w:r>
              <w:rPr>
                <w:b/>
                <w:i/>
              </w:rPr>
              <w:t>globale</w:t>
            </w:r>
            <w:r>
              <w:t xml:space="preserve"> di sanzioni dell'UE </w:t>
            </w:r>
            <w:r>
              <w:rPr>
                <w:b/>
                <w:i/>
              </w:rPr>
              <w:t>in materia di diritti umani (regime di sanzioni</w:t>
            </w:r>
            <w:r>
              <w:t xml:space="preserve"> di tipo Magnitsky in materia di diritti umani</w:t>
            </w:r>
            <w:r>
              <w:rPr>
                <w:b/>
                <w:i/>
              </w:rPr>
              <w:t>)</w:t>
            </w:r>
            <w:r>
              <w:t xml:space="preserve"> perché contempli la repressione sistemica e la corruzione; </w:t>
            </w:r>
            <w:r>
              <w:rPr>
                <w:b/>
                <w:i/>
              </w:rPr>
              <w:t>sostiene un ampliamento delle sanzioni e chiede misure restrittive mirate dell'UE, tra cui il congelamento dei beni e il divieto di concedere visti tramite il regime globale di sanzioni dell'UE in materia di diritti umani, da applicarsi alle persone ed entità estremiste direttamente coinvolte nell'occupazione illegale dei territori palestinesi, nonché in gravi violazioni del diritto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w:t>
            </w:r>
            <w:r>
              <w:rPr>
                <w:b/>
                <w:i/>
              </w:rPr>
              <w:t>sottolinea che dovrebbe essere comunicato in modo coerente il limite oltre il quale è necessaria un'azione risoluta che deve includere risposte inequivocabili alle gravi violazioni dei diritti umani;</w:t>
            </w:r>
            <w:r>
              <w:t xml:space="preserve"> </w:t>
            </w:r>
            <w:r>
              <w:rPr>
                <w:b/>
                <w:i/>
              </w:rPr>
              <w:t>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w:t>
            </w:r>
            <w:r>
              <w:rPr>
                <w:b/>
                <w:i/>
              </w:rPr>
              <w:t>, alla repressione sistematica, anche nei confronti di parlamentari e dell'opposizione politica, nonché a gravi episodi di corruzione e alla cleptocrazia</w:t>
            </w:r>
            <w:r>
              <w:t xml:space="preserve">; sostiene l'ampliamento del regime di sanzioni dell'UE di tipo Magnitsky in materia di diritti umani perché contempli la repressione sistemica e la corruzione; </w:t>
            </w:r>
            <w:r>
              <w:rPr>
                <w:b/>
                <w:i/>
              </w:rPr>
              <w:t>sottolinea che la corruzione consente e aggrava le violazioni e gli abusi dei diritti umani e l'erosione dei principi democratici e dello Stato di diritto;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w:t>
            </w:r>
            <w:r>
              <w:rPr>
                <w:b/>
                <w:i/>
              </w:rPr>
              <w:t>dovrebbe</w:t>
            </w:r>
            <w:r>
              <w:t xml:space="preserve"> essere comunicato in modo coerente il limite oltre il quale è necessaria un'azione risoluta </w:t>
            </w:r>
            <w:r>
              <w:rPr>
                <w:b/>
                <w:i/>
              </w:rPr>
              <w:t>che deve includere risposte inequivocabili alle gravi violazioni dei diritti umani</w:t>
            </w:r>
            <w:r>
              <w:t xml:space="preserve">; sostiene l'ampliamento del regime di sanzioni dell'UE di tipo Magnitsky in materia di diritti umani perché contempli la repressione sistemica </w:t>
            </w:r>
            <w:r>
              <w:rPr>
                <w:b/>
                <w:i/>
              </w:rPr>
              <w:t>e</w:t>
            </w:r>
            <w:r>
              <w:t xml:space="preserv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w:t>
            </w:r>
            <w:r>
              <w:rPr>
                <w:b/>
                <w:i/>
              </w:rPr>
              <w:t>deve</w:t>
            </w:r>
            <w:r>
              <w:t xml:space="preserve"> essere comunicato in modo coerente il limite oltre il quale è necessaria un'azione risoluta</w:t>
            </w:r>
            <w:r>
              <w:rPr>
                <w:b/>
                <w:i/>
              </w:rPr>
              <w:t>, seguita da conseguenze tangibili</w:t>
            </w:r>
            <w:r>
              <w:t>; sostiene l'ampliamento del regime di sanzioni dell'UE di tipo Magnitsky in materia di diritti umani perché contempli la repressione sistemica</w:t>
            </w:r>
            <w:r>
              <w:rPr>
                <w:b/>
                <w:i/>
              </w:rPr>
              <w:t>,</w:t>
            </w:r>
            <w:r>
              <w:t xml:space="preserve"> la corruzione </w:t>
            </w:r>
            <w:r>
              <w:rPr>
                <w:b/>
                <w:i/>
              </w:rPr>
              <w:t>e le violazioni dei principi democratici</w:t>
            </w:r>
            <w:r>
              <w:t xml:space="preserve">; </w:t>
            </w:r>
            <w:r>
              <w:rPr>
                <w:b/>
                <w:i/>
              </w:rPr>
              <w:t>insiste sul fatto che le violazioni dei valori fondamentali dell'UE devono innescare chiari meccanismi di applicazione, tra cui sanzioni finanziarie, la sospensione dei programmi di cooperazione e misure restrittive mirate nei confronti di attori statali e non statali;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 </w:t>
            </w:r>
            <w:r>
              <w:rPr>
                <w:b/>
                <w:i/>
              </w:rPr>
              <w:t>ricorda che l'applicazione coerente e uniforme delle misure restrittive in tutti gli Stati membri è necessaria affinché l'azione esterna dell'UE sia efficace e credibile;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 </w:t>
            </w:r>
            <w:r>
              <w:rPr>
                <w:b/>
                <w:i/>
              </w:rPr>
              <w:t>rammenta che è nell'interesse primario dell'UE difendere la libertà e le norme democratiche a livello mondiale, nonché l'universalità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di tipo Magnitsky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w:t>
            </w:r>
            <w:r>
              <w:rPr>
                <w:b/>
                <w:i/>
              </w:rPr>
              <w:t>in paesi come la Bielorussia e la Georgia</w:t>
            </w:r>
            <w:r>
              <w:t>; sostiene l'ampliamento del regime di sanzioni dell'UE di tipo Magnitsky in materia di diritti umani perché contempli la repressione sistemica e la corruzione;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di sanzioni dell'UE </w:t>
            </w:r>
            <w:r>
              <w:rPr>
                <w:b/>
                <w:i/>
              </w:rPr>
              <w:t>di tipo Magnitsky</w:t>
            </w:r>
            <w:r>
              <w:t xml:space="preserve"> in materia di diritti umani perché contempli la repressione sistemica e la corruzione;</w:t>
            </w:r>
          </w:p>
        </w:tc>
        <w:tc>
          <w:tcPr>
            <w:tcW w:w="4876" w:type="dxa"/>
            <w:tcBorders>
              <w:top w:val="nil"/>
              <w:left w:val="nil"/>
              <w:bottom w:val="nil"/>
              <w:right w:val="nil"/>
            </w:tcBorders>
          </w:tcPr>
          <w:p>
            <w:pPr>
              <w:pStyle w:val="Normal6a"/>
            </w:pPr>
            <w:r>
              <w:t>31.</w:t>
            </w:r>
            <w:r>
              <w:tab/>
            </w:r>
            <w:r>
              <w:t xml:space="preserve">ricorda che la credibilità dell'UE dipende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sostiene l'ampliamento del regime </w:t>
            </w:r>
            <w:r>
              <w:rPr>
                <w:b/>
                <w:i/>
              </w:rPr>
              <w:t>globale</w:t>
            </w:r>
            <w:r>
              <w:t xml:space="preserve"> di sanzioni dell'UE in materia di diritti umani perché contempli la repressione sistemica e la corruzione;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deplora l'assenza di qualsiasi riferimento al caso di Boualem Sansale nella relazione dell'alta rappresentante dell'Unione europea/vicepresidente della Commissione europea;</w:t>
            </w:r>
            <w:r>
              <w:t xml:space="preserve"> </w:t>
            </w:r>
            <w:r>
              <w:rPr>
                <w:b/>
                <w:i/>
              </w:rPr>
              <w:t>esorta la Commissione a sospendere i negoziati sulla revisione dell'accordo UE-Algeria fino a quando non saranno soddisfatti due criteri fondamentali:</w:t>
            </w:r>
            <w:r>
              <w:t xml:space="preserve"> </w:t>
            </w:r>
            <w:r>
              <w:rPr>
                <w:b/>
                <w:i/>
              </w:rPr>
              <w:t>1) che l'Algeria accetti il rimpatrio dei suoi cittadini espulsi dagli Stati membri;</w:t>
            </w:r>
            <w:r>
              <w:t xml:space="preserve"> </w:t>
            </w:r>
            <w:r>
              <w:rPr>
                <w:b/>
                <w:i/>
              </w:rPr>
              <w:t>2) che Boualem Sansal sia rilasciato;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esorta il Consiglio a adottare infine un regime di sanzioni anticorruzione, che rientra tra le priorità di lunga data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incoraggia un maggiore coordinamento con il G7 e altri partner democratici per allineare le risposte alle violazioni delle norme mondiali;</w:t>
            </w:r>
          </w:p>
        </w:tc>
        <w:tc>
          <w:tcPr>
            <w:tcW w:w="4876" w:type="dxa"/>
            <w:tcBorders>
              <w:top w:val="nil"/>
              <w:left w:val="nil"/>
              <w:bottom w:val="nil"/>
              <w:right w:val="nil"/>
            </w:tcBorders>
          </w:tcPr>
          <w:p>
            <w:pPr>
              <w:pStyle w:val="Normal6a"/>
            </w:pPr>
            <w:r>
              <w:t>32.</w:t>
            </w:r>
            <w:r>
              <w:tab/>
            </w:r>
            <w:r>
              <w:t>incoraggia un maggiore coordinamento con il G7</w:t>
            </w:r>
            <w:r>
              <w:rPr>
                <w:b/>
                <w:i/>
              </w:rPr>
              <w:t>, il G20</w:t>
            </w:r>
            <w:r>
              <w:t xml:space="preserve"> e altri partner democratici per allineare le risposte alle violazioni delle norme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sottolinea il ruolo cruciale dell'istruzione e di un insegnamento della storia basato sui fatti per combattere la disinformazione, i pregiudizi e l'estremismo tra i giovani a livello mondiale e per promuovere la riconciliazione, i contatti interpersonali e la comprensione reciproca;</w:t>
            </w:r>
            <w:r>
              <w:t xml:space="preserve"> </w:t>
            </w:r>
            <w:r>
              <w:rPr>
                <w:b/>
                <w:i/>
              </w:rPr>
              <w:t>esorta la Commissione, la VP/AR e il SEAE ad attribuire la dovuta importanza a tale questione in tutte le azioni esterne dell'Unione, comprese le opportunità di finanziamento nell'ambito della strategia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prende atto del 25º anniversario della risoluzione 1325 del Consiglio di sicurezza delle Nazioni Unite sulle donne, la pace e la sicurezza ed esorta a mantenere la parità di genere e l'agenda su donne, pace e sicurezza in quanto principi fondamentali della PESC dell'UE;</w:t>
            </w:r>
            <w:r>
              <w:t xml:space="preserve"> </w:t>
            </w:r>
            <w:r>
              <w:rPr>
                <w:b/>
                <w:i/>
              </w:rPr>
              <w:t>esorta il SEAE e la Commissione a mantenere il ruolo guida dell'UE nel promuovere i diritti delle donne in tutto il mondo attuando in modo approfondito e ambizioso il piano d'azione sulla parità di genere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chiede un approccio attento ai minori nella politica estera e di sicurezza dell'UE e la necessità di un coordinamento rafforzato UA-UE-ONU per proteggere i bambini e gli adolescenti colpiti da guerre, sfollamenti e crisi umanitarie;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chiede che la protezione della libertà religiosa sia integrata nell'azione esterna dell'UE; </w:t>
            </w:r>
            <w:r>
              <w:rPr>
                <w:b/>
                <w:i/>
              </w:rPr>
              <w:t>denuncia, a tale riguardo, l'intensificazione della repressione della Chiesa cattolica da parte del regime autoritario in Nicaragua;</w:t>
            </w:r>
            <w:r>
              <w:t xml:space="preserve"> </w:t>
            </w:r>
            <w:r>
              <w:rPr>
                <w:b/>
                <w:i/>
              </w:rPr>
              <w:t>invita la Commissione e l'AR/VP a imporre sanzioni a coloro che perseguitano le minoranze religiose, in quanto tali persecuzioni non sono tollerate nei paesi partner che condividono gli stessi principi;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delle</w:t>
            </w:r>
            <w:r>
              <w:t xml:space="preserv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di tutte le</w:t>
            </w:r>
            <w:r>
              <w:t xml:space="preserve"> minoranze religiose, compresi i cristiani </w:t>
            </w:r>
            <w:r>
              <w:rPr>
                <w:b/>
                <w:i/>
              </w:rPr>
              <w:t>che si trovano ad affrontare crescenti persecuzioni in tutto il mondo;</w:t>
            </w:r>
            <w:r>
              <w:t xml:space="preserve"> </w:t>
            </w:r>
            <w:r>
              <w:rPr>
                <w:b/>
                <w:i/>
              </w:rPr>
              <w:t>esprime profonda preoccupazione per la grave persecuzione dei cristiani in Nigeria, nella Repubblica democratica del Congo e in Nicaragua</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chiede che la protezione della libertà religiosa sia integrata nell'azione esterna dell'UE; </w:t>
            </w:r>
            <w:r>
              <w:rPr>
                <w:b/>
                <w:i/>
              </w:rPr>
              <w:t>ribadisce che la libertà di religione o di credo è inscindibile da altri diritti fondamentali e dovrebbe essere promossa in modo sinergico;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chiede che la protezione della libertà religiosa sia integrata nell'azione esterna dell'UE; </w:t>
            </w:r>
            <w:r>
              <w:rPr>
                <w:b/>
                <w:i/>
              </w:rPr>
              <w:t>invita la Commissione a rinnovare la posizione di inviato speciale per la promozione della libertà di religione o di credo al di fuori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esorta a prestare maggiore attenzione alla</w:t>
            </w:r>
            <w:r>
              <w:t xml:space="preserve"> persecuzione </w:t>
            </w:r>
            <w:r>
              <w:rPr>
                <w:b/>
                <w:i/>
              </w:rPr>
              <w:t>delle minoranze religiose, compresi i</w:t>
            </w:r>
            <w:r>
              <w:t xml:space="preserve">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rPr>
                <w:b/>
                <w:i/>
              </w:rPr>
              <w:t>deplora il fatto che l'UE trascuri la</w:t>
            </w:r>
            <w:r>
              <w:t xml:space="preserve"> persecuzione </w:t>
            </w:r>
            <w:r>
              <w:rPr>
                <w:b/>
                <w:i/>
              </w:rPr>
              <w:t>dei</w:t>
            </w:r>
            <w:r>
              <w:t xml:space="preserve"> cristiani </w:t>
            </w:r>
            <w:r>
              <w:rPr>
                <w:b/>
                <w:i/>
              </w:rPr>
              <w:t>nella sua politica estera;</w:t>
            </w:r>
            <w:r>
              <w:t xml:space="preserve"> </w:t>
            </w:r>
            <w:r>
              <w:rPr>
                <w:b/>
                <w:i/>
              </w:rPr>
              <w:t>esorta l'UE a fare molto di più per difendere la libertà religiosa all'estero, in particolare per le comunità cristiane perseguitate</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Alice Teodorescu Måwe, Miriam Lexmann, Hildegard Bentele, Lukas Mandl, Antonio López-Istúriz White, Andrey Kovatchev,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w:t>
            </w:r>
            <w:r>
              <w:rPr>
                <w:b/>
                <w:i/>
              </w:rPr>
              <w:t>sottolinea la necessità di ulteriori azioni per combattere il crescente antisemitismo nel mondo;</w:t>
            </w:r>
            <w:r>
              <w:t xml:space="preserve">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w:t>
            </w:r>
            <w:r>
              <w:rPr>
                <w:b/>
                <w:i/>
              </w:rPr>
              <w:t>, che sono il gruppo religioso più perseguitato al mondo</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w:t>
            </w:r>
            <w:r>
              <w:rPr>
                <w:b/>
                <w:i/>
              </w:rPr>
              <w:t>, che costituiscono il gruppo religioso più perseguitato al mondo</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w:t>
            </w:r>
            <w:r>
              <w:rPr>
                <w:b/>
                <w:i/>
              </w:rPr>
              <w:t>, dal momento che sono il gruppo religioso più perseguitato al mondo</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chiede che la protezione della libertà </w:t>
            </w:r>
            <w:r>
              <w:rPr>
                <w:b/>
                <w:i/>
              </w:rPr>
              <w:t>religiosa</w:t>
            </w:r>
            <w:r>
              <w:t xml:space="preserve">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w:t>
            </w:r>
            <w:r>
              <w:rPr>
                <w:b/>
                <w:i/>
              </w:rPr>
              <w:t>e i non credenti</w:t>
            </w:r>
            <w:r>
              <w:t xml:space="preserve">; chiede che la protezione della libertà </w:t>
            </w:r>
            <w:r>
              <w:rPr>
                <w:b/>
                <w:i/>
              </w:rPr>
              <w:t>di religione, di credo e di coscienza</w:t>
            </w:r>
            <w:r>
              <w:t xml:space="preserve">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delle</w:t>
            </w:r>
            <w:r>
              <w:t xml:space="preserve"> minoranze religiose</w:t>
            </w:r>
            <w:r>
              <w:rPr>
                <w:b/>
                <w:i/>
              </w:rPr>
              <w:t>, compresi</w:t>
            </w:r>
            <w:r>
              <w:t xml:space="preserve">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di tutte le minoranze, comprese le</w:t>
            </w:r>
            <w:r>
              <w:t xml:space="preserve"> minoranze religiose </w:t>
            </w:r>
            <w:r>
              <w:rPr>
                <w:b/>
                <w:i/>
              </w:rPr>
              <w:t>e</w:t>
            </w:r>
            <w:r>
              <w:t xml:space="preserve"> i cristiani</w:t>
            </w:r>
            <w:r>
              <w:rPr>
                <w:b/>
                <w:i/>
              </w:rPr>
              <w:t>, e dei difensori dei diritti umani</w:t>
            </w:r>
            <w:r>
              <w:t>; chiede che la protezione della libertà religiosa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delle minoranze </w:t>
            </w:r>
            <w:r>
              <w:rPr>
                <w:b/>
                <w:i/>
              </w:rPr>
              <w:t>religiose, compresi i cristiani</w:t>
            </w:r>
            <w:r>
              <w:t xml:space="preserve">; chiede che la protezione della libertà </w:t>
            </w:r>
            <w:r>
              <w:rPr>
                <w:b/>
                <w:i/>
              </w:rPr>
              <w:t>religiosa</w:t>
            </w:r>
            <w:r>
              <w:t xml:space="preserve">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w:t>
            </w:r>
            <w:r>
              <w:rPr>
                <w:b/>
                <w:i/>
              </w:rPr>
              <w:t>e di tutti i gruppi vulnerabili</w:t>
            </w:r>
            <w:r>
              <w:t xml:space="preserve">; chiede che la protezione della libertà </w:t>
            </w:r>
            <w:r>
              <w:rPr>
                <w:b/>
                <w:i/>
              </w:rPr>
              <w:t>di pensiero, coscienza e religione</w:t>
            </w:r>
            <w:r>
              <w:t xml:space="preserve">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esorta a prestare maggiore attenzione alla persecuzione delle minoranze religiose, compresi i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compresi i cristiani; chiede che la protezione della libertà religiosa </w:t>
            </w:r>
            <w:r>
              <w:rPr>
                <w:b/>
                <w:i/>
              </w:rPr>
              <w:t>e del patrimonio</w:t>
            </w:r>
            <w:r>
              <w:t xml:space="preserve">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delle</w:t>
            </w:r>
            <w:r>
              <w:t xml:space="preserve"> minoranze religiose</w:t>
            </w:r>
            <w:r>
              <w:rPr>
                <w:b/>
                <w:i/>
              </w:rPr>
              <w:t>, compresi i cristiani</w:t>
            </w:r>
            <w:r>
              <w:t>;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w:t>
            </w:r>
            <w:r>
              <w:rPr>
                <w:b/>
                <w:i/>
              </w:rPr>
              <w:t>di tutte le</w:t>
            </w:r>
            <w:r>
              <w:t xml:space="preserve"> minoranze</w:t>
            </w:r>
            <w:r>
              <w:rPr>
                <w:b/>
                <w:i/>
              </w:rPr>
              <w:t>, comprese quelle</w:t>
            </w:r>
            <w:r>
              <w:t xml:space="preserve"> religiose; chiede che la protezione della libertà religiosa </w:t>
            </w:r>
            <w:r>
              <w:rPr>
                <w:b/>
                <w:i/>
              </w:rPr>
              <w:t>e della diversità</w:t>
            </w:r>
            <w:r>
              <w:t xml:space="preserve"> sia integrata nell'azione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w:t>
            </w:r>
            <w:r>
              <w:rPr>
                <w:b/>
                <w:i/>
              </w:rPr>
              <w:t>compresi i</w:t>
            </w:r>
            <w:r>
              <w:t xml:space="preserve"> cristiani; chiede che la protezione della libertà religiosa sia integrata nell'azione esterna dell'UE;</w:t>
            </w:r>
          </w:p>
        </w:tc>
        <w:tc>
          <w:tcPr>
            <w:tcW w:w="4876" w:type="dxa"/>
            <w:tcBorders>
              <w:top w:val="nil"/>
              <w:left w:val="nil"/>
              <w:bottom w:val="nil"/>
              <w:right w:val="nil"/>
            </w:tcBorders>
          </w:tcPr>
          <w:p>
            <w:pPr>
              <w:pStyle w:val="Normal6a"/>
            </w:pPr>
            <w:r>
              <w:t>33.</w:t>
            </w:r>
            <w:r>
              <w:tab/>
            </w:r>
            <w:r>
              <w:t xml:space="preserve">esorta a prestare maggiore attenzione alla persecuzione delle minoranze religiose, </w:t>
            </w:r>
            <w:r>
              <w:rPr>
                <w:b/>
                <w:i/>
              </w:rPr>
              <w:t>in particolare dei</w:t>
            </w:r>
            <w:r>
              <w:t xml:space="preserve"> cristiani; chiede che la protezione della libertà religiosa sia integrata nell'azione esterna dell'UE;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osserva con preoccupazione che la Russia ha rivisto la sua strategia di politica estera e di sicurezza per presentarsi come difensore mondiale dei cosiddetti "valori tradizionali", utilizzando tale narrazione come strumento per espandere la sua influenza all'estero;</w:t>
            </w:r>
            <w:r>
              <w:t xml:space="preserve"> </w:t>
            </w:r>
            <w:r>
              <w:rPr>
                <w:b/>
                <w:i/>
              </w:rPr>
              <w:t>sottolinea che la Chiesa ortodossa russa è oggetto di sempre maggiori strumentalizzazioni nell'ambito di tale strategia, fungendo da veicolo per diffondere disinformazione e proiettare soft power, in particolare nei paesi dell'ex Unione sovietica e in parti dell'Africa;</w:t>
            </w:r>
            <w:r>
              <w:t xml:space="preserve"> </w:t>
            </w:r>
            <w:r>
              <w:rPr>
                <w:b/>
                <w:i/>
              </w:rPr>
              <w:t>sottolinea che tali pratiche sono concepite per minare la democrazia, la coesione sociale e gli orientamenti filoeuropei;</w:t>
            </w:r>
            <w:r>
              <w:t xml:space="preserve"> </w:t>
            </w:r>
            <w:r>
              <w:rPr>
                <w:b/>
                <w:i/>
              </w:rPr>
              <w:t>chiede che la politica estera e di sicurezza comune integri misure specifiche per contrastare tale influenza, tra cui la diplomazia religiosa, la comunicazione strategica e il sostegno alle comunità religiose vittime dell'oppressione sovietica;</w:t>
            </w:r>
            <w:r>
              <w:t xml:space="preserve"> </w:t>
            </w:r>
            <w:r>
              <w:rPr>
                <w:b/>
                <w:i/>
              </w:rPr>
              <w:t>evidenzia, a tale proposito, l'importanza di sostenere la metropolia di Bessarabia in Moldova e la Chiesa ortodossa autocefala dell'Ucraina nella loro resistenza alle strutture religiose controllate da Mosca, nell'ambito di uno sforzo più ampio di difesa della libertà di religione, della sovranità nazionale e dell'integrazione europea;</w:t>
            </w:r>
            <w:r>
              <w:t xml:space="preserve"> </w:t>
            </w:r>
            <w:r>
              <w:rPr>
                <w:b/>
                <w:i/>
              </w:rPr>
              <w:t>prende atto dell'adozione della legge che consentirà alle parrocchie ortodosse ucraine di distaccarsi dalla giurisdizione del Patriarcato di Mosca e di decidere liberamente in merito alla loro nuova affiliazione gerarchica; incoraggia le autorità ucraine a prendere debitamente in considerazione e agevolare la richiesta presentata nell'agosto 2024 dalle parrocchie ortodosse rumene per il riconoscimento dell'associazione religiosa "Chiesa ortodossa rumena in Ucraina", alla quale le parrocchie ortodosse rumene che si distaccano dalla giurisdizione del Patriarcato di Mosca possono aderire, in conformità ai valori fondamentali dell'UE in materia di libertà di religione, tutela dei diritti delle minoranze e rispetto della sovranità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esprime profonda preoccupazione per il crescente regresso della parità di genere e dei diritti delle donne e delle persone LGBTIQ+ in varie parti del mondo;</w:t>
            </w:r>
            <w:r>
              <w:t xml:space="preserve"> </w:t>
            </w:r>
            <w:r>
              <w:rPr>
                <w:b/>
                <w:i/>
              </w:rPr>
              <w:t>evidenzia che tale regresso è promosso da reti religiose transnazionali e da gruppi/movimenti politici di estrema destra ed è sempre più strumentalizzato da governi autoritari e repressivi di paesi come la Russia che negli ultimi anni hanno sfruttato le norme di genere tradizionaliste come strumento di legittimazione dello Stato e di controllo sociopolitico;</w:t>
            </w:r>
            <w:r>
              <w:t xml:space="preserve"> </w:t>
            </w:r>
            <w:r>
              <w:rPr>
                <w:b/>
                <w:i/>
              </w:rPr>
              <w:t>sottolinea che tali tendenze minano i principi democratici, erodono i diritti fondamentali e rappresentano una sfida diretta per i valori sanciti dal trattato sull'Unione europea;</w:t>
            </w:r>
            <w:r>
              <w:t xml:space="preserve"> </w:t>
            </w:r>
            <w:r>
              <w:rPr>
                <w:b/>
                <w:i/>
              </w:rPr>
              <w:t>invita l'UE a dare priorità alla difesa dei suoi valori, compresa l'uguaglianza di genere, nella sua politica estera, e ad aumentare il sostegno e i finanziamenti per i gruppi che difendono i diritti delle donne e delle persone LGBTIQ+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sottolinea che è fondamentale che la Commissione adotti misure significative e concrete per impegnarsi attivamente nella protezione e nella promozione dei diritti delle minoranze nazionali tradizionali;</w:t>
            </w:r>
            <w:r>
              <w:t xml:space="preserve"> </w:t>
            </w:r>
            <w:r>
              <w:rPr>
                <w:b/>
                <w:i/>
              </w:rPr>
              <w:t>evidenzia che la protezione delle minoranze nazionali è fondamentale per promuovere la coesione sociale, rispettare la diversità e difendere i valori fondamentali su cui si fonda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sottolinea la necessità di sostenere la difesa della libertà di espressione in tutto il mondo, anche online, nonché il pluralismo dei media e il giornalismo basato sui valori, in particolare il giornalismo investigativo;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esprime solidarietà ai cristiani a Gaza e in Cisgiordania e sottolinea che, pur essendo una minoranza esigua, svolgono un ruolo umanitario e sociale essenziale;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ter.</w:t>
            </w:r>
            <w:r>
              <w:tab/>
            </w:r>
            <w:r>
              <w:rPr>
                <w:b/>
                <w:i/>
              </w:rPr>
              <w:t>chiede la creazione di un'unità o di un punto focale ad hoc per una diplomazia basata sulla fede all'interno del Servizio europeo per l'azione esterna;</w:t>
            </w:r>
            <w:r>
              <w:t xml:space="preserve"> </w:t>
            </w:r>
            <w:r>
              <w:rPr>
                <w:b/>
                <w:i/>
              </w:rPr>
              <w:t>sottolinea l'importanza di fornire ai diplomatici dell'UE una formazione in materia di alfabetizzazione religiosa, consentendo loro sia di comprendere il ruolo della religione nelle società straniere sia di riconoscere quando le narrazioni religiose sono strumentalizzate come strumenti geopolitici;</w:t>
            </w:r>
            <w:r>
              <w:t xml:space="preserve"> </w:t>
            </w:r>
            <w:r>
              <w:rPr>
                <w:b/>
                <w:i/>
              </w:rPr>
              <w:t>evidenzia nel contempo la necessità di dialogare in modo costruttivo con le comunità e i leader religiosi che promuovono la pace, la tolleranza, la democrazia e i diritti umani, in modo da rafforzarli come partner nel dialogo, nella risoluzione dei conflitti e nella resilienza contro le influenze malevole;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quater.</w:t>
            </w:r>
            <w:r>
              <w:tab/>
            </w:r>
            <w:r>
              <w:rPr>
                <w:b/>
                <w:i/>
              </w:rPr>
              <w:t>esprime profonda preoccupazione per le continue persecuzioni, discriminazioni e sfollamenti forzati cui devono far fronte le comunità cristiane e altre minoranze religiose in Medio Oriente;</w:t>
            </w:r>
            <w:r>
              <w:t xml:space="preserve"> </w:t>
            </w:r>
            <w:r>
              <w:rPr>
                <w:b/>
                <w:i/>
              </w:rPr>
              <w:t>sottolinea che tali comunità costituiscono parte integrante del tessuto storico, culturale e sociale della regione;</w:t>
            </w:r>
            <w:r>
              <w:t xml:space="preserve"> </w:t>
            </w:r>
            <w:r>
              <w:rPr>
                <w:b/>
                <w:i/>
              </w:rPr>
              <w:t>chiede che la PESC dia priorità alla protezione dei cristiani e di altri gruppi vulnerabili nelle sue politiche riguardanti la regione, anche attraverso un sostegno mirato alla loro sicurezza, ai loro mezzi di sussistenza e alla libertà di religione o di credo;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quinquies.</w:t>
            </w:r>
            <w:r>
              <w:tab/>
            </w:r>
            <w:r>
              <w:rPr>
                <w:b/>
                <w:i/>
              </w:rPr>
              <w:t>invita l'Unione europea, nel quadro della sua politica estera e di sicurezza comune, a rafforzare il dialogo e la cooperazione strutturata con il Patriarcato ecumenico di Costantinopoli e il Patriarcato ortodosso di Gerusalemme quali autorità religiose riconosciute di importanza mondiale e regionale, osservando che tale impegno istituzionale contribuirà alla promozione della pace in Medio Oriente e alla tutela della libertà religiosa;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33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sexies.</w:t>
            </w:r>
            <w:r>
              <w:tab/>
            </w:r>
            <w:r>
              <w:rPr>
                <w:b/>
                <w:i/>
              </w:rPr>
              <w:t>sottolinea l'importanza di rafforzare il coordinamento tra la politica estera e di sicurezza comune dell'UE e gli sforzi diplomatici della Santa Sede, in particolare per promuovere la pace, il dialogo interreligioso, la risoluzione dei conflitti, l'assistenza umanitaria e la tutela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invita il SEAE e la Commissione a elaborare parametri di riferimento per valutare l'impatto delle sanzioni dell'UE e ad aggiornare regolarmente il Parlamento europeo a tale riguardo;</w:t>
            </w:r>
          </w:p>
        </w:tc>
        <w:tc>
          <w:tcPr>
            <w:tcW w:w="4876" w:type="dxa"/>
            <w:tcBorders>
              <w:top w:val="nil"/>
              <w:left w:val="nil"/>
              <w:bottom w:val="nil"/>
              <w:right w:val="nil"/>
            </w:tcBorders>
          </w:tcPr>
          <w:p>
            <w:pPr>
              <w:pStyle w:val="Normal6a"/>
            </w:pPr>
            <w:r>
              <w:t>34.</w:t>
            </w:r>
            <w:r>
              <w:tab/>
            </w:r>
            <w:r>
              <w:t xml:space="preserve">invita il SEAE e la Commissione a elaborare parametri di riferimento </w:t>
            </w:r>
            <w:r>
              <w:rPr>
                <w:b/>
                <w:i/>
              </w:rPr>
              <w:t>chiari e trasparenti</w:t>
            </w:r>
            <w:r>
              <w:t xml:space="preserve"> per valutare </w:t>
            </w:r>
            <w:r>
              <w:rPr>
                <w:b/>
                <w:i/>
              </w:rPr>
              <w:t>l'efficacia e</w:t>
            </w:r>
            <w:r>
              <w:t xml:space="preserve"> l'impatto </w:t>
            </w:r>
            <w:r>
              <w:rPr>
                <w:b/>
                <w:i/>
              </w:rPr>
              <w:t>complessivo</w:t>
            </w:r>
            <w:r>
              <w:t xml:space="preserve"> delle sanzioni dell'UE e ad aggiornare regolarmente il Parlamento europeo a tale riguardo; </w:t>
            </w:r>
            <w:r>
              <w:rPr>
                <w:b/>
                <w:i/>
              </w:rPr>
              <w:t>sottolinea la necessità di rafforzare l'applicazione delle sanzioni e ribadisce l'importanza di comunicare la finalità e gli effetti delle sanzioni sia ai cittadini dell'UE che ai paesi partner al fine di mantenere la fiducia dei cittadini e la credibilità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invita il SEAE e la Commissione a elaborare parametri di riferimento per valutare l'impatto delle sanzioni dell'UE e ad aggiornare regolarmente il Parlamento europeo a tale riguardo;</w:t>
            </w:r>
          </w:p>
        </w:tc>
        <w:tc>
          <w:tcPr>
            <w:tcW w:w="4876" w:type="dxa"/>
            <w:tcBorders>
              <w:top w:val="nil"/>
              <w:left w:val="nil"/>
              <w:bottom w:val="nil"/>
              <w:right w:val="nil"/>
            </w:tcBorders>
          </w:tcPr>
          <w:p>
            <w:pPr>
              <w:pStyle w:val="Normal6a"/>
            </w:pPr>
            <w:r>
              <w:t>34.</w:t>
            </w:r>
            <w:r>
              <w:tab/>
            </w:r>
            <w:r>
              <w:t xml:space="preserve">invita il SEAE e la Commissione a elaborare parametri di riferimento per valutare l'impatto delle sanzioni dell'UE e ad aggiornare regolarmente il Parlamento europeo a tale riguardo; </w:t>
            </w:r>
            <w:r>
              <w:rPr>
                <w:b/>
                <w:i/>
              </w:rPr>
              <w:t>invita la Commissione e gli Stati membri a colmare le lacune finanziarie utilizzate dalla Russia per eludere le sanzioni, a imporre sanzioni a tutte le imprese europee che continuano a svolgere attività commerciali vietate con la Federazione russa, nonché a valutare e combattere ulteriormente l'elusione delle sanzioni;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invita il SEAE e la Commissione a elaborare parametri di riferimento per valutare l'impatto delle sanzioni dell'UE e ad aggiornare regolarmente il Parlamento europeo a tale riguardo;</w:t>
            </w:r>
          </w:p>
        </w:tc>
        <w:tc>
          <w:tcPr>
            <w:tcW w:w="4876" w:type="dxa"/>
            <w:tcBorders>
              <w:top w:val="nil"/>
              <w:left w:val="nil"/>
              <w:bottom w:val="nil"/>
              <w:right w:val="nil"/>
            </w:tcBorders>
          </w:tcPr>
          <w:p>
            <w:pPr>
              <w:pStyle w:val="Normal6a"/>
            </w:pPr>
            <w:r>
              <w:t>34.</w:t>
            </w:r>
            <w:r>
              <w:tab/>
            </w:r>
            <w:r>
              <w:t>invita il SEAE e la Commissione a elaborare parametri di riferimento per valutare l'impatto delle sanzioni dell'UE</w:t>
            </w:r>
            <w:r>
              <w:rPr>
                <w:b/>
                <w:i/>
              </w:rPr>
              <w:t>, nonché monitorare attentamente l'evasione delle sanzioni,</w:t>
            </w:r>
            <w:r>
              <w:t xml:space="preserve"> e ad aggiornare regolarmente il Parlamento europeo a tale riguardo;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sottolinea l'importanza di risposte tempestive e coordinate nelle crisi, evidenziando che una gestione efficace delle crisi dipende da un processo decisionale rapido, da un rapido impiego delle risorse e dalla capacità di adattarsi all'evoluzione delle situazioni, piuttosto che soltanto dalla pianificazione o dalle narrazioni;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ricorda che, in via prioritaria, tutti i paesi cui è stato concesso lo status di paese candidato devono migliorare il loro allineamento alla politica estera e di sicurezza comune (PESC) dell'Unione, comprese le misure restrittive nei confronti dei regimi autoritari e totalitari;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ter.</w:t>
            </w:r>
            <w:r>
              <w:tab/>
            </w:r>
            <w:r>
              <w:rPr>
                <w:b/>
                <w:i/>
              </w:rPr>
              <w:t>riconosce che l'obbligo di unanimità costringe gli Stati membri a lavorare incessantemente per raggiungere il compromesso e l'unità, il che è la fonte essenziale dell'influenza politica dell'UE sulla scena mondiale;</w:t>
            </w:r>
            <w:r>
              <w:t xml:space="preserve"> </w:t>
            </w:r>
            <w:r>
              <w:rPr>
                <w:b/>
                <w:i/>
              </w:rPr>
              <w:t>sottolinea, tuttavia, che il compromesso tra l'ideale dell'unità e i costi sostanziali dell'unanimità dovrebbe essere valutato attentamente;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quater.</w:t>
            </w:r>
            <w:r>
              <w:tab/>
            </w:r>
            <w:r>
              <w:rPr>
                <w:b/>
                <w:i/>
              </w:rPr>
              <w:t>deplora che, nella pratica, i singoli Stati membri si siano talvolta avvalsi del loro diritto di veto per diluire gli accordi, ritardare il processo decisionale o ostacolare le politiche comuni;</w:t>
            </w:r>
            <w:r>
              <w:t xml:space="preserve"> </w:t>
            </w:r>
            <w:r>
              <w:rPr>
                <w:b/>
                <w:i/>
              </w:rPr>
              <w:t>deplora che il potenziale per un'azione rapida, efficiente ed efficace nel settore della politica estera, di sicurezza e di difesa, come previsto, tra l'altro, dalle clausole passerella del TUE, sia rimasto inutilizzato;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quinquies.</w:t>
            </w:r>
            <w:r>
              <w:tab/>
            </w:r>
            <w:r>
              <w:rPr>
                <w:b/>
                <w:i/>
              </w:rPr>
              <w:t>invita nuovamente il Consiglio a passare gradualmente al voto a maggioranza qualificata per le decisioni nell'ambito della PESC che non hanno implicazioni nel settore militare o della difesa;</w:t>
            </w:r>
            <w:r>
              <w:t xml:space="preserve"> </w:t>
            </w:r>
            <w:r>
              <w:rPr>
                <w:b/>
                <w:i/>
              </w:rPr>
              <w:t>riconosce le preoccupazioni di alcuni Stati membri riguardanti quella che percepiscono come una diminuzione della capacità di influenzare la politica estera e di sicurezza a livello dell'UE;</w:t>
            </w:r>
            <w:r>
              <w:t xml:space="preserve"> </w:t>
            </w:r>
            <w:r>
              <w:rPr>
                <w:b/>
                <w:i/>
              </w:rPr>
              <w:t>ricorda che la VP/AR è incaricata, come indicato nella sua lettera di incarico, di attivare il ricorso alle disposizioni del trattato che consentono il voto a maggioranza qualificata nella PESC e si attende pertanto che la VP/AR avvii un dialogo costruttivo con gli Stati membri a tal fine;</w:t>
            </w:r>
            <w:r>
              <w:t xml:space="preserve"> </w:t>
            </w:r>
            <w:r>
              <w:rPr>
                <w:b/>
                <w:i/>
              </w:rPr>
              <w:t>incoraggia, in attesa della piena applicazione del voto a maggioranza qualificata per le decisioni che non hanno implicazioni nel settore militare o della difesa, il pieno utilizzo di tutte le possibilità attualmente esistenti per rafforzare la risolutezza a tale riguardo, compreso il ricorso all'astensione costruttiva conformemente all'articolo 31, paragrafo 1, TUE;</w:t>
            </w:r>
            <w:r>
              <w:t xml:space="preserve"> </w:t>
            </w:r>
            <w:r>
              <w:rPr>
                <w:b/>
                <w:i/>
              </w:rPr>
              <w:t>riconosce che i progressi verso l'applicazione del voto a maggioranza qualificata possono essere solo graduali e fondati sulla creazione di una cultura strategica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finanziario e diplomatico; </w:t>
            </w:r>
            <w:r>
              <w:rPr>
                <w:b/>
                <w:i/>
              </w:rPr>
              <w:t>osserva che l'attuale bilancio del SEAE e delle delegazioni dell'UE ammonta a meno dello 0,5 % degli impegni annuali dell'UE, un livello assolutamente irrilevante data la portata delle attuali crisi mondiali;</w:t>
            </w:r>
            <w:r>
              <w:t xml:space="preserve"> </w:t>
            </w:r>
            <w:r>
              <w:rPr>
                <w:b/>
                <w:i/>
              </w:rPr>
              <w:t>rileva che l'austerità di bilancio ha già costretto a imporre tagli alle principali attività diplomatiche e persino a rinviare la realizzazione di impianti di sicurezza, tanto che alcuni funzionari hanno avvertito che ciò poteva comportare la cessazione di alcune missioni;</w:t>
            </w:r>
            <w:r>
              <w:t xml:space="preserve"> </w:t>
            </w:r>
            <w:r>
              <w:rPr>
                <w:b/>
                <w:i/>
              </w:rPr>
              <w:t>constata che tale sottofinanziamento strutturale impedisce all'UE di fornire una risposta comune credibile a favore delle crisi, compromette il suo dovere di diligenza nei confronti del personale e della sicurezza e limita la sua capacità di agire come attore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finanziario e diplomatico; </w:t>
            </w:r>
            <w:r>
              <w:rPr>
                <w:b/>
                <w:i/>
              </w:rPr>
              <w:t>si rammarica che tale mancanza di visibilità sia talvolta il risultato di una mancanza di chiarezza nella rappresentanza esterna dell'UE;</w:t>
            </w:r>
            <w:r>
              <w:t xml:space="preserve"> </w:t>
            </w:r>
            <w:r>
              <w:rPr>
                <w:b/>
                <w:i/>
              </w:rPr>
              <w:t>sottolinea la necessità di definire chiaramente le competenze della VP/AR, della Presidente della Commissione e del Presidente del Consiglio europeo in materia di azione esterna e rappresentanza dell'UE, affinché la voce dell'UE risulti coerente e sia percepita come tale dai suoi partner;</w:t>
            </w:r>
            <w:r>
              <w:t xml:space="preserve"> </w:t>
            </w:r>
            <w:r>
              <w:rPr>
                <w:b/>
                <w:i/>
              </w:rPr>
              <w:t>invita la Commissione a rafforzare il suo coordinamento con il SEAE nella sua azione esterna, anche garantendo la completa osservanza dell'articolo 3, paragrafo 2, e dell'articolo 9 della decisione sul SEAE, che potrebbe essere necessario aggiornare;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finanziario e diplomatico; </w:t>
            </w:r>
            <w:r>
              <w:rPr>
                <w:b/>
                <w:i/>
              </w:rPr>
              <w:t>deplora che l'Europa globale continui a sottofinanziare l'America latina;</w:t>
            </w:r>
            <w:r>
              <w:t xml:space="preserve"> </w:t>
            </w:r>
            <w:r>
              <w:rPr>
                <w:b/>
                <w:i/>
              </w:rPr>
              <w:t>esorta la Commissione e l'AR/VP, nello spirito di potenziare l'influenza geopolitica dell'UE nella regione, a rafforzare le relazioni e a intensificare l'azione internazionale in risposta all'ascesa dei regimi autoritari;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finanziario e diplomatico; </w:t>
            </w:r>
            <w:r>
              <w:rPr>
                <w:b/>
                <w:i/>
              </w:rPr>
              <w:t>raccomanda di aumentare i finanziamenti e di rafforzare il personale del SEAE per potenziarne il ruolo;</w:t>
            </w:r>
            <w:r>
              <w:t xml:space="preserve"> </w:t>
            </w:r>
            <w:r>
              <w:rPr>
                <w:b/>
                <w:i/>
              </w:rPr>
              <w:t>esorta la VP/AR a intensificare gli sforzi diplomatici per garantire la protezione delle esigenze dell'UE e dei cittadini minacciati da regimi non democratici, in particolare quelli attualmente detenuti in Venezuela;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finanziario e diplomatico; </w:t>
            </w:r>
            <w:r>
              <w:rPr>
                <w:b/>
                <w:i/>
              </w:rPr>
              <w:t>si rammarica che la visibilità a livello mondiale dell'UE sia spesso perseguita attraverso spese eccessive all'estero, mentre i cittadini all'interno dell'Unione si trovano ad affrontare difficoltà economiche;</w:t>
            </w:r>
            <w:r>
              <w:t xml:space="preserve"> </w:t>
            </w:r>
            <w:r>
              <w:rPr>
                <w:b/>
                <w:i/>
              </w:rPr>
              <w:t>sottolinea che l'azione esterna deve essere strettamente limitata ai settori di rilevanza diretta per la sicurezza dei cittadini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deplora che la visibilità e l'influenza politica a livello mondiale dell'UE siano spesso inferiori al suo impatto finanziario e diplomatico;</w:t>
            </w:r>
          </w:p>
        </w:tc>
        <w:tc>
          <w:tcPr>
            <w:tcW w:w="4876" w:type="dxa"/>
            <w:tcBorders>
              <w:top w:val="nil"/>
              <w:left w:val="nil"/>
              <w:bottom w:val="nil"/>
              <w:right w:val="nil"/>
            </w:tcBorders>
          </w:tcPr>
          <w:p>
            <w:pPr>
              <w:pStyle w:val="Normal6a"/>
            </w:pPr>
            <w:r>
              <w:t>35.</w:t>
            </w:r>
            <w:r>
              <w:tab/>
            </w:r>
            <w:r>
              <w:t xml:space="preserve">deplora che la visibilità e l'influenza politica a livello mondiale dell'UE siano spesso inferiori al suo impatto </w:t>
            </w:r>
            <w:r>
              <w:rPr>
                <w:b/>
                <w:i/>
              </w:rPr>
              <w:t>commerciale,</w:t>
            </w:r>
            <w:r>
              <w:t xml:space="preserve"> finanziario e diplomatico;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deplora che l'azione esterna dell'UE sia spesso subordinata al requisito dell'unanimità in seno al Consiglio;</w:t>
            </w:r>
            <w:r>
              <w:t xml:space="preserve"> </w:t>
            </w:r>
            <w:r>
              <w:rPr>
                <w:b/>
                <w:i/>
              </w:rPr>
              <w:t>elogia le iniziative diplomatiche come il "Gruppo di amici sul voto a maggioranza qualificata nella politica estera e di sicurezza comune dell'UE" e incoraggia l'esplorazione di vie legali che possano semplificare il processo decisionale in materia di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invita la VP/AR a presentare rapidamente proposte per la futura struttura operativa dell'azione esterna dell'UE e, a tal fine, a tenere pienamente conto della raccomandazione del Parlamento europeo del 15 marzo 2023 contenente un bilancio del funzionamento del SEAE e a favore di un'UE più forte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ricorda che, per una politica estera e di sicurezza più coerente e convincente, l'Unione deve anche diventare più efficace internamente attraverso le riforme necessarie, come l'introduzione del voto a maggioranza qualificata nella politica estera e di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p>
        </w:tc>
        <w:tc>
          <w:tcPr>
            <w:tcW w:w="4876" w:type="dxa"/>
            <w:tcBorders>
              <w:top w:val="nil"/>
              <w:left w:val="nil"/>
              <w:bottom w:val="nil"/>
              <w:right w:val="nil"/>
            </w:tcBorders>
          </w:tcPr>
          <w:p>
            <w:pPr>
              <w:pStyle w:val="Normal6a"/>
            </w:pPr>
            <w:r>
              <w:t>36.</w:t>
            </w:r>
            <w:r>
              <w:tab/>
            </w:r>
            <w:r>
              <w:t xml:space="preserve">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 </w:t>
            </w:r>
            <w:r>
              <w:rPr>
                <w:b/>
                <w:i/>
              </w:rPr>
              <w:t>sottolinea che tale strategia dovrebbe altresì rafforzare la visibilità dei progetti finanziati dall'Unione con indicazioni chiare che includano le parole "Unione europea" e la bandiera dell'UE, in particolare nei paesi candidati, al fine di contrastare i tentativi di soggetti malintenzionati di compromettere le iniziative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p>
        </w:tc>
        <w:tc>
          <w:tcPr>
            <w:tcW w:w="4876" w:type="dxa"/>
            <w:tcBorders>
              <w:top w:val="nil"/>
              <w:left w:val="nil"/>
              <w:bottom w:val="nil"/>
              <w:right w:val="nil"/>
            </w:tcBorders>
          </w:tcPr>
          <w:p>
            <w:pPr>
              <w:pStyle w:val="Normal6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r>
              <w:rPr>
                <w:b/>
                <w:i/>
              </w:rPr>
              <w:t>, anche attraverso campagne multilingue, diplomazia culturale e impegno con influencer e media locali</w:t>
            </w:r>
            <w:r>
              <w:t xml:space="preserve">; </w:t>
            </w:r>
            <w:r>
              <w:rPr>
                <w:b/>
                <w:i/>
              </w:rPr>
              <w:t>sostiene l'inclusione della comunicazione come criterio di prestazione nella programmazione del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p>
        </w:tc>
        <w:tc>
          <w:tcPr>
            <w:tcW w:w="4876" w:type="dxa"/>
            <w:tcBorders>
              <w:top w:val="nil"/>
              <w:left w:val="nil"/>
              <w:bottom w:val="nil"/>
              <w:right w:val="nil"/>
            </w:tcBorders>
          </w:tcPr>
          <w:p>
            <w:pPr>
              <w:pStyle w:val="Normal6a"/>
            </w:pPr>
            <w:r>
              <w:t>36.</w:t>
            </w:r>
            <w:r>
              <w:tab/>
            </w:r>
            <w:r>
              <w:t xml:space="preserve">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 </w:t>
            </w:r>
            <w:r>
              <w:rPr>
                <w:b/>
                <w:i/>
              </w:rPr>
              <w:t>evidenzia la necessità che l'azione esterna dell'UE sia guidata da principi che promuovano una politica estera femminista, rendendola un fattore chiave nel perseguimento dei nostri obiettivi di politica estera;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invita la VP/AR a proporre una strategia di comunicazione strategica coerente che metta in evidenza i vantaggi dell'azione esterna dell'UE e sostenga gli obiettivi dell'UE; incoraggia il SEAE a rafforzare la presenza politica dell'UE nei nostri paesi partner e a rendere la nostra azione esterna più accessibile al pubblico di tali paesi;</w:t>
            </w:r>
          </w:p>
        </w:tc>
        <w:tc>
          <w:tcPr>
            <w:tcW w:w="4876" w:type="dxa"/>
            <w:tcBorders>
              <w:top w:val="nil"/>
              <w:left w:val="nil"/>
              <w:bottom w:val="nil"/>
              <w:right w:val="nil"/>
            </w:tcBorders>
          </w:tcPr>
          <w:p>
            <w:pPr>
              <w:pStyle w:val="Normal6a"/>
            </w:pPr>
            <w:r>
              <w:t>36.</w:t>
            </w:r>
            <w:r>
              <w:tab/>
            </w:r>
            <w:r>
              <w:t xml:space="preserve">invita la VP/AR a proporre una strategia di comunicazione strategica coerente che metta in evidenza i vantaggi dell'azione esterna dell'UE e sostenga gli obiettivi dell'UE </w:t>
            </w:r>
            <w:r>
              <w:rPr>
                <w:b/>
                <w:i/>
              </w:rPr>
              <w:t>contrastando nel contempo le campagne di disinformazione orchestrate da paesi terzi</w:t>
            </w:r>
            <w:r>
              <w:t>; incoraggia il SEAE a rafforzare la presenza politica dell'UE nei nostri paesi partner e a rendere la nostra azione esterna più accessibile al pubblico di tali paesi;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sostiene una presenza più preminente dell'UE ai vertici mondiali, ai forum regionali e alle piattaforme di mediazione dei conflitti, non solo attraverso gli Stati membri ma anche sotto una bandiera visibile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chiede una maggiore convergenza tra i servizi diplomatici dell'UE e degli Stati membri per migliorare le sinergie tra i messaggi diffusi a livello nazionale e dell'UE, per rimanere in linea con l'approccio "Team Europa";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chiede una maggiore convergenza tra i servizi diplomatici dell'UE e degli Stati membri per migliorare le sinergie tra i messaggi diffusi a livello nazionale e dell'UE, per rimanere in linea con l'approccio "Team Europa";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chiede una maggiore convergenza tra i servizi diplomatici dell'UE e degli Stati membri per migliorare le sinergie tra i messaggi diffusi a livello nazionale e dell'UE, per rimanere in linea con l'approccio "Team Europa";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chiede una maggiore </w:t>
            </w:r>
            <w:r>
              <w:rPr>
                <w:b/>
                <w:i/>
              </w:rPr>
              <w:t>convergenza</w:t>
            </w:r>
            <w:r>
              <w:t xml:space="preserve"> tra i servizi diplomatici dell'UE e degli Stati membri </w:t>
            </w:r>
            <w:r>
              <w:rPr>
                <w:b/>
                <w:i/>
              </w:rPr>
              <w:t>per migliorare le sinergie tra i messaggi diffusi a livello nazionale e dell'UE, per rimanere in linea con l'approccio "Team Europa"</w:t>
            </w:r>
            <w:r>
              <w:t>;</w:t>
            </w:r>
          </w:p>
        </w:tc>
        <w:tc>
          <w:tcPr>
            <w:tcW w:w="4876" w:type="dxa"/>
            <w:tcBorders>
              <w:top w:val="nil"/>
              <w:left w:val="nil"/>
              <w:bottom w:val="nil"/>
              <w:right w:val="nil"/>
            </w:tcBorders>
          </w:tcPr>
          <w:p>
            <w:pPr>
              <w:pStyle w:val="Normal6a"/>
            </w:pPr>
            <w:r>
              <w:t>37.</w:t>
            </w:r>
            <w:r>
              <w:tab/>
            </w:r>
            <w:r>
              <w:t xml:space="preserve">chiede una maggiore </w:t>
            </w:r>
            <w:r>
              <w:rPr>
                <w:b/>
                <w:i/>
              </w:rPr>
              <w:t>cooperazione</w:t>
            </w:r>
            <w:r>
              <w:t xml:space="preserve"> tra i servizi diplomatici dell'UE e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ribadisce il proprio invito a promuovere l'istituzione di un sistema di flusso automatico e continuo di intelligence dagli Stati membri al SEAE su questioni di politica estera e di sicurezza che si verificano al di fuori dell'Unione;</w:t>
            </w:r>
            <w:r>
              <w:t xml:space="preserve"> </w:t>
            </w:r>
            <w:r>
              <w:rPr>
                <w:b/>
                <w:i/>
              </w:rPr>
              <w:t>chiede, a tale proposito, di rafforzare l'INTCEN, il Centro di risposta alle crisi del SEAE e il SatCen mediante il potenziamento del personale, delle risorse finanziarie e delle capacità;</w:t>
            </w:r>
            <w:r>
              <w:t xml:space="preserve"> </w:t>
            </w:r>
            <w:r>
              <w:rPr>
                <w:b/>
                <w:i/>
              </w:rPr>
              <w:t>esorta a migliorare i protocolli di sicurezza dei servizi che lavorano nell'ambito dell'intelligence e/o che trattano informazioni sensibili;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invita le istituzioni dell'UE a considerare prioritario il contenimento della migrazione su larga scala, che destabilizza e compromette gravemente l'Unione, genera entrate significative per le reti criminali, è utilizzata come arma da attori ostili e rappresenta una grave minaccia per la coesione sociale e la sicurezza interna;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ter.</w:t>
            </w:r>
            <w:r>
              <w:tab/>
            </w:r>
            <w:r>
              <w:rPr>
                <w:b/>
                <w:i/>
              </w:rPr>
              <w:t>invita la Commissione ad assicurare il massimo livello di coordinamento con il SEAE nel dirigere l'azione esterna dell'UE, anche garantendo la completa osservanza dell'articolo 3, paragrafo 2, e dell'articolo 9, che potrebbe essere necessario aggiornare, della decisione sul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quater.</w:t>
            </w:r>
            <w:r>
              <w:tab/>
            </w:r>
            <w:r>
              <w:rPr>
                <w:b/>
                <w:i/>
              </w:rPr>
              <w:t>chiede di rafforzare il SEAE e le sue capacità con risorse e personale consistenti al fine di garantirne l'autonomia anche in caso di imprevisti;</w:t>
            </w:r>
            <w:r>
              <w:t xml:space="preserve"> </w:t>
            </w:r>
            <w:r>
              <w:rPr>
                <w:b/>
                <w:i/>
              </w:rPr>
              <w:t>ricorda che il SEAE è strutturalmente sottofinanziato, una situazione aggravata dal recente aumento dei tassi di inflazione a livello mondiale, e non dovrebbe essere soggetto agli stessi vincoli delle altre istituzioni per quanto riguarda l'approccio al bilancio amministrativo;</w:t>
            </w:r>
            <w:r>
              <w:t xml:space="preserve"> </w:t>
            </w:r>
            <w:r>
              <w:rPr>
                <w:b/>
                <w:i/>
              </w:rPr>
              <w:t>insiste sulla necessità di fornire finanziamenti commisurati alle crescenti responsabilità affidate al SEAE dalle istituzioni dell'UE, compresi il Consiglio e il Parlamento;</w:t>
            </w:r>
            <w:r>
              <w:t xml:space="preserve"> </w:t>
            </w:r>
            <w:r>
              <w:rPr>
                <w:b/>
                <w:i/>
              </w:rPr>
              <w:t>invita pertanto la Commissione e il Consiglio a non applicare al SEAE la logica del 2 %;</w:t>
            </w:r>
            <w:r>
              <w:t xml:space="preserve"> </w:t>
            </w:r>
            <w:r>
              <w:rPr>
                <w:b/>
                <w:i/>
              </w:rPr>
              <w:t>evidenzia la necessità di mantenere nel mondo l'attuale struttura della rete delle delegazioni dell'UE;</w:t>
            </w:r>
            <w:r>
              <w:t xml:space="preserve"> </w:t>
            </w:r>
            <w:r>
              <w:rPr>
                <w:b/>
                <w:i/>
              </w:rPr>
              <w:t>esprime profonda preoccupazione per la proposta di una riorganizzazione radicale della presenza dell'UE all'estero attraverso una riduzione del personale e delle delegazioni dell'UE;</w:t>
            </w:r>
            <w:r>
              <w:t xml:space="preserve"> </w:t>
            </w:r>
            <w:r>
              <w:rPr>
                <w:b/>
                <w:i/>
              </w:rPr>
              <w:t>manifesta profonda inquietudine per le gravi e vaste conseguenze negative delle suddette questioni per l'azione esterna dell'UE e per i risultati delle istituzioni dell'UE in tale ambito;</w:t>
            </w:r>
            <w:r>
              <w:t xml:space="preserve"> </w:t>
            </w:r>
            <w:r>
              <w:rPr>
                <w:b/>
                <w:i/>
              </w:rPr>
              <w:t>riconosce che l'assenza di azioni volte a correggere l'attuale situazione di bilancio del SEAE può avere gravi ripercussioni sulle relazioni dell'UE con i paesi terzi;</w:t>
            </w:r>
            <w:r>
              <w:t xml:space="preserve"> </w:t>
            </w:r>
            <w:r>
              <w:rPr>
                <w:b/>
                <w:i/>
              </w:rPr>
              <w:t>richiama l'attenzione sulla mancanza di un bilancio operativo del SEAE e chiede di analizzarne le conseguenze e le alternative;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w:t>
            </w:r>
            <w:r>
              <w:rPr>
                <w:b/>
                <w:i/>
              </w:rPr>
              <w:t>;</w:t>
            </w:r>
            <w:r>
              <w:t xml:space="preserve"> </w:t>
            </w:r>
            <w:r>
              <w:rPr>
                <w:b/>
                <w:i/>
              </w:rPr>
              <w:t>chiede che il SEAE – sia la sua sede centrale che le delegazioni dell'UE – sia rafforzato fornendo adeguate risorse finanziarie e umane affinché l'UE possa essere meglio preparata alle sfide mondiali attuali ed emergenti;</w:t>
            </w:r>
            <w:r>
              <w:t xml:space="preserve"> </w:t>
            </w:r>
            <w:r>
              <w:rPr>
                <w:b/>
                <w:i/>
              </w:rPr>
              <w:t>chiede che il SEAE sia in grado di selezionare e assumere il proprio personale diplomatico permanente dell'UE, compresi i laureati presso l'Accademia diplomatica europea, e di garantire un equilibrio geografico e di genere più equo tra gli Stati membri a tutti i livelli all'interno del SEAE</w:t>
            </w:r>
            <w:r>
              <w:t>;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w:t>
            </w:r>
            <w:r>
              <w:rPr>
                <w:b/>
                <w:i/>
              </w:rPr>
              <w:t>;</w:t>
            </w:r>
            <w:r>
              <w:t xml:space="preserve"> </w:t>
            </w:r>
            <w:r>
              <w:rPr>
                <w:b/>
                <w:i/>
              </w:rPr>
              <w:t>osserva che alcuni Stati membri, come la Francia, dispongono già di reti diplomatiche particolarmente estese e investono ingenti risorse a tal fine;</w:t>
            </w:r>
            <w:r>
              <w:t xml:space="preserve"> </w:t>
            </w:r>
            <w:r>
              <w:rPr>
                <w:b/>
                <w:i/>
              </w:rPr>
              <w:t>ritiene pertanto che l'azione esterna dell'UE debba evitare costose duplicazioni e fare in modo che si concentri su settori in cui il valore aggiunto europeo è chiaramente identificato</w:t>
            </w:r>
            <w:r>
              <w:t>;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 </w:t>
            </w:r>
            <w:r>
              <w:rPr>
                <w:b/>
                <w:i/>
              </w:rPr>
              <w:t>sottolinea che tale definizione delle priorità deve includere la rivalutazione degli strumenti di finanziamento e dei partenariati esistenti e la sospensione o il riorientamento del sostegno laddove sia evidente un regresso democratico o un allineamento con poteri ostili;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w:t>
            </w:r>
            <w:r>
              <w:rPr>
                <w:b/>
                <w:i/>
              </w:rPr>
              <w:t>i massimi risultati a livello politico e strategico</w:t>
            </w:r>
            <w:r>
              <w:t>;</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w:t>
            </w:r>
            <w:r>
              <w:rPr>
                <w:b/>
                <w:i/>
              </w:rPr>
              <w:t>;</w:t>
            </w:r>
            <w:r>
              <w:t xml:space="preserve"> </w:t>
            </w:r>
            <w:r>
              <w:rPr>
                <w:b/>
                <w:i/>
              </w:rPr>
              <w:t>evidenzia che l'attenzione principale deve essere rivolta al conseguimento di benefici tangibili per il benessere umano, i diritti umani e la sostenibilità ambientale, garantendo nel contempo che l'azione dell'UE generi un ritorno politico e strategico</w:t>
            </w:r>
            <w:r>
              <w:t xml:space="preserve">; invita la Commissione e il SEAE a condurre un vero e proprio esercizio di definizione delle priorità, al fine di individuare i settori in cui l'azione esterna dell'UE può produrre </w:t>
            </w:r>
            <w:r>
              <w:rPr>
                <w:b/>
                <w:i/>
              </w:rPr>
              <w:t>tali obiettivi nel modo più efficace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w:t>
            </w:r>
            <w:r>
              <w:rPr>
                <w:b/>
                <w:i/>
              </w:rPr>
              <w:t>;</w:t>
            </w:r>
            <w:r>
              <w:t xml:space="preserve"> </w:t>
            </w:r>
            <w:r>
              <w:rPr>
                <w:b/>
                <w:i/>
              </w:rPr>
              <w:t>evidenzia che, in assenza di una chiara definizione delle priorità geografiche e tematiche, risorse limitate rischiano di essere distribuite in misura insufficiente perché abbiano un impatto strategico</w:t>
            </w:r>
            <w:r>
              <w:t>;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w:t>
            </w:r>
            <w:r>
              <w:rPr>
                <w:b/>
                <w:i/>
              </w:rPr>
              <w:t>;</w:t>
            </w:r>
            <w:r>
              <w:t xml:space="preserve"> </w:t>
            </w:r>
            <w:r>
              <w:rPr>
                <w:b/>
                <w:i/>
              </w:rPr>
              <w:t>evidenzia il ruolo chiave delle delegazioni dell'UE nei paesi terzi ed esorta il SEAE a prendere in attenta considerazione qualsiasi potenziale ridimensionamento delle loro operazioni</w:t>
            </w:r>
            <w:r>
              <w:t>;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r>
              <w:rPr>
                <w:b/>
                <w:i/>
              </w:rPr>
              <w:t>, in particolare alla luce della deplorevole decisione degli Stati Uniti di porre fine a tutti i programmi USAID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che i vincoli di bilancio rappresentano un grave ostacolo all'aumento della visibilità e dell'impatto dell'azione esterna dell'UE; invita la Commissione e il SEAE a condurre un vero e proprio esercizio di definizione delle priorità </w:t>
            </w:r>
            <w:r>
              <w:rPr>
                <w:b/>
                <w:i/>
              </w:rPr>
              <w:t>e a evitare di sprecare il denaro dei contribuenti europei in progetti ideologici</w:t>
            </w:r>
            <w:r>
              <w:t>,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che i vincoli di bilancio rappresentano un grave ostacolo all'aumento della visibilità e dell'impatto dell'azione esterna dell'UE; invita la Commissione e il SEAE a condurre un vero e proprio esercizio di definizione delle priorità, al fine di individuare i settori in cui l'azione esterna dell'UE può produrre i massimi risultati a livello politico e strategico; </w:t>
            </w:r>
            <w:r>
              <w:rPr>
                <w:b/>
                <w:i/>
              </w:rPr>
              <w:t>raccomanda di aumentare i finanziamenti del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sottolinea </w:t>
            </w:r>
            <w:r>
              <w:rPr>
                <w:b/>
                <w:i/>
              </w:rPr>
              <w:t>che i vincoli di bilancio rappresentano un grave ostacolo all'aumento della</w:t>
            </w:r>
            <w:r>
              <w:t xml:space="preserve"> visibilità e </w:t>
            </w:r>
            <w:r>
              <w:rPr>
                <w:b/>
                <w:i/>
              </w:rPr>
              <w:t>dell'impatto</w:t>
            </w:r>
            <w:r>
              <w:t xml:space="preserve"> dell'azione esterna </w:t>
            </w:r>
            <w:r>
              <w:rPr>
                <w:b/>
                <w:i/>
              </w:rPr>
              <w:t>dell'UE</w:t>
            </w:r>
            <w:r>
              <w:t>;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w:t>
            </w:r>
            <w:r>
              <w:rPr>
                <w:b/>
                <w:i/>
              </w:rPr>
              <w:t>la necessità di aumentare la</w:t>
            </w:r>
            <w:r>
              <w:t xml:space="preserve"> visibilità e </w:t>
            </w:r>
            <w:r>
              <w:rPr>
                <w:b/>
                <w:i/>
              </w:rPr>
              <w:t>l'impatto</w:t>
            </w:r>
            <w:r>
              <w:t xml:space="preserve"> dell'azione esterna;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sottolinea che </w:t>
            </w:r>
            <w:r>
              <w:rPr>
                <w:b/>
                <w:i/>
              </w:rPr>
              <w:t>i vincoli di</w:t>
            </w:r>
            <w:r>
              <w:t xml:space="preserve"> bilancio </w:t>
            </w:r>
            <w:r>
              <w:rPr>
                <w:b/>
                <w:i/>
              </w:rPr>
              <w:t>rappresentano</w:t>
            </w:r>
            <w:r>
              <w:t xml:space="preserve"> un grave ostacolo </w:t>
            </w:r>
            <w:r>
              <w:rPr>
                <w:b/>
                <w:i/>
              </w:rPr>
              <w:t>all'aumento della visibilità e dell'impatto</w:t>
            </w:r>
            <w:r>
              <w:t xml:space="preserve"> dell'azione esterna dell'UE;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che </w:t>
            </w:r>
            <w:r>
              <w:rPr>
                <w:b/>
                <w:i/>
              </w:rPr>
              <w:t>l'utilizzo inappropriato del</w:t>
            </w:r>
            <w:r>
              <w:t xml:space="preserve"> bilancio </w:t>
            </w:r>
            <w:r>
              <w:rPr>
                <w:b/>
                <w:i/>
              </w:rPr>
              <w:t>rappresenta</w:t>
            </w:r>
            <w:r>
              <w:t xml:space="preserve"> un grave ostacolo </w:t>
            </w:r>
            <w:r>
              <w:rPr>
                <w:b/>
                <w:i/>
              </w:rPr>
              <w:t>alla capacità</w:t>
            </w:r>
            <w:r>
              <w:t xml:space="preserve"> dell'azione esterna dell'UE </w:t>
            </w:r>
            <w:r>
              <w:rPr>
                <w:b/>
                <w:i/>
              </w:rPr>
              <w:t>di avere un impatto significativo</w:t>
            </w:r>
            <w:r>
              <w:t xml:space="preserve"> ; invita la Commissione e il SEAE a condurre un vero e proprio esercizio di definizione delle priorità, al fine di individuare i settori in cui l'azione esterna dell'UE può produrre i massimi risultati a livello politico 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sottolinea che </w:t>
            </w:r>
            <w:r>
              <w:rPr>
                <w:b/>
                <w:i/>
              </w:rPr>
              <w:t>i</w:t>
            </w:r>
            <w:r>
              <w:t xml:space="preserve"> vincoli di bilancio </w:t>
            </w:r>
            <w:r>
              <w:rPr>
                <w:b/>
                <w:i/>
              </w:rPr>
              <w:t>rappresentano un grave ostacolo all'aumento della visibilità e dell'impatto dell'azione esterna dell'UE</w:t>
            </w:r>
            <w:r>
              <w:t>; invita la Commissione e il SEAE a condurre un vero e proprio esercizio di definizione delle priorità, al fine di individuare i settori in cui l'azione esterna dell'UE può produrre i massimi risultati a livello politico e strategico;</w:t>
            </w:r>
          </w:p>
        </w:tc>
        <w:tc>
          <w:tcPr>
            <w:tcW w:w="4876" w:type="dxa"/>
            <w:tcBorders>
              <w:top w:val="nil"/>
              <w:left w:val="nil"/>
              <w:bottom w:val="nil"/>
              <w:right w:val="nil"/>
            </w:tcBorders>
          </w:tcPr>
          <w:p>
            <w:pPr>
              <w:pStyle w:val="Normal6a"/>
            </w:pPr>
            <w:r>
              <w:t>38.</w:t>
            </w:r>
            <w:r>
              <w:tab/>
            </w:r>
            <w:r>
              <w:t xml:space="preserve">sottolinea che </w:t>
            </w:r>
            <w:r>
              <w:rPr>
                <w:b/>
                <w:i/>
              </w:rPr>
              <w:t>anche l'azione esterna dell'UE si trova ad affrontare inevitabili</w:t>
            </w:r>
            <w:r>
              <w:t xml:space="preserve"> vincoli di bilancio; invita la Commissione e il SEAE a condurre un vero e proprio esercizio di definizione delle priorità, al fine di individuare i settori in cui l'azione esterna dell'UE può produrre i massimi risultati a livello politico e strategico </w:t>
            </w:r>
            <w:r>
              <w:rPr>
                <w:b/>
                <w:i/>
              </w:rPr>
              <w:t>per il denaro dei contribuenti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 punto 1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sottolinea la necessità di una nomenclatura di bilancio più dettagliata nello strumento di vicinato, cooperazione allo sviluppo e cooperazione internazionale, nello strumento di assistenza preadesione e nel bilancio della PESC, che consenta all'autorità di bilancio di fissare le priorità politiche e geografiche nel quadro della procedura di bilancio annuale;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chiede un approccio rinnovato per la diplomazia preventiva dell'UE quale strumento proattivo di politica estera per evitare conflitti tra terze parti e per svolgere un ruolo di mediatore tra di esse e sostenerle nella ricerca di risoluzioni pacifiche, inclusi il dialogo e la mediazione di pace;</w:t>
            </w:r>
            <w:r>
              <w:t xml:space="preserve"> </w:t>
            </w:r>
            <w:r>
              <w:rPr>
                <w:b/>
                <w:i/>
              </w:rPr>
              <w:t>osserva che i precedenti sforzi diplomatici hanno portato all'emergere di soggetti terzi malintenzionati che hanno diminuito l'influenza dell'UE in tutto il mondo;</w:t>
            </w:r>
            <w:r>
              <w:t xml:space="preserve"> </w:t>
            </w:r>
            <w:r>
              <w:rPr>
                <w:b/>
                <w:i/>
              </w:rPr>
              <w:t>esorta il SEAE ad analizzare i precedenti sforzi diplomatici europei e i loro risultati;</w:t>
            </w:r>
            <w:r>
              <w:t xml:space="preserve"> </w:t>
            </w:r>
            <w:r>
              <w:rPr>
                <w:b/>
                <w:i/>
              </w:rPr>
              <w:t>chiede una migliore comprensione del contesto locale, storico, culturale e religioso tra il personale del SEAE, per adattare il messaggio dell'UE al contesto locale e far sì che l'UE sia percepita come un partner affidabile;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elogia gli sforzi dell'Accademia diplomatica dell'Unione europea per contribuire a un corpo diplomatico e a una cultura propri dell'UE;</w:t>
            </w:r>
            <w:r>
              <w:t xml:space="preserve"> </w:t>
            </w:r>
            <w:r>
              <w:rPr>
                <w:b/>
                <w:i/>
              </w:rPr>
              <w:t>chiede che l'Accademia includa cittadini europei che non sono solo diplomatici degli Stati membri;</w:t>
            </w:r>
            <w:r>
              <w:t xml:space="preserve"> </w:t>
            </w:r>
            <w:r>
              <w:rPr>
                <w:b/>
                <w:i/>
              </w:rPr>
              <w:t>sottolinea l'importanza di garantire che all'Accademia vengano destinate risorse sufficienti, comprese risorse umane;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invita la Commissione a valutare sistematicamente l'efficacia dei programmi di aiuto allo sviluppo e di aiuto umanitario e a verificare che i fondi raggiungano realmente i gruppi più vulnerabili e a garantire che i fondi non finiscano per essere utilizzati impropriamente;</w:t>
            </w:r>
            <w:r>
              <w:t xml:space="preserve"> </w:t>
            </w:r>
            <w:r>
              <w:rPr>
                <w:b/>
                <w:i/>
              </w:rPr>
              <w:t>chiede che i fondi disponibili siano utilizzati per rafforzare il funzionamento del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sottolinea che i finanziamenti dell'UE non devono sostenere regimi o attori che compromettono i valori dell'UE o collaborano con potenze ostili;</w:t>
            </w:r>
            <w:r>
              <w:t xml:space="preserve"> </w:t>
            </w:r>
            <w:r>
              <w:rPr>
                <w:b/>
                <w:i/>
              </w:rPr>
              <w:t>chiede un rigoroso controllo degli strumenti finanziari esterni per evitare il sostegno indiretto all'influenza autoritaria;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sottolinea l'importanza di mantenere le rappresentanze diplomatiche dell'UE in tutto il mondo come forza trainante per l'attuazione e la promozione dell'azione esterna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invita gli Stati membri a rafforzare i propri organi diplomatici, che negli ultimi anni sono stati trascurati e definanziati;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David McAllister, Jan Farský,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sottolinea il potenziale strategico dell'iniziativa Global Gateway </w:t>
            </w:r>
            <w:r>
              <w:rPr>
                <w:b/>
                <w:i/>
              </w:rPr>
              <w:t>per aumentare</w:t>
            </w:r>
            <w:r>
              <w:t xml:space="preserv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w:t>
            </w:r>
            <w:r>
              <w:rPr>
                <w:b/>
                <w:i/>
              </w:rPr>
              <w:t>non solo come piattaforma di investimento, ma anche come strumento per rafforzare</w:t>
            </w:r>
            <w:r>
              <w:t xml:space="preserve"> la presenza e la visibilità dell'UE in tutto il mondo; accoglie con favore il fatto che la Commissione abbia dato priorità all'attuazione dei suoi progetti; </w:t>
            </w:r>
            <w:r>
              <w:rPr>
                <w:b/>
                <w:i/>
              </w:rPr>
              <w:t>esprime preoccupazione per le segnalazioni secondo cui una serie di progetti Global Gateway sono in fase di attuazione a opera di imprese cinesi in diretta violazione dell'obiettivo dell'iniziativa di creare un valore nazionale nei paesi partner e di rafforzare la sicurezza economica dell'UE;</w:t>
            </w:r>
            <w:r>
              <w:t xml:space="preserve"> </w:t>
            </w:r>
            <w:r>
              <w:rPr>
                <w:b/>
                <w:i/>
              </w:rPr>
              <w:t>chiede pertanto un'indagine immediata su tutte le imprese cinesi coinvolte nella strategia Global Gateway;</w:t>
            </w:r>
            <w:r>
              <w:t xml:space="preserve"> </w:t>
            </w:r>
            <w:r>
              <w:rPr>
                <w:b/>
                <w:i/>
              </w:rPr>
              <w:t>ribadisce che il Global Gateway dovrebbe contribuire alla stabilità e alla sicurezza mondiali, rafforzando nel contempo la resilienza dell'Europa;</w:t>
            </w:r>
            <w:r>
              <w:t xml:space="preserve"> </w:t>
            </w:r>
            <w:r>
              <w:rPr>
                <w:b/>
                <w:i/>
              </w:rPr>
              <w:t>sottolinea inoltre che, per allineare l'impegno politico e le ambizioni geopolitiche, è necessario un rinnovato impegno a favore di risultati tempestivi, una maggiore titolarità locale nell'individuare i progetti e un impegno ben definito del settore privato;</w:t>
            </w:r>
            <w:r>
              <w:t xml:space="preserve"> </w:t>
            </w:r>
            <w:r>
              <w:rPr>
                <w:b/>
                <w:i/>
              </w:rPr>
              <w:t>invita la Commissione a razionalizzare la quantità di progetti faro al fine di massimizzare l'impatto dell'iniziativa;</w:t>
            </w:r>
            <w:r>
              <w:t xml:space="preserve"> </w:t>
            </w:r>
            <w:r>
              <w:rPr>
                <w:b/>
                <w:i/>
              </w:rPr>
              <w:t>ritiene inoltre che i progetti Global Gateway richiedano una migliore comunicazione pubblica, in particolare nel caso della gestione indiretta con i partner esecutivi, come le operazioni di finanziamento misto nell'ambito dell'EFSD+ che coinvolgono molteplici portatori di interessi;</w:t>
            </w:r>
            <w:r>
              <w:t xml:space="preserve"> </w:t>
            </w:r>
            <w:r>
              <w:rPr>
                <w:b/>
                <w:i/>
              </w:rPr>
              <w:t>invita pertanto la Commissione e il SEAE a rafforzare sistematicamente la comunicazione sulle azioni finanziate dall'UE, garantendo messaggi coerenti, una chiara attribuzione e un'effettiva visibilità della leadership e del valore aggiunto dell'Unione;</w:t>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insiste sul fatto che il Global Gateway dovrebbe sempre tenere conto dei valori fondamentali dell'UE, tra cui il rispetto dei diritti umani, la buona governance, la democrazia, la trasparenza e la sostenibilità ambientale;</w:t>
            </w:r>
            <w:r>
              <w:t xml:space="preserve"> </w:t>
            </w:r>
            <w:r>
              <w:rPr>
                <w:b/>
                <w:i/>
              </w:rPr>
              <w:t>sottolinea in particolare la necessità di coinvolgere sistematicamente la società civile e le comunità locali in tutte le fasi dell'elaborazione, dell'attuazione e della valutazione dei progetti, al fine di garantire che i progetti del Global Gateway rispondano alle esigenze locali, siano sensibili alla dimensione di genere e generino risultati significativi in termini di sviluppo;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evidenzia che un uso efficace delle risorse è la massima priorità, le quali dovrebbero essere destinate principalmente a un numero limitato di iniziative strategiche, in particolare sul rafforzamento delle infrastrutture, nonché per contrastare iniziative concorrenti di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evidenzia, tuttavia, che il bilancio di 300 miliardi di EUR destinato a questa iniziativa è inferiore a un terzo dell'importo dei progetti già in corso nell'ambito dell'iniziativa cinese "Nuova via della seta", anch'essa incentrata sulla connettività e sulle infrastrutture;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ribadisce, a tale proposito, l'importanza della strategia "Global Gateway" al fine di promuovere uno stretto partenariato con partner dagli stessi principi basato sui vantaggi reciproci, sullo sviluppo economico e sulla resilienza delle catene di approvvigionamento;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evidenzia la necessità di dare priorità e garantire l'efficienza sotto il profilo dei costi di tutti i progetti Global Gateway, dal momento che l'UE ha necessità finanziarie critiche per rispondere all'urgente minaccia per la sicurezza alle sue frontiere;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accoglie con favore il fatto che la Commissione abbia dato priorità all'attuazione dei suoi progetti; </w:t>
            </w:r>
            <w:r>
              <w:rPr>
                <w:b/>
                <w:i/>
              </w:rPr>
              <w:t>nota l'importanza di garantire che i progetti nell'ambito del suo quadro tengano conto di più ampi benefici e implicazioni che vanno al di là dei vantaggi legati al commercio per 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 xml:space="preserve">sottolinea il potenziale strategico dell'iniziativa Global Gateway per aumentare la presenza e la visibilità dell'UE in tutto il mondo </w:t>
            </w:r>
            <w:r>
              <w:rPr>
                <w:b/>
                <w:i/>
              </w:rPr>
              <w:t>e per fornire un'alternativa all'iniziativa cinese "Nuova via della seta"</w:t>
            </w:r>
            <w:r>
              <w:t>; accoglie con favore il fatto che la Commissione abbia dato priorità all'attuazione dei suoi progetti;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sottolinea il potenziale strategico dell'iniziativa</w:t>
            </w:r>
            <w:r>
              <w:t xml:space="preserve"> Global Gateway </w:t>
            </w:r>
            <w:r>
              <w:rPr>
                <w:b/>
                <w:i/>
              </w:rPr>
              <w:t>per aumentare la presenza e la visibilità dell'UE in tutto il mondo;</w:t>
            </w:r>
            <w:r>
              <w:t xml:space="preserve"> </w:t>
            </w:r>
            <w:r>
              <w:rPr>
                <w:b/>
                <w:i/>
              </w:rPr>
              <w:t>accoglie con favore il fatto che la Commissione abbia dato</w:t>
            </w:r>
            <w:r>
              <w:t xml:space="preserve"> priorità </w:t>
            </w:r>
            <w:r>
              <w:rPr>
                <w:b/>
                <w:i/>
              </w:rPr>
              <w:t>all'attuazione dei suoi progetti</w:t>
            </w:r>
            <w:r>
              <w:t>;</w:t>
            </w:r>
          </w:p>
        </w:tc>
        <w:tc>
          <w:tcPr>
            <w:tcW w:w="4876" w:type="dxa"/>
            <w:tcBorders>
              <w:top w:val="nil"/>
              <w:left w:val="nil"/>
              <w:bottom w:val="nil"/>
              <w:right w:val="nil"/>
            </w:tcBorders>
          </w:tcPr>
          <w:p>
            <w:pPr>
              <w:pStyle w:val="Normal6a"/>
            </w:pPr>
            <w:r>
              <w:t>39.</w:t>
            </w:r>
            <w:r>
              <w:tab/>
            </w:r>
            <w:r>
              <w:rPr>
                <w:b/>
                <w:i/>
              </w:rPr>
              <w:t>avverte che l'iniziativa</w:t>
            </w:r>
            <w:r>
              <w:t xml:space="preserve"> Global Gateway </w:t>
            </w:r>
            <w:r>
              <w:rPr>
                <w:b/>
                <w:i/>
              </w:rPr>
              <w:t>rischia di diventare un altro veicolo di spesa incontrollata, con scarsa assunzione di responsabilità o pochi benefici tangibili per i cittadini dell'UE;</w:t>
            </w:r>
            <w:r>
              <w:t xml:space="preserve"> </w:t>
            </w:r>
            <w:r>
              <w:rPr>
                <w:b/>
                <w:i/>
              </w:rPr>
              <w:t>sottolinea che occorre dare</w:t>
            </w:r>
            <w:r>
              <w:t xml:space="preserve"> priorità </w:t>
            </w:r>
            <w:r>
              <w:rPr>
                <w:b/>
                <w:i/>
              </w:rPr>
              <w:t>a ridurre i rifiuti e garantire la trasparenza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 accoglie con favore il fatto che la Commissione abbia dato priorità all'attuazione dei suoi progetti;</w:t>
            </w:r>
          </w:p>
        </w:tc>
        <w:tc>
          <w:tcPr>
            <w:tcW w:w="4876" w:type="dxa"/>
            <w:tcBorders>
              <w:top w:val="nil"/>
              <w:left w:val="nil"/>
              <w:bottom w:val="nil"/>
              <w:right w:val="nil"/>
            </w:tcBorders>
          </w:tcPr>
          <w:p>
            <w:pPr>
              <w:pStyle w:val="Normal6a"/>
            </w:pPr>
            <w:r>
              <w:t>39.</w:t>
            </w:r>
            <w:r>
              <w:tab/>
            </w:r>
            <w:r>
              <w:t>sottolinea il potenziale strategico dell'iniziativa Global Gateway per aumentare la presenza e la visibilità dell'UE in tutto il mondo</w:t>
            </w:r>
            <w:r>
              <w:rPr>
                <w:b/>
                <w:i/>
              </w:rPr>
              <w:t>, come pure la sua influenza</w:t>
            </w:r>
            <w:r>
              <w:t>; accoglie con favore il fatto che la Commissione abbia dato priorità all'attuazione dei suoi progetti;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804</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invita il Consiglio e la Commissione a parlare con una sola voce;</w:t>
            </w:r>
            <w:r>
              <w:t xml:space="preserve"> </w:t>
            </w:r>
            <w:r>
              <w:rPr>
                <w:b/>
                <w:i/>
              </w:rPr>
              <w:t>osserva che alcuni progressi in materia di PESC possono essere compiuti ricorrendo alle disposizioni dei trattati esistenti, come la "clausola passerella", e che un maggiore ricorso al voto a maggioranza qualificata sulle questioni relative agli affari esteri è essenziale, in particolare nel contesto del nostro regime di sanzioni;</w:t>
            </w:r>
            <w:r>
              <w:t xml:space="preserve"> </w:t>
            </w:r>
            <w:r>
              <w:rPr>
                <w:b/>
                <w:i/>
              </w:rPr>
              <w:t>chiede una revisione approfondita e l'introduzione del voto a maggioranza qualificata in seno al Consiglio su tutte le questioni relative agli affari esteri;</w:t>
            </w:r>
            <w:r>
              <w:t xml:space="preserve"> </w:t>
            </w:r>
            <w:r>
              <w:rPr>
                <w:b/>
                <w:i/>
              </w:rPr>
              <w:t>sottolinea che i trattati dovrebbero prevedere specificamente la possibilità di istituire un'Unione europea della difesa e che la vicepresidente/alta rappresentante dovrebbe essere nominata ministra degli Esteri dell'UE e sostenuta nei suoi sforzi affinché diventi la principale rappresentante esterna dell'Unione europea nei consessi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ribadisce il ruolo dei rappresentanti speciali dell'UE (RSUE), che promuovono le politiche e gli interessi dell'UE in regioni e paesi specifici e svolgono un ruolo importante nello sviluppo di una PESC più forte ed efficace fornendo all'UE una presenza politica attiva nei paesi e nelle regioni chiave e fungendo da "voce" e "volto" dell'UE; sottolinea l'importanza che i rappresentanti speciali dell'UE abbiano un mandato ampio e flessibile, in grado di adattarsi all'evoluzione delle circostanze geopolitiche per promuovere le politiche e gli interessi dell'UE in regioni e paesi specifici e svolgere un ruolo attivo negli sforzi di diplomazia preventiva;</w:t>
            </w:r>
            <w:r>
              <w:t xml:space="preserve"> </w:t>
            </w:r>
            <w:r>
              <w:rPr>
                <w:b/>
                <w:i/>
              </w:rPr>
              <w:t>insiste sul fatto che la nomina di nuovi RSUE dovrebbe avvenire solo dopo un'audizione al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sottolinea che la piena attuazione degli obiettivi di sviluppo sostenibile deve continuare a essere un principio guida per l'azione esterna dell'UE, con l'ulteriore vantaggio di rafforzare la posizione geopolitica e la credibilità dell'UE sulla scena mondiale alla luce dei recenti sviluppi;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807</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ricorda il pilastro sul "dare l'esempio" nell'ambito del terzo piano d'azione sulla parità di genere e invita l'AR/VP a migliorare l'equilibrio di genere del SEAE nelle posizioni dirigenziali;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sottolinea il ruolo centrale svolto dalle missioni europee di osservazione elettorale nel sostenere la democrazia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ter.</w:t>
            </w:r>
            <w:r>
              <w:tab/>
            </w:r>
            <w:r>
              <w:rPr>
                <w:b/>
                <w:i/>
              </w:rPr>
              <w:t>mette in guardia dal ridurre il livello di priorità per le misure contro i cambiamenti climatici nell'azione esterna dell'UE, dal momento che questi ultimi fungono sempre più spesso da "moltiplicatori di minacce", comportando un'ulteriore destabilizzazione dei paesi e delle regioni vulnerabili, crisi umanitarie prevenibili e ulteriori pressioni migratorie;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ricorda che il Parlamento europeo ha un ruolo ben definito da svolgere nell'integrare la visibilità e l'impatto dell'azione esterna dell'UE, integrando in tal modo gli sforzi dei servizi diplomatici dell'UE e degli Stati membri;</w:t>
            </w:r>
          </w:p>
        </w:tc>
        <w:tc>
          <w:tcPr>
            <w:tcW w:w="4876" w:type="dxa"/>
            <w:tcBorders>
              <w:top w:val="nil"/>
              <w:left w:val="nil"/>
              <w:bottom w:val="nil"/>
              <w:right w:val="nil"/>
            </w:tcBorders>
          </w:tcPr>
          <w:p>
            <w:pPr>
              <w:pStyle w:val="Normal6a"/>
            </w:pPr>
            <w:r>
              <w:t>40.</w:t>
            </w:r>
            <w:r>
              <w:tab/>
            </w:r>
            <w:r>
              <w:t xml:space="preserve">ricorda che il Parlamento europeo ha un ruolo ben definito da svolgere nell'integrare la visibilità e l'impatto dell'azione esterna dell'UE, integrando in tal modo gli sforzi dei servizi diplomatici dell'UE e degli Stati membri; </w:t>
            </w:r>
            <w:r>
              <w:rPr>
                <w:b/>
                <w:i/>
              </w:rPr>
              <w:t>sottolinea che le questioni relative alla diplomazia e alla difesa sono innanzitutto una prerogativa degli Stati membri;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sottolinea che l'unanimità in seno al Consiglio deve essere mantenuta per tutte le decisioni relative alle questioni di politica estera, di sicurezza e di difesa;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rammenta che l'esercizio della funzione di bilancio da parte del Parlamento europeo è indissolubilmente legato alla sua funzione di controllo democratico e di consultazione;</w:t>
            </w:r>
          </w:p>
        </w:tc>
        <w:tc>
          <w:tcPr>
            <w:tcW w:w="4876" w:type="dxa"/>
            <w:tcBorders>
              <w:top w:val="nil"/>
              <w:left w:val="nil"/>
              <w:bottom w:val="nil"/>
              <w:right w:val="nil"/>
            </w:tcBorders>
          </w:tcPr>
          <w:p>
            <w:pPr>
              <w:pStyle w:val="Normal6a"/>
            </w:pPr>
            <w:r>
              <w:t>41.</w:t>
            </w:r>
            <w:r>
              <w:tab/>
            </w:r>
            <w:r>
              <w:t xml:space="preserve">rammenta che l'esercizio della funzione di bilancio da parte del Parlamento europeo è indissolubilmente legato alla sua funzione di controllo democratico e di consultazione; </w:t>
            </w:r>
            <w:r>
              <w:rPr>
                <w:b/>
                <w:i/>
              </w:rPr>
              <w:t>sottolinea che nella PESC, che comprende la PSDC, il Parlamento europeo esercita la sua funzione di bilancio congiuntamente al Consiglio;</w:t>
            </w:r>
            <w:r>
              <w:t xml:space="preserve"> </w:t>
            </w:r>
            <w:r>
              <w:rPr>
                <w:b/>
                <w:i/>
              </w:rPr>
              <w:t>ricorda che il Parlamento europeo esercita altresì la funzione di controllo politico e di consultazione sulle politiche di cui all'articolo 36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rammenta che l'esercizio della funzione di bilancio da parte del Parlamento europeo è indissolubilmente legato alla sua funzione di controllo democratico e di consultazione;</w:t>
            </w:r>
          </w:p>
        </w:tc>
        <w:tc>
          <w:tcPr>
            <w:tcW w:w="4876" w:type="dxa"/>
            <w:tcBorders>
              <w:top w:val="nil"/>
              <w:left w:val="nil"/>
              <w:bottom w:val="nil"/>
              <w:right w:val="nil"/>
            </w:tcBorders>
          </w:tcPr>
          <w:p>
            <w:pPr>
              <w:pStyle w:val="Normal6a"/>
            </w:pPr>
            <w:r>
              <w:t>41.</w:t>
            </w:r>
            <w:r>
              <w:tab/>
            </w:r>
            <w:r>
              <w:t xml:space="preserve">rammenta che l'esercizio della funzione di bilancio da parte del Parlamento europeo è indissolubilmente legato alla sua funzione di controllo democratico e di consultazione; </w:t>
            </w:r>
            <w:r>
              <w:rPr>
                <w:b/>
                <w:i/>
              </w:rPr>
              <w:t>deplora che il SEAE non abbia fornito chiarimenti sull'accordo di dialogo politico e di cooperazione (ADPC) e invita la Corte dei conti europea a condurre un'indagine e una valutazione approfondite;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 bis.</w:t>
            </w:r>
            <w:r>
              <w:tab/>
            </w:r>
            <w:r>
              <w:rPr>
                <w:b/>
                <w:i/>
              </w:rPr>
              <w:t>ricorda che il sostegno alla democrazia è al centro della PESC dell'UE;</w:t>
            </w:r>
            <w:r>
              <w:t xml:space="preserve"> </w:t>
            </w:r>
            <w:r>
              <w:rPr>
                <w:b/>
                <w:i/>
              </w:rPr>
              <w:t>elogia il ruolo del coordinamento elettorale (DEG) del PE nel sostenere la promozione della democrazia e dei diritti umani in tutta l'azione esterna dell'UE;</w:t>
            </w:r>
            <w:r>
              <w:t xml:space="preserve"> </w:t>
            </w:r>
            <w:r>
              <w:rPr>
                <w:b/>
                <w:i/>
              </w:rPr>
              <w:t>sottolinea che il prossimo QFP dovrebbe aumentare la dotazione di bilancio destinata alle missioni di osservazione elettorale dell'UE, in particolare per quanto riguarda la possibilità di inviarle nei paesi candidati;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ritiene che sia necessario rafforzare il controllo parlamentare sull'azione esterna dell'UE, anche tramite un accesso regolare a informazioni confidenziali e dialoghi strutturati;</w:t>
            </w:r>
          </w:p>
        </w:tc>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anche tramite un accesso regolare </w:t>
            </w:r>
            <w:r>
              <w:rPr>
                <w:b/>
                <w:i/>
              </w:rPr>
              <w:t>e tempestivo, ma sicuro,</w:t>
            </w:r>
            <w:r>
              <w:t xml:space="preserve"> a informazioni confidenziali e dialoghi strutturati </w:t>
            </w:r>
            <w:r>
              <w:rPr>
                <w:b/>
                <w:i/>
              </w:rPr>
              <w:t>in conformità all'articolo 36 TUE</w:t>
            </w:r>
            <w:r>
              <w:t xml:space="preserve">; </w:t>
            </w:r>
            <w:r>
              <w:rPr>
                <w:b/>
                <w:i/>
              </w:rPr>
              <w:t>sottolinea la necessità di un maggiore riscontro da parte della VP/AR e del SEAE in merito alle azioni intraprese e ai relativi effetti, al fine di soddisfare le raccomandazioni del Parlamento delineate nelle risoluzioni sulle questioni relative agli affari esteri;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ritiene che sia necessario rafforzare il controllo parlamentare sull'azione esterna dell'UE, anche tramite un accesso regolare a informazioni confidenziali e dialoghi strutturati;</w:t>
            </w:r>
          </w:p>
        </w:tc>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anche tramite un accesso regolare a informazioni confidenziali e dialoghi strutturati; </w:t>
            </w:r>
            <w:r>
              <w:rPr>
                <w:b/>
                <w:i/>
              </w:rPr>
              <w:t>sottolinea che il controllo democratico non può essere efficace senza un reale accesso alle informazioni classificate ed esorta a migliorare il quadro del 2002 per adeguarlo alle attuali realtà in materia di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ritiene che sia necessario rafforzare il controllo parlamentare sull'azione esterna dell'UE, anche tramite un accesso regolare a informazioni confidenziali e dialoghi strutturati;</w:t>
            </w:r>
          </w:p>
        </w:tc>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anche tramite un accesso regolare a informazioni confidenziali e dialoghi strutturati; </w:t>
            </w:r>
            <w:r>
              <w:rPr>
                <w:b/>
                <w:i/>
              </w:rPr>
              <w:t>evidenzia il ruolo delle relazioni interparlamentari quale strumento fondamentale per conseguire gli obiettivi della politica estera dell'UE nei paesi terzi e creare legami al di là delle istituzioni governative;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w:t>
            </w:r>
            <w:r>
              <w:rPr>
                <w:b/>
                <w:i/>
              </w:rPr>
              <w:t>anche tramite</w:t>
            </w:r>
            <w:r>
              <w:t xml:space="preserve"> un accesso regolare a informazioni confidenziali </w:t>
            </w:r>
            <w:r>
              <w:rPr>
                <w:b/>
                <w:i/>
              </w:rPr>
              <w:t>e dialoghi strutturati</w:t>
            </w:r>
            <w:r>
              <w:t>;</w:t>
            </w:r>
          </w:p>
        </w:tc>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w:t>
            </w:r>
            <w:r>
              <w:rPr>
                <w:b/>
                <w:i/>
              </w:rPr>
              <w:t>incluso</w:t>
            </w:r>
            <w:r>
              <w:t xml:space="preserve"> un accesso regolare a </w:t>
            </w:r>
            <w:r>
              <w:rPr>
                <w:b/>
                <w:i/>
              </w:rPr>
              <w:t>dialoghi strutturati e alle</w:t>
            </w:r>
            <w:r>
              <w:t xml:space="preserve"> informazioni confidenziali</w:t>
            </w:r>
            <w:r>
              <w:rPr>
                <w:b/>
                <w:i/>
              </w:rPr>
              <w:t>, ove necessario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anche </w:t>
            </w:r>
            <w:r>
              <w:rPr>
                <w:b/>
                <w:i/>
              </w:rPr>
              <w:t>tramite</w:t>
            </w:r>
            <w:r>
              <w:t xml:space="preserve"> un accesso regolare a informazioni confidenziali e dialoghi strutturati;</w:t>
            </w:r>
          </w:p>
        </w:tc>
        <w:tc>
          <w:tcPr>
            <w:tcW w:w="4876" w:type="dxa"/>
            <w:tcBorders>
              <w:top w:val="nil"/>
              <w:left w:val="nil"/>
              <w:bottom w:val="nil"/>
              <w:right w:val="nil"/>
            </w:tcBorders>
          </w:tcPr>
          <w:p>
            <w:pPr>
              <w:pStyle w:val="Normal6a"/>
            </w:pPr>
            <w:r>
              <w:t>42.</w:t>
            </w:r>
            <w:r>
              <w:tab/>
            </w:r>
            <w:r>
              <w:t xml:space="preserve">ritiene che sia necessario rafforzare il controllo parlamentare sull'azione esterna dell'UE, anche </w:t>
            </w:r>
            <w:r>
              <w:rPr>
                <w:b/>
                <w:i/>
              </w:rPr>
              <w:t>grazie a</w:t>
            </w:r>
            <w:r>
              <w:t xml:space="preserve"> un accesso regolare a informazioni confidenziali e dialoghi strutturati;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bis.</w:t>
            </w:r>
            <w:r>
              <w:tab/>
            </w:r>
            <w:r>
              <w:rPr>
                <w:b/>
                <w:i/>
              </w:rPr>
              <w:t>si rammarica dell'uso eccessivo dell'inglese da parte del SEAE nelle sue comunicazioni;</w:t>
            </w:r>
            <w:r>
              <w:t xml:space="preserve"> </w:t>
            </w:r>
            <w:r>
              <w:rPr>
                <w:b/>
                <w:i/>
              </w:rPr>
              <w:t>chiede che il francese sia utilizzato allo stesso livello dell'inglese nelle comunicazioni del SEAE;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bis.</w:t>
            </w:r>
            <w:r>
              <w:tab/>
            </w:r>
            <w:r>
              <w:rPr>
                <w:b/>
                <w:i/>
              </w:rPr>
              <w:t>ribadisce il suo invito al SEAE a garantire un equilibrio geografico tra gli Stati membri a tutti i livelli all'interno del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ter.</w:t>
            </w:r>
            <w:r>
              <w:tab/>
            </w:r>
            <w:r>
              <w:rPr>
                <w:b/>
                <w:i/>
              </w:rPr>
              <w:t>ribadisce il suo invito al SEAE a garantire un equilibrio geografico tra gli Stati membri a tutti i livelli all'interno del SEAE, in particolare nei posti di alto livello;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sottolinea che ogni questione sollevata in precedenza richiede un'adeguata risposta scritta da parte della VP/AR;</w:t>
            </w:r>
          </w:p>
        </w:tc>
        <w:tc>
          <w:tcPr>
            <w:tcW w:w="4876" w:type="dxa"/>
            <w:tcBorders>
              <w:top w:val="nil"/>
              <w:left w:val="nil"/>
              <w:bottom w:val="nil"/>
              <w:right w:val="nil"/>
            </w:tcBorders>
          </w:tcPr>
          <w:p>
            <w:pPr>
              <w:pStyle w:val="Normal6a"/>
            </w:pPr>
            <w:r>
              <w:t>43.</w:t>
            </w:r>
            <w:r>
              <w:tab/>
            </w:r>
            <w:r>
              <w:t xml:space="preserve">sottolinea che ogni questione sollevata in precedenza richiede un'adeguata risposta scritta da parte della VP/AR; </w:t>
            </w:r>
            <w:r>
              <w:rPr>
                <w:b/>
                <w:i/>
              </w:rPr>
              <w:t>invita la VP/AR a rispondere rapidamente e per iscritto alle richieste, alle domande e alle preoccupazioni del Parlamento;</w:t>
            </w:r>
            <w:r>
              <w:t xml:space="preserve"> </w:t>
            </w:r>
            <w:r>
              <w:rPr>
                <w:b/>
                <w:i/>
              </w:rPr>
              <w:t>ritiene che le dichiarazioni orali in commissione o in Aula possano costituire una risposta sufficiente solo in casi eccezionali o urgenti;</w:t>
            </w:r>
            <w:r>
              <w:t xml:space="preserve"> </w:t>
            </w:r>
            <w:r>
              <w:rPr>
                <w:b/>
                <w:i/>
              </w:rPr>
              <w:t>sottolinea che, nell'attuale difficile contesto geopolitico, una stretta cooperazione e un partenariato tra il Parlamento europeo e la VP/AR rivestono un'importanza strategica;</w:t>
            </w:r>
            <w:r>
              <w:t xml:space="preserve"> </w:t>
            </w:r>
            <w:r>
              <w:rPr>
                <w:b/>
                <w:i/>
              </w:rPr>
              <w:t>sottolinea che le decisioni PESC o PSDC che comportano spese costituiscono sempre scelte fondamentali per tali politiche e devono essere soggette al controllo parlamentare;</w:t>
            </w:r>
            <w:r>
              <w:t xml:space="preserve"> </w:t>
            </w:r>
            <w:r>
              <w:rPr>
                <w:b/>
                <w:i/>
              </w:rPr>
              <w:t>si attende scambi più sistematici prima dell'adozione di mandati e strategie PESC e un migliore flusso di informazioni sui negoziati e sull'attuazione degli accordi internazionali, nonché dei memorandum d'intesa;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sottolinea che ogni </w:t>
            </w:r>
            <w:r>
              <w:rPr>
                <w:b/>
                <w:i/>
              </w:rPr>
              <w:t>questione</w:t>
            </w:r>
            <w:r>
              <w:t xml:space="preserve"> sollevata in precedenza richiede un'adeguata risposta scritta da parte della VP/AR;</w:t>
            </w:r>
          </w:p>
        </w:tc>
        <w:tc>
          <w:tcPr>
            <w:tcW w:w="4876" w:type="dxa"/>
            <w:tcBorders>
              <w:top w:val="nil"/>
              <w:left w:val="nil"/>
              <w:bottom w:val="nil"/>
              <w:right w:val="nil"/>
            </w:tcBorders>
          </w:tcPr>
          <w:p>
            <w:pPr>
              <w:pStyle w:val="Normal6a"/>
            </w:pPr>
            <w:r>
              <w:t>43.</w:t>
            </w:r>
            <w:r>
              <w:tab/>
            </w:r>
            <w:r>
              <w:t xml:space="preserve">sottolinea che ogni </w:t>
            </w:r>
            <w:r>
              <w:rPr>
                <w:b/>
                <w:i/>
              </w:rPr>
              <w:t>richiesta</w:t>
            </w:r>
            <w:r>
              <w:t xml:space="preserve"> sollevata in precedenza richiede un'adeguata risposta scritta da parte della VP/AR;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 bis.</w:t>
            </w:r>
            <w:r>
              <w:tab/>
            </w:r>
            <w:r>
              <w:rPr>
                <w:b/>
                <w:i/>
              </w:rPr>
              <w:t>si rammarica del fatto che singoli Stati membri abbiano usato il loro diritto di veto per ridurre la portata degli accordi, ritardare il processo decisionale o impedire l'elaborazione di una politica comune;</w:t>
            </w:r>
            <w:r>
              <w:t xml:space="preserve"> </w:t>
            </w:r>
            <w:r>
              <w:rPr>
                <w:b/>
                <w:i/>
              </w:rPr>
              <w:t>deplora che il potenziale per un'azione rapida, efficiente ed efficace nel settore della politica estera, di sicurezza e di difesa, come previsto, tra l'altro, dalle clausole passerella del TUE, non sia mai stato sfruttato;</w:t>
            </w:r>
            <w:r>
              <w:t xml:space="preserve"> </w:t>
            </w:r>
            <w:r>
              <w:rPr>
                <w:b/>
                <w:i/>
              </w:rPr>
              <w:t>incoraggia, in attesa della possibile applicazione del voto a maggioranza qualificata per le decisioni che non hanno implicazioni nel settore militare o della difesa, il pieno utilizzo di tutte le possibilità attualmente esistenti per rafforzare la risolutezza a tale riguardo, compreso il ricorso all'astensione costruttiva conformemente all'articolo 31, paragrafo 1, TUE;</w:t>
            </w:r>
            <w:r>
              <w:t xml:space="preserve"> </w:t>
            </w:r>
            <w:r>
              <w:rPr>
                <w:b/>
                <w:i/>
              </w:rPr>
              <w:t>ritiene che i progressi verso l'applicazione del voto a maggioranza qualificata saranno graduali e fondati sulla creazione di una cultura strategica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778.130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AM\1328813IT.docx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AM\1328813IT.docx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778.130</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AM\1328813IT.docx</w:t>
    </w:r>
    <w:r>
      <w:rPr>
        <w:rStyle w:val="HideTWBExt"/>
      </w:rPr>
      <w:t>&lt;/PathFdR&gt;</w:t>
    </w:r>
    <w:r>
      <w:tab/>
    </w:r>
    <w:r>
      <w:tab/>
    </w:r>
    <w:r>
      <w:t>PE</w:t>
    </w:r>
    <w:r>
      <w:rPr>
        <w:rStyle w:val="HideTWBExt"/>
      </w:rPr>
      <w:t>&lt;NoPE&gt;</w:t>
    </w:r>
    <w:r>
      <w:t>778.130</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13852</Words>
  <Characters>83175</Characters>
  <Application>Microsoft Office Word</Application>
  <DocSecurity>0</DocSecurity>
  <Lines>1</Lines>
  <Paragraphs>1116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1328813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278064</vt:lpwstr>
  </property>
  <property fmtid="{D5CDD505-2E9C-101B-9397-08002B2CF9AE}" pid="7" name="dmxml.render.traceId">
    <vt:lpwstr>6909d629c3eb9fa28812d4050031ea33</vt:lpwstr>
  </property>
  <property fmtid="{D5CDD505-2E9C-101B-9397-08002B2CF9AE}" pid="8" name="FooterPath">
    <vt:lpwstr>AM\1328813IT.docx</vt:lpwstr>
  </property>
  <property fmtid="{D5CDD505-2E9C-101B-9397-08002B2CF9AE}" pid="9" name="PE Number">
    <vt:lpwstr>778.130</vt:lpwstr>
  </property>
  <property fmtid="{D5CDD505-2E9C-101B-9397-08002B2CF9AE}" pid="10" name="UID">
    <vt:lpwstr>eu.europa.europarl-DIN1-2025-0000179658_02.00-it-01.00_text-xml</vt:lpwstr>
  </property>
</Properties>
</file>