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Comissão dos Assuntos Externos</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699</w:t>
      </w:r>
      <w:r>
        <w:t xml:space="preserve"> - </w:t>
      </w:r>
      <w:r>
        <w:t>825</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Execução da política externa e de segurança comum – relatório anual de 2025</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Reitera que a ação externa da UE está irrevogavelmente ligada aos valores e princípios consagrados no artigo 2.º, no artigo 3.º, n.º 5, e no artigo 21.º do TUE;</w:t>
            </w:r>
          </w:p>
        </w:tc>
        <w:tc>
          <w:tcPr>
            <w:tcW w:w="4876" w:type="dxa"/>
            <w:tcBorders>
              <w:top w:val="nil"/>
              <w:left w:val="nil"/>
              <w:bottom w:val="nil"/>
              <w:right w:val="nil"/>
            </w:tcBorders>
          </w:tcPr>
          <w:p>
            <w:pPr>
              <w:pStyle w:val="Normal6a"/>
            </w:pPr>
            <w:r>
              <w:t>30.</w:t>
            </w:r>
            <w:r>
              <w:tab/>
            </w:r>
            <w:r>
              <w:t xml:space="preserve">Reitera que a ação externa da UE está irrevogavelmente ligada aos valores e princípios consagrados no artigo 2.º, no artigo 3.º, n.º 5, e no artigo 21.º do TUE; </w:t>
            </w:r>
            <w:r>
              <w:rPr>
                <w:b/>
                <w:i/>
              </w:rPr>
              <w:t>apoia a decisão recente da Comissão de suspender o apoio bilateral da UE a Israel e de cancelar todos os pagamentos nestas áreas, sem que tal comprometa o trabalho da UE com a sociedade civil israelita ou com o Yad Vashem;</w:t>
            </w:r>
            <w:r>
              <w:t xml:space="preserve"> </w:t>
            </w:r>
            <w:r>
              <w:rPr>
                <w:b/>
                <w:i/>
              </w:rPr>
              <w:t>apoia a suspensão parcial do Acordo de Associação UE-Israel quanto a questões relacionadas com o comércio;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Reitera que a ação externa da UE está irrevogavelmente ligada aos valores e princípios consagrados no artigo 2.º, no artigo 3.º, n.º 5, e no artigo 21.º do TUE;</w:t>
            </w:r>
          </w:p>
        </w:tc>
        <w:tc>
          <w:tcPr>
            <w:tcW w:w="4876" w:type="dxa"/>
            <w:tcBorders>
              <w:top w:val="nil"/>
              <w:left w:val="nil"/>
              <w:bottom w:val="nil"/>
              <w:right w:val="nil"/>
            </w:tcBorders>
          </w:tcPr>
          <w:p>
            <w:pPr>
              <w:pStyle w:val="Normal6a"/>
            </w:pPr>
            <w:r>
              <w:t>30.</w:t>
            </w:r>
            <w:r>
              <w:tab/>
            </w:r>
            <w:r>
              <w:t>Reitera que a ação externa da UE está irrevogavelmente ligada aos valores e princípios consagrados no artigo 2.º, no artigo 3.º, n.º 5, e no artigo 21.º do TUE</w:t>
            </w:r>
            <w:r>
              <w:rPr>
                <w:b/>
                <w:i/>
              </w:rPr>
              <w:t>, nomeadamente a soberania, a independência e a integridade territorial de todos os Estados-Membros, em conformidade com a Carta das Nações Unidas</w:t>
            </w:r>
            <w:r>
              <w:t xml:space="preserve">; </w:t>
            </w:r>
            <w:r>
              <w:rPr>
                <w:b/>
                <w:i/>
              </w:rPr>
              <w:t>sublinha que estes princípios também se aplicam a Chipre;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Reitera que a ação externa da UE está irrevogavelmente ligada aos valores e princípios consagrados no artigo 2.º, no artigo 3.º, n.º 5, e no artigo 21.º do TUE;</w:t>
            </w:r>
          </w:p>
        </w:tc>
        <w:tc>
          <w:tcPr>
            <w:tcW w:w="4876" w:type="dxa"/>
            <w:tcBorders>
              <w:top w:val="nil"/>
              <w:left w:val="nil"/>
              <w:bottom w:val="nil"/>
              <w:right w:val="nil"/>
            </w:tcBorders>
          </w:tcPr>
          <w:p>
            <w:pPr>
              <w:pStyle w:val="Normal6a"/>
            </w:pPr>
            <w:r>
              <w:t>30.</w:t>
            </w:r>
            <w:r>
              <w:tab/>
            </w:r>
            <w:r>
              <w:t xml:space="preserve">Reitera que a ação externa da UE está irrevogavelmente ligada aos valores e princípios consagrados no artigo 2.º, no artigo 3.º, n.º 5, e no artigo 21.º do TUE; </w:t>
            </w:r>
            <w:r>
              <w:rPr>
                <w:b/>
                <w:i/>
              </w:rPr>
              <w:t>lamenta que algumas políticas da UE, inclusive em relação a Cuba, ponham em causa estes valores;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Reitera que a ação externa da UE </w:t>
            </w:r>
            <w:r>
              <w:rPr>
                <w:b/>
                <w:i/>
              </w:rPr>
              <w:t>está irrevogavelmente ligada aos</w:t>
            </w:r>
            <w:r>
              <w:t xml:space="preserve"> valores e princípios consagrados no artigo 2.º, no artigo 3.º, n.º 5, e no artigo 21.º do TUE;</w:t>
            </w:r>
          </w:p>
        </w:tc>
        <w:tc>
          <w:tcPr>
            <w:tcW w:w="4876" w:type="dxa"/>
            <w:tcBorders>
              <w:top w:val="nil"/>
              <w:left w:val="nil"/>
              <w:bottom w:val="nil"/>
              <w:right w:val="nil"/>
            </w:tcBorders>
          </w:tcPr>
          <w:p>
            <w:pPr>
              <w:pStyle w:val="Normal6a"/>
            </w:pPr>
            <w:r>
              <w:t>30.</w:t>
            </w:r>
            <w:r>
              <w:tab/>
            </w:r>
            <w:r>
              <w:t xml:space="preserve">Reitera que a ação externa da UE </w:t>
            </w:r>
            <w:r>
              <w:rPr>
                <w:b/>
                <w:i/>
              </w:rPr>
              <w:t>se pauta pelos</w:t>
            </w:r>
            <w:r>
              <w:t xml:space="preserve"> valores e princípios consagrados no artigo 2.º, no artigo 3.º, n.º 5, e no artigo 21.º do TUE</w:t>
            </w:r>
            <w:r>
              <w:rPr>
                <w:b/>
                <w:i/>
              </w:rPr>
              <w:t>, que inspiraram a própria criação da UE, o seu desenvolvimento e o seu alargamento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Reitera que a ameaça do uso da força (casus belli) contra um Estado-Membro e a presença militar ilegal continuada no território de um Estado-Membro são totalmente incompatíveis com os princípios da UE, da Carta das Nações Unidas e da PESC;</w:t>
            </w:r>
            <w:r>
              <w:t xml:space="preserve"> </w:t>
            </w:r>
            <w:r>
              <w:rPr>
                <w:b/>
                <w:i/>
              </w:rPr>
              <w:t>salienta que estas práticas não são conformes à política de segurança e de defesa da UE e insta a VP/AR a dar-lhes uma resposta coerente com o tratamento que foi dado a outros casos de violação do direito internacional;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Sublinha a necessidade urgente de uma política externa que coloque a luta contra a imigração ilegal e o terrorismo islâmico no centro das prioridades da União;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 </w:t>
            </w:r>
            <w:r>
              <w:rPr>
                <w:b/>
                <w:i/>
              </w:rPr>
              <w:t>concorda com a forte oposição à corrupção e ao clientelismo manifestada nos últimos tempos nas sociedades asiáticas, nomeadamente no Nepal e no Sri Lanka;</w:t>
            </w:r>
            <w:r>
              <w:t xml:space="preserve"> </w:t>
            </w:r>
            <w:r>
              <w:rPr>
                <w:b/>
                <w:i/>
              </w:rPr>
              <w:t>apoia os esforços orientados para combater a corrupção, nomeadamente na sua dimensão transnacional, e para reforçar a transparência, a responsabilização e a boa governação;</w:t>
            </w:r>
            <w:r>
              <w:t xml:space="preserve"> </w:t>
            </w:r>
            <w:r>
              <w:rPr>
                <w:b/>
                <w:i/>
              </w:rPr>
              <w:t>lamenta que a UE não tenha tomado medidas suficientes para evitar ser, ela própria, exportadora de corrupção e convida a UE, com base no exemplo da lei americana sobre práticas de corrupção no estrangeiro (Foreign Corrupt Practices Act), a desenvolver legislação equivalente, sem a qual quaisquer outras ações na matéria serão privadas de impacto significativo;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w:t>
            </w:r>
            <w:r>
              <w:rPr>
                <w:b/>
                <w:i/>
              </w:rPr>
              <w:t>é essencial para efeitos da correta execução da sua ação externa;</w:t>
            </w:r>
            <w:r>
              <w:t xml:space="preserve"> </w:t>
            </w:r>
            <w:r>
              <w:rPr>
                <w:b/>
                <w:i/>
              </w:rPr>
              <w:t>insiste em que a credibilidade da UE</w:t>
            </w:r>
            <w:r>
              <w:t xml:space="preserve"> depende </w:t>
            </w:r>
            <w:r>
              <w:rPr>
                <w:b/>
                <w:i/>
              </w:rPr>
              <w:t>da garantia do mais elevado nível de coordenação e coerência na sua ação externa, em particular no que diz respeito à sua representação externa, bem como</w:t>
            </w:r>
            <w:r>
              <w:t xml:space="preserv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 </w:t>
            </w:r>
            <w:r>
              <w:rPr>
                <w:b/>
                <w:i/>
              </w:rPr>
              <w:t>realça que a dualidade de critérios na condução da sua política externa prejudica a imagem e a credibilidade da UE, em particular no que diz respeito aos parceiros, aos parceiros potenciais e aos países terceiros do hemisfério 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w:t>
            </w:r>
            <w:r>
              <w:rPr>
                <w:b/>
                <w:i/>
              </w:rPr>
              <w:t>a abranger</w:t>
            </w:r>
            <w:r>
              <w:t xml:space="preserve">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w:t>
            </w:r>
            <w:r>
              <w:rPr>
                <w:b/>
                <w:i/>
              </w:rPr>
              <w:t>(regime de sanções em matéria de direitos humanos</w:t>
            </w:r>
            <w:r>
              <w:t xml:space="preserve"> do tipo Magnitsky</w:t>
            </w:r>
            <w:r>
              <w:rPr>
                <w:b/>
                <w:i/>
              </w:rPr>
              <w:t>)</w:t>
            </w:r>
            <w:r>
              <w:t>, de modo </w:t>
            </w:r>
            <w:r>
              <w:rPr>
                <w:b/>
                <w:i/>
              </w:rPr>
              <w:t>que este abranja</w:t>
            </w:r>
            <w:r>
              <w:t xml:space="preserve"> a repressão sistémica e a corrupção; </w:t>
            </w:r>
            <w:r>
              <w:rPr>
                <w:b/>
                <w:i/>
              </w:rPr>
              <w:t>apoia um alargamento das sanções e apela à adoção de medidas restritivas específicas da UE, incluindo o congelamento de bens e a proibição de vistos através do regime global de sanções da UE em matéria de direitos humanos, contra as pessoas e entidades extremistas diretamente envolvidas na ocupação ilegal dos territórios palestinianos, bem como em violações graves do direito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w:t>
            </w:r>
            <w:r>
              <w:rPr>
                <w:b/>
                <w:i/>
              </w:rPr>
              <w:t>salienta que o limiar para uma ação decisiva deve ser comunicado de forma coerente e incluir respostas inequívocas a graves violações dos direitos humanos;</w:t>
            </w:r>
            <w:r>
              <w:t xml:space="preserve"> </w:t>
            </w:r>
            <w:r>
              <w:rPr>
                <w:b/>
                <w:i/>
              </w:rPr>
              <w:t>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w:t>
            </w:r>
            <w:r>
              <w:rPr>
                <w:b/>
                <w:i/>
              </w:rPr>
              <w:t>, à repressão sistemática, nomeadamente contra deputados e contra a oposição política, à corrupção grave e à cleptocracia</w:t>
            </w:r>
            <w:r>
              <w:t xml:space="preserve">; apoia o alargamento do regime global de sanções da UE em matéria de direitos humanos do tipo Magnitsky, de modo a abranger a repressão sistémica e a corrupção; </w:t>
            </w:r>
            <w:r>
              <w:rPr>
                <w:b/>
                <w:i/>
              </w:rPr>
              <w:t>sublinha que a corrupção permite e agrava as violações dos direitos humanos, os abusos e a erosão dos princípios democráticos e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w:t>
            </w:r>
            <w:r>
              <w:rPr>
                <w:b/>
                <w:i/>
              </w:rPr>
              <w:t>deve</w:t>
            </w:r>
            <w:r>
              <w:t xml:space="preserve"> ser comunicado de forma coerente e </w:t>
            </w:r>
            <w:r>
              <w:rPr>
                <w:b/>
                <w:i/>
              </w:rPr>
              <w:t>incluir respostas inequívocas a graves violações dos direitos humanos</w:t>
            </w:r>
            <w:r>
              <w:t xml:space="preserve">; apoia o alargamento do regime global de sanções da UE em matéria de direitos humanos do tipo Magnitsky, de modo </w:t>
            </w:r>
            <w:r>
              <w:rPr>
                <w:b/>
                <w:i/>
              </w:rPr>
              <w:t>a abranger</w:t>
            </w:r>
            <w:r>
              <w:t xml:space="preserve"> a repressão sistémica </w:t>
            </w:r>
            <w:r>
              <w:rPr>
                <w:b/>
                <w:i/>
              </w:rPr>
              <w:t>e</w:t>
            </w:r>
            <w:r>
              <w:t xml:space="preserv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w:t>
            </w:r>
            <w:r>
              <w:rPr>
                <w:b/>
                <w:i/>
              </w:rPr>
              <w:t>tem de</w:t>
            </w:r>
            <w:r>
              <w:t xml:space="preserve"> ser comunicado de forma coerente e </w:t>
            </w:r>
            <w:r>
              <w:rPr>
                <w:b/>
                <w:i/>
              </w:rPr>
              <w:t>acompanhado de consequências tangíveis</w:t>
            </w:r>
            <w:r>
              <w:t xml:space="preserve">; apoia o alargamento do regime global de sanções da UE em matéria de direitos humanos do tipo Magnitsky, de modo </w:t>
            </w:r>
            <w:r>
              <w:rPr>
                <w:b/>
                <w:i/>
              </w:rPr>
              <w:t>que este abranja</w:t>
            </w:r>
            <w:r>
              <w:t xml:space="preserve"> a repressão sistémica</w:t>
            </w:r>
            <w:r>
              <w:rPr>
                <w:b/>
                <w:i/>
              </w:rPr>
              <w:t>,</w:t>
            </w:r>
            <w:r>
              <w:t xml:space="preserve"> a corrupção </w:t>
            </w:r>
            <w:r>
              <w:rPr>
                <w:b/>
                <w:i/>
              </w:rPr>
              <w:t>e as violações dos princípios democráticos</w:t>
            </w:r>
            <w:r>
              <w:t xml:space="preserve">; </w:t>
            </w:r>
            <w:r>
              <w:rPr>
                <w:b/>
                <w:i/>
              </w:rPr>
              <w:t>insiste em que as violações dos valores fundamentais da UE devem desencadear a aplicação de mecanismos de execução claros, incluindo sanções financeiras, a suspensão de programas de cooperação e medidas restritivas específicas contra intervenientes estatais e não estatais;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 </w:t>
            </w:r>
            <w:r>
              <w:rPr>
                <w:b/>
                <w:i/>
              </w:rPr>
              <w:t>salienta que é necessária uma aplicação coerente e uniforme de medidas restritivas em todos os Estados-Membros para que a ação externa da UE seja eficaz e credível;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 </w:t>
            </w:r>
            <w:r>
              <w:rPr>
                <w:b/>
                <w:i/>
              </w:rPr>
              <w:t>considera, por conseguinte, que constitui um interesse fundamental da UE defender a liberdade e as normas democráticas em todo o mundo, assim como a universalidade dos direitos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do tipo Magnitsky, de modo a abranger a repressão sistémica e a corrupção;</w:t>
            </w:r>
          </w:p>
        </w:tc>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w:t>
            </w:r>
            <w:r>
              <w:rPr>
                <w:b/>
                <w:i/>
              </w:rPr>
              <w:t>em países como a Bielorrússia e a Geórgia</w:t>
            </w:r>
            <w:r>
              <w:t>; apoia o alargamento do regime global de sanções da UE em matéria de direitos humanos do tipo Magnitsky, de modo a abranger a repressão sistémica e a corrupção;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w:t>
            </w:r>
            <w:r>
              <w:rPr>
                <w:b/>
                <w:i/>
              </w:rPr>
              <w:t>do tipo Magnitsky</w:t>
            </w:r>
            <w:r>
              <w:t>, de modo a abranger a repressão sistémica e a corrupção;</w:t>
            </w:r>
          </w:p>
        </w:tc>
        <w:tc>
          <w:tcPr>
            <w:tcW w:w="4876" w:type="dxa"/>
            <w:tcBorders>
              <w:top w:val="nil"/>
              <w:left w:val="nil"/>
              <w:bottom w:val="nil"/>
              <w:right w:val="nil"/>
            </w:tcBorders>
          </w:tcPr>
          <w:p>
            <w:pPr>
              <w:pStyle w:val="Normal6a"/>
            </w:pPr>
            <w:r>
              <w:t>31.</w:t>
            </w:r>
            <w:r>
              <w:tab/>
            </w:r>
            <w:r>
              <w:t>Recorda que a credibilidade da UE depende da sua capacidade de agir de forma decisiva na proteção dos seus cidadãos e na salvaguarda dos seus interesses; salienta que o limiar para uma ação decisiva deve ser comunicado de forma coerente e incluir respostas inequívocas a graves violações dos direitos humanos; apoia o alargamento do regime global de sanções da UE em matéria de direitos humanos, de modo a abranger a repressão sistémica e a corrupção;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Lamenta que no relatório da alta representante da União Europeia e vice-presidente da Comissão Europeia não seja feita nenhuma referência ao caso de Bouelem Sansal;</w:t>
            </w:r>
            <w:r>
              <w:t xml:space="preserve"> </w:t>
            </w:r>
            <w:r>
              <w:rPr>
                <w:b/>
                <w:i/>
              </w:rPr>
              <w:t>insta a Comissão a suspender as negociações sobre a revisão do acordo UE-Argélia até estarem preenchidos dois critérios básicos:</w:t>
            </w:r>
            <w:r>
              <w:t xml:space="preserve"> </w:t>
            </w:r>
            <w:r>
              <w:rPr>
                <w:b/>
                <w:i/>
              </w:rPr>
              <w:t>1. que a Argélia aceite os seus nacionais que tenham sido expulsos de um Estado-Membro;</w:t>
            </w:r>
            <w:r>
              <w:t xml:space="preserve"> </w:t>
            </w:r>
            <w:r>
              <w:rPr>
                <w:b/>
                <w:i/>
              </w:rPr>
              <w:t>2. que Boualem Sansal seja libertado;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Exorta o Conselho a adotar finalmente um regime de sanções anticorrupção, que é uma prioridade de longa data do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Incentiva uma coordenação mais estreita com o G7 e outros parceiros democráticos, a fim de alinhar as respostas às violações das normas mundiais;</w:t>
            </w:r>
          </w:p>
        </w:tc>
        <w:tc>
          <w:tcPr>
            <w:tcW w:w="4876" w:type="dxa"/>
            <w:tcBorders>
              <w:top w:val="nil"/>
              <w:left w:val="nil"/>
              <w:bottom w:val="nil"/>
              <w:right w:val="nil"/>
            </w:tcBorders>
          </w:tcPr>
          <w:p>
            <w:pPr>
              <w:pStyle w:val="Normal6a"/>
            </w:pPr>
            <w:r>
              <w:t>32.</w:t>
            </w:r>
            <w:r>
              <w:tab/>
            </w:r>
            <w:r>
              <w:t>Incentiva uma coordenação mais estreita com o G7</w:t>
            </w:r>
            <w:r>
              <w:rPr>
                <w:b/>
                <w:i/>
              </w:rPr>
              <w:t>, com o G20</w:t>
            </w:r>
            <w:r>
              <w:t xml:space="preserve"> e outros parceiros democráticos, a fim de alinhar as respostas às violações das normas mundiais;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Sublinha que a educação e o ensino da História com base em factos assumem um papel fundamental no combate à desinformação, ao preconceito e ao extremismo entre os jovens a nível mundial, no incentivo à reconciliação e aos contactos interpessoais, assim como na promoção da compreensão mútua;</w:t>
            </w:r>
            <w:r>
              <w:t xml:space="preserve"> </w:t>
            </w:r>
            <w:r>
              <w:rPr>
                <w:b/>
                <w:i/>
              </w:rPr>
              <w:t>insta a Comissão, a VP/AR e o SEAE a darem a devida importância a este tema em todas as ações externas da União, incluindo no que respeita às oportunidades de financiamento no âmbito da Estratégia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Toma nota do 25.º aniversário da Resolução 1325 do Conselho de Segurança das Nações Unidas sobre as Mulheres, a Paz e a Segurança e exorta a que a igualdade de género e a agenda MPS sejam mantidas como princípios fundamentais da PESC da UE;</w:t>
            </w:r>
            <w:r>
              <w:t xml:space="preserve"> </w:t>
            </w:r>
            <w:r>
              <w:rPr>
                <w:b/>
                <w:i/>
              </w:rPr>
              <w:t>insta o SEAE e a Comissão a manterem o seu papel de liderança da UE na defesa dos direitos das mulheres em todo o mundo, aplicando rigorosamente o Terceiro Plano de Ação em matéria de Igualdade de Género;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Apela a que política externa e de segurança da UE adote uma abordagem sensível às questões dos menores e assinala a necessidade de maior coordenação UA-UE-ONU para proteger as crianças e os adolescentes afetados por guerras, deslocações e crises humanitárias;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solicita que a proteção da liberdade religiosa seja integrada na ação externa da UE; </w:t>
            </w:r>
            <w:r>
              <w:rPr>
                <w:b/>
                <w:i/>
              </w:rPr>
              <w:t>denuncia, a este respeito, a intensificação da repressão da Igreja Católica pelo regime autoritário na Nicarágua;</w:t>
            </w:r>
            <w:r>
              <w:t xml:space="preserve"> </w:t>
            </w:r>
            <w:r>
              <w:rPr>
                <w:b/>
                <w:i/>
              </w:rPr>
              <w:t>exorta a Comissão e a AR/VP a imporem sanções a quem persegue as minorias religiosas, uma vez que essas perseguições não podem ser toleradas entre parceiros que partilham dos mesmos valores;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w:t>
            </w:r>
            <w:r>
              <w:rPr>
                <w:b/>
                <w:i/>
              </w:rPr>
              <w:t>que enfrentam uma crescente perseguição em todo o mundo;</w:t>
            </w:r>
            <w:r>
              <w:t xml:space="preserve"> </w:t>
            </w:r>
            <w:r>
              <w:rPr>
                <w:b/>
                <w:i/>
              </w:rPr>
              <w:t>manifesta a sua profunda preocupação com a grave perseguição de cristãos na Nigéria, na República Democrática do Congo e na Nicarágua</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solicita que a proteção da liberdade religiosa seja integrada na ação externa da UE; </w:t>
            </w:r>
            <w:r>
              <w:rPr>
                <w:b/>
                <w:i/>
              </w:rPr>
              <w:t>reitera que a liberdade de religião ou de convicção é indissociável de outros direitos fundamentais e que deve ser promovida de forma sinérgica;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solicita que a proteção da liberdade religiosa seja integrada na ação externa da UE; </w:t>
            </w:r>
            <w:r>
              <w:rPr>
                <w:b/>
                <w:i/>
              </w:rPr>
              <w:t>solicita que a Comissão volte a prover o lugar de Enviado Especial para a promoção da liberdade de religião ou de convicção fora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Insta a que seja dada maior atenção à</w:t>
            </w:r>
            <w:r>
              <w:t xml:space="preserve"> perseguição </w:t>
            </w:r>
            <w:r>
              <w:rPr>
                <w:b/>
                <w:i/>
              </w:rPr>
              <w:t>das minorias religiosas, incluindo os</w:t>
            </w:r>
            <w:r>
              <w:t xml:space="preserve">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rPr>
                <w:b/>
                <w:i/>
              </w:rPr>
              <w:t>Lamenta que, na sua política externa, a UE negligencie a</w:t>
            </w:r>
            <w:r>
              <w:t xml:space="preserve"> perseguição </w:t>
            </w:r>
            <w:r>
              <w:rPr>
                <w:b/>
                <w:i/>
              </w:rPr>
              <w:t>dos</w:t>
            </w:r>
            <w:r>
              <w:t xml:space="preserve"> cristãos</w:t>
            </w:r>
            <w:r>
              <w:rPr>
                <w:b/>
                <w:i/>
              </w:rPr>
              <w:t>; </w:t>
            </w:r>
            <w:r>
              <w:t xml:space="preserve"> </w:t>
            </w:r>
            <w:r>
              <w:rPr>
                <w:b/>
                <w:i/>
              </w:rPr>
              <w:t>exorta a UE a fazer muito mais para defender a liberdade religiosa no estrangeiro, em particular no que respeita às comunidades cristãs perseguidas</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Alice Teodorescu Måwe, Miriam Lexmann, Hildegard Bentele, Lukas Mandl, Antonio López-Istúriz White, Andrey Kovatchev,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w:t>
            </w:r>
            <w:r>
              <w:rPr>
                <w:b/>
                <w:i/>
              </w:rPr>
              <w:t>realça a necessidade de novas medidas para combater o crescente antissemitismo no mundo;</w:t>
            </w:r>
            <w:r>
              <w:t xml:space="preserve">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incluindo</w:t>
            </w:r>
            <w:r>
              <w:t xml:space="preserve">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em especial</w:t>
            </w:r>
            <w:r>
              <w:t xml:space="preserve"> os cristãos</w:t>
            </w:r>
            <w:r>
              <w:rPr>
                <w:b/>
                <w:i/>
              </w:rPr>
              <w:t>, que são o grupo religioso mais perseguido em todo o mundo</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incluindo</w:t>
            </w:r>
            <w:r>
              <w:t xml:space="preserve">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em especial</w:t>
            </w:r>
            <w:r>
              <w:t xml:space="preserve"> os cristãos</w:t>
            </w:r>
            <w:r>
              <w:rPr>
                <w:b/>
                <w:i/>
              </w:rPr>
              <w:t>, que incluem o grupo religioso mais perseguido em todo o mundo</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incluindo</w:t>
            </w:r>
            <w:r>
              <w:t xml:space="preserve">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em especial</w:t>
            </w:r>
            <w:r>
              <w:t xml:space="preserve"> os cristãos</w:t>
            </w:r>
            <w:r>
              <w:rPr>
                <w:b/>
                <w:i/>
              </w:rPr>
              <w:t>, que são o grupo religioso mais perseguido em todo o mundo</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solicita que a proteção da liberdade </w:t>
            </w:r>
            <w:r>
              <w:rPr>
                <w:b/>
                <w:i/>
              </w:rPr>
              <w:t>religiosa</w:t>
            </w:r>
            <w:r>
              <w:t xml:space="preserve">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w:t>
            </w:r>
            <w:r>
              <w:rPr>
                <w:b/>
                <w:i/>
              </w:rPr>
              <w:t>e os não crentes</w:t>
            </w:r>
            <w:r>
              <w:t xml:space="preserve">; solicita que a proteção da liberdade </w:t>
            </w:r>
            <w:r>
              <w:rPr>
                <w:b/>
                <w:i/>
              </w:rPr>
              <w:t>de religião, de convicção e de consciência</w:t>
            </w:r>
            <w:r>
              <w:t xml:space="preserve">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w:t>
            </w:r>
            <w:r>
              <w:rPr>
                <w:b/>
                <w:i/>
              </w:rPr>
              <w:t>das</w:t>
            </w:r>
            <w:r>
              <w:t xml:space="preserve"> minorias religiosas</w:t>
            </w:r>
            <w:r>
              <w:rPr>
                <w:b/>
                <w:i/>
              </w:rPr>
              <w:t>, incluindo</w:t>
            </w:r>
            <w:r>
              <w:t xml:space="preserve">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w:t>
            </w:r>
            <w:r>
              <w:rPr>
                <w:b/>
                <w:i/>
              </w:rPr>
              <w:t>de todas as minorias, incluindo as</w:t>
            </w:r>
            <w:r>
              <w:t xml:space="preserve"> minorias religiosas </w:t>
            </w:r>
            <w:r>
              <w:rPr>
                <w:b/>
                <w:i/>
              </w:rPr>
              <w:t>e</w:t>
            </w:r>
            <w:r>
              <w:t xml:space="preserve"> os cristãos</w:t>
            </w:r>
            <w:r>
              <w:rPr>
                <w:b/>
                <w:i/>
              </w:rPr>
              <w:t>, assim como os defensores dos direitos humanos</w:t>
            </w:r>
            <w:r>
              <w:t>; solicita que a proteção da liberdade religiosa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w:t>
            </w:r>
            <w:r>
              <w:rPr>
                <w:b/>
                <w:i/>
              </w:rPr>
              <w:t>religiosas, incluindo os cristãos</w:t>
            </w:r>
            <w:r>
              <w:t xml:space="preserve">; solicita que a proteção da liberdade </w:t>
            </w:r>
            <w:r>
              <w:rPr>
                <w:b/>
                <w:i/>
              </w:rPr>
              <w:t>religiosa</w:t>
            </w:r>
            <w:r>
              <w:t xml:space="preserve">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w:t>
            </w:r>
            <w:r>
              <w:rPr>
                <w:b/>
                <w:i/>
              </w:rPr>
              <w:t>e de todos os grupos vulneráveis</w:t>
            </w:r>
            <w:r>
              <w:t xml:space="preserve">; solicita que a proteção da liberdade </w:t>
            </w:r>
            <w:r>
              <w:rPr>
                <w:b/>
                <w:i/>
              </w:rPr>
              <w:t>de pensamento, de consciência e de religião</w:t>
            </w:r>
            <w:r>
              <w:t xml:space="preserve">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que seja dada maior atenção à perseguição das minorias religiosas, incluindo os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incluindo os cristãos; solicita que a proteção da liberdade religiosa </w:t>
            </w:r>
            <w:r>
              <w:rPr>
                <w:b/>
                <w:i/>
              </w:rPr>
              <w:t>e do património</w:t>
            </w:r>
            <w:r>
              <w:t xml:space="preserve">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w:t>
            </w:r>
            <w:r>
              <w:rPr>
                <w:b/>
                <w:i/>
              </w:rPr>
              <w:t>das</w:t>
            </w:r>
            <w:r>
              <w:t xml:space="preserve"> minorias religiosas</w:t>
            </w:r>
            <w:r>
              <w:rPr>
                <w:b/>
                <w:i/>
              </w:rPr>
              <w:t>, incluindo os cristãos</w:t>
            </w:r>
            <w:r>
              <w:t>;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w:t>
            </w:r>
            <w:r>
              <w:rPr>
                <w:b/>
                <w:i/>
              </w:rPr>
              <w:t>de todas as minorias, incluindo as</w:t>
            </w:r>
            <w:r>
              <w:t xml:space="preserve"> minorias religiosas; solicita que a proteção da liberdade religiosa </w:t>
            </w:r>
            <w:r>
              <w:rPr>
                <w:b/>
                <w:i/>
              </w:rPr>
              <w:t>e da diversidade</w:t>
            </w:r>
            <w:r>
              <w:t xml:space="preserve"> seja integrada na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incluindo os</w:t>
            </w:r>
            <w:r>
              <w:t xml:space="preserve"> cristãos; solicita que a proteção da liberdade religiosa seja integrada na ação externa da UE;</w:t>
            </w:r>
          </w:p>
        </w:tc>
        <w:tc>
          <w:tcPr>
            <w:tcW w:w="4876" w:type="dxa"/>
            <w:tcBorders>
              <w:top w:val="nil"/>
              <w:left w:val="nil"/>
              <w:bottom w:val="nil"/>
              <w:right w:val="nil"/>
            </w:tcBorders>
          </w:tcPr>
          <w:p>
            <w:pPr>
              <w:pStyle w:val="Normal6a"/>
            </w:pPr>
            <w:r>
              <w:t>33.</w:t>
            </w:r>
            <w:r>
              <w:tab/>
            </w:r>
            <w:r>
              <w:t xml:space="preserve">Insta a que seja dada maior atenção à perseguição das minorias religiosas, </w:t>
            </w:r>
            <w:r>
              <w:rPr>
                <w:b/>
                <w:i/>
              </w:rPr>
              <w:t>nomeadamente dos</w:t>
            </w:r>
            <w:r>
              <w:t xml:space="preserve"> cristãos; solicita que a proteção da liberdade religiosa seja integrada na ação externa da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Observa com preocupação que a Rússia reviu a sua estratégia de segurança e política externa para se apresentar como defensora mundial dos chamados «valores tradicionais», recorrendo a esta narrativa como instrumento de expansão da sua influência no estrangeiro;</w:t>
            </w:r>
            <w:r>
              <w:t xml:space="preserve"> </w:t>
            </w:r>
            <w:r>
              <w:rPr>
                <w:b/>
                <w:i/>
              </w:rPr>
              <w:t>frisa que a Igreja Ortodoxa Russa tem vindo a ser cada vez mais instrumentalizada como parte desta estratégia, funcionando como um veículo para a desinformação e para a projeção de poder persuasivo, especialmente nos países da antiga União Soviética e em partes de África;</w:t>
            </w:r>
            <w:r>
              <w:t xml:space="preserve"> </w:t>
            </w:r>
            <w:r>
              <w:rPr>
                <w:b/>
                <w:i/>
              </w:rPr>
              <w:t>realça que tais práticas são concebidas para minar a democracia, a coesão social e as orientações pró-europeias;</w:t>
            </w:r>
            <w:r>
              <w:t xml:space="preserve"> </w:t>
            </w:r>
            <w:r>
              <w:rPr>
                <w:b/>
                <w:i/>
              </w:rPr>
              <w:t>solicita que a política externa e de segurança comum inclua medidas específicas para combater esta influência, nomeadamente a diplomacia baseada na fé, a comunicação estratégica e o apoio às comunidades religiosas que foram vítimas da opressão soviética;</w:t>
            </w:r>
            <w:r>
              <w:t xml:space="preserve"> </w:t>
            </w:r>
            <w:r>
              <w:rPr>
                <w:b/>
                <w:i/>
              </w:rPr>
              <w:t>sublinha, a este respeito, a importância de apoiar a metrópole de Bessarábia na Moldávia e a igreja ortodoxa autocéfala da Ucrânia na resistência que opõem às estruturas religiosas controladas por Moscovo, como parte de um esforço mais amplo para defender a liberdade de religião, a soberania nacional e a integração europeia;</w:t>
            </w:r>
            <w:r>
              <w:t xml:space="preserve"> </w:t>
            </w:r>
            <w:r>
              <w:rPr>
                <w:b/>
                <w:i/>
              </w:rPr>
              <w:t>toma nota da adoção da lei que permitirá que as paróquias ortodoxas da Ucrânia deixem de estar sob jurisdição do Patriarcado de Moscovo e decidam livremente da sua nova filiação hierárquica; incentiva as autoridades ucranianas a terem devidamente em conta, e a facilitarem, o pedido apresentado em agosto de 2024 pelas paróquias ortodoxas romenas para o reconhecimento da associação religiosa «Igreja Ortodoxa Romena na Ucrânia», à qual as paróquias ortodoxas romenas que deixaram de estar sob jurisdição do Patriarcado de Moscovo podem aderir livremente, em consonância com os valores fundamentais da UE de liberdade religiosa, proteção dos direitos das minorias e respeito pela soberania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Manifesta a sua profunda preocupação com o crescente retrocesso em matéria de igualdade de género, de direitos das mulheres e de direitos das pessoas LGBTIQ+ em várias partes do mundo;</w:t>
            </w:r>
            <w:r>
              <w:t xml:space="preserve"> </w:t>
            </w:r>
            <w:r>
              <w:rPr>
                <w:b/>
                <w:i/>
              </w:rPr>
              <w:t>salienta que este retrocesso é promovido por redes religiosas transnacionais e por grupos ou movimentos políticos de extrema-direita e é instrumentalizado por governos autoritários e repressivos, como a Rússia, que, nos últimos anos, insistiram na aprovação de normas de género de teor tradicionalista como meio de legitimação do Estado e de controlo político-social;</w:t>
            </w:r>
            <w:r>
              <w:t xml:space="preserve"> </w:t>
            </w:r>
            <w:r>
              <w:rPr>
                <w:b/>
                <w:i/>
              </w:rPr>
              <w:t>salienta que estas tendências comprometem os princípios democráticos, enfraquecem os direitos fundamentais e colocam um desafio direto aos valores consagrados no Tratado da União Europeia;</w:t>
            </w:r>
            <w:r>
              <w:t xml:space="preserve"> </w:t>
            </w:r>
            <w:r>
              <w:rPr>
                <w:b/>
                <w:i/>
              </w:rPr>
              <w:t>apela a que a política externa da UE dê prioridade à defesa dos seus valores, nomeadamente a igualdade de género, e a que aumente o apoio e o financiamento de grupos de direitos das mulheres e de pessoas LGBTIQ+ a nível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Realça que é fundamental que a Comissão tome medidas relevantes e concretas para intervir ativamente na proteção e promoção dos direitos das minorias nacionais tradicionais;</w:t>
            </w:r>
            <w:r>
              <w:t xml:space="preserve"> </w:t>
            </w:r>
            <w:r>
              <w:rPr>
                <w:b/>
                <w:i/>
              </w:rPr>
              <w:t>salienta que a proteção das minorias nacionais é essencial para a promoção da coesão social, para o respeito da diversidade e para a defesa dos valores fundamentais em que a UE assenta;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Sublinha a necessidade de apoiar a defesa da liberdade de expressão em todo o mundo, incluindo em linha, bem como o pluralismo dos meios de comunicação social e o jornalismo baseado em valores, em especial o jornalismo de investigação;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Manifesta a sua solidariedade com os cristãos de Gaza e da Cisjordânia e sublinha que, apesar de constituírem uma pequena minoria, estes desempenham um papel humanitário e social imprescindível;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Apela à criação de uma unidade específica ou de um ponto de contacto dedicado à diplomacia baseada na fé no seio do Serviço Europeu para a Ação Externa; </w:t>
            </w:r>
            <w:r>
              <w:t xml:space="preserve"> </w:t>
            </w:r>
            <w:r>
              <w:rPr>
                <w:b/>
                <w:i/>
              </w:rPr>
              <w:t>faz notar a importância de formar os diplomatas da UE em literacia religiosa, permitindo assim que estes compreendam o papel da religião nas sociedades estrangeiras e reconheçam os casos em que o discurso religioso é instrumentalizado e serve de ferramenta geopolítica;</w:t>
            </w:r>
            <w:r>
              <w:t xml:space="preserve"> </w:t>
            </w:r>
            <w:r>
              <w:rPr>
                <w:b/>
                <w:i/>
              </w:rPr>
              <w:t>sublinha, ao mesmo tempo, a necessidade de dialogar de forma construtiva com as comunidades e com os líderes religiosos que promovem a paz, a tolerância, a democracia e os direitos humanos, a fim de fortalecer o seu papel de parceiros de diálogo, a resolução de conflitos e a resiliência face às influências maliciosas;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33-C.</w:t>
            </w:r>
            <w:r>
              <w:tab/>
            </w:r>
            <w:r>
              <w:rPr>
                <w:b/>
                <w:i/>
              </w:rPr>
              <w:t>Manifesta a sua profunda preocupação com a perseguição, discriminação e deslocações forçadas que as comunidades cristãs e outras minorias religiosas continuam a enfrentar no Médio Oriente;</w:t>
            </w:r>
            <w:r>
              <w:t xml:space="preserve"> </w:t>
            </w:r>
            <w:r>
              <w:rPr>
                <w:b/>
                <w:i/>
              </w:rPr>
              <w:t>realça que estas comunidades são parte integrante do tecido histórico, cultural e social da região; </w:t>
            </w:r>
            <w:r>
              <w:t xml:space="preserve"> </w:t>
            </w:r>
            <w:r>
              <w:rPr>
                <w:b/>
                <w:i/>
              </w:rPr>
              <w:t>solicita que a PESC dê prioridade à proteção dos cristãos e de outros grupos vulneráveis nas suas políticas para a região, nomeadamente através de um apoio específico à sua segurança, aos seus meios de subsistência e à sua liberdade de religião ou de convicção;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33-D.</w:t>
            </w:r>
            <w:r>
              <w:tab/>
            </w:r>
            <w:r>
              <w:rPr>
                <w:b/>
                <w:i/>
              </w:rPr>
              <w:t>Insta a União Europeia, no âmbito da sua política externa e de segurança comum, a reforçar o diálogo e a cooperação estruturada com o Patriarcado Ecuménico de Constantinopla e com o Patriarcado Ortodoxo de Jerusalém, enquanto autoridades religiosas reconhecidas de importância mundial e regional, e observa que esse compromisso institucional contribuirá para a promoção da paz no Médio Oriente e para a proteção da liberdade religiosa;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33-E.</w:t>
            </w:r>
            <w:r>
              <w:tab/>
            </w:r>
            <w:r>
              <w:rPr>
                <w:b/>
                <w:i/>
              </w:rPr>
              <w:t>Sublinha a importância de reforçar a coordenação entre a política externa e de segurança comum da UE e os esforços diplomáticos da Santa Sé, em particular no que diz respeito à promoção da paz, ao diálogo inter-religioso, à resolução de conflitos, à assistência humanitária e à proteção dos direitos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Exorta o SEAE e a Comissão a desenvolverem parâmetros de referência para avaliar o impacto das sanções da UE e a atualizarem regularmente o Parlamento Europeu a este respeito;</w:t>
            </w:r>
          </w:p>
        </w:tc>
        <w:tc>
          <w:tcPr>
            <w:tcW w:w="4876" w:type="dxa"/>
            <w:tcBorders>
              <w:top w:val="nil"/>
              <w:left w:val="nil"/>
              <w:bottom w:val="nil"/>
              <w:right w:val="nil"/>
            </w:tcBorders>
          </w:tcPr>
          <w:p>
            <w:pPr>
              <w:pStyle w:val="Normal6a"/>
            </w:pPr>
            <w:r>
              <w:t>34.</w:t>
            </w:r>
            <w:r>
              <w:tab/>
            </w:r>
            <w:r>
              <w:t xml:space="preserve">Exorta o SEAE e a Comissão a desenvolverem parâmetros de referência </w:t>
            </w:r>
            <w:r>
              <w:rPr>
                <w:b/>
                <w:i/>
              </w:rPr>
              <w:t>claros e transparentes</w:t>
            </w:r>
            <w:r>
              <w:t xml:space="preserve"> para avaliar </w:t>
            </w:r>
            <w:r>
              <w:rPr>
                <w:b/>
                <w:i/>
              </w:rPr>
              <w:t>a eficácia e</w:t>
            </w:r>
            <w:r>
              <w:t xml:space="preserve"> o impacto </w:t>
            </w:r>
            <w:r>
              <w:rPr>
                <w:b/>
                <w:i/>
              </w:rPr>
              <w:t>global</w:t>
            </w:r>
            <w:r>
              <w:t xml:space="preserve"> das sanções da UE e a atualizarem regularmente o Parlamento Europeu a este respeito; </w:t>
            </w:r>
            <w:r>
              <w:rPr>
                <w:b/>
                <w:i/>
              </w:rPr>
              <w:t>salienta a necessidade de reforçar a aplicação das sanções e reitera a importância de comunicar a finalidade e os efeitos das sanções aos cidadãos da UE e aos países parceiros, a fim de manter a confiança do público e a credibilidade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Exorta o SEAE e a Comissão a desenvolverem parâmetros de referência para avaliar o impacto das sanções da UE e a atualizarem regularmente o Parlamento Europeu a este respeito;</w:t>
            </w:r>
          </w:p>
        </w:tc>
        <w:tc>
          <w:tcPr>
            <w:tcW w:w="4876" w:type="dxa"/>
            <w:tcBorders>
              <w:top w:val="nil"/>
              <w:left w:val="nil"/>
              <w:bottom w:val="nil"/>
              <w:right w:val="nil"/>
            </w:tcBorders>
          </w:tcPr>
          <w:p>
            <w:pPr>
              <w:pStyle w:val="Normal6a"/>
            </w:pPr>
            <w:r>
              <w:t>34.</w:t>
            </w:r>
            <w:r>
              <w:tab/>
            </w:r>
            <w:r>
              <w:t xml:space="preserve">Exorta o SEAE e a Comissão a desenvolverem parâmetros de referência para avaliar o impacto das sanções da UE e a atualizarem regularmente o Parlamento Europeu a este respeito; </w:t>
            </w:r>
            <w:r>
              <w:rPr>
                <w:b/>
                <w:i/>
              </w:rPr>
              <w:t>insta a Comissão e os Estados-Membros a eliminarem as lacunas financeiras a que a Rússia recorre para contornar as sanções, a imporem sanções a todas as empresas europeias que continuem a exercer atividades comerciais proibidas com a Federação da Rússia, bem como a continuarem a avaliar e a combater a evasão às sanções;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Exorta o SEAE e a Comissão a desenvolverem parâmetros de referência para avaliar o impacto das sanções da UE e a atualizarem regularmente o Parlamento Europeu a este respeito;</w:t>
            </w:r>
          </w:p>
        </w:tc>
        <w:tc>
          <w:tcPr>
            <w:tcW w:w="4876" w:type="dxa"/>
            <w:tcBorders>
              <w:top w:val="nil"/>
              <w:left w:val="nil"/>
              <w:bottom w:val="nil"/>
              <w:right w:val="nil"/>
            </w:tcBorders>
          </w:tcPr>
          <w:p>
            <w:pPr>
              <w:pStyle w:val="Normal6a"/>
            </w:pPr>
            <w:r>
              <w:t>34.</w:t>
            </w:r>
            <w:r>
              <w:tab/>
            </w:r>
            <w:r>
              <w:t>Exorta o SEAE e a Comissão a desenvolverem parâmetros de referência para avaliar o impacto das sanções da UE</w:t>
            </w:r>
            <w:r>
              <w:rPr>
                <w:b/>
                <w:i/>
              </w:rPr>
              <w:t>, assim como a acompanharem de perto a evasão às sanções,</w:t>
            </w:r>
            <w:r>
              <w:t xml:space="preserve"> e a atualizarem regularmente o Parlamento Europeu a este respeito;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Realça a importância das respostas atempadas e coordenadas em situações de crise, salientando que uma gestão de crises eficaz depende mais de uma tomada de decisões rápida, de uma mobilização de recursos ágil e de uma capacidade de adaptação a situações em constante evolução, do que do planeamento e de narrativas;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Recorda que todos os países aos quais tenha sido concedido o estatuto de país candidato devem dar prioridade a melhorar o seu alinhamento com a política externa e de segurança comum (PESC) da União, o que inclui medidas restritivas contra regimes autoritários e totalitários;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Reconhece que o requisito de unanimidade conduz necessariamente os Estados-Membros a trabalharem incansavelmente para alcançar compromissos e unidade, o que constitui um elemento chave da influência política da UE a nível global;</w:t>
            </w:r>
            <w:r>
              <w:t xml:space="preserve"> </w:t>
            </w:r>
            <w:r>
              <w:rPr>
                <w:b/>
                <w:i/>
              </w:rPr>
              <w:t>observa, contudo, que o compromisso entre o ideal de unidade e os elevados custos da unanimidade deve ser cuidadosamente avaliado;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Lamenta que, na prática, alguns Estados-Membros tenham por vezes utilizado o seu direito de veto para diluir acordos, protelar a tomada de decisões ou criar obstáculos a políticas comuns;</w:t>
            </w:r>
            <w:r>
              <w:t xml:space="preserve"> </w:t>
            </w:r>
            <w:r>
              <w:rPr>
                <w:b/>
                <w:i/>
              </w:rPr>
              <w:t>lamenta que a possibilidade de atuar de forma célere, eficiente e eficaz em matéria de política externa, de segurança e de defesa, tal como previsto, em particular, nas cláusulas-ponte do TUE, tenha ficado por explorar;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34-D.</w:t>
            </w:r>
            <w:r>
              <w:tab/>
            </w:r>
            <w:r>
              <w:rPr>
                <w:b/>
                <w:i/>
              </w:rPr>
              <w:t>Reitera o seu apelo ao Conselho para que faça uma transição gradual para a votação por maioria qualificada das decisões em domínios da PESC que não têm implicações no domínio militar ou da defesa;</w:t>
            </w:r>
            <w:r>
              <w:t xml:space="preserve"> </w:t>
            </w:r>
            <w:r>
              <w:rPr>
                <w:b/>
                <w:i/>
              </w:rPr>
              <w:t>regista as preocupações de alguns Estados-Membros a respeito da perceção de que a sua capacidade de influenciar a política externa e de segurança a nível da UE diminuiu;</w:t>
            </w:r>
            <w:r>
              <w:t xml:space="preserve"> </w:t>
            </w:r>
            <w:r>
              <w:rPr>
                <w:b/>
                <w:i/>
              </w:rPr>
              <w:t>recorda que a VP/AR está incumbida, como previsto na sua carta de missão, de desencadear o recurso às disposições do Tratado que permitem a votação por maioria qualificada no âmbito da PESC e espera, por conseguinte, que a VP/AR encete um diálogo construtivo com os Estados-Membros para esse efeito;</w:t>
            </w:r>
            <w:r>
              <w:t xml:space="preserve"> </w:t>
            </w:r>
            <w:r>
              <w:rPr>
                <w:b/>
                <w:i/>
              </w:rPr>
              <w:t>advoga, enquanto se aguarda a plena aplicação da votação por maioria qualificada às decisões que não têm implicações no domínio militar ou da defesa, que sejam usadas sem reservas todas as possibilidades atualmente disponíveis para aumentar a capacidade de decisão a este respeito, incluindo o recurso à abstenção construtiva, em conformidade com o artigo 31.º, n.º 1, do TUE;</w:t>
            </w:r>
            <w:r>
              <w:t xml:space="preserve"> </w:t>
            </w:r>
            <w:r>
              <w:rPr>
                <w:b/>
                <w:i/>
              </w:rPr>
              <w:t>reconhece que só é possível avançar no sentido da aplicação da votação por maioria qualificada de forma gradual e com base na construção de uma cultura estratégica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financeira e diplomática; </w:t>
            </w:r>
            <w:r>
              <w:rPr>
                <w:b/>
                <w:i/>
              </w:rPr>
              <w:t>observa que o atual orçamento do SEAE e das delegações da UE corresponde a menos de 0,5 % das autorizações anuais da UE, um valor que é totalmente irrelevante tendo em conta a dimensão das atuais crises mundiais;</w:t>
            </w:r>
            <w:r>
              <w:t xml:space="preserve"> </w:t>
            </w:r>
            <w:r>
              <w:rPr>
                <w:b/>
                <w:i/>
              </w:rPr>
              <w:t>observa que a austeridade orçamental já obrigou a cortes nas principais atividades diplomáticas, e até ao adiamento de instalações de segurança, tendo alguns funcionários alertado para o facto de tal poder resultar no encerramento de missões;</w:t>
            </w:r>
            <w:r>
              <w:t xml:space="preserve"> </w:t>
            </w:r>
            <w:r>
              <w:rPr>
                <w:b/>
                <w:i/>
              </w:rPr>
              <w:t>que este subfinanciamento estrutural impede a UE de dar uma resposta comum e credível à crise, compromete o seu dever de diligência em relação ao pessoal e à segurança e limita a sua capacidade de atuação como interveniente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financeira e diplomática; </w:t>
            </w:r>
            <w:r>
              <w:rPr>
                <w:b/>
                <w:i/>
              </w:rPr>
              <w:t>lamenta que esta falta de visibilidade seja, por vezes, resultado da falta de clareza na representação externa da UE;</w:t>
            </w:r>
            <w:r>
              <w:t xml:space="preserve"> </w:t>
            </w:r>
            <w:r>
              <w:rPr>
                <w:b/>
                <w:i/>
              </w:rPr>
              <w:t>salienta a necessidade de definir claramente as competências de VP/AR, de presidente da Comissão e de presidente do Conselho Europeu em matéria de ação e representação externas da UE, de modo que a voz da UE seja coerente e entendida como tal pelos seus parceiros;</w:t>
            </w:r>
            <w:r>
              <w:t xml:space="preserve"> </w:t>
            </w:r>
            <w:r>
              <w:rPr>
                <w:b/>
                <w:i/>
              </w:rPr>
              <w:t>insta a Comissão a reforçar a sua coordenação com o SEAE na ação externa, garantindo nomeadamente o pleno cumprimento do artigo 3.º, n.º 2, e do artigo 9.º da Decisão SEAE, que poderão necessitar de atualização;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financeira e diplomática; </w:t>
            </w:r>
            <w:r>
              <w:rPr>
                <w:b/>
                <w:i/>
              </w:rPr>
              <w:t>lamenta que a iniciativa Europa Global continue a subfinanciar a América Latina;</w:t>
            </w:r>
            <w:r>
              <w:t xml:space="preserve"> </w:t>
            </w:r>
            <w:r>
              <w:rPr>
                <w:b/>
                <w:i/>
              </w:rPr>
              <w:t>apela a que a Comissão e a AR/VP, num espírito de reforço da influência geopolítica da UE na região, reforcem as relações e intensifiquem a ação internacional em resposta ao crescimento dos regimes autoritários;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financeira e diplomática; </w:t>
            </w:r>
            <w:r>
              <w:rPr>
                <w:b/>
                <w:i/>
              </w:rPr>
              <w:t>recomenda o aumento do financiamento do SEAE, e o reforço do seu pessoal, como forma de reforçar o seu papel;</w:t>
            </w:r>
            <w:r>
              <w:t xml:space="preserve"> </w:t>
            </w:r>
            <w:r>
              <w:rPr>
                <w:b/>
                <w:i/>
              </w:rPr>
              <w:t>insta a VP/AR a intensificar os esforços diplomáticos para garantir a proteção das necessidades da UE e dos cidadãos ameaçados por regimes não democráticos, nomeadamente os que atualmente se encontram detidos na Venezuela;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financeira e diplomática; </w:t>
            </w:r>
            <w:r>
              <w:rPr>
                <w:b/>
                <w:i/>
              </w:rPr>
              <w:t>nota com desagrado que muitas vezes se procure obter visibilidade para a UE a nível global recorrendo a despesas excessivas no estrangeiro, enquanto os próprios cidadãos da União enfrentam dificuldades económicas;</w:t>
            </w:r>
            <w:r>
              <w:t xml:space="preserve"> </w:t>
            </w:r>
            <w:r>
              <w:rPr>
                <w:b/>
                <w:i/>
              </w:rPr>
              <w:t>salienta que a ação externa se deve limitar estritamente a domínios com relevância direta para a segurança dos cidadãos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Lamenta que a visibilidade e a influência política da UE a nível mundial fiquem frequentemente aquém da sua pegada financeira e diplomática;</w:t>
            </w:r>
          </w:p>
        </w:tc>
        <w:tc>
          <w:tcPr>
            <w:tcW w:w="4876" w:type="dxa"/>
            <w:tcBorders>
              <w:top w:val="nil"/>
              <w:left w:val="nil"/>
              <w:bottom w:val="nil"/>
              <w:right w:val="nil"/>
            </w:tcBorders>
          </w:tcPr>
          <w:p>
            <w:pPr>
              <w:pStyle w:val="Normal6a"/>
            </w:pPr>
            <w:r>
              <w:t>35.</w:t>
            </w:r>
            <w:r>
              <w:tab/>
            </w:r>
            <w:r>
              <w:t xml:space="preserve">Lamenta que a visibilidade e a influência política da UE a nível mundial fiquem frequentemente aquém da sua pegada </w:t>
            </w:r>
            <w:r>
              <w:rPr>
                <w:b/>
                <w:i/>
              </w:rPr>
              <w:t>comercial,</w:t>
            </w:r>
            <w:r>
              <w:t xml:space="preserve"> financeira e diplomática;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Lamenta que a ação externa da UE dependa frequentemente do requisito de obtenção de unanimidade no Conselho;</w:t>
            </w:r>
            <w:r>
              <w:t xml:space="preserve"> </w:t>
            </w:r>
            <w:r>
              <w:rPr>
                <w:b/>
                <w:i/>
              </w:rPr>
              <w:t>louva as iniciativas diplomáticas, como o «Grupo de Amigos da votação por maioria qualificada na política externa e de segurança comum da UE» e incentiva a exploração de vias jurídicas que permitam simplificar o processo de tomada de decisões em matéria de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Insta a VP/AR a apresentar rapidamente propostas para a futura estrutura operacional da ação externa da UE e, tendo em vista esse objetivo, a ter plenamente em conta a Recomendação do Parlamento Europeu, de 15 de março de 2023, fazendo o balanço do funcionamento do SEAE e tendo em vista uma UE mais forte no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Recorda que, para alcançar uma política externa e de segurança mais coerente e convincente, a União também deve tornar-se mais eficaz a nível interno levando a cabo as reformas necessárias, como é o caso da introdução da votação por maioria qualificada na política externa e de segurança;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w:t>
            </w:r>
          </w:p>
        </w:tc>
        <w:tc>
          <w:tcPr>
            <w:tcW w:w="4876" w:type="dxa"/>
            <w:tcBorders>
              <w:top w:val="nil"/>
              <w:left w:val="nil"/>
              <w:bottom w:val="nil"/>
              <w:right w:val="nil"/>
            </w:tcBorders>
          </w:tcPr>
          <w:p>
            <w:pPr>
              <w:pStyle w:val="Normal6a"/>
            </w:pPr>
            <w:r>
              <w:t>36.</w:t>
            </w:r>
            <w:r>
              <w:tab/>
            </w:r>
            <w:r>
              <w:t xml:space="preserve">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 </w:t>
            </w:r>
            <w:r>
              <w:rPr>
                <w:b/>
                <w:i/>
              </w:rPr>
              <w:t>salienta que esta estratégia também deve reforçar a visibilidade dos projetos financiados pela União garantindo uma sinalização clara dos mesmos, que inclua os termos «União Europeia» e a bandeira da UE, em particular nos países candidatos, a fim de combater as tentativas de intervenientes mal-intencionados de prejudicar as iniciativas da UE;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w:t>
            </w:r>
          </w:p>
        </w:tc>
        <w:tc>
          <w:tcPr>
            <w:tcW w:w="4876" w:type="dxa"/>
            <w:tcBorders>
              <w:top w:val="nil"/>
              <w:left w:val="nil"/>
              <w:bottom w:val="nil"/>
              <w:right w:val="nil"/>
            </w:tcBorders>
          </w:tcPr>
          <w:p>
            <w:pPr>
              <w:pStyle w:val="Normal6a"/>
            </w:pPr>
            <w:r>
              <w:t>36.</w:t>
            </w:r>
            <w:r>
              <w:tab/>
            </w:r>
            <w:r>
              <w:t>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w:t>
            </w:r>
            <w:r>
              <w:rPr>
                <w:b/>
                <w:i/>
              </w:rPr>
              <w:t>, nomeadamente através de campanhas multilingues, da diplomacia cultural e do diálogo com influenciadores e meios de comunicação social locais</w:t>
            </w:r>
            <w:r>
              <w:t xml:space="preserve">; </w:t>
            </w:r>
            <w:r>
              <w:rPr>
                <w:b/>
                <w:i/>
              </w:rPr>
              <w:t>apoia a inclusão da comunicação como critério de desempenho na programação do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w:t>
            </w:r>
          </w:p>
        </w:tc>
        <w:tc>
          <w:tcPr>
            <w:tcW w:w="4876" w:type="dxa"/>
            <w:tcBorders>
              <w:top w:val="nil"/>
              <w:left w:val="nil"/>
              <w:bottom w:val="nil"/>
              <w:right w:val="nil"/>
            </w:tcBorders>
          </w:tcPr>
          <w:p>
            <w:pPr>
              <w:pStyle w:val="Normal6a"/>
            </w:pPr>
            <w:r>
              <w:t>36.</w:t>
            </w:r>
            <w:r>
              <w:tab/>
            </w:r>
            <w:r>
              <w:t xml:space="preserve">Exorta a VP/AR a propor uma estratégia de comunicação coerente e estratégica que realce os benefícios da ação externa da UE e preste apoio aos objetivos da UE; incentiva o SEAE a reforçar a presença política da UE nos nossos países parceiros e a tornar a nossa ação externa mais acessível ao público desses países; </w:t>
            </w:r>
            <w:r>
              <w:rPr>
                <w:b/>
                <w:i/>
              </w:rPr>
              <w:t>salienta a necessidade de a ação externa da UE se nortear por princípios que promovam uma política externa feminista, tornando-a um motor fundamental da consecução dos nossos objetivos de política externa;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Exorta a VP/AR a propor uma estratégia de comunicação coerente e </w:t>
            </w:r>
            <w:r>
              <w:rPr>
                <w:b/>
                <w:i/>
              </w:rPr>
              <w:t>estratégica</w:t>
            </w:r>
            <w:r>
              <w:t xml:space="preserve"> que realce os benefícios da ação externa da UE e preste apoio aos objetivos da UE; incentiva o SEAE a reforçar a presença política da UE nos nossos países parceiros e a tornar a nossa ação externa mais acessível ao público desses países;</w:t>
            </w:r>
          </w:p>
        </w:tc>
        <w:tc>
          <w:tcPr>
            <w:tcW w:w="4876" w:type="dxa"/>
            <w:tcBorders>
              <w:top w:val="nil"/>
              <w:left w:val="nil"/>
              <w:bottom w:val="nil"/>
              <w:right w:val="nil"/>
            </w:tcBorders>
          </w:tcPr>
          <w:p>
            <w:pPr>
              <w:pStyle w:val="Normal6a"/>
            </w:pPr>
            <w:r>
              <w:t>36.</w:t>
            </w:r>
            <w:r>
              <w:tab/>
            </w:r>
            <w:r>
              <w:t xml:space="preserve">Exorta a VP/AR a propor uma estratégia de comunicação coerente e </w:t>
            </w:r>
            <w:r>
              <w:rPr>
                <w:b/>
                <w:i/>
              </w:rPr>
              <w:t>eficaz</w:t>
            </w:r>
            <w:r>
              <w:t xml:space="preserve"> que realce os benefícios da ação externa da UE e preste apoio aos objetivos da UE</w:t>
            </w:r>
            <w:r>
              <w:rPr>
                <w:b/>
                <w:i/>
              </w:rPr>
              <w:t>, ao mesmo tempo que combate as campanhas de desinformação orquestradas por países terceiros</w:t>
            </w:r>
            <w:r>
              <w:t>; incentiva o SEAE a reforçar a presença política da UE nos nossos países parceiros e a tornar a nossa ação externa mais acessível ao público desses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Defende que a UE deve ter uma presença mais proeminente em cimeiras mundiais, fóruns regionais e plataformas de mediação de conflitos, não só através dos Estados-Membros, mas também sob uma bandeira visível da UE;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Apela para uma maior convergência entre os serviços diplomáticos da UE e dos Estados-Membros, de forma a melhorar as sinergias entre o cunho nacional e a retórica da UE, em conformidade com a abordagem da Equipa Europa;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Apela para uma maior convergência entre os serviços diplomáticos da UE e dos Estados-Membros, de forma a melhorar as sinergias entre o cunho nacional e a retórica da UE, em conformidade com a abordagem da Equipa Europa;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Apela para uma maior convergência entre os serviços diplomáticos da UE e dos Estados-Membros, de forma a melhorar as sinergias entre o cunho nacional e a retórica da UE, em conformidade com a abordagem da Equipa Europa;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Apela para uma maior </w:t>
            </w:r>
            <w:r>
              <w:rPr>
                <w:b/>
                <w:i/>
              </w:rPr>
              <w:t>convergência</w:t>
            </w:r>
            <w:r>
              <w:t xml:space="preserve"> entre os serviços diplomáticos da UE e dos Estados-Membros</w:t>
            </w:r>
            <w:r>
              <w:rPr>
                <w:b/>
                <w:i/>
              </w:rPr>
              <w:t>, de forma a melhorar as sinergias entre o cunho nacional e a retórica da UE, em conformidade com a abordagem da Equipa Europa</w:t>
            </w:r>
            <w:r>
              <w:t>;</w:t>
            </w:r>
          </w:p>
        </w:tc>
        <w:tc>
          <w:tcPr>
            <w:tcW w:w="4876" w:type="dxa"/>
            <w:tcBorders>
              <w:top w:val="nil"/>
              <w:left w:val="nil"/>
              <w:bottom w:val="nil"/>
              <w:right w:val="nil"/>
            </w:tcBorders>
          </w:tcPr>
          <w:p>
            <w:pPr>
              <w:pStyle w:val="Normal6a"/>
            </w:pPr>
            <w:r>
              <w:t>37.</w:t>
            </w:r>
            <w:r>
              <w:tab/>
            </w:r>
            <w:r>
              <w:t xml:space="preserve">Apela para uma maior </w:t>
            </w:r>
            <w:r>
              <w:rPr>
                <w:b/>
                <w:i/>
              </w:rPr>
              <w:t>cooperação</w:t>
            </w:r>
            <w:r>
              <w:t xml:space="preserve"> entre os serviços diplomáticos da UE e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Reitera o seu apelo à promoção da criação de um sistema de fluxo automático e contínuo de informações dos Estados-Membros para o SEAE sobre questões externas e de segurança que ocorram fora da União;</w:t>
            </w:r>
            <w:r>
              <w:t xml:space="preserve"> </w:t>
            </w:r>
            <w:r>
              <w:rPr>
                <w:b/>
                <w:i/>
              </w:rPr>
              <w:t>preconiza, neste contexto, o reforço do Centro de Situação e de Informações da UE (INTCEN), o Centro de resposta a situações de crise do SEAE e o Centro de Satélites da União Europeia (SatCen), aumentando o seu pessoal, os seus recursos financeiros e as suas capacidades;</w:t>
            </w:r>
            <w:r>
              <w:t xml:space="preserve"> </w:t>
            </w:r>
            <w:r>
              <w:rPr>
                <w:b/>
                <w:i/>
              </w:rPr>
              <w:t>exorta à melhoria dos protocolos de segurança dos serviços de inteligência e/ou de informações sensíveis;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Insta as instituições da UE a darem prioridade à contenção da migração em grande escala, uma vez que esta desestabiliza gravemente e prejudica a União, gera receitas elevadas para as redes criminosas, é utilizada como arma por intervenientes hostis e representa uma séria ameaça para a coesão social e para a segurança interna;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Exorta a Comissão a garantir o mais elevado nível de coordenação com o SEAE na condução da ação externa da UE, nomeadamente garantindo o pleno cumprimento do artigo 3.º, n.º 2, e do artigo 9.º da Decisão do SEAE, que poderão necessitar de ser objeto de atualização;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Apela ao reforço do SEAE e das suas capacidades, a fim de garantir a sua autonomia, dotando-o de recursos sólidos, nomeadamente para situações imprevistas, e de pessoal;</w:t>
            </w:r>
            <w:r>
              <w:t xml:space="preserve"> </w:t>
            </w:r>
            <w:r>
              <w:rPr>
                <w:b/>
                <w:i/>
              </w:rPr>
              <w:t>recorda que o SEAE está estruturalmente subfinanciado, situação que foi agravada pelo recente aumento das taxas de inflação em todo o mundo, e que não deve estar sujeito às mesmas restrições que outras instituições no que respeita à forma de abordar o orçamento administrativo;</w:t>
            </w:r>
            <w:r>
              <w:t xml:space="preserve"> </w:t>
            </w:r>
            <w:r>
              <w:rPr>
                <w:b/>
                <w:i/>
              </w:rPr>
              <w:t>insiste na necessidade de conceder financiamento proporcional às crescentes responsabilidades atribuídas ao SEAE pelas instituições da UE, incluindo o Conselho e o Parlamento;</w:t>
            </w:r>
            <w:r>
              <w:t xml:space="preserve"> </w:t>
            </w:r>
            <w:r>
              <w:rPr>
                <w:b/>
                <w:i/>
              </w:rPr>
              <w:t>insta, por conseguinte, a Comissão e o Conselho a não aplicarem a lógica dos 2 % ao SEAE;</w:t>
            </w:r>
            <w:r>
              <w:t xml:space="preserve"> </w:t>
            </w:r>
            <w:r>
              <w:rPr>
                <w:b/>
                <w:i/>
              </w:rPr>
              <w:t>destaca a necessidade de manter a atual estrutura da rede de delegações da UE em todo o mundo;</w:t>
            </w:r>
            <w:r>
              <w:t xml:space="preserve"> </w:t>
            </w:r>
            <w:r>
              <w:rPr>
                <w:b/>
                <w:i/>
              </w:rPr>
              <w:t>manifesta a sua profunda preocupação com a proposta de reestruturação radical da presença da UE no estrangeiro através de uma redução do pessoal e das delegações da UE;</w:t>
            </w:r>
            <w:r>
              <w:t xml:space="preserve"> </w:t>
            </w:r>
            <w:r>
              <w:rPr>
                <w:b/>
                <w:i/>
              </w:rPr>
              <w:t>expressa a sua viva preocupação com as graves e profundas consequências negativas das questões acima referidas para a ação externa da UE e com o desempenho das instituições da UE neste domínio; </w:t>
            </w:r>
            <w:r>
              <w:t xml:space="preserve"> </w:t>
            </w:r>
            <w:r>
              <w:rPr>
                <w:b/>
                <w:i/>
              </w:rPr>
              <w:t>reconhece que a falta de medidas para retificar a atual situação orçamental do SEAE pode ter um impacto grave nas relações da UE com países terceiros;</w:t>
            </w:r>
            <w:r>
              <w:t xml:space="preserve"> </w:t>
            </w:r>
            <w:r>
              <w:rPr>
                <w:b/>
                <w:i/>
              </w:rPr>
              <w:t>recorda a falta de orçamento operacional do SEAE e apela à análise das suas consequências e alternativas;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w:t>
            </w:r>
            <w:r>
              <w:rPr>
                <w:b/>
                <w:i/>
              </w:rPr>
              <w:t>solicita que o SEAE – tanto a sua sede como as delegações da UE – seja reforçado através da disponibilização de recursos financeiros e humanos adequados, para que a UE possa estar mais bem preparada para os desafios globais atuais e emergentes;</w:t>
            </w:r>
            <w:r>
              <w:t xml:space="preserve"> </w:t>
            </w:r>
            <w:r>
              <w:rPr>
                <w:b/>
                <w:i/>
              </w:rPr>
              <w:t>solicita que o SEAE possa selecionar e recrutar o seu pessoal diplomático permanente da UE, incluindo os diplomados da Academia Diplomática Europeia, e assegurar um equilíbrio geográfico e de género mais justo entre os Estados-Membros a todos os níveis no SEAE; </w:t>
            </w:r>
            <w:r>
              <w:t xml:space="preserve">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w:t>
            </w:r>
            <w:r>
              <w:rPr>
                <w:b/>
                <w:i/>
              </w:rPr>
              <w:t>observa que alguns Estados-Membros, como França, já dispõem de redes diplomáticas particularmente extensas e estão a investir recursos consideráveis nesta área; </w:t>
            </w:r>
            <w:r>
              <w:t xml:space="preserve"> </w:t>
            </w:r>
            <w:r>
              <w:rPr>
                <w:b/>
                <w:i/>
              </w:rPr>
              <w:t>considera, por conseguinte, que a ação externa da UE deve evitar duplicações dispendiosas e centrar-se em domínios em que o valor acrescentado da UE seja claramente identificado; </w:t>
            </w:r>
            <w:r>
              <w:t xml:space="preserve">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 </w:t>
            </w:r>
            <w:r>
              <w:rPr>
                <w:b/>
                <w:i/>
              </w:rPr>
              <w:t>salienta que tal definição de prioridades deve incluir uma reavaliação dos instrumentos de financiamento e das parcerias existentes e uma suspensão ou reorientação do apoio, sempre que a existência de um retrocesso democrático ou um alinhamento com poderes hostis se tornem evidentes;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w:t>
            </w:r>
            <w:r>
              <w:rPr>
                <w:b/>
                <w:i/>
              </w:rPr>
              <w:t>gerar o maior retorno político e estratégico</w:t>
            </w:r>
            <w:r>
              <w:t>;</w:t>
            </w:r>
          </w:p>
        </w:tc>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w:t>
            </w:r>
            <w:r>
              <w:rPr>
                <w:b/>
                <w:i/>
              </w:rPr>
              <w:t>;</w:t>
            </w:r>
            <w:r>
              <w:t xml:space="preserve"> </w:t>
            </w:r>
            <w:r>
              <w:rPr>
                <w:b/>
                <w:i/>
              </w:rPr>
              <w:t>salienta que a principal prioridade deve ser a obtenção de benefícios tangíveis para o bem-estar humano, para os direitos humanos e para a sustentabilidade ambiental, ao mesmo tempo que se assegura que a ação da UE gera retorno político e estratégico</w:t>
            </w:r>
            <w:r>
              <w:t xml:space="preserve">; insta a Comissão e o SEAE a realizarem um exercício efetivo de definição de prioridades, a fim de identificar os domínios em que a ação externa da UE pode </w:t>
            </w:r>
            <w:r>
              <w:rPr>
                <w:b/>
                <w:i/>
              </w:rPr>
              <w:t>atingir estes objetivos de forma mais eficaz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w:t>
            </w:r>
            <w:r>
              <w:rPr>
                <w:b/>
                <w:i/>
              </w:rPr>
              <w:t>;</w:t>
            </w:r>
            <w:r>
              <w:t xml:space="preserve"> </w:t>
            </w:r>
            <w:r>
              <w:rPr>
                <w:b/>
                <w:i/>
              </w:rPr>
              <w:t>salienta que, se não for feita uma definição clara das prioridades geográficas e temáticas, há um risco de que os recursos limitados existentes se dispersem demasiado e não tenham um impacto estratégico</w:t>
            </w:r>
            <w:r>
              <w:t>;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w:t>
            </w:r>
            <w:r>
              <w:rPr>
                <w:b/>
                <w:i/>
              </w:rPr>
              <w:t>;</w:t>
            </w:r>
            <w:r>
              <w:t xml:space="preserve"> </w:t>
            </w:r>
            <w:r>
              <w:rPr>
                <w:b/>
                <w:i/>
              </w:rPr>
              <w:t>salienta o papel fundamental das delegações da UE em países terceiros e insta o SEAE a ponderar cuidadosamente todas as possíveis reduções das suas operações</w:t>
            </w:r>
            <w:r>
              <w:t>;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r>
              <w:rPr>
                <w:b/>
                <w:i/>
              </w:rPr>
              <w:t>, especialmente à luz da lamentável decisão dos EUA de pôr termo a todos os programas da USAID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insta a Comissão e o SEAE a realizarem um exercício efetivo de definição de prioridades, </w:t>
            </w:r>
            <w:r>
              <w:rPr>
                <w:b/>
                <w:i/>
              </w:rPr>
              <w:t>e evitarem desperdiçar o dinheiro dos contribuintes europeus em projetos de teor ideológico,</w:t>
            </w:r>
            <w:r>
              <w:t xml:space="preserve">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restrições orçamentais constituem um obstáculo importante ao aumento da visibilidade e do impacto da ação externa da UE; insta a Comissão e o SEAE a realizarem um exercício efetivo de definição de prioridades, a fim de identificar os domínios em que a ação externa da UE pode gerar o maior retorno político e estratégico; </w:t>
            </w:r>
            <w:r>
              <w:rPr>
                <w:b/>
                <w:i/>
              </w:rPr>
              <w:t>recomenda aumentar o financiamento do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Sublinha </w:t>
            </w:r>
            <w:r>
              <w:rPr>
                <w:b/>
                <w:i/>
              </w:rPr>
              <w:t>que as restrições orçamentais constituem um obstáculo importante ao aumento da</w:t>
            </w:r>
            <w:r>
              <w:t xml:space="preserve"> visibilidade e </w:t>
            </w:r>
            <w:r>
              <w:rPr>
                <w:b/>
                <w:i/>
              </w:rPr>
              <w:t>do</w:t>
            </w:r>
            <w:r>
              <w:t xml:space="preserve"> impacto da ação externa </w:t>
            </w:r>
            <w:r>
              <w:rPr>
                <w:b/>
                <w:i/>
              </w:rPr>
              <w:t>da UE</w:t>
            </w:r>
            <w:r>
              <w:t>;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w:t>
            </w:r>
            <w:r>
              <w:rPr>
                <w:b/>
                <w:i/>
              </w:rPr>
              <w:t>a necessidade de aumentar a</w:t>
            </w:r>
            <w:r>
              <w:t xml:space="preserve"> visibilidade e </w:t>
            </w:r>
            <w:r>
              <w:rPr>
                <w:b/>
                <w:i/>
              </w:rPr>
              <w:t>o</w:t>
            </w:r>
            <w:r>
              <w:t xml:space="preserve"> impacto da ação externa;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Sublinha que as </w:t>
            </w:r>
            <w:r>
              <w:rPr>
                <w:b/>
                <w:i/>
              </w:rPr>
              <w:t>restrições</w:t>
            </w:r>
            <w:r>
              <w:t xml:space="preserve"> orçamentais constituem um obstáculo importante </w:t>
            </w:r>
            <w:r>
              <w:rPr>
                <w:b/>
                <w:i/>
              </w:rPr>
              <w:t>ao aumento da visibilidade e do impacto da</w:t>
            </w:r>
            <w:r>
              <w:t xml:space="preserve"> ação externa da UE;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as </w:t>
            </w:r>
            <w:r>
              <w:rPr>
                <w:b/>
                <w:i/>
              </w:rPr>
              <w:t>despesas</w:t>
            </w:r>
            <w:r>
              <w:t xml:space="preserve"> orçamentais </w:t>
            </w:r>
            <w:r>
              <w:rPr>
                <w:b/>
                <w:i/>
              </w:rPr>
              <w:t>desnecessárias</w:t>
            </w:r>
            <w:r>
              <w:t xml:space="preserve"> constituem um obstáculo importante </w:t>
            </w:r>
            <w:r>
              <w:rPr>
                <w:b/>
                <w:i/>
              </w:rPr>
              <w:t>a que a</w:t>
            </w:r>
            <w:r>
              <w:t xml:space="preserve"> ação externa da UE </w:t>
            </w:r>
            <w:r>
              <w:rPr>
                <w:b/>
                <w:i/>
              </w:rPr>
              <w:t>obtenha um impacto significativo</w:t>
            </w:r>
            <w:r>
              <w:t>; insta a Comissão e o SEAE a realizarem um exercício efetivo de definição de prioridades, a fim de identificar os domínios em que a ação externa da UE pode gerar o maior retorno político e estratégico;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Sublinha que </w:t>
            </w:r>
            <w:r>
              <w:rPr>
                <w:b/>
                <w:i/>
              </w:rPr>
              <w:t>as</w:t>
            </w:r>
            <w:r>
              <w:t xml:space="preserve"> restrições orçamentais </w:t>
            </w:r>
            <w:r>
              <w:rPr>
                <w:b/>
                <w:i/>
              </w:rPr>
              <w:t>constituem um obstáculo importante ao aumento da visibilidade e do impacto da ação externa da UE</w:t>
            </w:r>
            <w:r>
              <w:t>; insta a Comissão e o SEAE a realizarem um exercício efetivo de definição de prioridades, a fim de identificar os domínios em que a ação externa da UE pode gerar o maior retorno político e estratégico;</w:t>
            </w:r>
          </w:p>
        </w:tc>
        <w:tc>
          <w:tcPr>
            <w:tcW w:w="4876" w:type="dxa"/>
            <w:tcBorders>
              <w:top w:val="nil"/>
              <w:left w:val="nil"/>
              <w:bottom w:val="nil"/>
              <w:right w:val="nil"/>
            </w:tcBorders>
          </w:tcPr>
          <w:p>
            <w:pPr>
              <w:pStyle w:val="Normal6a"/>
            </w:pPr>
            <w:r>
              <w:t>38.</w:t>
            </w:r>
            <w:r>
              <w:tab/>
            </w:r>
            <w:r>
              <w:t xml:space="preserve">Sublinha que </w:t>
            </w:r>
            <w:r>
              <w:rPr>
                <w:b/>
                <w:i/>
              </w:rPr>
              <w:t>a ação externa da UE também enfrenta</w:t>
            </w:r>
            <w:r>
              <w:t xml:space="preserve"> restrições orçamentais </w:t>
            </w:r>
            <w:r>
              <w:rPr>
                <w:b/>
                <w:i/>
              </w:rPr>
              <w:t>inevitáveis</w:t>
            </w:r>
            <w:r>
              <w:t xml:space="preserve">; insta a Comissão e o SEAE a realizarem um exercício efetivo de definição de prioridades, a fim de identificar os domínios em que a ação externa da UE pode gerar o maior retorno político e estratégico </w:t>
            </w:r>
            <w:r>
              <w:rPr>
                <w:b/>
                <w:i/>
              </w:rPr>
              <w:t>para o dinheiro dos contribuintes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 – ponto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Sublinha a necessidade de uma nomenclatura orçamental mais pormenorizada no âmbito do Instrumento de Vizinhança, de Cooperação para o Desenvolvimento e de Cooperação Internacional, do Instrumento de Assistência de Pré-Adesão e do orçamento da PESC, que permita à autoridade orçamental definir prioridades políticas e geográficas no quadro do processo orçamental 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É favorável a uma abordagem renovada da diplomacia preventiva da UE como instrumento pró-ativo de política externa para evitar conflitos entre terceiros e para os mediar e apoiar na procura de soluções pacíficas, nomeadamente a mediação e o diálogo para a paz;</w:t>
            </w:r>
            <w:r>
              <w:t xml:space="preserve"> </w:t>
            </w:r>
            <w:r>
              <w:rPr>
                <w:b/>
                <w:i/>
              </w:rPr>
              <w:t>observa que os anteriores esforços diplomáticos resultaram na emergência de terceiros mal-intencionados que reduziram a influência da UE em todo o mundo;</w:t>
            </w:r>
            <w:r>
              <w:t xml:space="preserve"> </w:t>
            </w:r>
            <w:r>
              <w:rPr>
                <w:b/>
                <w:i/>
              </w:rPr>
              <w:t>insta o SEAE a analisar os anteriores esforços diplomáticos europeus e os seus resultados;</w:t>
            </w:r>
            <w:r>
              <w:t xml:space="preserve"> </w:t>
            </w:r>
            <w:r>
              <w:rPr>
                <w:b/>
                <w:i/>
              </w:rPr>
              <w:t>apela a que o pessoal do SEAE desenvolva uma melhor compreensão dos contextos locais, históricos, culturais e religiosos, para que a mensagem da UE seja adaptada aos diferentes contextos locais e para que esta seja vista como um parceiro fiável;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Louva os esforços da Academia Diplomática Europeia no sentido de contribuir para um corpo diplomático e para uma cultura próprios da UE;</w:t>
            </w:r>
            <w:r>
              <w:t xml:space="preserve"> </w:t>
            </w:r>
            <w:r>
              <w:rPr>
                <w:b/>
                <w:i/>
              </w:rPr>
              <w:t>solicita que a Academia inclua cidadãos europeus que não sejam diplomatas dos Estados-Membros;</w:t>
            </w:r>
            <w:r>
              <w:t xml:space="preserve"> </w:t>
            </w:r>
            <w:r>
              <w:rPr>
                <w:b/>
                <w:i/>
              </w:rPr>
              <w:t>salienta a importância de garantir que são afetados recursos suficientes à Academia, incluindo recursos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Insta a Comissão a avaliar sistematicamente a eficácia dos programas de ajuda ao desenvolvimento e de ajuda humanitária, a verificar se os fundos chegam efetivamente aos grupos mais vulneráveis e a assegurar que os mesmos não acabam por ser utilizados de forma indevida;</w:t>
            </w:r>
            <w:r>
              <w:t xml:space="preserve"> </w:t>
            </w:r>
            <w:r>
              <w:rPr>
                <w:b/>
                <w:i/>
              </w:rPr>
              <w:t>solicita que quaisquer fundos disponíveis sejam utilizados para reforçar o funcionamento do SEAE;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Salienta que o financiamento da UE não deve servir para apoiar regimes ou intervenientes que comprometam os valores da UE ou colaborem com potências hostis;</w:t>
            </w:r>
            <w:r>
              <w:t xml:space="preserve"> </w:t>
            </w:r>
            <w:r>
              <w:rPr>
                <w:b/>
                <w:i/>
              </w:rPr>
              <w:t>apela a uma análise rigorosa dos instrumentos financeiros externos, para evitar apoiar indiretamente influências autoritárias;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Salienta a importância de manter as representações diplomáticas da UE em todo o mundo como força motriz para a execução e promoção da ação externa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em nome do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Insta os Estados-Membros a reforçarem os seus organismos diplomáticos, que nos últimos anos têm vindo a ser negligenciados e a perder financiamento;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David McAllister, Jan Farský,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Destaca o potencial estratégico da iniciativa Global Gateway </w:t>
            </w:r>
            <w:r>
              <w:rPr>
                <w:b/>
                <w:i/>
              </w:rPr>
              <w:t>para aumentar a</w:t>
            </w:r>
            <w:r>
              <w:t xml:space="preserve"> presença e </w:t>
            </w:r>
            <w:r>
              <w:rPr>
                <w:b/>
                <w:i/>
              </w:rPr>
              <w:t>a</w:t>
            </w:r>
            <w:r>
              <w:t xml:space="preserve">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Destaca o potencial estratégico da iniciativa Global Gateway</w:t>
            </w:r>
            <w:r>
              <w:rPr>
                <w:b/>
                <w:i/>
              </w:rPr>
              <w:t>, não só para servir como plataforma de investimento, mas também como instrumento de reforço da</w:t>
            </w:r>
            <w:r>
              <w:t xml:space="preserve"> presença e </w:t>
            </w:r>
            <w:r>
              <w:rPr>
                <w:b/>
                <w:i/>
              </w:rPr>
              <w:t>da</w:t>
            </w:r>
            <w:r>
              <w:t xml:space="preserve"> visibilidade da UE em todo o mundo; congratula-se com o facto de a Comissão ter dado prioridade à execução dos seus projetos; </w:t>
            </w:r>
            <w:r>
              <w:rPr>
                <w:b/>
                <w:i/>
              </w:rPr>
              <w:t>manifesta a sua preocupação com relatos de que vários projetos da Estratégia Global Gateway estão a ser executados por empresas chinesas, o que viola diretamente o objetivo da iniciativa de criar valor nacional em países parceiros e de reforçar a segurança económica da UE;</w:t>
            </w:r>
            <w:r>
              <w:t xml:space="preserve"> </w:t>
            </w:r>
            <w:r>
              <w:rPr>
                <w:b/>
                <w:i/>
              </w:rPr>
              <w:t>reclama, pois, uma investigação imediata de todas as empresas chinesas envolvidas na Estratégia Global Gateway;</w:t>
            </w:r>
            <w:r>
              <w:t xml:space="preserve"> </w:t>
            </w:r>
            <w:r>
              <w:rPr>
                <w:b/>
                <w:i/>
              </w:rPr>
              <w:t>reitera que a Estratégia Global Gateway deve contribuir para a estabilidade e a segurança mundiais, ao mesmo tempo que reforça a resiliência da Europa;</w:t>
            </w:r>
            <w:r>
              <w:t xml:space="preserve"> </w:t>
            </w:r>
            <w:r>
              <w:rPr>
                <w:b/>
                <w:i/>
              </w:rPr>
              <w:t>salienta, além disso, que, para garantir um alinhamento entre o compromisso político e as ambições geopolíticas, é necessário reafirmar um compromisso para com a execução atempada, com uma maior apropriação local na identificação de projetos, e com uma participação bem definida do setor privado;</w:t>
            </w:r>
            <w:r>
              <w:t xml:space="preserve"> </w:t>
            </w:r>
            <w:r>
              <w:rPr>
                <w:b/>
                <w:i/>
              </w:rPr>
              <w:t>insta a Comissão a racionalizar o número de projetos emblemáticos com o objetivo de maximizar o impacto da iniciativa; </w:t>
            </w:r>
            <w:r>
              <w:t xml:space="preserve"> </w:t>
            </w:r>
            <w:r>
              <w:rPr>
                <w:b/>
                <w:i/>
              </w:rPr>
              <w:t>considera, além disso, que os projetos da Estratégia Global Gateway exigem uma melhor comunicação pública, em particular no caso da gestão indireta com parceiros de execução, como é o caso das operações de financiamento misto no âmbito do FEDS+ que envolvem várias partes interessadas; </w:t>
            </w:r>
            <w:r>
              <w:t xml:space="preserve"> </w:t>
            </w:r>
            <w:r>
              <w:rPr>
                <w:b/>
                <w:i/>
              </w:rPr>
              <w:t>insta, por conseguinte, a Comissão e o SEAE a reforçarem sistematicamente a comunicação em torno das ações financiadas pela UE, assegurando que são veiculadas mensagens coerentes, que é feita uma atribuição clara e que é dada uma real visibilidade à liderança e ao valor acrescentado da União;</w:t>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insiste que a Estratégia Global Gateway deve ter sempre em consideração os valores fundamentais da UE, entre os quais se contam o respeito pelos direitos humanos, a boa governação, a democracia e a transparência, bem como a sustentabilidade ambiental;</w:t>
            </w:r>
            <w:r>
              <w:t xml:space="preserve"> </w:t>
            </w:r>
            <w:r>
              <w:rPr>
                <w:b/>
                <w:i/>
              </w:rPr>
              <w:t>destaca, em particular, a necessidade de envolver sistematicamente a sociedade civil e as comunidades locais em todas as fases de conceção, execução e avaliação dos projetos, a fim de assegurar que os projetos da Estratégia Global Gateway respondem às necessidades locais, são sensíveis às questões de género e produzem resultados importantes em termos de desenvolvimento;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sublinha que a primeira das prioridades é a utilização eficaz dos recursos, passando por uma concentração dos mesmos num conjunto limitado de iniciativas estratégicas, em particular no reforço das infraestruturas e no combate às iniciativas concorrentes de países terceiros;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sublinha, no entanto, que o orçamento de 300 mil milhões de euros afetado a esta iniciativa corresponde a menos de um terço da dimensão dos projetos já em curso no âmbito da iniciativa chinesa «Uma Cintura, uma Rota», igualmente centrada na conectividade e nas infraestruturas;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reitera, a este respeito, a importância da Estratégia Global Gateway para promover uma parceria estreita com parceiros que partilham as mesmas ideias, baseada em benefícios mútuos, no desenvolvimento económico e em cadeias de abastecimento resilientes;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salienta a necessidade de dar prioridade e garantir uma boa relação custo-eficácia em todos os projetos da Estratégia Global Gateway, tendo em conta as necessidades financeiras críticas da UE para responder à ameaça urgente à segurança nas suas fronteiras;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congratula-se com o facto de a Comissão ter dado prioridade à execução dos seus projetos; </w:t>
            </w:r>
            <w:r>
              <w:rPr>
                <w:b/>
                <w:i/>
              </w:rPr>
              <w:t>assinala a importância de assegurar que os projetos abrangidos por esta iniciativa têm em conta benefícios e implicações mais amplos, que vão além dos ganhos para a UE relacionados com o comércio;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 xml:space="preserve">Destaca o potencial estratégico da iniciativa Global Gateway para aumentar a presença e a visibilidade da UE em todo o mundo </w:t>
            </w:r>
            <w:r>
              <w:rPr>
                <w:b/>
                <w:i/>
              </w:rPr>
              <w:t>e para proporcionar uma alternativa à iniciativa chinesa «Uma Cintura, uma Rota»</w:t>
            </w:r>
            <w:r>
              <w:t>; congratula-se com o facto de a Comissão ter dado prioridade à execução dos seus projetos;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Destaca o potencial estratégico da</w:t>
            </w:r>
            <w:r>
              <w:t xml:space="preserve"> iniciativa Global Gateway </w:t>
            </w:r>
            <w:r>
              <w:rPr>
                <w:b/>
                <w:i/>
              </w:rPr>
              <w:t>para aumentar a presença e a visibilidade</w:t>
            </w:r>
            <w:r>
              <w:t xml:space="preserve"> da UE </w:t>
            </w:r>
            <w:r>
              <w:rPr>
                <w:b/>
                <w:i/>
              </w:rPr>
              <w:t>em todo o mundo;</w:t>
            </w:r>
            <w:r>
              <w:t xml:space="preserve"> </w:t>
            </w:r>
            <w:r>
              <w:rPr>
                <w:b/>
                <w:i/>
              </w:rPr>
              <w:t>congratula-se com o facto de a Comissão ter dado</w:t>
            </w:r>
            <w:r>
              <w:t xml:space="preserve"> prioridade à </w:t>
            </w:r>
            <w:r>
              <w:rPr>
                <w:b/>
                <w:i/>
              </w:rPr>
              <w:t>execução dos seus projetos</w:t>
            </w:r>
            <w:r>
              <w:t>;</w:t>
            </w:r>
          </w:p>
        </w:tc>
        <w:tc>
          <w:tcPr>
            <w:tcW w:w="4876" w:type="dxa"/>
            <w:tcBorders>
              <w:top w:val="nil"/>
              <w:left w:val="nil"/>
              <w:bottom w:val="nil"/>
              <w:right w:val="nil"/>
            </w:tcBorders>
          </w:tcPr>
          <w:p>
            <w:pPr>
              <w:pStyle w:val="Normal6a"/>
            </w:pPr>
            <w:r>
              <w:t>39.</w:t>
            </w:r>
            <w:r>
              <w:tab/>
            </w:r>
            <w:r>
              <w:rPr>
                <w:b/>
                <w:i/>
              </w:rPr>
              <w:t>Alerta para o risco de a</w:t>
            </w:r>
            <w:r>
              <w:t xml:space="preserve"> iniciativa Global Gateway </w:t>
            </w:r>
            <w:r>
              <w:rPr>
                <w:b/>
                <w:i/>
              </w:rPr>
              <w:t>se tornar noutro veículo de despesas descontroladas, com prestação de contas insuficiente ou com poucos benefícios tangíveis para os cidadãos</w:t>
            </w:r>
            <w:r>
              <w:t xml:space="preserve"> da UE</w:t>
            </w:r>
            <w:r>
              <w:rPr>
                <w:b/>
                <w:i/>
              </w:rPr>
              <w:t>;</w:t>
            </w:r>
            <w:r>
              <w:t xml:space="preserve"> </w:t>
            </w:r>
            <w:r>
              <w:rPr>
                <w:b/>
                <w:i/>
              </w:rPr>
              <w:t>salienta que deve ser dada</w:t>
            </w:r>
            <w:r>
              <w:t xml:space="preserve"> prioridade à </w:t>
            </w:r>
            <w:r>
              <w:rPr>
                <w:b/>
                <w:i/>
              </w:rPr>
              <w:t>redução dos resíduos e à garantia da transparência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 congratula-se com o facto de a Comissão ter dado prioridade à execução dos seus projetos;</w:t>
            </w:r>
          </w:p>
        </w:tc>
        <w:tc>
          <w:tcPr>
            <w:tcW w:w="4876" w:type="dxa"/>
            <w:tcBorders>
              <w:top w:val="nil"/>
              <w:left w:val="nil"/>
              <w:bottom w:val="nil"/>
              <w:right w:val="nil"/>
            </w:tcBorders>
          </w:tcPr>
          <w:p>
            <w:pPr>
              <w:pStyle w:val="Normal6a"/>
            </w:pPr>
            <w:r>
              <w:t>39.</w:t>
            </w:r>
            <w:r>
              <w:tab/>
            </w:r>
            <w:r>
              <w:t>Destaca o potencial estratégico da iniciativa Global Gateway para aumentar a presença e a visibilidade da UE em todo o mundo</w:t>
            </w:r>
            <w:r>
              <w:rPr>
                <w:b/>
                <w:i/>
              </w:rPr>
              <w:t>, juntamente com a sua influência</w:t>
            </w:r>
            <w:r>
              <w:t>; congratula-se com o facto de a Comissão ter dado prioridade à execução dos seus projetos;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804</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Insta o Conselho e a Comissão a falarem a uma só voz;</w:t>
            </w:r>
            <w:r>
              <w:t xml:space="preserve"> </w:t>
            </w:r>
            <w:r>
              <w:rPr>
                <w:b/>
                <w:i/>
              </w:rPr>
              <w:t>observa que é possível realizar alguns progressos em matéria de PESC recorrendo às disposições dos Tratados em vigor, como a «cláusula-ponte», e que é essencial fazer mais uso da votação por maioria qualificada em matéria de assuntos externos, especificamente no contexto do nosso regime de sanções;</w:t>
            </w:r>
            <w:r>
              <w:t xml:space="preserve"> </w:t>
            </w:r>
            <w:r>
              <w:rPr>
                <w:b/>
                <w:i/>
              </w:rPr>
              <w:t>apela a uma revisão exaustiva e à introdução da votação por maioria qualificada no Conselho em todas as questões relacionadas com os negócios estrangeiros;</w:t>
            </w:r>
            <w:r>
              <w:t xml:space="preserve"> </w:t>
            </w:r>
            <w:r>
              <w:rPr>
                <w:b/>
                <w:i/>
              </w:rPr>
              <w:t>salienta que os Tratados devem prever especificamente a possibilidade de criar uma União Europeia da Defesa e que o cargo de vice-presidente/alto representante deve denominar-se «ministro dos Negócios Estrangeiros da UE» e deve ser apoiado nos seus esforços para se tornar o principal representante externo da União Europeia nas instâncias internacionais;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Reafirma o papel dos representantes especiais da UE (REUE),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para a UE; salienta a importância de os REUE disporem de um mandato amplo e flexível, capaz de se adaptar à evolução das circunstâncias geopolíticas, a fim de promoverem as políticas e os interesses da UE em regiões e países específicos e de desempenharem um papel ativo nos esforços de diplomacia preventiva;</w:t>
            </w:r>
            <w:r>
              <w:t xml:space="preserve"> </w:t>
            </w:r>
            <w:r>
              <w:rPr>
                <w:b/>
                <w:i/>
              </w:rPr>
              <w:t>insiste em que a nomeação de novos REUE só deve ter lugar após audição no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Salienta que a plena aplicação dos Objetivos de Desenvolvimento Sustentável deve continuar a ser um princípio orientador da ação externa da UE, tendo a vantagem adicional de reforçar a posição geopolítica e a credibilidade da UE na cena mundial à luz da dos recentes acontecimentos;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807</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Recorda o pilar «Liderar pelo exemplo» no âmbito do Plano de Ação III em matéria de igualdade de género e insta a AR/VP a melhorar o equilíbrio de género do SEAE nos cargos de liderança;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Salienta o papel central desempenhado pelas missões europeias de observação eleitoral no apoio à democracia em todo o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39-B.</w:t>
            </w:r>
            <w:r>
              <w:tab/>
            </w:r>
            <w:r>
              <w:rPr>
                <w:b/>
                <w:i/>
              </w:rPr>
              <w:t>Adverte para o perigo de reduzir a prioridade das alterações climáticas na ação externa da UE, uma vez que estas funcionam cada vez mais como um fator «multiplicador de ameaças» que conduz a uma maior desestabilização dos países e regiões vulneráveis, a crises humanitárias evitáveis e a pressões migratórias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Recorda que o Parlamento Europeu tem um papel distinto a desempenhar para complementar a visibilidade e o impacto da ação externa da UE, complementando assim os esforços dos serviços diplomáticos da UE e dos Estados-Membros;</w:t>
            </w:r>
          </w:p>
        </w:tc>
        <w:tc>
          <w:tcPr>
            <w:tcW w:w="4876" w:type="dxa"/>
            <w:tcBorders>
              <w:top w:val="nil"/>
              <w:left w:val="nil"/>
              <w:bottom w:val="nil"/>
              <w:right w:val="nil"/>
            </w:tcBorders>
          </w:tcPr>
          <w:p>
            <w:pPr>
              <w:pStyle w:val="Normal6a"/>
            </w:pPr>
            <w:r>
              <w:t>40.</w:t>
            </w:r>
            <w:r>
              <w:tab/>
            </w:r>
            <w:r>
              <w:t xml:space="preserve">Recorda que o Parlamento Europeu tem um papel distinto a desempenhar para complementar a visibilidade e o impacto da ação externa da UE, complementando assim os esforços dos serviços diplomáticos da UE e dos Estados-Membros; </w:t>
            </w:r>
            <w:r>
              <w:rPr>
                <w:b/>
                <w:i/>
              </w:rPr>
              <w:t>salienta que as questões diplomáticas e de defesa são, antes de mais, uma prerrogativa dos Estados-Membros da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Sublinha que importa manter a unanimidade no Conselho relativamente a todas as decisões em matéria de política externa, de segurança e de defesa;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Recorda que o exercício da função orçamental do Parlamento Europeu está indissociavelmente ligado à sua função de controlo democrático e de consulta;</w:t>
            </w:r>
          </w:p>
        </w:tc>
        <w:tc>
          <w:tcPr>
            <w:tcW w:w="4876" w:type="dxa"/>
            <w:tcBorders>
              <w:top w:val="nil"/>
              <w:left w:val="nil"/>
              <w:bottom w:val="nil"/>
              <w:right w:val="nil"/>
            </w:tcBorders>
          </w:tcPr>
          <w:p>
            <w:pPr>
              <w:pStyle w:val="Normal6a"/>
            </w:pPr>
            <w:r>
              <w:t>41.</w:t>
            </w:r>
            <w:r>
              <w:tab/>
            </w:r>
            <w:r>
              <w:t xml:space="preserve">Recorda que o exercício da função orçamental do Parlamento Europeu está indissociavelmente ligado à sua função de controlo democrático e de consulta; </w:t>
            </w:r>
            <w:r>
              <w:rPr>
                <w:b/>
                <w:i/>
              </w:rPr>
              <w:t>sublinha que, no domínio da PESC, que inclui a PCSD, o Parlamento Europeu exerce a sua função orçamental em conjunto com o Conselho;</w:t>
            </w:r>
            <w:r>
              <w:t xml:space="preserve"> </w:t>
            </w:r>
            <w:r>
              <w:rPr>
                <w:b/>
                <w:i/>
              </w:rPr>
              <w:t>recorda que o Parlamento Europeu exerce igualmente a função de controlo político e de consulta sobre estas políticas, como previsto no artigo 36.º do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Recorda que o exercício da função orçamental do Parlamento Europeu está indissociavelmente ligado à sua função de controlo democrático e de consulta;</w:t>
            </w:r>
          </w:p>
        </w:tc>
        <w:tc>
          <w:tcPr>
            <w:tcW w:w="4876" w:type="dxa"/>
            <w:tcBorders>
              <w:top w:val="nil"/>
              <w:left w:val="nil"/>
              <w:bottom w:val="nil"/>
              <w:right w:val="nil"/>
            </w:tcBorders>
          </w:tcPr>
          <w:p>
            <w:pPr>
              <w:pStyle w:val="Normal6a"/>
            </w:pPr>
            <w:r>
              <w:t>41.</w:t>
            </w:r>
            <w:r>
              <w:tab/>
            </w:r>
            <w:r>
              <w:t xml:space="preserve">Recorda que o exercício da função orçamental do Parlamento Europeu está indissociavelmente ligado à sua função de controlo democrático e de consulta; </w:t>
            </w:r>
            <w:r>
              <w:rPr>
                <w:b/>
                <w:i/>
              </w:rPr>
              <w:t>lamenta que o SEAE não tenha prestado esclarecimentos sobre o Acordo de Diálogo Político e de Cooperação e insta o Tribunal de Contas Europeu a realizar uma investigação e avaliação exaustivas;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Recorda que o apoio à democracia ocupa um lugar central na PESC da UE;</w:t>
            </w:r>
            <w:r>
              <w:t xml:space="preserve"> </w:t>
            </w:r>
            <w:r>
              <w:rPr>
                <w:b/>
                <w:i/>
              </w:rPr>
              <w:t>louva o papel do Grupo de Apoio à Democracia e de Coordenação Eleitoral (DEG) do PE no apoio à promoção da democracia e dos direitos humanos em toda a ação externa da UE; </w:t>
            </w:r>
            <w:r>
              <w:t xml:space="preserve"> </w:t>
            </w:r>
            <w:r>
              <w:rPr>
                <w:b/>
                <w:i/>
              </w:rPr>
              <w:t>salienta que o próximo QFP deve aumentar a dotação orçamental para as missões de observação eleitoral da UE, especialmente quanto à possibilidade de estas missões serem instaladas nos países candidatos;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Considera necessário reforçar o controlo parlamentar da ação externa da UE, nomeadamente através de um acesso regular a informações confidenciais e a diálogos estruturados;</w:t>
            </w:r>
          </w:p>
        </w:tc>
        <w:tc>
          <w:tcPr>
            <w:tcW w:w="4876" w:type="dxa"/>
            <w:tcBorders>
              <w:top w:val="nil"/>
              <w:left w:val="nil"/>
              <w:bottom w:val="nil"/>
              <w:right w:val="nil"/>
            </w:tcBorders>
          </w:tcPr>
          <w:p>
            <w:pPr>
              <w:pStyle w:val="Normal6a"/>
            </w:pPr>
            <w:r>
              <w:t>42.</w:t>
            </w:r>
            <w:r>
              <w:tab/>
            </w:r>
            <w:r>
              <w:t xml:space="preserve">Considera necessário reforçar o controlo parlamentar da ação externa da UE, nomeadamente através de um acesso regular </w:t>
            </w:r>
            <w:r>
              <w:rPr>
                <w:b/>
                <w:i/>
              </w:rPr>
              <w:t>e atempado, mas também seguro,</w:t>
            </w:r>
            <w:r>
              <w:t xml:space="preserve"> a informações confidenciais e a diálogos estruturados </w:t>
            </w:r>
            <w:r>
              <w:rPr>
                <w:b/>
                <w:i/>
              </w:rPr>
              <w:t>em conformidade com o artigo 36.º TUE</w:t>
            </w:r>
            <w:r>
              <w:t xml:space="preserve">; </w:t>
            </w:r>
            <w:r>
              <w:rPr>
                <w:b/>
                <w:i/>
              </w:rPr>
              <w:t>frisa a necessidade de um maior retorno de informação por parte da VP/AR e do SEAE sobre as ações empreendidas e os resultados alcançados a fim de cumprir as recomendações do Parlamento formuladas nas resoluções sobre assuntos de política externa;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Considera necessário reforçar o controlo parlamentar da ação externa da UE, nomeadamente através de um acesso regular a informações confidenciais e a diálogos estruturados;</w:t>
            </w:r>
          </w:p>
        </w:tc>
        <w:tc>
          <w:tcPr>
            <w:tcW w:w="4876" w:type="dxa"/>
            <w:tcBorders>
              <w:top w:val="nil"/>
              <w:left w:val="nil"/>
              <w:bottom w:val="nil"/>
              <w:right w:val="nil"/>
            </w:tcBorders>
          </w:tcPr>
          <w:p>
            <w:pPr>
              <w:pStyle w:val="Normal6a"/>
            </w:pPr>
            <w:r>
              <w:t>42.</w:t>
            </w:r>
            <w:r>
              <w:tab/>
            </w:r>
            <w:r>
              <w:t xml:space="preserve">Considera necessário reforçar o controlo parlamentar da ação externa da UE, nomeadamente através de um acesso regular a informações confidenciais e a diálogos estruturados; </w:t>
            </w:r>
            <w:r>
              <w:rPr>
                <w:b/>
                <w:i/>
              </w:rPr>
              <w:t>salienta que o controlo democrático não pode ser eficaz sem um verdadeiro acesso a informações classificadas e insta à introdução de melhorias no quadro de 2002, a fim de o adaptar à atualidade em matéria de segurança;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Considera necessário reforçar o controlo parlamentar da ação externa da UE, nomeadamente através de um acesso regular a informações confidenciais e a diálogos estruturados;</w:t>
            </w:r>
          </w:p>
        </w:tc>
        <w:tc>
          <w:tcPr>
            <w:tcW w:w="4876" w:type="dxa"/>
            <w:tcBorders>
              <w:top w:val="nil"/>
              <w:left w:val="nil"/>
              <w:bottom w:val="nil"/>
              <w:right w:val="nil"/>
            </w:tcBorders>
          </w:tcPr>
          <w:p>
            <w:pPr>
              <w:pStyle w:val="Normal6a"/>
            </w:pPr>
            <w:r>
              <w:t>42.</w:t>
            </w:r>
            <w:r>
              <w:tab/>
            </w:r>
            <w:r>
              <w:t xml:space="preserve">Considera necessário reforçar o controlo parlamentar da ação externa da UE, nomeadamente através de um acesso regular a informações confidenciais e a diálogos estruturados; </w:t>
            </w:r>
            <w:r>
              <w:rPr>
                <w:b/>
                <w:i/>
              </w:rPr>
              <w:t>destaca o papel das relações interparlamentares enquanto instrumento fundamental para alcançar os objetivos da política externa da UE em países terceiros e para criar laços para além das instituições governamentais;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Considera necessário reforçar o controlo parlamentar da ação externa da UE, nomeadamente através de um acesso regular a informações confidenciais </w:t>
            </w:r>
            <w:r>
              <w:rPr>
                <w:b/>
                <w:i/>
              </w:rPr>
              <w:t>e a diálogos estruturados</w:t>
            </w:r>
            <w:r>
              <w:t>;</w:t>
            </w:r>
          </w:p>
        </w:tc>
        <w:tc>
          <w:tcPr>
            <w:tcW w:w="4876" w:type="dxa"/>
            <w:tcBorders>
              <w:top w:val="nil"/>
              <w:left w:val="nil"/>
              <w:bottom w:val="nil"/>
              <w:right w:val="nil"/>
            </w:tcBorders>
          </w:tcPr>
          <w:p>
            <w:pPr>
              <w:pStyle w:val="Normal6a"/>
            </w:pPr>
            <w:r>
              <w:t>42.</w:t>
            </w:r>
            <w:r>
              <w:tab/>
            </w:r>
            <w:r>
              <w:t>Considera necessário reforçar o controlo parlamentar da ação externa da UE, nomeadamente</w:t>
            </w:r>
            <w:r>
              <w:rPr>
                <w:b/>
                <w:i/>
              </w:rPr>
              <w:t>, sempre que necessário,</w:t>
            </w:r>
            <w:r>
              <w:t xml:space="preserve"> através de um acesso regular a </w:t>
            </w:r>
            <w:r>
              <w:rPr>
                <w:b/>
                <w:i/>
              </w:rPr>
              <w:t>diálogos estruturados e a</w:t>
            </w:r>
            <w:r>
              <w:t xml:space="preserve"> informações confidenciais;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Considera necessário reforçar o controlo parlamentar da ação externa da UE, </w:t>
            </w:r>
            <w:r>
              <w:rPr>
                <w:b/>
                <w:i/>
              </w:rPr>
              <w:t>nomeadamente através de</w:t>
            </w:r>
            <w:r>
              <w:t xml:space="preserve"> um acesso regular a informações confidenciais e a diálogos estruturados;</w:t>
            </w:r>
          </w:p>
        </w:tc>
        <w:tc>
          <w:tcPr>
            <w:tcW w:w="4876" w:type="dxa"/>
            <w:tcBorders>
              <w:top w:val="nil"/>
              <w:left w:val="nil"/>
              <w:bottom w:val="nil"/>
              <w:right w:val="nil"/>
            </w:tcBorders>
          </w:tcPr>
          <w:p>
            <w:pPr>
              <w:pStyle w:val="Normal6a"/>
            </w:pPr>
            <w:r>
              <w:t>42.</w:t>
            </w:r>
            <w:r>
              <w:tab/>
            </w:r>
            <w:r>
              <w:t xml:space="preserve">Considera necessário reforçar o controlo parlamentar da ação externa da UE, </w:t>
            </w:r>
            <w:r>
              <w:rPr>
                <w:b/>
                <w:i/>
              </w:rPr>
              <w:t>incluindo</w:t>
            </w:r>
            <w:r>
              <w:t xml:space="preserve"> um acesso regular a informações confidenciais e a diálogos estruturados;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Considera lamentável a utilização excessiva pelo SEAE do inglês nas suas comunicações;</w:t>
            </w:r>
            <w:r>
              <w:t xml:space="preserve"> </w:t>
            </w:r>
            <w:r>
              <w:rPr>
                <w:b/>
                <w:i/>
              </w:rPr>
              <w:t>solicita que o francês seja utilizado ao mesmo nível que o inglês nas comunicações do SEAE;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Reitera o seu apelo ao SEAE para que assegure um equilíbrio geográfico entre os Estados-Membros a todos os níveis da sua estrutura;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Reitera o seu apelo ao SEAE para que assegure um equilíbrio geográfico entre os Estados-Membros a todos os níveis da sua estrutura, em particular nos lugares de alto nível;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Sublinha que cada uma das questões acima referidas exige uma resposta por escrito adequada por parte da VP/AR;</w:t>
            </w:r>
          </w:p>
        </w:tc>
        <w:tc>
          <w:tcPr>
            <w:tcW w:w="4876" w:type="dxa"/>
            <w:tcBorders>
              <w:top w:val="nil"/>
              <w:left w:val="nil"/>
              <w:bottom w:val="nil"/>
              <w:right w:val="nil"/>
            </w:tcBorders>
          </w:tcPr>
          <w:p>
            <w:pPr>
              <w:pStyle w:val="Normal6a"/>
            </w:pPr>
            <w:r>
              <w:t>43.</w:t>
            </w:r>
            <w:r>
              <w:tab/>
            </w:r>
            <w:r>
              <w:t xml:space="preserve">Sublinha que cada uma das questões acima referidas exige uma resposta por escrito adequada por parte da VP/AR; </w:t>
            </w:r>
            <w:r>
              <w:rPr>
                <w:b/>
                <w:i/>
              </w:rPr>
              <w:t>insta a VP/AR a responder rapidamente, por escrito, aos apelos, aos pedidos e às preocupações do Parlamento;</w:t>
            </w:r>
            <w:r>
              <w:t xml:space="preserve"> </w:t>
            </w:r>
            <w:r>
              <w:rPr>
                <w:b/>
                <w:i/>
              </w:rPr>
              <w:t>considera que as declarações orais em comissão ou em sessão plenária só podem ser consideradas uma resposta suficiente em casos excecionais ou urgentes;</w:t>
            </w:r>
            <w:r>
              <w:t xml:space="preserve"> </w:t>
            </w:r>
            <w:r>
              <w:rPr>
                <w:b/>
                <w:i/>
              </w:rPr>
              <w:t>salienta que, no atual contexto geopolítico difícil, a estreita cooperação e parceria entre o Parlamento Europeu e a VP/AR se revestem de importância estratégica;</w:t>
            </w:r>
            <w:r>
              <w:t xml:space="preserve"> </w:t>
            </w:r>
            <w:r>
              <w:rPr>
                <w:b/>
                <w:i/>
              </w:rPr>
              <w:t>sublinha que as decisões da PESC ou da PCSD que impliquem despesas constituem sempre escolhas fundamentais para estas políticas e devem ser objeto de controlo parlamentar;</w:t>
            </w:r>
            <w:r>
              <w:t xml:space="preserve"> </w:t>
            </w:r>
            <w:r>
              <w:rPr>
                <w:b/>
                <w:i/>
              </w:rPr>
              <w:t>espera que previamente à adoção dos mandatos e das estratégias da PESC haja intercâmbios mais sistemáticos e que se verifique uma melhoria no fluxo de informações a respeito das negociações e aplicação dos acordos internacionais e dos memorandos de entendimento;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Sublinha que cada </w:t>
            </w:r>
            <w:r>
              <w:rPr>
                <w:b/>
                <w:i/>
              </w:rPr>
              <w:t>uma das questões</w:t>
            </w:r>
            <w:r>
              <w:t xml:space="preserve"> acima </w:t>
            </w:r>
            <w:r>
              <w:rPr>
                <w:b/>
                <w:i/>
              </w:rPr>
              <w:t>referidas</w:t>
            </w:r>
            <w:r>
              <w:t xml:space="preserve"> exige uma resposta por escrito adequada por parte da VP/AR;</w:t>
            </w:r>
          </w:p>
        </w:tc>
        <w:tc>
          <w:tcPr>
            <w:tcW w:w="4876" w:type="dxa"/>
            <w:tcBorders>
              <w:top w:val="nil"/>
              <w:left w:val="nil"/>
              <w:bottom w:val="nil"/>
              <w:right w:val="nil"/>
            </w:tcBorders>
          </w:tcPr>
          <w:p>
            <w:pPr>
              <w:pStyle w:val="Normal6a"/>
            </w:pPr>
            <w:r>
              <w:t>43.</w:t>
            </w:r>
            <w:r>
              <w:tab/>
            </w:r>
            <w:r>
              <w:t xml:space="preserve">Sublinha que cada </w:t>
            </w:r>
            <w:r>
              <w:rPr>
                <w:b/>
                <w:i/>
              </w:rPr>
              <w:t>um dos pedidos</w:t>
            </w:r>
            <w:r>
              <w:t xml:space="preserve"> acima </w:t>
            </w:r>
            <w:r>
              <w:rPr>
                <w:b/>
                <w:i/>
              </w:rPr>
              <w:t>referidos</w:t>
            </w:r>
            <w:r>
              <w:t xml:space="preserve"> exige uma resposta por escrito adequada por parte da VP/AR;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Exprime o seu desagrado perante o facto de alguns Estados-Membros terem utilizado o seu direito de veto para diluir acordos, protelar a tomada de decisões ou impedir completamente uma política comum;</w:t>
            </w:r>
            <w:r>
              <w:t xml:space="preserve"> </w:t>
            </w:r>
            <w:r>
              <w:rPr>
                <w:b/>
                <w:i/>
              </w:rPr>
              <w:t>lamenta que a possibilidade de atuar de forma célere, eficiente e eficaz em matéria de política externa, de segurança e de defesa, tal como previsto, em particular, nas cláusulas-ponte do TUE, nunca tenha sido utilizada;</w:t>
            </w:r>
            <w:r>
              <w:t xml:space="preserve"> </w:t>
            </w:r>
            <w:r>
              <w:rPr>
                <w:b/>
                <w:i/>
              </w:rPr>
              <w:t>advoga, enquanto se aguarda a possível aplicação da votação por maioria qualificada às decisões que não têm implicações no domínio militar ou da defesa, o recurso sem reservas a todas as possibilidades atualmente disponíveis para aumentar a capacidade de decisão a este respeito, incluindo o recurso à abstenção construtiva, em conformidade com o artigo 31.º, n.º 1, do TUE;</w:t>
            </w:r>
            <w:r>
              <w:t xml:space="preserve"> </w:t>
            </w:r>
            <w:r>
              <w:rPr>
                <w:b/>
                <w:i/>
              </w:rPr>
              <w:t>é de opinião que o avanço no sentido da aplicação da votação por maioria qualificada deve ser gradual e baseado na construção de uma cultura estratégica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778.130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AM\1328813PT.docx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AM\1328813PT.docx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778.130</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AM\1328813PT.docx</w:t>
    </w:r>
    <w:r>
      <w:rPr>
        <w:rStyle w:val="HideTWBExt"/>
      </w:rPr>
      <w:t>&lt;/PathFdR&gt;</w:t>
    </w:r>
    <w:r>
      <w:tab/>
    </w:r>
    <w:r>
      <w:tab/>
    </w:r>
    <w:r>
      <w:t>PE</w:t>
    </w:r>
    <w:r>
      <w:rPr>
        <w:rStyle w:val="HideTWBExt"/>
      </w:rPr>
      <w:t>&lt;NoPE&gt;</w:t>
    </w:r>
    <w:r>
      <w:t>778.130</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14638</Words>
  <Characters>76892</Characters>
  <Application>Microsoft Office Word</Application>
  <DocSecurity>0</DocSecurity>
  <Lines>1</Lines>
  <Paragraphs>1116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1328813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276627</vt:lpwstr>
  </property>
  <property fmtid="{D5CDD505-2E9C-101B-9397-08002B2CF9AE}" pid="7" name="dmxml.render.traceId">
    <vt:lpwstr>6908842e6c19eb0b2256b8b4c855845d</vt:lpwstr>
  </property>
  <property fmtid="{D5CDD505-2E9C-101B-9397-08002B2CF9AE}" pid="8" name="FooterPath">
    <vt:lpwstr>AM\1328813PT.docx</vt:lpwstr>
  </property>
  <property fmtid="{D5CDD505-2E9C-101B-9397-08002B2CF9AE}" pid="9" name="PE Number">
    <vt:lpwstr>778.130</vt:lpwstr>
  </property>
  <property fmtid="{D5CDD505-2E9C-101B-9397-08002B2CF9AE}" pid="10" name="UID">
    <vt:lpwstr>eu.europa.europarl-DIN1-2025-0000179658_02.00-pt-01.00_text-xml</vt:lpwstr>
  </property>
</Properties>
</file>