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Odbor za vanjske poslove</w:t>
      </w:r>
      <w:r>
        <w:rPr>
          <w:rStyle w:val="HideTWBExt"/>
        </w:rPr>
        <w:t>&lt;/Commission&gt;</w:t>
      </w:r>
    </w:p>
    <w:p>
      <w:pPr>
        <w:pStyle w:val="LineBottom"/>
      </w:pPr>
      <w:r>
        <w:t xml:space="preserve"> </w:t>
      </w:r>
    </w:p>
    <w:p>
      <w:pPr>
        <w:pStyle w:val="CoverReference"/>
      </w:pPr>
      <w:r>
        <w:rPr>
          <w:rStyle w:val="HideTWBExt"/>
        </w:rPr>
        <w:t>&lt;RefProc&gt;</w:t>
      </w:r>
      <w:r>
        <w:t>2025/2168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{12/11/2025}</w:t>
      </w:r>
      <w:r>
        <w:t>12.11.2025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204</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Tobias Cremer</w:t>
      </w:r>
      <w:r>
        <w:rPr>
          <w:rStyle w:val="HideTWBExt"/>
        </w:rPr>
        <w:t>&lt;/Rapporteur&gt;</w:t>
      </w:r>
    </w:p>
    <w:p>
      <w:pPr>
        <w:pStyle w:val="CoverNormal24a"/>
      </w:pPr>
      <w:r>
        <w:rPr>
          <w:rStyle w:val="HideTWBExt"/>
        </w:rPr>
        <w:t>&lt;DocRefPE&gt;</w:t>
      </w:r>
      <w:r>
        <w:t>(PE778.092v01-00)</w:t>
      </w:r>
      <w:r>
        <w:rPr>
          <w:rStyle w:val="HideTWBExt"/>
        </w:rPr>
        <w:t>&lt;/DocRefPE&gt;</w:t>
      </w:r>
    </w:p>
    <w:p>
      <w:pPr>
        <w:pStyle w:val="CoverNormal"/>
      </w:pPr>
      <w:r>
        <w:rPr>
          <w:rStyle w:val="HideTWBExt"/>
        </w:rPr>
        <w:t>&lt;Titre&gt;</w:t>
      </w:r>
      <w:r>
        <w:t>Preporuka Vijeću, Komisiji i potpredsjednici Komisije / visokoj predstavnici Unije za vanjske poslove i sigurnosnu politiku o povećanoj suradnji EU-a i Kanade s obzirom na aktualni geopolitički kontekst, uključujući prijetnje gospodarskoj stabilnosti i suverenosti Kanade</w:t>
      </w:r>
      <w:r>
        <w:rPr>
          <w:rStyle w:val="HideTWBExt"/>
        </w:rPr>
        <w:t>&lt;/Titre&gt;</w:t>
      </w:r>
    </w:p>
    <w:p>
      <w:pPr>
        <w:pStyle w:val="CoverNormal24a"/>
      </w:pPr>
      <w:r>
        <w:rPr>
          <w:rStyle w:val="HideTWBExt"/>
        </w:rPr>
        <w:t>&lt;DocRef&gt;</w:t>
      </w:r>
      <w:r>
        <w:t>(2025/2168(INI))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strateško partnerstvo EU-a i Kanade za kritične sirovine, pokrenuto 20. lipnja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Deklaraciju UN-a o pravima autohtonih naroda,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izjavu sa sastanka na vrhu NATO-a u Haagu od 25. lipnja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zaključke Europskog vijeća od 26. lipnja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Globalni okvir za bioraznolikost iz Kunminga i Montreala u okviru Konvencije o biološkoj raznolikosti,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u geopolitičkom kontekstu sve većeg suparništva moći, političke nestabilnosti i </w:t>
            </w:r>
            <w:r>
              <w:rPr>
                <w:b/>
                <w:i/>
              </w:rPr>
              <w:t>ubrzanih klimatskih promjena</w:t>
            </w:r>
            <w:r>
              <w:t xml:space="preserve"> Europska unija i Kanada imaju zajednički i sve veći interes za produbljivanje suradnje </w:t>
            </w:r>
            <w:r>
              <w:rPr>
                <w:b/>
                <w:i/>
              </w:rPr>
              <w:t>i očuvanje međunarodnog poretka utemeljenog na pravilima</w:t>
            </w:r>
            <w:r>
              <w:t>;</w:t>
            </w:r>
          </w:p>
        </w:tc>
        <w:tc>
          <w:tcPr>
            <w:tcW w:w="4876" w:type="dxa"/>
            <w:tcBorders>
              <w:top w:val="nil"/>
              <w:left w:val="nil"/>
              <w:bottom w:val="nil"/>
              <w:right w:val="nil"/>
            </w:tcBorders>
          </w:tcPr>
          <w:p>
            <w:pPr>
              <w:pStyle w:val="Normal6a"/>
            </w:pPr>
            <w:r>
              <w:t>A.</w:t>
            </w:r>
            <w:r>
              <w:tab/>
            </w:r>
            <w:r>
              <w:t xml:space="preserve">budući da u geopolitičkom kontekstu sve većeg suparništva moći, političke nestabilnosti i </w:t>
            </w:r>
            <w:r>
              <w:rPr>
                <w:b/>
                <w:i/>
              </w:rPr>
              <w:t>sve većih gospodarskih neravnoteža koje proizlaze iz izolirane europske klimatske politike</w:t>
            </w:r>
            <w:r>
              <w:t xml:space="preserve"> Europska unija i Kanada imaju zajednički i sve veći interes za produbljivanje suradnje;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u geopolitičkom kontekstu </w:t>
            </w:r>
            <w:r>
              <w:rPr>
                <w:b/>
                <w:i/>
              </w:rPr>
              <w:t>sve većeg suparništva</w:t>
            </w:r>
            <w:r>
              <w:t xml:space="preserve"> moći, </w:t>
            </w:r>
            <w:r>
              <w:rPr>
                <w:b/>
                <w:i/>
              </w:rPr>
              <w:t>političke nestabilnosti i ubrzanih klimatskih promjena</w:t>
            </w:r>
            <w:r>
              <w:t xml:space="preserve"> Europska unija i Kanada imaju zajednički i sve veći interes za produbljivanje suradnje i očuvanje međunarodnog poretka utemeljenog na pravilima;</w:t>
            </w:r>
          </w:p>
        </w:tc>
        <w:tc>
          <w:tcPr>
            <w:tcW w:w="4876" w:type="dxa"/>
            <w:tcBorders>
              <w:top w:val="nil"/>
              <w:left w:val="nil"/>
              <w:bottom w:val="nil"/>
              <w:right w:val="nil"/>
            </w:tcBorders>
          </w:tcPr>
          <w:p>
            <w:pPr>
              <w:pStyle w:val="Normal6a"/>
            </w:pPr>
            <w:r>
              <w:t>A.</w:t>
            </w:r>
            <w:r>
              <w:tab/>
            </w:r>
            <w:r>
              <w:t xml:space="preserve">budući da u geopolitičkom kontekstu </w:t>
            </w:r>
            <w:r>
              <w:rPr>
                <w:b/>
                <w:i/>
              </w:rPr>
              <w:t>u kojem se međunarodni poredak utemeljen na pravilima suočava sa sve većim prijetnjama, posebno uslijed ruske ratne agresije i ambicija Kine kad je riječ o</w:t>
            </w:r>
            <w:r>
              <w:t xml:space="preserve"> moći, Europska unija i Kanada imaju zajednički i sve veći interes za produbljivanje suradnje i očuvanje međunarodnog poretka utemeljenog na pravilima;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u geopolitičkom kontekstu </w:t>
            </w:r>
            <w:r>
              <w:rPr>
                <w:b/>
                <w:i/>
              </w:rPr>
              <w:t>sve većeg suparništva moći, političke nestabilnosti i ubrzanih klimatskih promjena</w:t>
            </w:r>
            <w:r>
              <w:t xml:space="preserve"> Europska unija i Kanada imaju zajednički i sve veći interes za produbljivanje suradnje i očuvanje međunarodnog poretka utemeljenog na pravilima;</w:t>
            </w:r>
          </w:p>
        </w:tc>
        <w:tc>
          <w:tcPr>
            <w:tcW w:w="4876" w:type="dxa"/>
            <w:tcBorders>
              <w:top w:val="nil"/>
              <w:left w:val="nil"/>
              <w:bottom w:val="nil"/>
              <w:right w:val="nil"/>
            </w:tcBorders>
          </w:tcPr>
          <w:p>
            <w:pPr>
              <w:pStyle w:val="Normal6a"/>
            </w:pPr>
            <w:r>
              <w:t>A.</w:t>
            </w:r>
            <w:r>
              <w:tab/>
            </w:r>
            <w:r>
              <w:t xml:space="preserve">budući da u </w:t>
            </w:r>
            <w:r>
              <w:rPr>
                <w:b/>
                <w:i/>
              </w:rPr>
              <w:t>složenom</w:t>
            </w:r>
            <w:r>
              <w:t xml:space="preserve"> geopolitičkom kontekstu</w:t>
            </w:r>
            <w:r>
              <w:rPr>
                <w:b/>
                <w:i/>
              </w:rPr>
              <w:t>, posebice u okviru sigurnosti i obrane Sjevernog Atlantika,</w:t>
            </w:r>
            <w:r>
              <w:t xml:space="preserve"> Europska unija i Kanada imaju zajednički i sve veći interes za produbljivanje suradnje i očuvanje međunarodnog poretka utemeljenog na pravilima;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u geopolitičkom kontekstu sve većeg suparništva moći, političke nestabilnosti i ubrzanih klimatskih promjena Europska unija i Kanada imaju zajednički i sve veći interes za produbljivanje suradnje i očuvanje međunarodnog poretka utemeljenog na </w:t>
            </w:r>
            <w:r>
              <w:rPr>
                <w:b/>
                <w:i/>
              </w:rPr>
              <w:t>pravilima</w:t>
            </w:r>
            <w:r>
              <w:t>;</w:t>
            </w:r>
          </w:p>
        </w:tc>
        <w:tc>
          <w:tcPr>
            <w:tcW w:w="4876" w:type="dxa"/>
            <w:tcBorders>
              <w:top w:val="nil"/>
              <w:left w:val="nil"/>
              <w:bottom w:val="nil"/>
              <w:right w:val="nil"/>
            </w:tcBorders>
          </w:tcPr>
          <w:p>
            <w:pPr>
              <w:pStyle w:val="Normal6a"/>
            </w:pPr>
            <w:r>
              <w:t>A.</w:t>
            </w:r>
            <w:r>
              <w:tab/>
            </w:r>
            <w:r>
              <w:t xml:space="preserve">budući da u geopolitičkom kontekstu sve većeg suparništva moći, političke nestabilnosti i ubrzanih klimatskih promjena Europska unija i Kanada imaju zajednički i sve veći interes za produbljivanje suradnje i očuvanje međunarodnog poretka utemeljenog na </w:t>
            </w:r>
            <w:r>
              <w:rPr>
                <w:b/>
                <w:i/>
              </w:rPr>
              <w:t>UN-u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je, unatoč turbulentnim političkim događajima u Sjevernoj Americi, EU dosljedno ostao pouzdan i odan saveznik Kanade;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su EU i Kanada strateški partneri ujedinjeni u uvjerenju da su demokracija, vladavina prava, ljudska prava i multilateralna suradnja korisni za kanadska i europska društva i međunarodnu zajednicu, te bi ih stoga trebali braniti globalni savezi partnera sličnih stavova;</w:t>
            </w:r>
          </w:p>
        </w:tc>
        <w:tc>
          <w:tcPr>
            <w:tcW w:w="4876" w:type="dxa"/>
            <w:tcBorders>
              <w:top w:val="nil"/>
              <w:left w:val="nil"/>
              <w:bottom w:val="nil"/>
              <w:right w:val="nil"/>
            </w:tcBorders>
          </w:tcPr>
          <w:p>
            <w:pPr>
              <w:pStyle w:val="Normal6a"/>
            </w:pPr>
            <w:r>
              <w:t>B.</w:t>
            </w:r>
            <w:r>
              <w:tab/>
            </w:r>
            <w:r>
              <w:t>budući da su EU i Kanada strateški partneri ujedinjeni u uvjerenju da su demokracija, vladavina prava, ljudska prava i multilateralna suradnja</w:t>
            </w:r>
            <w:r>
              <w:rPr>
                <w:b/>
                <w:i/>
              </w:rPr>
              <w:t>, posebno u području sigurnosti,</w:t>
            </w:r>
            <w:r>
              <w:t xml:space="preserve"> korisni za kanadska i europska društva i međunarodnu zajednicu, te bi ih stoga trebali braniti globalni savezi partnera sličnih stavova;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su EU i Kanada strateški partneri ujedinjeni u uvjerenju da su demokracija, vladavina prava, ljudska prava i </w:t>
            </w:r>
            <w:r>
              <w:rPr>
                <w:b/>
                <w:i/>
              </w:rPr>
              <w:t>multilateralna</w:t>
            </w:r>
            <w:r>
              <w:t xml:space="preserve"> suradnja korisni za kanadska i europska društva i međunarodnu zajednicu, te bi ih stoga trebali braniti </w:t>
            </w:r>
            <w:r>
              <w:rPr>
                <w:b/>
                <w:i/>
              </w:rPr>
              <w:t>globalni</w:t>
            </w:r>
            <w:r>
              <w:t xml:space="preserve"> savezi partnera sličnih stavova;</w:t>
            </w:r>
          </w:p>
        </w:tc>
        <w:tc>
          <w:tcPr>
            <w:tcW w:w="4876" w:type="dxa"/>
            <w:tcBorders>
              <w:top w:val="nil"/>
              <w:left w:val="nil"/>
              <w:bottom w:val="nil"/>
              <w:right w:val="nil"/>
            </w:tcBorders>
          </w:tcPr>
          <w:p>
            <w:pPr>
              <w:pStyle w:val="Normal6a"/>
            </w:pPr>
            <w:r>
              <w:t>B.</w:t>
            </w:r>
            <w:r>
              <w:tab/>
            </w:r>
            <w:r>
              <w:t>budući da su EU i Kanada strateški partneri ujedinjeni u uvjerenju da su demokracija, vladavina prava, ljudska prava i suradnja korisni za kanadska i europska društva i međunarodnu zajednicu, te bi ih stoga trebali braniti savezi partnera sličnih stavova;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je partnerstvo EU-a i Kanade postalo ključno za obranu i održavanje multilateralizma, transatlantske suradnje i demokracije diljem svijeta u vrijeme kada su ta dugogodišnja načela i postignuća pod stalnom i sve većom prijetnjom;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António Tânger Corrêa, Tomáš Kubín,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w:t>
            </w:r>
            <w:r>
              <w:rPr>
                <w:b/>
                <w:i/>
              </w:rPr>
              <w:t>kao što su ruski rat protiv Ukrajine, ruski hibridni rat protiv demokratskih društava, geopolitička konkurencija na Arktiku, sve veća agresivnost Kine, povećana nestabilnost vanjske politike SAD-a, klimatske promjene i stanje na Bliskom istoku</w:t>
            </w:r>
            <w:r>
              <w:t>;</w:t>
            </w:r>
          </w:p>
        </w:tc>
        <w:tc>
          <w:tcPr>
            <w:tcW w:w="4876" w:type="dxa"/>
            <w:tcBorders>
              <w:top w:val="nil"/>
              <w:left w:val="nil"/>
              <w:bottom w:val="nil"/>
              <w:right w:val="nil"/>
            </w:tcBorders>
          </w:tcPr>
          <w:p>
            <w:pPr>
              <w:pStyle w:val="Normal6a"/>
            </w:pPr>
            <w:r>
              <w:t>C.</w:t>
            </w:r>
            <w:r>
              <w:tab/>
            </w:r>
            <w:r>
              <w:t>budući da je učinkovita suradnja EU-a i Kanade, koja se temelji na zajedničkom vodstvu i odgovornosti, ključna za rješavanje globalnih izazova;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Geadis Geadi, Tobiasz Bocheński, Marion Maréchal,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veća agresivnost Kine, </w:t>
            </w:r>
            <w:r>
              <w:rPr>
                <w:b/>
                <w:i/>
              </w:rPr>
              <w:t>povećana</w:t>
            </w:r>
            <w:r>
              <w:t xml:space="preserve"> nestabilnost </w:t>
            </w:r>
            <w:r>
              <w:rPr>
                <w:b/>
                <w:i/>
              </w:rPr>
              <w:t>vanjske politike SAD-a, klimatske promjene i stanje</w:t>
            </w:r>
            <w:r>
              <w:t xml:space="preserve"> na Bliskom istoku;</w:t>
            </w:r>
          </w:p>
        </w:tc>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veća agresivnost Kine, </w:t>
            </w:r>
            <w:r>
              <w:rPr>
                <w:b/>
                <w:i/>
              </w:rPr>
              <w:t>masakri kršćana u Nigeriji, osjetljiva situacija u Nepalu,</w:t>
            </w:r>
            <w:r>
              <w:t xml:space="preserve"> nestabilnost na Bliskom istoku</w:t>
            </w:r>
            <w:r>
              <w:rPr>
                <w:b/>
                <w:i/>
              </w:rPr>
              <w:t>, revizionizam Turske u Egejskom moru i istočnom Sredozemlju te sve veći priljev nezakonitih migranata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veća agresivnost Kine, </w:t>
            </w:r>
            <w:r>
              <w:rPr>
                <w:b/>
                <w:i/>
              </w:rPr>
              <w:t>povećana</w:t>
            </w:r>
            <w:r>
              <w:t xml:space="preserve"> nestabilnost </w:t>
            </w:r>
            <w:r>
              <w:rPr>
                <w:b/>
                <w:i/>
              </w:rPr>
              <w:t>vanjske politike SAD-a, klimatske promjene i stanje</w:t>
            </w:r>
            <w:r>
              <w:t xml:space="preserve"> na Bliskom istoku;</w:t>
            </w:r>
          </w:p>
        </w:tc>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veća agresivnost Kine, </w:t>
            </w:r>
            <w:r>
              <w:rPr>
                <w:b/>
                <w:i/>
              </w:rPr>
              <w:t>masakri kršćana u Nigeriji, osjetljiva situacija u Nepalu,</w:t>
            </w:r>
            <w:r>
              <w:t xml:space="preserve"> nestabilnost na Bliskom istoku</w:t>
            </w:r>
            <w:r>
              <w:rPr>
                <w:b/>
                <w:i/>
              </w:rPr>
              <w:t>, revizionizam Turske u Egejskom moru i istočnom Sredozemlju te sve veći priljev nezakonitih migranata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w:t>
            </w:r>
            <w:r>
              <w:rPr>
                <w:b/>
                <w:i/>
              </w:rPr>
              <w:t>veća agresivnost Kine</w:t>
            </w:r>
            <w:r>
              <w:t>, povećana nestabilnost vanjske politike SAD-a, klimatske promjene i stanje na Bliskom istoku;</w:t>
            </w:r>
          </w:p>
        </w:tc>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w:t>
            </w:r>
            <w:r>
              <w:rPr>
                <w:b/>
                <w:i/>
              </w:rPr>
              <w:t>agresivniji postupci Kine izvan međunarodno uspostavljenih okvira</w:t>
            </w:r>
            <w:r>
              <w:t>, povećana nestabilnost vanjske politike SAD-a, klimatske promjene i stanje na Bliskom istoku;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je učinkovita suradnja EU-a i Kanade, koja se temelji na zajedničkom vodstvu i odgovornosti, ključna za rješavanje globalnih izazova kao što su ruski rat protiv Ukrajine, ruski hibridni rat protiv demokratskih društava, geopolitička konkurencija na Arktiku, sve veća agresivnost Kine, povećana nestabilnost vanjske politike SAD-a, klimatske promjene i stanje na Bliskom istoku;</w:t>
            </w:r>
          </w:p>
        </w:tc>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veća agresivnost </w:t>
            </w:r>
            <w:r>
              <w:rPr>
                <w:b/>
                <w:i/>
              </w:rPr>
              <w:t>i gospodarska prisila</w:t>
            </w:r>
            <w:r>
              <w:t xml:space="preserve"> Kine, povećana nestabilnost vanjske politike SAD-a, klimatske promjene i stanje na Bliskom istoku;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w:t>
            </w:r>
            <w:r>
              <w:rPr>
                <w:b/>
                <w:i/>
              </w:rPr>
              <w:t>veća agresivnost Kine</w:t>
            </w:r>
            <w:r>
              <w:t>, povećana nestabilnost vanjske politike SAD-a, klimatske promjene i stanje na Bliskom istoku;</w:t>
            </w:r>
          </w:p>
        </w:tc>
        <w:tc>
          <w:tcPr>
            <w:tcW w:w="4876" w:type="dxa"/>
            <w:tcBorders>
              <w:top w:val="nil"/>
              <w:left w:val="nil"/>
              <w:bottom w:val="nil"/>
              <w:right w:val="nil"/>
            </w:tcBorders>
          </w:tcPr>
          <w:p>
            <w:pPr>
              <w:pStyle w:val="Normal6a"/>
            </w:pPr>
            <w:r>
              <w:t>C.</w:t>
            </w:r>
            <w:r>
              <w:tab/>
            </w:r>
            <w:r>
              <w:t xml:space="preserve">budući da je učinkovita suradnja EU-a i Kanade, koja se temelji na zajedničkom vodstvu i odgovornosti, ključna za rješavanje globalnih izazova kao što su ruski rat protiv Ukrajine, ruski hibridni rat protiv demokratskih društava, geopolitička konkurencija na Arktiku, sve </w:t>
            </w:r>
            <w:r>
              <w:rPr>
                <w:b/>
                <w:i/>
              </w:rPr>
              <w:t>veće ambicije Kine kad je riječ o moći</w:t>
            </w:r>
            <w:r>
              <w:t>, povećana nestabilnost vanjske politike SAD-a, klimatske promjene i stanje na Bliskom istoku;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suradnja između EU-a i Kanade unutar postojećih okvira ključna za očuvanje i povećanje blagostanja obiju strana; budući da primjeri te ključne suradnje uključuju trgovinsku i gospodarsku suradnju te zajedničke ambicije za rješavanje izazova kao što su zelena i digitalna tranzicija;</w:t>
            </w:r>
          </w:p>
        </w:tc>
        <w:tc>
          <w:tcPr>
            <w:tcW w:w="4876" w:type="dxa"/>
            <w:tcBorders>
              <w:top w:val="nil"/>
              <w:left w:val="nil"/>
              <w:bottom w:val="nil"/>
              <w:right w:val="nil"/>
            </w:tcBorders>
          </w:tcPr>
          <w:p>
            <w:pPr>
              <w:pStyle w:val="Normal6a"/>
            </w:pPr>
            <w:r>
              <w:t>D.</w:t>
            </w:r>
            <w:r>
              <w:tab/>
            </w:r>
            <w:r>
              <w:t xml:space="preserve">budući da je suradnja između EU-a i Kanade unutar postojećih okvira ključna za očuvanje i povećanje blagostanja obiju strana; budući da primjeri te ključne suradnje uključuju trgovinsku i gospodarsku suradnju te zajedničke ambicije za rješavanje izazova kao što su zelena i digitalna tranzicija; </w:t>
            </w:r>
            <w:r>
              <w:rPr>
                <w:b/>
                <w:i/>
              </w:rPr>
              <w:t>budući da su i Kanada i Europska unija podržale Deklaraciju Ujedinjenih naroda o pravima autohtonih naroda, koja uključuje obvezu savjetovanja i suradnje u dobroj vjeri s autohtonim narodima kako bi se dobio njihov slobodan, prethodni i informirani pristanak prije odobravanja bilo kojeg projekta koji utječe na njihova zemljišta, teritorije ili resurse, posebno u pogledu razvoja, korištenja ili iskorištavanja prirodnih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je suradnja između EU-a i Kanade unutar postojećih okvira ključna za očuvanje i povećanje blagostanja obiju strana; budući da primjeri te ključne suradnje uključuju trgovinsku i gospodarsku suradnju </w:t>
            </w:r>
            <w:r>
              <w:rPr>
                <w:b/>
                <w:i/>
              </w:rPr>
              <w:t>te zajedničke ambicije za rješavanje izazova kao što su zelena i digitalna tranzicija</w:t>
            </w:r>
            <w:r>
              <w:t>;</w:t>
            </w:r>
          </w:p>
        </w:tc>
        <w:tc>
          <w:tcPr>
            <w:tcW w:w="4876" w:type="dxa"/>
            <w:tcBorders>
              <w:top w:val="nil"/>
              <w:left w:val="nil"/>
              <w:bottom w:val="nil"/>
              <w:right w:val="nil"/>
            </w:tcBorders>
          </w:tcPr>
          <w:p>
            <w:pPr>
              <w:pStyle w:val="Normal6a"/>
            </w:pPr>
            <w:r>
              <w:t>D.</w:t>
            </w:r>
            <w:r>
              <w:tab/>
            </w:r>
            <w:r>
              <w:t>budući da je suradnja između EU-a i Kanade unutar postojećih okvira ključna za očuvanje i povećanje blagostanja obiju strana; budući da primjeri te ključne suradnje uključuju trgovinsku i gospodarsku suradnju;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je suradnja između EU-a i Kanade unutar postojećih okvira ključna za očuvanje i povećanje blagostanja obiju strana; budući da primjeri te ključne suradnje uključuju trgovinsku i gospodarsku suradnju te zajedničke ambicije za rješavanje izazova kao što su </w:t>
            </w:r>
            <w:r>
              <w:rPr>
                <w:b/>
                <w:i/>
              </w:rPr>
              <w:t>zelena</w:t>
            </w:r>
            <w:r>
              <w:t xml:space="preserve"> i digitalna tranzicija;</w:t>
            </w:r>
          </w:p>
        </w:tc>
        <w:tc>
          <w:tcPr>
            <w:tcW w:w="4876" w:type="dxa"/>
            <w:tcBorders>
              <w:top w:val="nil"/>
              <w:left w:val="nil"/>
              <w:bottom w:val="nil"/>
              <w:right w:val="nil"/>
            </w:tcBorders>
          </w:tcPr>
          <w:p>
            <w:pPr>
              <w:pStyle w:val="Normal6a"/>
            </w:pPr>
            <w:r>
              <w:t>D.</w:t>
            </w:r>
            <w:r>
              <w:tab/>
            </w:r>
            <w:r>
              <w:t xml:space="preserve">budući da je suradnja između EU-a i Kanade unutar postojećih okvira ključna za očuvanje i povećanje blagostanja </w:t>
            </w:r>
            <w:r>
              <w:rPr>
                <w:b/>
                <w:i/>
              </w:rPr>
              <w:t>i sigurnosti</w:t>
            </w:r>
            <w:r>
              <w:t xml:space="preserve"> obiju strana; budući da primjeri te ključne suradnje uključuju trgovinsku i gospodarsku suradnju</w:t>
            </w:r>
            <w:r>
              <w:rPr>
                <w:b/>
                <w:i/>
              </w:rPr>
              <w:t>, suradnju u području sigurnosti</w:t>
            </w:r>
            <w:r>
              <w:t xml:space="preserve"> te zajedničke ambicije za rješavanje izazova kao što su </w:t>
            </w:r>
            <w:r>
              <w:rPr>
                <w:b/>
                <w:i/>
              </w:rPr>
              <w:t>čista</w:t>
            </w:r>
            <w:r>
              <w:t xml:space="preserve"> i digitalna tranzicija;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autohtoni narodi u Kanadi posjeduju nezamjenjivo tradicionalno znanje, primarni su čuvari ekosustava te su već nerazmjerno pogođeni klimatskim promjenama, socioekonomskom marginalizacijom i uništavanjem okoliša i često su suočeni s problemima u pogledu sudjelovanja u donošenju odluka;</w:t>
            </w:r>
            <w:r>
              <w:t xml:space="preserve"> </w:t>
            </w:r>
            <w:r>
              <w:rPr>
                <w:b/>
                <w:i/>
              </w:rPr>
              <w:t>budući da europski tvorci politika u velikoj mjeri prihvaćaju da se autohtonim narodima mora pružiti dodatna potpora i da se njihovim interesima mora dati veći prioritet u donošenju politika, dok je istovremeno potrebno osigurati da se njihovo znanje utemeljeno na zajednici poštuje i uzima u obzir u razvoju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je suradnja EU-a i Kanade sve važnija u područjima sigurnosti, posebno u ratovanju protiv bespilotnih letjelica, borbi protiv terorizma i organiziranog kriminala, ali i u inovacijama, ulaganjima, infrastrukturi, energetici, zdravlju i sigurnosti opskrbe hranom;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sektori umjetne inteligencije i drugih tehnologija u nastajanju imaju golem potencijal za unapređenje gospodarske suradnje EU-a i Kanade te vojne suradnje i energetske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je EU drugi svjetski trgovinski partner Kanade u području robe i usluga te ujedno drugi najveći partner Kanade u području izravnih stranih ulaganja;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António Tânger Corrêa, Tomáš Kubín,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se mora iskoristiti puni potencijal postojećih instrumenata suradnje između EU-a i Kanade </w:t>
            </w:r>
            <w:r>
              <w:rPr>
                <w:b/>
                <w:i/>
              </w:rPr>
              <w:t>te da se partnerstvo EU-a i Kanade mora snažno ojačati kako bi se zajedno suprotstavili ruskom ratu protiv Ukrajine, revizionizmu geopolitičkih aktera, eskalaciji kampanja hibridnog ratovanja protiv demokratskih društava, klimatskim promjenama i izazovima za globalni trgovinski poredak</w:t>
            </w:r>
            <w:r>
              <w:t>;</w:t>
            </w:r>
          </w:p>
        </w:tc>
        <w:tc>
          <w:tcPr>
            <w:tcW w:w="4876" w:type="dxa"/>
            <w:tcBorders>
              <w:top w:val="nil"/>
              <w:left w:val="nil"/>
              <w:bottom w:val="nil"/>
              <w:right w:val="nil"/>
            </w:tcBorders>
          </w:tcPr>
          <w:p>
            <w:pPr>
              <w:pStyle w:val="Normal6a"/>
            </w:pPr>
            <w:r>
              <w:t>F.</w:t>
            </w:r>
            <w:r>
              <w:tab/>
            </w:r>
            <w:r>
              <w:t>budući da se mora iskoristiti puni potencijal postojećih instrumenata suradnje između EU-a i Kanade;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se mora iskoristiti puni potencijal postojećih instrumenata suradnje između EU-a i Kanade te da se partnerstvo EU-a i Kanade mora snažno ojačati kako bi se zajedno suprotstavili ruskom ratu protiv Ukrajine, revizionizmu geopolitičkih aktera, eskalaciji kampanja hibridnog ratovanja protiv demokratskih društava, klimatskim promjenama i izazovima za globalni trgovinski poredak;</w:t>
            </w:r>
          </w:p>
        </w:tc>
        <w:tc>
          <w:tcPr>
            <w:tcW w:w="4876" w:type="dxa"/>
            <w:tcBorders>
              <w:top w:val="nil"/>
              <w:left w:val="nil"/>
              <w:bottom w:val="nil"/>
              <w:right w:val="nil"/>
            </w:tcBorders>
          </w:tcPr>
          <w:p>
            <w:pPr>
              <w:pStyle w:val="Normal6a"/>
            </w:pPr>
            <w:r>
              <w:t>F.</w:t>
            </w:r>
            <w:r>
              <w:tab/>
            </w:r>
            <w:r>
              <w:t xml:space="preserve">budući da se mora iskoristiti puni potencijal postojećih instrumenata suradnje između EU-a i Kanade te da se partnerstvo EU-a i Kanade mora snažno ojačati kako bi se zajedno suprotstavili ruskom ratu protiv Ukrajine, revizionizmu geopolitičkih aktera, eskalaciji kampanja hibridnog ratovanja protiv demokratskih društava, klimatskim promjenama i izazovima za globalni trgovinski poredak; </w:t>
            </w:r>
            <w:r>
              <w:rPr>
                <w:b/>
                <w:i/>
              </w:rPr>
              <w:t>budući da u kontekstu geopolitičkih nesigurnosti i ranjivosti u gospodarskoj sigurnosti Europska unija mora diversificirati i produbiti suradnju s partnerima istomišljenicima kao što je Kanada;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se mora iskoristiti puni potencijal postojećih instrumenata suradnje između EU-a i Kanade te da se partnerstvo EU-a i Kanade mora snažno ojačati kako bi se zajedno suprotstavili ruskom ratu protiv Ukrajine, revizionizmu geopolitičkih aktera, eskalaciji kampanja hibridnog ratovanja protiv demokratskih društava, klimatskim promjenama i izazovima za globalni trgovinski poredak;</w:t>
            </w:r>
          </w:p>
        </w:tc>
        <w:tc>
          <w:tcPr>
            <w:tcW w:w="4876" w:type="dxa"/>
            <w:tcBorders>
              <w:top w:val="nil"/>
              <w:left w:val="nil"/>
              <w:bottom w:val="nil"/>
              <w:right w:val="nil"/>
            </w:tcBorders>
          </w:tcPr>
          <w:p>
            <w:pPr>
              <w:pStyle w:val="Normal6a"/>
            </w:pPr>
            <w:r>
              <w:t>F.</w:t>
            </w:r>
            <w:r>
              <w:tab/>
            </w:r>
            <w:r>
              <w:t xml:space="preserve">budući da se mora iskoristiti puni potencijal postojećih instrumenata suradnje između EU-a i Kanade te da se partnerstvo EU-a i Kanade mora snažno ojačati kako bi se zajedno suprotstavili ruskom ratu protiv Ukrajine, revizionizmu geopolitičkih aktera, eskalaciji kampanja hibridnog ratovanja protiv demokratskih društava, klimatskim promjenama i izazovima za globalni trgovinski poredak; </w:t>
            </w:r>
            <w:r>
              <w:rPr>
                <w:b/>
                <w:i/>
              </w:rPr>
              <w:t>budući da su i Kanada i sve države članice EU-a stranke Ugovora o neširenju nuklearnog oružja;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se mora iskoristiti puni potencijal postojećih instrumenata suradnje između EU-a i Kanade te da se partnerstvo EU-a i Kanade mora snažno ojačati kako bi se zajedno suprotstavili ruskom ratu protiv Ukrajine, revizionizmu geopolitičkih aktera, eskalaciji kampanja hibridnog ratovanja protiv demokratskih društava, klimatskim promjenama i izazovima za globalni trgovinski poredak;</w:t>
            </w:r>
          </w:p>
        </w:tc>
        <w:tc>
          <w:tcPr>
            <w:tcW w:w="4876" w:type="dxa"/>
            <w:tcBorders>
              <w:top w:val="nil"/>
              <w:left w:val="nil"/>
              <w:bottom w:val="nil"/>
              <w:right w:val="nil"/>
            </w:tcBorders>
          </w:tcPr>
          <w:p>
            <w:pPr>
              <w:pStyle w:val="Normal6a"/>
            </w:pPr>
            <w:r>
              <w:t>F.</w:t>
            </w:r>
            <w:r>
              <w:tab/>
            </w:r>
            <w:r>
              <w:t xml:space="preserve">budući da se mora iskoristiti puni potencijal postojećih instrumenata suradnje između EU-a i Kanade te da se partnerstvo EU-a i Kanade mora snažno ojačati kako bi se zajedno suprotstavili ruskom ratu protiv Ukrajine, revizionizmu geopolitičkih aktera </w:t>
            </w:r>
            <w:r>
              <w:rPr>
                <w:b/>
                <w:i/>
              </w:rPr>
              <w:t>poput Rusije i Kine</w:t>
            </w:r>
            <w:r>
              <w:t>, eskalaciji kampanja hibridnog ratovanja protiv demokratskih društava, klimatskim promjenama i izazovima za globalni trgovinski poredak;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deset država članica još nije ratificiralo CETA-u zbog trajne zabrinutosti u pogledu nacionalnog suvereniteta, učinka na osjetljive poljoprivredne sektore, nepostojanja zrcalnih klauzula kojima se osigurava usklađenost s europskim standardima te sumnji u usklađenost mehanizma za rješavanje sporova između ulagača i države s nacionalnim ustavima;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Michał Kobosko, Petras Auštrevičius,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se u Kanadi razvila javna rasprava o produbljivanju suradnje s Europskom unijom, pa čak i o izgledima za pristupanje Kanade Uniji, što je vidljivo u istraživanjima javnog mnijenja prema kojima bi do 44 % Kanađana podržalo takvo pristupanje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https://abacusdata.ca/what-canadians-think-about-canada-joining-the-european-union/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EU i Kanada imaju slične interese i stajališta u gotovo svim regijama svijeta, od Latinske Amerike do Afrike i Azije;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budući da se u godišnjem izvješću Parlamentu o imigraciji za 2025.</w:t>
            </w:r>
            <w:r>
              <w:rPr>
                <w:b/>
                <w:i/>
                <w:vertAlign w:val="superscript"/>
              </w:rPr>
              <w:t>1a</w:t>
            </w:r>
            <w:r>
              <w:t xml:space="preserve"> </w:t>
            </w:r>
            <w:r>
              <w:rPr>
                <w:b/>
                <w:i/>
              </w:rPr>
              <w:t>navodi da je 1. siječnja 2025. kanadsko stanovništvo dosegnulo 41,5 milijuna, nakon povećanja od 744 324 osobe 2024., od čega je 97,3 % bilo posljedica međunarodnih migracija, dok je prirodni rast činio tek 19 738 neto rođenih;</w:t>
            </w:r>
            <w:r>
              <w:t xml:space="preserve"> </w:t>
            </w:r>
            <w:r>
              <w:rPr>
                <w:b/>
                <w:i/>
              </w:rPr>
              <w:t>budući da je Kanada 2024. primila 483 640 novih osoba sa stalnim boravištem, uključujući više od četvrtine iz Indije, te je ugostila više od 516 000 međunarodnih studenata, od kojih mnogi imaju stalno boravište, čime su sveučilišta pretvorena u dugoročne migracijske kanale;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https://www.canada.ca/en/immigration-refugees-citizenship/corporate/publications-manuals/annual-report-parliament-immigration-2025.html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 iskoriste ovaj trenutak zajedničkih izazova kao priliku za </w:t>
            </w:r>
            <w:r>
              <w:rPr>
                <w:b/>
                <w:i/>
              </w:rPr>
              <w:t>potpuno iskorištavanje potencijala strateškog partnerstva između</w:t>
            </w:r>
            <w:r>
              <w:t xml:space="preserve"> EU-a i Kanade </w:t>
            </w:r>
            <w:r>
              <w:rPr>
                <w:b/>
                <w:i/>
              </w:rPr>
              <w:t>te za podizanje odnosa na novu razinu u potrazi za zajedničkim interesima i vrijednostima u globalnom okruženju koje se brzo mijenja</w:t>
            </w:r>
            <w:r>
              <w:t>;</w:t>
            </w:r>
          </w:p>
        </w:tc>
        <w:tc>
          <w:tcPr>
            <w:tcW w:w="4876" w:type="dxa"/>
            <w:tcBorders>
              <w:top w:val="nil"/>
              <w:left w:val="nil"/>
              <w:bottom w:val="nil"/>
              <w:right w:val="nil"/>
            </w:tcBorders>
          </w:tcPr>
          <w:p>
            <w:pPr>
              <w:pStyle w:val="Normal6a"/>
            </w:pPr>
            <w:r>
              <w:t>(a)</w:t>
            </w:r>
            <w:r>
              <w:tab/>
            </w:r>
            <w:r>
              <w:t xml:space="preserve">da iskoriste ovaj trenutak zajedničkih izazova kao priliku za </w:t>
            </w:r>
            <w:r>
              <w:rPr>
                <w:b/>
                <w:i/>
              </w:rPr>
              <w:t>jačanje suradnje</w:t>
            </w:r>
            <w:r>
              <w:t xml:space="preserve"> EU-a i Kanade </w:t>
            </w:r>
            <w:r>
              <w:rPr>
                <w:b/>
                <w:i/>
              </w:rPr>
              <w:t>isključivo ako ona donosi jasne koristi poreznim obveznicima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da iskoriste ovaj trenutak zajedničkih izazova kao priliku za potpuno iskorištavanje potencijala strateškog partnerstva između EU-a i Kanade te za podizanje odnosa na novu razinu u potrazi za zajedničkim interesima i vrijednostima u globalnom okruženju koje se brzo mijenja;</w:t>
            </w:r>
          </w:p>
        </w:tc>
        <w:tc>
          <w:tcPr>
            <w:tcW w:w="4876" w:type="dxa"/>
            <w:tcBorders>
              <w:top w:val="nil"/>
              <w:left w:val="nil"/>
              <w:bottom w:val="nil"/>
              <w:right w:val="nil"/>
            </w:tcBorders>
          </w:tcPr>
          <w:p>
            <w:pPr>
              <w:pStyle w:val="Normal6a"/>
            </w:pPr>
            <w:r>
              <w:t>(a)</w:t>
            </w:r>
            <w:r>
              <w:tab/>
            </w:r>
            <w:r>
              <w:t>da iskoriste ovaj trenutak zajedničkih izazova kao priliku za potpuno iskorištavanje potencijala strateškog partnerstva između EU-a i Kanade te za podizanje odnosa na novu razinu</w:t>
            </w:r>
            <w:r>
              <w:rPr>
                <w:b/>
                <w:i/>
              </w:rPr>
              <w:t>, u područjima u kojima stranke mogu ostvariti uzajamnu korist od suradnje,</w:t>
            </w:r>
            <w:r>
              <w:t xml:space="preserve"> u potrazi za zajedničkim interesima i vrijednostima u globalnom okruženju koje se brzo mijenja;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 iskoriste ovaj trenutak zajedničkih izazova kao priliku za potpuno iskorištavanje potencijala strateškog partnerstva između EU-a i Kanade te za podizanje odnosa na novu razinu u potrazi za zajedničkim interesima i vrijednostima </w:t>
            </w:r>
            <w:r>
              <w:rPr>
                <w:b/>
                <w:i/>
              </w:rPr>
              <w:t>u globalnom okruženju koje se brzo mijenja</w:t>
            </w:r>
            <w:r>
              <w:t>;</w:t>
            </w:r>
          </w:p>
        </w:tc>
        <w:tc>
          <w:tcPr>
            <w:tcW w:w="4876" w:type="dxa"/>
            <w:tcBorders>
              <w:top w:val="nil"/>
              <w:left w:val="nil"/>
              <w:bottom w:val="nil"/>
              <w:right w:val="nil"/>
            </w:tcBorders>
          </w:tcPr>
          <w:p>
            <w:pPr>
              <w:pStyle w:val="Normal6a"/>
            </w:pPr>
            <w:r>
              <w:t>(a)</w:t>
            </w:r>
            <w:r>
              <w:tab/>
            </w:r>
            <w:r>
              <w:t>da iskoriste ovaj trenutak zajedničkih izazova kao priliku za potpuno iskorištavanje potencijala strateškog partnerstva između EU-a i Kanade te za podizanje odnosa na novu razinu u potrazi za zajedničkim interesima i vrijednostima;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da prepoznaju dodanu vrijednost doprinosa Kanade projektima vojne mobilnosti i NetLogHubs u okviru PESCO-a zajedno s dugotrajnim doprinosima Kanade civilnim i vojnim misijama ZSOP-a te da potiču daljnju suradnju i širenje kanadskog sudjelovanja u dodatnim projektima u okviru PESCO-a i obrambenim inicijativama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da intenziviraju višerazinske dijaloge</w:t>
            </w:r>
            <w:r>
              <w:rPr>
                <w:b/>
                <w:i/>
              </w:rPr>
              <w:t>, uključujući</w:t>
            </w:r>
            <w:r>
              <w:t xml:space="preserve"> sastanke na vrhu i zajedničke inicijative</w:t>
            </w:r>
            <w:r>
              <w:rPr>
                <w:b/>
                <w:i/>
              </w:rPr>
              <w:t>, kao i dugoročne oblike suradnje na radnoj razini kako bi se produbila suradnja i zajednički riješili globalni izazovi</w:t>
            </w:r>
            <w:r>
              <w:t>;</w:t>
            </w:r>
          </w:p>
        </w:tc>
        <w:tc>
          <w:tcPr>
            <w:tcW w:w="4876" w:type="dxa"/>
            <w:tcBorders>
              <w:top w:val="nil"/>
              <w:left w:val="nil"/>
              <w:bottom w:val="nil"/>
              <w:right w:val="nil"/>
            </w:tcBorders>
          </w:tcPr>
          <w:p>
            <w:pPr>
              <w:pStyle w:val="Normal6a"/>
            </w:pPr>
            <w:r>
              <w:t>(c)</w:t>
            </w:r>
            <w:r>
              <w:tab/>
            </w:r>
            <w:r>
              <w:t xml:space="preserve">da intenziviraju višerazinske dijaloge </w:t>
            </w:r>
            <w:r>
              <w:rPr>
                <w:b/>
                <w:i/>
              </w:rPr>
              <w:t>samo ako donose konkretne prednosti za oba gospodarstva, izbjegavajući pritom simbolične</w:t>
            </w:r>
            <w:r>
              <w:t xml:space="preserve"> sastanke na vrhu i zajedničke inicijative </w:t>
            </w:r>
            <w:r>
              <w:rPr>
                <w:b/>
                <w:i/>
              </w:rPr>
              <w:t>s malo konkretnih rezultata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da intenziviraju višerazinske dijaloge, uključujući sastanke na vrhu i zajedničke inicijative, kao i </w:t>
            </w:r>
            <w:r>
              <w:rPr>
                <w:b/>
                <w:i/>
              </w:rPr>
              <w:t>dugoročne oblike</w:t>
            </w:r>
            <w:r>
              <w:t xml:space="preserve"> suradnje na radnoj razini kako bi se produbila suradnja i zajednički riješili globalni izazovi;</w:t>
            </w:r>
          </w:p>
        </w:tc>
        <w:tc>
          <w:tcPr>
            <w:tcW w:w="4876" w:type="dxa"/>
            <w:tcBorders>
              <w:top w:val="nil"/>
              <w:left w:val="nil"/>
              <w:bottom w:val="nil"/>
              <w:right w:val="nil"/>
            </w:tcBorders>
          </w:tcPr>
          <w:p>
            <w:pPr>
              <w:pStyle w:val="Normal6a"/>
            </w:pPr>
            <w:r>
              <w:t>(c)</w:t>
            </w:r>
            <w:r>
              <w:tab/>
            </w:r>
            <w:r>
              <w:t xml:space="preserve">da intenziviraju višerazinske dijaloge, uključujući sastanke na vrhu i zajedničke inicijative, </w:t>
            </w:r>
            <w:r>
              <w:rPr>
                <w:b/>
                <w:i/>
              </w:rPr>
              <w:t>da uvedu multilateralne kreditne institucije i dodatno usklade tržišta kapitala kako bi se potaknula izgradnja kapaciteta,</w:t>
            </w:r>
            <w:r>
              <w:t xml:space="preserve"> kao i </w:t>
            </w:r>
            <w:r>
              <w:rPr>
                <w:b/>
                <w:i/>
              </w:rPr>
              <w:t>dugoročni oblici</w:t>
            </w:r>
            <w:r>
              <w:t xml:space="preserve"> suradnje na radnoj razini kako bi se produbila suradnja i zajednički riješili globalni izazovi;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da intenziviraju višerazinske dijaloge, uključujući sastanke na vrhu i zajedničke inicijative, kao i dugoročne oblike suradnje na radnoj razini kako bi se produbila suradnja i zajednički riješili globalni izazovi;</w:t>
            </w:r>
          </w:p>
        </w:tc>
        <w:tc>
          <w:tcPr>
            <w:tcW w:w="4876" w:type="dxa"/>
            <w:tcBorders>
              <w:top w:val="nil"/>
              <w:left w:val="nil"/>
              <w:bottom w:val="nil"/>
              <w:right w:val="nil"/>
            </w:tcBorders>
          </w:tcPr>
          <w:p>
            <w:pPr>
              <w:pStyle w:val="Normal6a"/>
            </w:pPr>
            <w:r>
              <w:t>(c)</w:t>
            </w:r>
            <w:r>
              <w:tab/>
            </w:r>
            <w:r>
              <w:t>da intenziviraju višerazinske dijaloge, uključujući sastanke na vrhu i zajedničke inicijative, kao i dugoročne oblike suradnje na radnoj razini</w:t>
            </w:r>
            <w:r>
              <w:rPr>
                <w:b/>
                <w:i/>
              </w:rPr>
              <w:t>, kao što su trgovinske i investicijske misije i posebni projektni referenti za različita područja rada,</w:t>
            </w:r>
            <w:r>
              <w:t xml:space="preserve"> kako bi se produbila suradnja i zajednički riješili globalni izazovi;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da intenziviraju višerazinske dijaloge, uključujući sastanke na vrhu i zajedničke inicijative, kao i dugoročne oblike suradnje na radnoj razini kako bi se produbila suradnja i zajednički riješili globalni izazovi;</w:t>
            </w:r>
          </w:p>
        </w:tc>
        <w:tc>
          <w:tcPr>
            <w:tcW w:w="4876" w:type="dxa"/>
            <w:tcBorders>
              <w:top w:val="nil"/>
              <w:left w:val="nil"/>
              <w:bottom w:val="nil"/>
              <w:right w:val="nil"/>
            </w:tcBorders>
          </w:tcPr>
          <w:p>
            <w:pPr>
              <w:pStyle w:val="Normal6a"/>
            </w:pPr>
            <w:r>
              <w:t>(c)</w:t>
            </w:r>
            <w:r>
              <w:tab/>
            </w:r>
            <w:r>
              <w:t xml:space="preserve">da intenziviraju višerazinske dijaloge, uključujući sastanke na vrhu i zajedničke inicijative, kao i dugoročne oblike suradnje na radnoj razini kako bi se produbila suradnja i zajednički riješili globalni izazovi; </w:t>
            </w:r>
            <w:r>
              <w:rPr>
                <w:b/>
                <w:i/>
              </w:rPr>
              <w:t>te da osiguraju da ti dijalozi prema potrebi uključuju civilno društvo i stručne dionike;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da </w:t>
            </w:r>
            <w:r>
              <w:rPr>
                <w:b/>
                <w:i/>
              </w:rPr>
              <w:t>intenziviraju</w:t>
            </w:r>
            <w:r>
              <w:t xml:space="preserve"> višerazinske dijaloge, uključujući sastanke na vrhu i zajedničke inicijative, kao i dugoročne oblike suradnje na radnoj razini kako bi se produbila suradnja </w:t>
            </w:r>
            <w:r>
              <w:rPr>
                <w:b/>
                <w:i/>
              </w:rPr>
              <w:t>i zajednički riješili globalni izazovi</w:t>
            </w:r>
            <w:r>
              <w:t>;</w:t>
            </w:r>
          </w:p>
        </w:tc>
        <w:tc>
          <w:tcPr>
            <w:tcW w:w="4876" w:type="dxa"/>
            <w:tcBorders>
              <w:top w:val="nil"/>
              <w:left w:val="nil"/>
              <w:bottom w:val="nil"/>
              <w:right w:val="nil"/>
            </w:tcBorders>
          </w:tcPr>
          <w:p>
            <w:pPr>
              <w:pStyle w:val="Normal6a"/>
            </w:pPr>
            <w:r>
              <w:t>(c)</w:t>
            </w:r>
            <w:r>
              <w:tab/>
            </w:r>
            <w:r>
              <w:t xml:space="preserve">da </w:t>
            </w:r>
            <w:r>
              <w:rPr>
                <w:b/>
                <w:i/>
              </w:rPr>
              <w:t>se zalažu za</w:t>
            </w:r>
            <w:r>
              <w:t xml:space="preserve"> višerazinske dijaloge, uključujući sastanke na vrhu i zajedničke inicijative, kao i dugoročne oblike suradnje na radnoj razini kako bi se produbila suradnja;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da podupiru snažniju ulogu parlamentarnog dijaloga u strateškom partnerstvu</w:t>
            </w:r>
            <w:r>
              <w:rPr>
                <w:b/>
                <w:i/>
              </w:rPr>
              <w:t>;</w:t>
            </w:r>
            <w:r>
              <w:t xml:space="preserve"> </w:t>
            </w:r>
            <w:r>
              <w:rPr>
                <w:b/>
                <w:i/>
              </w:rPr>
              <w:t>napominje</w:t>
            </w:r>
            <w:r>
              <w:t xml:space="preserve"> da Kanada u Vijeću Europe ima status zakonskog promatrača; </w:t>
            </w:r>
            <w:r>
              <w:rPr>
                <w:b/>
                <w:i/>
              </w:rPr>
              <w:t>poziva</w:t>
            </w:r>
            <w:r>
              <w:t xml:space="preserve"> na povećanje suradnje na parlamentarnoj razini i poziva Vijeće Europe da redovito poziva Kanadu na međuparlamentarne sastanke kao promatrača;</w:t>
            </w:r>
          </w:p>
        </w:tc>
        <w:tc>
          <w:tcPr>
            <w:tcW w:w="4876" w:type="dxa"/>
            <w:tcBorders>
              <w:top w:val="nil"/>
              <w:left w:val="nil"/>
              <w:bottom w:val="nil"/>
              <w:right w:val="nil"/>
            </w:tcBorders>
          </w:tcPr>
          <w:p>
            <w:pPr>
              <w:pStyle w:val="Normal6a"/>
            </w:pPr>
            <w:r>
              <w:t>(d)</w:t>
            </w:r>
            <w:r>
              <w:tab/>
            </w:r>
            <w:r>
              <w:t xml:space="preserve">da podupiru snažniju ulogu parlamentarnog dijaloga u strateškom partnerstvu </w:t>
            </w:r>
            <w:r>
              <w:rPr>
                <w:b/>
                <w:i/>
              </w:rPr>
              <w:t>te osiguraju redovite bilateralne parlamentarne razmjene i suradnju u ključnim pitanjima;</w:t>
            </w:r>
            <w:r>
              <w:t xml:space="preserve"> </w:t>
            </w:r>
            <w:r>
              <w:rPr>
                <w:b/>
                <w:i/>
              </w:rPr>
              <w:t>da napomenu</w:t>
            </w:r>
            <w:r>
              <w:t xml:space="preserve"> da Kanada u Vijeću Europe ima status zakonskog promatrača; </w:t>
            </w:r>
            <w:r>
              <w:rPr>
                <w:b/>
                <w:i/>
              </w:rPr>
              <w:t>da pozovu</w:t>
            </w:r>
            <w:r>
              <w:t xml:space="preserve"> na povećanje suradnje na parlamentarnoj razini i poziva Vijeće Europe da redovito poziva Kanadu na međuparlamentarne sastanke kao promatrača;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da </w:t>
            </w:r>
            <w:r>
              <w:rPr>
                <w:b/>
                <w:i/>
              </w:rPr>
              <w:t>pojačaju suradnju</w:t>
            </w:r>
            <w:r>
              <w:t xml:space="preserve"> s Kanadom </w:t>
            </w:r>
            <w:r>
              <w:rPr>
                <w:b/>
                <w:i/>
              </w:rPr>
              <w:t>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w:t>
            </w:r>
            <w:r>
              <w:t>;</w:t>
            </w:r>
          </w:p>
        </w:tc>
        <w:tc>
          <w:tcPr>
            <w:tcW w:w="4876" w:type="dxa"/>
            <w:tcBorders>
              <w:top w:val="nil"/>
              <w:left w:val="nil"/>
              <w:bottom w:val="nil"/>
              <w:right w:val="nil"/>
            </w:tcBorders>
          </w:tcPr>
          <w:p>
            <w:pPr>
              <w:pStyle w:val="Normal6a"/>
            </w:pPr>
            <w:r>
              <w:t>(e)</w:t>
            </w:r>
            <w:r>
              <w:tab/>
            </w:r>
            <w:r>
              <w:t xml:space="preserve">da </w:t>
            </w:r>
            <w:r>
              <w:rPr>
                <w:b/>
                <w:i/>
              </w:rPr>
              <w:t>promiču diplomatsku koordinaciju</w:t>
            </w:r>
            <w:r>
              <w:t xml:space="preserve"> s Kanadom </w:t>
            </w:r>
            <w:r>
              <w:rPr>
                <w:b/>
                <w:i/>
              </w:rPr>
              <w:t>kako bi se brzo okončao sukob u Ukrajini, uz izbjegavanje daljnjih mjera koje dosad nisu dovele do zaustavljanja rata i opteretile su građane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da pojačaju suradnju s Kanadom 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w:t>
            </w:r>
          </w:p>
        </w:tc>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 </w:t>
            </w:r>
            <w:r>
              <w:rPr>
                <w:b/>
                <w:i/>
              </w:rPr>
              <w:t>da surađuju kako bi se osigurala potpuna odgovornost za ratne zločine i druge teške zločine počinjene u vezi s ratnom agresijom Rusije protiv Ukrajine, među ostalim podupiranjem osnivanja posebnog suda za zločin agresije protiv Ukrajine i platforme donatora za Ukrajinu;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António Tânger Corrêa, Tomáš Kubín,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da pojačaju suradnju s Kanadom u odgovoru na neposredne sigurnosne prijetnje našim društvima</w:t>
            </w:r>
            <w:r>
              <w:rPr>
                <w:b/>
                <w:i/>
              </w:rPr>
              <w:t>, kao što su ruski rat protiv Ukrajine, hibridni napadi i uplitanje u demokratska društva s obje strane Atlantika, agresivnost Kine, povećana nestabilnost vanjske politike SAD-a, posljedice klimatskih promjena i stanje na Bliskom istoku</w:t>
            </w:r>
            <w:r>
              <w:t>;</w:t>
            </w:r>
          </w:p>
        </w:tc>
        <w:tc>
          <w:tcPr>
            <w:tcW w:w="4876" w:type="dxa"/>
            <w:tcBorders>
              <w:top w:val="nil"/>
              <w:left w:val="nil"/>
              <w:bottom w:val="nil"/>
              <w:right w:val="nil"/>
            </w:tcBorders>
          </w:tcPr>
          <w:p>
            <w:pPr>
              <w:pStyle w:val="Normal6a"/>
            </w:pPr>
            <w:r>
              <w:t>(e)</w:t>
            </w:r>
            <w:r>
              <w:tab/>
            </w:r>
            <w:r>
              <w:t>da pojačaju suradnju s Kanadom u odgovoru na neposredne sigurnosne prijetnje našim društvima;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Geadis Geadi, Tobiasz Bocheński, Marion Maréchal,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agresivnost Kine, </w:t>
            </w:r>
            <w:r>
              <w:rPr>
                <w:b/>
                <w:i/>
              </w:rPr>
              <w:t>povećana nestabilnost vanjske politike SAD-a, posljedice klimatskih promjena i stanje</w:t>
            </w:r>
            <w:r>
              <w:t xml:space="preserve"> na Bliskom istoku;</w:t>
            </w:r>
          </w:p>
        </w:tc>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w:t>
            </w:r>
            <w:r>
              <w:rPr>
                <w:b/>
                <w:i/>
              </w:rPr>
              <w:t>sve veći tokovi nezakonitih migranata,</w:t>
            </w:r>
            <w:r>
              <w:t xml:space="preserve"> agresivnost Kine, </w:t>
            </w:r>
            <w:r>
              <w:rPr>
                <w:b/>
                <w:i/>
              </w:rPr>
              <w:t>kriza</w:t>
            </w:r>
            <w:r>
              <w:t xml:space="preserve"> na Bliskom istoku</w:t>
            </w:r>
            <w:r>
              <w:rPr>
                <w:b/>
                <w:i/>
              </w:rPr>
              <w:t>, usmjerena na Gazu, Siriju, Iran i Libanon, osjetljiva situacija u Nepalu, masakri kršćana u Nigeriji, turske prijetnje ratom protiv Grčke, njezine kontinuirane provokacije u Egejskom moru i istočnom Sredozemlju te trajna nezakonita turska okupacija Cipra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agresivnost Kine, </w:t>
            </w:r>
            <w:r>
              <w:rPr>
                <w:b/>
                <w:i/>
              </w:rPr>
              <w:t>povećana nestabilnost vanjske politike SAD-a, posljedice klimatskih promjena i stanje</w:t>
            </w:r>
            <w:r>
              <w:t xml:space="preserve"> na Bliskom istoku;</w:t>
            </w:r>
          </w:p>
        </w:tc>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w:t>
            </w:r>
            <w:r>
              <w:rPr>
                <w:b/>
                <w:i/>
              </w:rPr>
              <w:t>sve veći tokovi nezakonitih migranata,</w:t>
            </w:r>
            <w:r>
              <w:t xml:space="preserve"> agresivnost Kine, </w:t>
            </w:r>
            <w:r>
              <w:rPr>
                <w:b/>
                <w:i/>
              </w:rPr>
              <w:t>kriza</w:t>
            </w:r>
            <w:r>
              <w:t xml:space="preserve"> na Bliskom istoku</w:t>
            </w:r>
            <w:r>
              <w:rPr>
                <w:b/>
                <w:i/>
              </w:rPr>
              <w:t>, usmjerena na Gazu, Siriju, Iran i Libanon, nestabilna situacija u Nepalu, masakri kršćana u Nigeriji, turske prijetnje ratom protiv Grčke, njezine kontinuirane provokacije u Egejskom moru i istočnom Sredozemlju, kao i aktualna nezakonita turska okupacija Cipra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da pojačaju suradnju s Kanadom 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w:t>
            </w:r>
          </w:p>
        </w:tc>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w:t>
            </w:r>
            <w:r>
              <w:rPr>
                <w:b/>
                <w:i/>
              </w:rPr>
              <w:t>uključujući u neposrednom susjedstvu Unije, posebno u zemljama kandidatkinjama,</w:t>
            </w:r>
            <w:r>
              <w:t xml:space="preserve"> agresivnost Kine, povećana nestabilnost vanjske politike SAD-a, posljedice klimatskih promjena i stanje na Bliskom istoku;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da pojačaju suradnju s Kanadom 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w:t>
            </w:r>
          </w:p>
        </w:tc>
        <w:tc>
          <w:tcPr>
            <w:tcW w:w="4876" w:type="dxa"/>
            <w:tcBorders>
              <w:top w:val="nil"/>
              <w:left w:val="nil"/>
              <w:bottom w:val="nil"/>
              <w:right w:val="nil"/>
            </w:tcBorders>
          </w:tcPr>
          <w:p>
            <w:pPr>
              <w:pStyle w:val="Normal6a"/>
            </w:pPr>
            <w:r>
              <w:t>(e)</w:t>
            </w:r>
            <w:r>
              <w:tab/>
            </w:r>
            <w:r>
              <w:t>da pojačaju suradnju s Kanadom 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w:t>
            </w:r>
            <w:r>
              <w:rPr>
                <w:b/>
                <w:i/>
              </w:rPr>
              <w:t>, kao i na prijetnje koje predstavljaju terorizam i nasilni ekstremizam</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w:t>
            </w:r>
            <w:r>
              <w:rPr>
                <w:b/>
                <w:i/>
              </w:rPr>
              <w:t>agresivnost Kine</w:t>
            </w:r>
            <w:r>
              <w:t>, povećana nestabilnost vanjske politike SAD-a, posljedice klimatskih promjena i stanje na Bliskom istoku;</w:t>
            </w:r>
          </w:p>
        </w:tc>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w:t>
            </w:r>
            <w:r>
              <w:rPr>
                <w:b/>
                <w:i/>
              </w:rPr>
              <w:t>ambicije Kine kad je riječ o moći</w:t>
            </w:r>
            <w:r>
              <w:t>, povećana nestabilnost vanjske politike SAD-a, posljedice klimatskih promjena i stanje na Bliskom istoku;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da pojačaju suradnju s Kanadom u odgovoru na neposredne sigurnosne prijetnje našim društvima, kao što su ruski rat protiv Ukrajine, hibridni napadi i uplitanje u demokratska društva s obje strane Atlantika, agresivnost Kine, povećana nestabilnost vanjske politike SAD-a, posljedice klimatskih promjena i stanje na Bliskom istoku;</w:t>
            </w:r>
          </w:p>
        </w:tc>
        <w:tc>
          <w:tcPr>
            <w:tcW w:w="4876" w:type="dxa"/>
            <w:tcBorders>
              <w:top w:val="nil"/>
              <w:left w:val="nil"/>
              <w:bottom w:val="nil"/>
              <w:right w:val="nil"/>
            </w:tcBorders>
          </w:tcPr>
          <w:p>
            <w:pPr>
              <w:pStyle w:val="Normal6a"/>
            </w:pPr>
            <w:r>
              <w:t>(e)</w:t>
            </w:r>
            <w:r>
              <w:tab/>
            </w:r>
            <w:r>
              <w:t xml:space="preserve">da pojačaju suradnju s Kanadom u odgovoru na neposredne sigurnosne prijetnje našim društvima, kao što su ruski rat protiv Ukrajine, hibridni napadi i uplitanje u demokratska društva s obje strane Atlantika, agresivnost </w:t>
            </w:r>
            <w:r>
              <w:rPr>
                <w:b/>
                <w:i/>
              </w:rPr>
              <w:t>i gospodarska prisila</w:t>
            </w:r>
            <w:r>
              <w:t xml:space="preserve"> Kine, povećana nestabilnost vanjske politike SAD-a, posljedice klimatskih promjena i stanje na Bliskom istoku;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 prepoznaju aktualne vojne doprinose Kanade europskoj sigurnosti, posebno njezino vodstvo u okviru NATO-ove aktivnosti ojačane prednje prisutnosti u Latviji te članstvo u Globalnoj koaliciji protiv ISIS-a i Koaliciji za bespilotne letjelice, te da potiču daljnju suradnju u ključnim područjima kao što je nabava na bojištu i da istraže mogućnosti sufinanciranja i zajedničkih osposobljavanja osmišljenih za poticanje proizvodnje povezane s bespilotnim letjelicama, u sinergiji s industrijskim i tehnološkim inicijativama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 uvide da se Kanada trenutačno nalazi u ključnom trenutku jer vidi da je susjedski odnos sa Sjedinjenim Američkim Državama, koji je ključan i za njezinu vanjsku i za njezinu unutarnju politiku, doveden u pitanje i da ga aktualna administracija SAD-a podcjenjuje;</w:t>
            </w:r>
            <w:r>
              <w:t xml:space="preserve"> </w:t>
            </w:r>
            <w:r>
              <w:rPr>
                <w:b/>
                <w:i/>
              </w:rPr>
              <w:t>da izraze svoju punu potporu teritorijalnoj cjelovitosti Kanade i osuđuje komentare istaknutih čelnika SAD-a čija je namjera bila utjecati na parlamentarne izbore u travnju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Nathalie Loiseau,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 naglase da su potrebni zajednički napori i uzajamna predanost promicanju mira, sigurnosti, stabilnosti i otpornosti u drugim regijama od zajedničkog interesa, uključujući zapadni Balkan, Bliski istok, južni Kavkaz i šire;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 pojača suradnju između EU-a i Kanade, pri čemu se naglašava suverenitet nacionalnih država i snažno osuđuju sva djelovanja ili izjave kojima se potkopava to načelo;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da prepoznaju ulogu Kanade u podupiranju postupne integracije kapaciteta bespilotnih letjelica u multinacionalne jedinice, kao što je nedavno uključivanje elementa za borbu protiv bespilotnih letjelica u NATO-ovu aktivnost ojačane prednje prisutnosti u Latviji pod vodstvom Kanade, koja služi kao model za budući razvoj snaga i poziva na veću upotrebu postojećih certificiranih ispitnih poligona za osposobljavanje i integraciju između Kanade i država članica;</w:t>
            </w:r>
            <w:r>
              <w:t xml:space="preserve"> </w:t>
            </w:r>
            <w:r>
              <w:rPr>
                <w:b/>
                <w:i/>
              </w:rPr>
              <w:t>da istaknu da je operaterima potreban pristup sigurnim poligonima, okruženjima za simulacije i vježbe bojeva gađanja radi osposobljavanja za taktike rojeva, borbu protiv bespilotnih zrakoplova i autonomno određivanje ciljeva;</w:t>
            </w:r>
            <w:r>
              <w:t xml:space="preserve"> </w:t>
            </w:r>
            <w:r>
              <w:rPr>
                <w:b/>
                <w:i/>
              </w:rPr>
              <w:t>da pozovu na uspostavu zajedničkih europskih centara za osposobljavanje za borbu protiv bespilotnih letjelica u suradnji s Kanadom, oslanjajući se na operativno iskustvo kanadske aktivnosti ojačane prednje prisutnosti u Latviji s bespilotnim letjelicama na istočnom krilu, kako bi se poboljšale mogućnosti osposobljavanja među zemljama, interoperabilnost, konvergencija doktrina i učinkovitost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da </w:t>
            </w:r>
            <w:r>
              <w:rPr>
                <w:b/>
                <w:i/>
              </w:rPr>
              <w:t>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w:t>
            </w:r>
            <w:r>
              <w:t xml:space="preserve"> ReArm Europe;</w:t>
            </w:r>
          </w:p>
        </w:tc>
        <w:tc>
          <w:tcPr>
            <w:tcW w:w="4876" w:type="dxa"/>
            <w:tcBorders>
              <w:top w:val="nil"/>
              <w:left w:val="nil"/>
              <w:bottom w:val="nil"/>
              <w:right w:val="nil"/>
            </w:tcBorders>
          </w:tcPr>
          <w:p>
            <w:pPr>
              <w:pStyle w:val="Normal6a"/>
            </w:pPr>
            <w:r>
              <w:t>(f)</w:t>
            </w:r>
            <w:r>
              <w:tab/>
            </w:r>
            <w:r>
              <w:t xml:space="preserve">da </w:t>
            </w:r>
            <w:r>
              <w:rPr>
                <w:b/>
                <w:i/>
              </w:rPr>
              <w:t>odbace svako pridruživanje Kanade programu sigurnosnih mjera za Europu (SAFE), planu</w:t>
            </w:r>
            <w:r>
              <w:t xml:space="preserve"> ReArm Europe </w:t>
            </w:r>
            <w:r>
              <w:rPr>
                <w:b/>
                <w:i/>
              </w:rPr>
              <w:t>ili bilo kojoj drugoj inicijativi povezanoj s europskom obrambenom industrijskom i tehnološkom bazom s obzirom na to da ti instrumenti moraju ostati strogo europski kako bi se ojačala strateška suverenost i industrijska autonomija Unije, bez povećanja ovisnosti o NATO-u ili vanjskim akterima izvan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p>
        </w:tc>
        <w:tc>
          <w:tcPr>
            <w:tcW w:w="4876" w:type="dxa"/>
            <w:tcBorders>
              <w:top w:val="nil"/>
              <w:left w:val="nil"/>
              <w:bottom w:val="nil"/>
              <w:right w:val="nil"/>
            </w:tcBorders>
          </w:tcPr>
          <w:p>
            <w:pPr>
              <w:pStyle w:val="Normal6a"/>
            </w:pPr>
            <w:r>
              <w:t>(f)</w:t>
            </w:r>
            <w:r>
              <w:tab/>
            </w:r>
            <w:r>
              <w:t xml:space="preserve">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 </w:t>
            </w:r>
            <w:r>
              <w:rPr>
                <w:b/>
                <w:i/>
              </w:rPr>
              <w:t>da pozovu na pojačanu suradnju u područjima od kojih svi imaju koristi i u kojima se sigurnosni i obrambeni ciljevi Kanade i EU-a mogu uskladiti s njihovim naporima u području obrambene industrijske politike, kao što su ledolomci te izgradnja i upravljanje lukama;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p>
        </w:tc>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r>
              <w:rPr>
                <w:b/>
                <w:i/>
              </w:rPr>
              <w:t>, što bi pomoglo u međusobnoj integraciji vojnih i industrijskih lanaca opskrbe Kanade i EU-a te usklađivanju naše obrambene strategije i istraživanja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da utvrde plan za osiguravanje potpune i pravodobne provedbe obaveza preuzetih u okviru partnerstva u području sigurnosti i obrane, kojim se osigurava dosljedan politički okvir za </w:t>
            </w:r>
            <w:r>
              <w:rPr>
                <w:b/>
                <w:i/>
              </w:rPr>
              <w:t>zajedničke napore u tom području u okviru inicijativa</w:t>
            </w:r>
            <w:r>
              <w:t xml:space="preserve"> kojima se dopunjuje suradnja stranaka u NATO-u, kao što su instrument SAFE i plan ReArm Europe;</w:t>
            </w:r>
          </w:p>
        </w:tc>
        <w:tc>
          <w:tcPr>
            <w:tcW w:w="4876" w:type="dxa"/>
            <w:tcBorders>
              <w:top w:val="nil"/>
              <w:left w:val="nil"/>
              <w:bottom w:val="nil"/>
              <w:right w:val="nil"/>
            </w:tcBorders>
          </w:tcPr>
          <w:p>
            <w:pPr>
              <w:pStyle w:val="Normal6a"/>
            </w:pPr>
            <w:r>
              <w:t>(f)</w:t>
            </w:r>
            <w:r>
              <w:tab/>
            </w:r>
            <w:r>
              <w:t xml:space="preserve">da utvrde plan za osiguravanje potpune i pravodobne provedbe obaveza preuzetih u okviru partnerstva u području sigurnosti i obrane, kojim se osigurava dosljedan </w:t>
            </w:r>
            <w:r>
              <w:rPr>
                <w:b/>
                <w:i/>
              </w:rPr>
              <w:t>i sveobuhvatan</w:t>
            </w:r>
            <w:r>
              <w:t xml:space="preserve"> politički okvir za </w:t>
            </w:r>
            <w:r>
              <w:rPr>
                <w:b/>
                <w:i/>
              </w:rPr>
              <w:t>dijalog i suradnju u širokom spektru područja mira, sigurnosti i obrane, uključujući odabrane sigurnosne i obrambene inicijative EU-a</w:t>
            </w:r>
            <w:r>
              <w:t xml:space="preserve"> kojima se dopunjuje suradnja stranaka u NATO-u, kao što su instrument SAFE i plan ReArm Europe </w:t>
            </w:r>
            <w:r>
              <w:rPr>
                <w:b/>
                <w:i/>
              </w:rPr>
              <w:t>/ Obrambena pripravnost do 2030.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da </w:t>
            </w:r>
            <w:r>
              <w:rPr>
                <w:b/>
                <w:i/>
              </w:rPr>
              <w:t>se</w:t>
            </w:r>
            <w:r>
              <w:t xml:space="preserve"> nastave </w:t>
            </w:r>
            <w:r>
              <w:rPr>
                <w:b/>
                <w:i/>
              </w:rPr>
              <w:t>oslanjati na potporu</w:t>
            </w:r>
            <w:r>
              <w:t xml:space="preserve"> EU-a i Kanade </w:t>
            </w:r>
            <w:r>
              <w:rPr>
                <w:b/>
                <w:i/>
              </w:rPr>
              <w:t>suverenitetu</w:t>
            </w:r>
            <w:r>
              <w:t xml:space="preserve">, neovisnosti i </w:t>
            </w:r>
            <w:r>
              <w:rPr>
                <w:b/>
                <w:i/>
              </w:rPr>
              <w:t>teritorijalnoj</w:t>
            </w:r>
            <w:r>
              <w:t xml:space="preserve"> cjelovitosti Ukrajine, </w:t>
            </w:r>
            <w:r>
              <w:rPr>
                <w:b/>
                <w:i/>
              </w:rPr>
              <w:t>kao i na zajedničku predanost pružanju dugoročne političke, vojne, financijske i humanitarne pomoći, među ostalim zajedničkim radom na stvaranju snažnog međunarodnog saveza za upotrebu</w:t>
            </w:r>
            <w:r>
              <w:t xml:space="preserve"> imobilizirane ruske državne imovine;</w:t>
            </w:r>
          </w:p>
        </w:tc>
        <w:tc>
          <w:tcPr>
            <w:tcW w:w="4876" w:type="dxa"/>
            <w:tcBorders>
              <w:top w:val="nil"/>
              <w:left w:val="nil"/>
              <w:bottom w:val="nil"/>
              <w:right w:val="nil"/>
            </w:tcBorders>
          </w:tcPr>
          <w:p>
            <w:pPr>
              <w:pStyle w:val="Normal6a"/>
            </w:pPr>
            <w:r>
              <w:t>(g)</w:t>
            </w:r>
            <w:r>
              <w:tab/>
            </w:r>
            <w:r>
              <w:t xml:space="preserve">da nastave </w:t>
            </w:r>
            <w:r>
              <w:rPr>
                <w:b/>
                <w:i/>
              </w:rPr>
              <w:t>s koordiniranim diplomatskim pristupom između</w:t>
            </w:r>
            <w:r>
              <w:t xml:space="preserve"> EU-a i Kanade </w:t>
            </w:r>
            <w:r>
              <w:rPr>
                <w:b/>
                <w:i/>
              </w:rPr>
              <w:t>u podupiranju suvereniteta</w:t>
            </w:r>
            <w:r>
              <w:t xml:space="preserve">, neovisnosti i </w:t>
            </w:r>
            <w:r>
              <w:rPr>
                <w:b/>
                <w:i/>
              </w:rPr>
              <w:t>teritorijalne</w:t>
            </w:r>
            <w:r>
              <w:t xml:space="preserve"> cjelovitosti Ukrajine, </w:t>
            </w:r>
            <w:r>
              <w:rPr>
                <w:b/>
                <w:i/>
              </w:rPr>
              <w:t>uz istodobno suzdržavanje od upotrebe</w:t>
            </w:r>
            <w:r>
              <w:t xml:space="preserve"> imobilizirane ruske državne imovine</w:t>
            </w:r>
            <w:r>
              <w:rPr>
                <w:b/>
                <w:i/>
              </w:rPr>
              <w:t>, jer bi takvo djelovanje predstavljalo problematičan presedan na temelju međunarodnog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p>
        </w:tc>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r>
              <w:rPr>
                <w:b/>
                <w:i/>
              </w:rPr>
              <w:t>, u cilju povećanja komplementarnosti i troškovne učinkovitosti za obje strane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p>
        </w:tc>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 kao što su instrument SAFE i plan ReArm Europe</w:t>
            </w:r>
            <w:r>
              <w:rPr>
                <w:b/>
                <w:i/>
              </w:rPr>
              <w:t>, te da osim toga integriraju Kanadu, u što većoj mjeri, u EDTIB</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w:t>
            </w:r>
            <w:r>
              <w:rPr>
                <w:b/>
                <w:i/>
              </w:rPr>
              <w:t>, kao što su instrument SAFE i plan ReArm Europe</w:t>
            </w:r>
            <w:r>
              <w:t>;</w:t>
            </w:r>
          </w:p>
        </w:tc>
        <w:tc>
          <w:tcPr>
            <w:tcW w:w="4876" w:type="dxa"/>
            <w:tcBorders>
              <w:top w:val="nil"/>
              <w:left w:val="nil"/>
              <w:bottom w:val="nil"/>
              <w:right w:val="nil"/>
            </w:tcBorders>
          </w:tcPr>
          <w:p>
            <w:pPr>
              <w:pStyle w:val="Normal6a"/>
            </w:pPr>
            <w:r>
              <w:t>(f)</w:t>
            </w:r>
            <w:r>
              <w:tab/>
            </w:r>
            <w:r>
              <w:t>da utvrde plan za osiguravanje potpune i pravodobne provedbe obaveza preuzetih u okviru partnerstva u području sigurnosti i obrane, kojim se osigurava dosljedan politički okvir za zajedničke napore u tom području u okviru inicijativa kojima se dopunjuje suradnja stranaka u NATO-u;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da </w:t>
            </w:r>
            <w:r>
              <w:rPr>
                <w:b/>
                <w:i/>
              </w:rPr>
              <w:t>utvrde plan za osiguravanje potpune i pravodobne provedbe</w:t>
            </w:r>
            <w:r>
              <w:t xml:space="preserve"> obaveza preuzetih u okviru partnerstva u području sigurnosti i obrane, kojim se osigurava dosljedan politički okvir za zajedničke napore u tom području u okviru inicijativa kojima se dopunjuje suradnja stranaka u NATO-u, kao što su instrument SAFE i plan ReArm Europe;</w:t>
            </w:r>
          </w:p>
        </w:tc>
        <w:tc>
          <w:tcPr>
            <w:tcW w:w="4876" w:type="dxa"/>
            <w:tcBorders>
              <w:top w:val="nil"/>
              <w:left w:val="nil"/>
              <w:bottom w:val="nil"/>
              <w:right w:val="nil"/>
            </w:tcBorders>
          </w:tcPr>
          <w:p>
            <w:pPr>
              <w:pStyle w:val="Normal6a"/>
            </w:pPr>
            <w:r>
              <w:t>(f)</w:t>
            </w:r>
            <w:r>
              <w:tab/>
            </w:r>
            <w:r>
              <w:t xml:space="preserve">da </w:t>
            </w:r>
            <w:r>
              <w:rPr>
                <w:b/>
                <w:i/>
              </w:rPr>
              <w:t>osiguraju potpunu i pravodobnu provedbu</w:t>
            </w:r>
            <w:r>
              <w:t xml:space="preserve"> obaveza preuzetih u okviru partnerstva u području sigurnosti i obrane, kojim se osigurava dosljedan politički okvir za zajedničke napore u tom području u okviru inicijativa kojima se dopunjuje suradnja stranaka u NATO-u, kao što su instrument SAFE i plan ReArm Europe </w:t>
            </w:r>
            <w:r>
              <w:rPr>
                <w:b/>
                <w:i/>
              </w:rPr>
              <w:t>/ Pripravnost do 2030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da blisko surađuju s Kanadom kako bi se vratile logici zajedničke i kolektivne sigurnosti sadržane u Povelji UN-a i Helsinškom sporazumu radi oblikovanja buduće sigurnosne strukture za Europu i širu euroatlantsku regiju;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da se nastave oslanjati na potporu EU-a i Kanade suverenitetu, neovisnosti i teritorijalnoj cjelovitosti Ukrajine</w:t>
            </w:r>
            <w:r>
              <w:rPr>
                <w:b/>
                <w:i/>
              </w:rPr>
              <w:t>, kao i na zajedničku predanost pružanju dugoročne političke, vojne, financijske i humanitarne pomoći, među ostalim zajedničkim radom na stvaranju snažnog međunarodnog saveza za upotrebu imobilizirane ruske državne imovine</w:t>
            </w:r>
            <w:r>
              <w:t>;</w:t>
            </w:r>
          </w:p>
        </w:tc>
        <w:tc>
          <w:tcPr>
            <w:tcW w:w="4876" w:type="dxa"/>
            <w:tcBorders>
              <w:top w:val="nil"/>
              <w:left w:val="nil"/>
              <w:bottom w:val="nil"/>
              <w:right w:val="nil"/>
            </w:tcBorders>
          </w:tcPr>
          <w:p>
            <w:pPr>
              <w:pStyle w:val="Normal6a"/>
            </w:pPr>
            <w:r>
              <w:t>(g)</w:t>
            </w:r>
            <w:r>
              <w:tab/>
            </w:r>
            <w:r>
              <w:t>da se nastave oslanjati na potporu EU-a i Kanade suverenitetu, neovisnosti i teritorijalnoj cjelovitosti Ukrajine;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da se nastave oslanjati na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w:t>
            </w:r>
          </w:p>
        </w:tc>
        <w:tc>
          <w:tcPr>
            <w:tcW w:w="4876" w:type="dxa"/>
            <w:tcBorders>
              <w:top w:val="nil"/>
              <w:left w:val="nil"/>
              <w:bottom w:val="nil"/>
              <w:right w:val="nil"/>
            </w:tcBorders>
          </w:tcPr>
          <w:p>
            <w:pPr>
              <w:pStyle w:val="Normal6a"/>
            </w:pPr>
            <w:r>
              <w:t>(g)</w:t>
            </w:r>
            <w:r>
              <w:tab/>
            </w:r>
            <w:r>
              <w:t xml:space="preserve">da se nastave oslanjati na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 </w:t>
            </w:r>
            <w:r>
              <w:rPr>
                <w:b/>
                <w:i/>
              </w:rPr>
              <w:t>i zajedničkim radom na uspostavi sigurnosnih jamstava za Ukrajinu nakon rata te doprinosu miru i sigurnosti u Europi i svijetu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da se nastave oslanjati na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w:t>
            </w:r>
          </w:p>
        </w:tc>
        <w:tc>
          <w:tcPr>
            <w:tcW w:w="4876" w:type="dxa"/>
            <w:tcBorders>
              <w:top w:val="nil"/>
              <w:left w:val="nil"/>
              <w:bottom w:val="nil"/>
              <w:right w:val="nil"/>
            </w:tcBorders>
          </w:tcPr>
          <w:p>
            <w:pPr>
              <w:pStyle w:val="Normal6a"/>
            </w:pPr>
            <w:r>
              <w:t>(g)</w:t>
            </w:r>
            <w:r>
              <w:tab/>
            </w:r>
            <w:r>
              <w:t xml:space="preserve">da se nastave oslanjati na </w:t>
            </w:r>
            <w:r>
              <w:rPr>
                <w:b/>
                <w:i/>
              </w:rPr>
              <w:t>snažnu</w:t>
            </w:r>
            <w:r>
              <w:t xml:space="preserve"> potporu EU-a i Kanade suverenitetu, neovisnosti i teritorijalnoj cjelovitosti Ukrajine, kao i na zajedničku predanost </w:t>
            </w:r>
            <w:r>
              <w:rPr>
                <w:b/>
                <w:i/>
              </w:rPr>
              <w:t>i suradnju, posebice u okviru skupine G7 i Koalicije voljnih,</w:t>
            </w:r>
            <w:r>
              <w:t xml:space="preserve"> pružanju dugoročne političke, vojne, financijske i humanitarne pomoći, među ostalim zajedničkim radom na stvaranju snažnog međunarodnog saveza za upotrebu imobilizirane ruske državne imovine </w:t>
            </w:r>
            <w:r>
              <w:rPr>
                <w:b/>
                <w:i/>
              </w:rPr>
              <w:t>putem zajmova za ratnu odštetu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da </w:t>
            </w:r>
            <w:r>
              <w:rPr>
                <w:b/>
                <w:i/>
              </w:rPr>
              <w:t>se nastave oslanjati na</w:t>
            </w:r>
            <w:r>
              <w:t xml:space="preserve">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w:t>
            </w:r>
          </w:p>
        </w:tc>
        <w:tc>
          <w:tcPr>
            <w:tcW w:w="4876" w:type="dxa"/>
            <w:tcBorders>
              <w:top w:val="nil"/>
              <w:left w:val="nil"/>
              <w:bottom w:val="nil"/>
              <w:right w:val="nil"/>
            </w:tcBorders>
          </w:tcPr>
          <w:p>
            <w:pPr>
              <w:pStyle w:val="Normal6a"/>
            </w:pPr>
            <w:r>
              <w:t>(g)</w:t>
            </w:r>
            <w:r>
              <w:tab/>
            </w:r>
            <w:r>
              <w:t xml:space="preserve">da </w:t>
            </w:r>
            <w:r>
              <w:rPr>
                <w:b/>
                <w:i/>
              </w:rPr>
              <w:t>hitno ojačaju</w:t>
            </w:r>
            <w:r>
              <w:t xml:space="preserve">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 </w:t>
            </w:r>
            <w:r>
              <w:rPr>
                <w:b/>
                <w:i/>
              </w:rPr>
              <w:t>te da povećaju vojnu materijalnu pomoć</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da se nastave oslanjati na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w:t>
            </w:r>
          </w:p>
        </w:tc>
        <w:tc>
          <w:tcPr>
            <w:tcW w:w="4876" w:type="dxa"/>
            <w:tcBorders>
              <w:top w:val="nil"/>
              <w:left w:val="nil"/>
              <w:bottom w:val="nil"/>
              <w:right w:val="nil"/>
            </w:tcBorders>
          </w:tcPr>
          <w:p>
            <w:pPr>
              <w:pStyle w:val="Normal6a"/>
            </w:pPr>
            <w:r>
              <w:t>(g)</w:t>
            </w:r>
            <w:r>
              <w:tab/>
            </w:r>
            <w:r>
              <w:t>da se nastave oslanjati na potporu EU-a i Kanade suverenitetu, neovisnosti i teritorijalnoj cjelovitosti Ukrajine, kao i na zajedničku predanost pružanju dugoročne političke, vojne, financijske i humanitarne pomoći, među ostalim zajedničkim radom na stvaranju snažnog međunarodnog saveza za upotrebu imobilizirane ruske državne imovine</w:t>
            </w:r>
            <w:r>
              <w:rPr>
                <w:b/>
                <w:i/>
              </w:rPr>
              <w:t>, poštujući odgovarajući pravni postupak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da razviju potporu EU-a i Kanade suverenitetu, neovisnosti i teritorijalnoj cjelovitosti Palestine, kao i zajedničku predanost pružanju dugoročne pomoći, među ostalim zajedničkim radom na stvaranju snažnog međunarodnog saveza u korist samoodređenja palestinskog naroda i okončanja nezakonite izraelske okupacije;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da </w:t>
            </w:r>
            <w:r>
              <w:rPr>
                <w:b/>
                <w:i/>
              </w:rPr>
              <w:t>koordiniraju sankcije</w:t>
            </w:r>
            <w:r>
              <w:t xml:space="preserve"> protiv Rusije </w:t>
            </w:r>
            <w:r>
              <w:rPr>
                <w:b/>
                <w:i/>
              </w:rPr>
              <w:t>i njezinu diplomatsku izolaciju s Kanadom i drugim partnerima</w:t>
            </w:r>
            <w:r>
              <w:t>;</w:t>
            </w:r>
          </w:p>
        </w:tc>
        <w:tc>
          <w:tcPr>
            <w:tcW w:w="4876" w:type="dxa"/>
            <w:tcBorders>
              <w:top w:val="nil"/>
              <w:left w:val="nil"/>
              <w:bottom w:val="nil"/>
              <w:right w:val="nil"/>
            </w:tcBorders>
          </w:tcPr>
          <w:p>
            <w:pPr>
              <w:pStyle w:val="Normal6a"/>
            </w:pPr>
            <w:r>
              <w:t>(h)</w:t>
            </w:r>
            <w:r>
              <w:tab/>
            </w:r>
            <w:r>
              <w:t xml:space="preserve">da </w:t>
            </w:r>
            <w:r>
              <w:rPr>
                <w:b/>
                <w:i/>
              </w:rPr>
              <w:t>ponovno procijene učinkovitost sankcija</w:t>
            </w:r>
            <w:r>
              <w:t xml:space="preserve"> protiv Rusije</w:t>
            </w:r>
            <w:r>
              <w:rPr>
                <w:b/>
                <w:i/>
              </w:rPr>
              <w:t>, uz osiguranje da sve buduće mjere služe interesima građana EU-a i istinski doprinose miru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da koordiniraju sankcije protiv Rusije i njezinu diplomatsku izolaciju s Kanadom i drugim partnerima;</w:t>
            </w:r>
          </w:p>
        </w:tc>
        <w:tc>
          <w:tcPr>
            <w:tcW w:w="4876" w:type="dxa"/>
            <w:tcBorders>
              <w:top w:val="nil"/>
              <w:left w:val="nil"/>
              <w:bottom w:val="nil"/>
              <w:right w:val="nil"/>
            </w:tcBorders>
          </w:tcPr>
          <w:p>
            <w:pPr>
              <w:pStyle w:val="Normal6a"/>
            </w:pPr>
            <w:r>
              <w:t>(h)</w:t>
            </w:r>
            <w:r>
              <w:tab/>
            </w:r>
            <w:r>
              <w:t xml:space="preserve">da koordiniraju sankcije protiv Rusije i njezinu diplomatsku izolaciju s Kanadom i drugim partnerima; </w:t>
            </w:r>
            <w:r>
              <w:rPr>
                <w:b/>
                <w:i/>
              </w:rPr>
              <w:t>da cijene usklađivanje između EU-a i Kanade u pogledu osnivanja posebnog suda za istraživanje ruskih ratnih zločina u Ukrajini i suradnju u podupiranju potrage za preuzimanjem odgovornosti;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da koordiniraju sankcije protiv Rusije i njezinu diplomatsku izolaciju s Kanadom i drugim partnerima;</w:t>
            </w:r>
          </w:p>
        </w:tc>
        <w:tc>
          <w:tcPr>
            <w:tcW w:w="4876" w:type="dxa"/>
            <w:tcBorders>
              <w:top w:val="nil"/>
              <w:left w:val="nil"/>
              <w:bottom w:val="nil"/>
              <w:right w:val="nil"/>
            </w:tcBorders>
          </w:tcPr>
          <w:p>
            <w:pPr>
              <w:pStyle w:val="Normal6a"/>
            </w:pPr>
            <w:r>
              <w:t>(h)</w:t>
            </w:r>
            <w:r>
              <w:tab/>
            </w:r>
            <w:r>
              <w:t xml:space="preserve">da koordiniraju sankcije protiv Rusije i njezinu diplomatsku izolaciju s Kanadom i drugim partnerima </w:t>
            </w:r>
            <w:r>
              <w:rPr>
                <w:b/>
                <w:i/>
              </w:rPr>
              <w:t>te zajedno istraže daljnje mogućnosti za vršenje pritiska na Rusiju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da koordiniraju sankcije protiv Rusije i njezinu diplomatsku izolaciju s Kanadom i drugim partnerima;</w:t>
            </w:r>
          </w:p>
        </w:tc>
        <w:tc>
          <w:tcPr>
            <w:tcW w:w="4876" w:type="dxa"/>
            <w:tcBorders>
              <w:top w:val="nil"/>
              <w:left w:val="nil"/>
              <w:bottom w:val="nil"/>
              <w:right w:val="nil"/>
            </w:tcBorders>
          </w:tcPr>
          <w:p>
            <w:pPr>
              <w:pStyle w:val="Normal6a"/>
            </w:pPr>
            <w:r>
              <w:t>(h)</w:t>
            </w:r>
            <w:r>
              <w:tab/>
            </w:r>
            <w:r>
              <w:t xml:space="preserve">da koordiniraju sankcije protiv Rusije i njezinu diplomatsku izolaciju s Kanadom i drugim partnerima </w:t>
            </w:r>
            <w:r>
              <w:rPr>
                <w:b/>
                <w:i/>
              </w:rPr>
              <w:t>te da potiču usklađenost između svojih režima sankcija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da </w:t>
            </w:r>
            <w:r>
              <w:rPr>
                <w:b/>
                <w:i/>
              </w:rPr>
              <w:t>koordiniraju sankcije protiv Rusije i njezinu diplomatsku izolaciju</w:t>
            </w:r>
            <w:r>
              <w:t xml:space="preserve"> s Kanadom i drugim partnerima;</w:t>
            </w:r>
          </w:p>
        </w:tc>
        <w:tc>
          <w:tcPr>
            <w:tcW w:w="4876" w:type="dxa"/>
            <w:tcBorders>
              <w:top w:val="nil"/>
              <w:left w:val="nil"/>
              <w:bottom w:val="nil"/>
              <w:right w:val="nil"/>
            </w:tcBorders>
          </w:tcPr>
          <w:p>
            <w:pPr>
              <w:pStyle w:val="Normal6a"/>
            </w:pPr>
            <w:r>
              <w:t>(h)</w:t>
            </w:r>
            <w:r>
              <w:tab/>
            </w:r>
            <w:r>
              <w:t xml:space="preserve">da s Kanadom i drugim partnerima </w:t>
            </w:r>
            <w:r>
              <w:rPr>
                <w:b/>
                <w:i/>
              </w:rPr>
              <w:t>koordiniraju sankcije i učinkovitiju diplomatsku, političku i ekonomsku izolaciju Rusije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da koordiniraju sankcije protiv Rusije i </w:t>
            </w:r>
            <w:r>
              <w:rPr>
                <w:b/>
                <w:i/>
              </w:rPr>
              <w:t>njezinu</w:t>
            </w:r>
            <w:r>
              <w:t xml:space="preserve"> diplomatsku izolaciju s Kanadom i drugim partnerima;</w:t>
            </w:r>
          </w:p>
        </w:tc>
        <w:tc>
          <w:tcPr>
            <w:tcW w:w="4876" w:type="dxa"/>
            <w:tcBorders>
              <w:top w:val="nil"/>
              <w:left w:val="nil"/>
              <w:bottom w:val="nil"/>
              <w:right w:val="nil"/>
            </w:tcBorders>
          </w:tcPr>
          <w:p>
            <w:pPr>
              <w:pStyle w:val="Normal6a"/>
            </w:pPr>
            <w:r>
              <w:t>(h)</w:t>
            </w:r>
            <w:r>
              <w:tab/>
            </w:r>
            <w:r>
              <w:t xml:space="preserve">da koordiniraju sankcije protiv Rusije i diplomatsku izolaciju </w:t>
            </w:r>
            <w:r>
              <w:rPr>
                <w:b/>
                <w:i/>
              </w:rPr>
              <w:t>režima Vladimira Putina u Rusiji</w:t>
            </w:r>
            <w:r>
              <w:t xml:space="preserve"> s Kanadom i drugim partnerima;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da dodatno unaprijede koordinaciju i suradnju u ključnim područjima kao što su upravljanje krizama, očuvanje mira, vojna mobilnost, kibernetička sigurnost, borba protiv terorizma, svemirska sigurnost, umjetna inteligencija i tehnologije u nastajanju, energetska sigurnost te da utvrde područja za daljnje jačanje gospodarske i vojne suradnje EU-a i Kanade;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da se nadovežu na dugotrajnu suradnju u području sigurnosti i obrane, među ostalim u misijama i operacijama ZSOP-a i projektima stalne strukturirane suradnje (PESCO), te da dodatno prošire njezino područje primjene;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da surađuju s Kanadom i svim uključenim zemljama kako bi se smanjile napetosti i izbjegla militarizacija u arktičkoj regiji, usredotočujući se umjesto toga na očuvanje njezina ekološkog značaja;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da preispitaju i ojačaju suradnju s Kanadom u borbi protiv kibernetičkih prijetnji i hibridnog ratovanja te suzbijanju destabilizirajućih aktivnosti i dezinformacija;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da preispitaju i ojačaju suradnju s Kanadom u borbi protiv kibernetičkih prijetnji i hibridnog ratovanja te suzbijanju destabilizirajućih aktivnosti i dezinformacija;</w:t>
            </w:r>
          </w:p>
        </w:tc>
        <w:tc>
          <w:tcPr>
            <w:tcW w:w="4876" w:type="dxa"/>
            <w:tcBorders>
              <w:top w:val="nil"/>
              <w:left w:val="nil"/>
              <w:bottom w:val="nil"/>
              <w:right w:val="nil"/>
            </w:tcBorders>
          </w:tcPr>
          <w:p>
            <w:pPr>
              <w:pStyle w:val="Normal6a"/>
            </w:pPr>
            <w:r>
              <w:t>(i)</w:t>
            </w:r>
            <w:r>
              <w:tab/>
            </w:r>
            <w:r>
              <w:t xml:space="preserve">da preispitaju i ojačaju suradnju s Kanadom u borbi protiv kibernetičkih prijetnji i hibridnog ratovanja te suzbijanju destabilizirajućih aktivnosti i dezinformacija; </w:t>
            </w:r>
            <w:r>
              <w:rPr>
                <w:b/>
                <w:i/>
              </w:rPr>
              <w:t>da se u svjetlu toga usredotoče na ulogu svemira, umjetne inteligencije i novih tehnologija kako bi se, među ostalim, suzbilo hibridno i informacijsko ratovanje;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da preispitaju i ojačaju suradnju s Kanadom u borbi protiv kibernetičkih prijetnji i hibridnog ratovanja te suzbijanju destabilizirajućih aktivnosti i dezinformacija;</w:t>
            </w:r>
          </w:p>
        </w:tc>
        <w:tc>
          <w:tcPr>
            <w:tcW w:w="4876" w:type="dxa"/>
            <w:tcBorders>
              <w:top w:val="nil"/>
              <w:left w:val="nil"/>
              <w:bottom w:val="nil"/>
              <w:right w:val="nil"/>
            </w:tcBorders>
          </w:tcPr>
          <w:p>
            <w:pPr>
              <w:pStyle w:val="Normal6a"/>
            </w:pPr>
            <w:r>
              <w:t>(i)</w:t>
            </w:r>
            <w:r>
              <w:tab/>
            </w:r>
            <w:r>
              <w:t>da preispitaju i ojačaju suradnju s Kanadom u borbi protiv kibernetičkih prijetnji i hibridnog ratovanja te suzbijanju destabilizirajućih aktivnosti i dezinformacija</w:t>
            </w:r>
            <w:r>
              <w:rPr>
                <w:b/>
                <w:i/>
              </w:rPr>
              <w:t>, posebno uplitanja u izbore, među ostalim u zemljama kandidatkinjama za članstvo u EU-u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da preispitaju i ojačaju suradnju s Kanadom u borbi protiv kibernetičkih prijetnji i hibridnog ratovanja te suzbijanju destabilizirajućih aktivnosti </w:t>
            </w:r>
            <w:r>
              <w:rPr>
                <w:b/>
                <w:i/>
              </w:rPr>
              <w:t>i</w:t>
            </w:r>
            <w:r>
              <w:t xml:space="preserve"> dezinformacija;</w:t>
            </w:r>
          </w:p>
        </w:tc>
        <w:tc>
          <w:tcPr>
            <w:tcW w:w="4876" w:type="dxa"/>
            <w:tcBorders>
              <w:top w:val="nil"/>
              <w:left w:val="nil"/>
              <w:bottom w:val="nil"/>
              <w:right w:val="nil"/>
            </w:tcBorders>
          </w:tcPr>
          <w:p>
            <w:pPr>
              <w:pStyle w:val="Normal6a"/>
            </w:pPr>
            <w:r>
              <w:t>(i)</w:t>
            </w:r>
            <w:r>
              <w:tab/>
            </w:r>
            <w:r>
              <w:t>da preispitaju i ojačaju suradnju s Kanadom u borbi protiv kibernetičkih prijetnji i hibridnog ratovanja te suzbijanju destabilizirajućih aktivnosti</w:t>
            </w:r>
            <w:r>
              <w:rPr>
                <w:b/>
                <w:i/>
              </w:rPr>
              <w:t>, a posebno</w:t>
            </w:r>
            <w:r>
              <w:t xml:space="preserve"> dezinformacija </w:t>
            </w:r>
            <w:r>
              <w:rPr>
                <w:b/>
                <w:i/>
              </w:rPr>
              <w:t>koje šire neprijateljske države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da prepoznaju potencijal Kanade u poticanju razvoja kapaciteta za bespilotne letjelice i borbu protiv njih u vidu zajedničkog osposobljavanja, istraživanja i razvoja, sirovina i ključnih softvera te da potiču napredak civilno-vojne suradnje s Kanadom u tom području;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da naglašavaju važnost postizanja kapaciteta kvantnog računalstva i prepoznaju potencijal za pojačanu suradnju EU-a i Kanade u sektoru tehnologija u nastajanju kako bi se osigurao zajednički razvoj ključnih sposobnosti;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da prepoznaju novu prijetnju koju predstavlja hiperratovanje (engl. hyperwar) i posebne zahtjeve koji će se zbog toga nametnuti obrambenoj strukturi te potrebu za visokotehnološkom industrijskom bazom, za koju je odnos EU-a i Kanade prikladan okvir;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id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da potiču suradnju EU-a i Kanade u regulaciji uvođenja 5G tehnologije u skladu sa strogim sigurnosnim standardima kojima se osiguravaju nacionalne i međunarodne informacijske mreže koje mogu šifrirati komunikacije;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da poboljšaju koordinaciju između EU-a i Kanade kako bi odgovorili na višedimenzionalne izazove koje predstavljaju rast i agresivno ponašanje Kine;</w:t>
            </w:r>
          </w:p>
        </w:tc>
        <w:tc>
          <w:tcPr>
            <w:tcW w:w="4876" w:type="dxa"/>
            <w:tcBorders>
              <w:top w:val="nil"/>
              <w:left w:val="nil"/>
              <w:bottom w:val="nil"/>
              <w:right w:val="nil"/>
            </w:tcBorders>
          </w:tcPr>
          <w:p>
            <w:pPr>
              <w:pStyle w:val="Normal6a"/>
            </w:pPr>
            <w:r>
              <w:t>(j)</w:t>
            </w:r>
            <w:r>
              <w:tab/>
            </w:r>
            <w:r>
              <w:t>da poboljšaju koordinaciju između EU-a i Kanade kako bi odgovorili na višedimenzionalne izazove koje predstavljaju rast i agresivno ponašanje Kine</w:t>
            </w:r>
            <w:r>
              <w:rPr>
                <w:b/>
                <w:i/>
              </w:rPr>
              <w:t>, uključujući na zapadnom Balkanu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da poboljšaju koordinaciju između EU-a i Kanade kako bi odgovorili na višedimenzionalne izazove koje predstavljaju rast i </w:t>
            </w:r>
            <w:r>
              <w:rPr>
                <w:b/>
                <w:i/>
              </w:rPr>
              <w:t>agresivno ponašanje Kine</w:t>
            </w:r>
            <w:r>
              <w:t>;</w:t>
            </w:r>
          </w:p>
        </w:tc>
        <w:tc>
          <w:tcPr>
            <w:tcW w:w="4876" w:type="dxa"/>
            <w:tcBorders>
              <w:top w:val="nil"/>
              <w:left w:val="nil"/>
              <w:bottom w:val="nil"/>
              <w:right w:val="nil"/>
            </w:tcBorders>
          </w:tcPr>
          <w:p>
            <w:pPr>
              <w:pStyle w:val="Normal6a"/>
            </w:pPr>
            <w:r>
              <w:t>(j)</w:t>
            </w:r>
            <w:r>
              <w:tab/>
            </w:r>
            <w:r>
              <w:t xml:space="preserve">da poboljšaju koordinaciju između EU-a i Kanade kako bi odgovorili na višedimenzionalne izazove koje predstavljaju rast i </w:t>
            </w:r>
            <w:r>
              <w:rPr>
                <w:b/>
                <w:i/>
              </w:rPr>
              <w:t>ambicije Kine kad je riječ o moći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da poboljšaju </w:t>
            </w:r>
            <w:r>
              <w:rPr>
                <w:b/>
                <w:i/>
              </w:rPr>
              <w:t>koordinaciju između</w:t>
            </w:r>
            <w:r>
              <w:t xml:space="preserve"> EU-a i Kanade kako bi odgovorili na višedimenzionalne izazove koje predstavljaju rast i agresivno ponašanje Kine;</w:t>
            </w:r>
          </w:p>
        </w:tc>
        <w:tc>
          <w:tcPr>
            <w:tcW w:w="4876" w:type="dxa"/>
            <w:tcBorders>
              <w:top w:val="nil"/>
              <w:left w:val="nil"/>
              <w:bottom w:val="nil"/>
              <w:right w:val="nil"/>
            </w:tcBorders>
          </w:tcPr>
          <w:p>
            <w:pPr>
              <w:pStyle w:val="Normal6a"/>
            </w:pPr>
            <w:r>
              <w:t>(j)</w:t>
            </w:r>
            <w:r>
              <w:tab/>
            </w:r>
            <w:r>
              <w:t xml:space="preserve">da poboljšaju </w:t>
            </w:r>
            <w:r>
              <w:rPr>
                <w:b/>
                <w:i/>
              </w:rPr>
              <w:t>suradnju</w:t>
            </w:r>
            <w:r>
              <w:t xml:space="preserve"> EU-a i Kanade kako bi odgovorili na višedimenzionalne izazove koje predstavljaju rast i agresivno ponašanje Kine;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da potaknu kanadske vlasti da zajedno s Europskom unijom nastave i povećaju svoje sudjelovanje u humanitarnim i prodemokratskim inicijativama, posebno u slučaju Bjelarusa, među ostalim povećanom potporom instrumentima kojima se omogućuje ciljana, fleksibilna i učinkovita pomoć diljem svijeta;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da potiču države članice da uspostave regulatorno okruženje i postupke javne nabave kojima se postojeći europski ekosustav koordinira i integrira sa strateškim partnerima kao što je Kanada, gdje pružaju potrebne ključne kapacitete i sirovine;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da ojačaju koordinaciju između EU-a i Kanade kako bi se odgovorilo na višedimenzionalne izazove agresivne vanjske politike SAD-a i nepoštovanja međunarodnog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u ime Kluba zastupnika The Left-a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jb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da ojačaju diplomatske i trgovinske odnose EU-a i Kanade s BRICS-om i partnerskim zemljama, posebno Kinom i Indijom, kako bi se diversifikacijom trgovinskih odnosa smanjila zajednička ovisnost o SAD-u;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da </w:t>
            </w:r>
            <w:r>
              <w:rPr>
                <w:b/>
                <w:i/>
              </w:rPr>
              <w:t>surađuju s Kanadom na pravednom i trajnom miru na Bliskom istoku putem dogovorenog dvodržavnog rješenja;</w:t>
            </w:r>
            <w:r>
              <w:t xml:space="preserve"> </w:t>
            </w:r>
            <w:r>
              <w:rPr>
                <w:b/>
                <w:i/>
              </w:rPr>
              <w:t>da pojačaju suradnju kako bi se osiguralo pružanje humanitarne pomoći civilima u Gazi i podupru sve diplomatske i operativne napore za jačanje sveobuhvatne regionalne stabilnosti</w:t>
            </w:r>
            <w:r>
              <w:t>;</w:t>
            </w:r>
          </w:p>
        </w:tc>
        <w:tc>
          <w:tcPr>
            <w:tcW w:w="4876" w:type="dxa"/>
            <w:tcBorders>
              <w:top w:val="nil"/>
              <w:left w:val="nil"/>
              <w:bottom w:val="nil"/>
              <w:right w:val="nil"/>
            </w:tcBorders>
          </w:tcPr>
          <w:p>
            <w:pPr>
              <w:pStyle w:val="Normal6a"/>
            </w:pPr>
            <w:r>
              <w:t>(k)</w:t>
            </w:r>
            <w:r>
              <w:tab/>
            </w:r>
            <w:r>
              <w:t xml:space="preserve">da </w:t>
            </w:r>
            <w:r>
              <w:rPr>
                <w:b/>
                <w:i/>
              </w:rPr>
              <w:t>priznaju da ni EU ni Kanada nisu imali odlučujuću ulogu u bliskoistočnom mirovnom procesu te da je Europska komisija još jednom pokazala nedosljednost i nedostatak međunarodne političke važnosti;</w:t>
            </w:r>
            <w:r>
              <w:t xml:space="preserve"> </w:t>
            </w:r>
            <w:r>
              <w:rPr>
                <w:b/>
                <w:i/>
              </w:rPr>
              <w:t>naglašavaju da obveze EU-a u pogledu obnove nakon sukoba nisu u njegovim temeljnim nadležnostima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da surađuju s Kanadom na pravednom i trajnom miru na Bliskom istoku </w:t>
            </w:r>
            <w:r>
              <w:rPr>
                <w:b/>
                <w:i/>
              </w:rPr>
              <w:t>putem dogovorenog dvodržavnog rješenja</w:t>
            </w:r>
            <w:r>
              <w:t xml:space="preserve">; da pojačaju suradnju kako bi se osiguralo pružanje humanitarne pomoći civilima u Gazi i </w:t>
            </w:r>
            <w:r>
              <w:rPr>
                <w:b/>
                <w:i/>
              </w:rPr>
              <w:t>podupru</w:t>
            </w:r>
            <w:r>
              <w:t xml:space="preserve"> sve diplomatske i operativne </w:t>
            </w:r>
            <w:r>
              <w:rPr>
                <w:b/>
                <w:i/>
              </w:rPr>
              <w:t>napore</w:t>
            </w:r>
            <w:r>
              <w:t xml:space="preserve"> za jačanje sveobuhvatne regionalne stabilnosti;</w:t>
            </w:r>
          </w:p>
        </w:tc>
        <w:tc>
          <w:tcPr>
            <w:tcW w:w="4876" w:type="dxa"/>
            <w:tcBorders>
              <w:top w:val="nil"/>
              <w:left w:val="nil"/>
              <w:bottom w:val="nil"/>
              <w:right w:val="nil"/>
            </w:tcBorders>
          </w:tcPr>
          <w:p>
            <w:pPr>
              <w:pStyle w:val="Normal6a"/>
            </w:pPr>
            <w:r>
              <w:t>(k)</w:t>
            </w:r>
            <w:r>
              <w:tab/>
            </w:r>
            <w:r>
              <w:t xml:space="preserve">da surađuju s Kanadom na pravednom i trajnom miru na Bliskom istoku </w:t>
            </w:r>
            <w:r>
              <w:rPr>
                <w:b/>
                <w:i/>
              </w:rPr>
              <w:t>uključivanjem mirovnog plana koji se sastoji od 21 točke zaključenog u listopadu 2025.</w:t>
            </w:r>
            <w:r>
              <w:t xml:space="preserve">; da pojačaju suradnju </w:t>
            </w:r>
            <w:r>
              <w:rPr>
                <w:b/>
                <w:i/>
              </w:rPr>
              <w:t>s organizacijama za potporu koje dobro funkcioniraju</w:t>
            </w:r>
            <w:r>
              <w:t xml:space="preserve"> kako bi se osiguralo pružanje humanitarne pomoći civilima u Gazi i </w:t>
            </w:r>
            <w:r>
              <w:rPr>
                <w:b/>
                <w:i/>
              </w:rPr>
              <w:t>kako Hamas ne bi ni u kojem slučaju imao koristi od toga, kao što je to bio slučaj u prošlosti putem primjerice UNRWA-e, te podupiru</w:t>
            </w:r>
            <w:r>
              <w:t xml:space="preserve"> sve diplomatske i operativne za jačanje sveobuhvatne regionalne stabilnosti</w:t>
            </w:r>
            <w:r>
              <w:rPr>
                <w:b/>
                <w:i/>
              </w:rPr>
              <w:t>, uz osiguravanje da Hamas u budućnosti neće imati nikakvu ulogu u Gazi te suprotstavljanje zlonamjernim državama kao što je Iran, koje ugrožavaju sigurnost i mir u regiji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da surađuju s Kanadom na pravednom i trajnom miru na Bliskom istoku putem dogovorenog dvodržavnog rješenja; da pojačaju suradnju kako bi se osiguralo pružanje humanitarne pomoći civilima u Gazi i podupru sve diplomatske i operativne napore za jačanje sveobuhvatne regionalne stabilnosti;</w:t>
            </w:r>
          </w:p>
        </w:tc>
        <w:tc>
          <w:tcPr>
            <w:tcW w:w="4876" w:type="dxa"/>
            <w:tcBorders>
              <w:top w:val="nil"/>
              <w:left w:val="nil"/>
              <w:bottom w:val="nil"/>
              <w:right w:val="nil"/>
            </w:tcBorders>
          </w:tcPr>
          <w:p>
            <w:pPr>
              <w:pStyle w:val="Normal6a"/>
            </w:pPr>
            <w:r>
              <w:t>(k)</w:t>
            </w:r>
            <w:r>
              <w:tab/>
            </w:r>
            <w:r>
              <w:t xml:space="preserve">da surađuju s Kanadom na pravednom i trajnom miru na Bliskom istoku putem dogovorenog dvodržavnog rješenja; da pojačaju suradnju kako bi se osiguralo pružanje humanitarne pomoći civilima u Gazi i podupru sve diplomatske i operativne napore za jačanje sveobuhvatne regionalne stabilnosti; </w:t>
            </w:r>
            <w:r>
              <w:rPr>
                <w:b/>
                <w:i/>
              </w:rPr>
              <w:t>da udruže napore kako bi poduprle mirnu političku tranziciju i zaštitu svih manjina u Siriji;</w:t>
            </w:r>
            <w:r>
              <w:t xml:space="preserve"> </w:t>
            </w:r>
            <w:r>
              <w:rPr>
                <w:b/>
                <w:i/>
              </w:rPr>
              <w:t>da surađuju s Kanadom kako bi se pomoglo Jordanu i Libanonu koji su snažno pogođeni nestabilnošću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da surađuju s Kanadom na pravednom i trajnom miru na Bliskom istoku putem dogovorenog dvodržavnog rješenja; </w:t>
            </w:r>
            <w:r>
              <w:rPr>
                <w:b/>
                <w:i/>
              </w:rPr>
              <w:t>da pojačaju suradnju kako bi se osiguralo pružanje humanitarne pomoći civilima u Gazi i podupru</w:t>
            </w:r>
            <w:r>
              <w:t xml:space="preserve"> sve diplomatske i operativne napore </w:t>
            </w:r>
            <w:r>
              <w:rPr>
                <w:b/>
                <w:i/>
              </w:rPr>
              <w:t>za</w:t>
            </w:r>
            <w:r>
              <w:t xml:space="preserve"> jačanje sveobuhvatne regionalne stabilnosti;</w:t>
            </w:r>
          </w:p>
        </w:tc>
        <w:tc>
          <w:tcPr>
            <w:tcW w:w="4876" w:type="dxa"/>
            <w:tcBorders>
              <w:top w:val="nil"/>
              <w:left w:val="nil"/>
              <w:bottom w:val="nil"/>
              <w:right w:val="nil"/>
            </w:tcBorders>
          </w:tcPr>
          <w:p>
            <w:pPr>
              <w:pStyle w:val="Normal6a"/>
            </w:pPr>
            <w:r>
              <w:t>(k)</w:t>
            </w:r>
            <w:r>
              <w:tab/>
            </w:r>
            <w:r>
              <w:t xml:space="preserve">da surađuju s Kanadom na pravednom i trajnom miru na Bliskom istoku putem dogovorenog dvodržavnog rješenja; </w:t>
            </w:r>
            <w:r>
              <w:rPr>
                <w:b/>
                <w:i/>
              </w:rPr>
              <w:t>te podupirati</w:t>
            </w:r>
            <w:r>
              <w:t xml:space="preserve"> sve diplomatske i operativne napore </w:t>
            </w:r>
            <w:r>
              <w:rPr>
                <w:b/>
                <w:i/>
              </w:rPr>
              <w:t>usmjerene na</w:t>
            </w:r>
            <w:r>
              <w:t xml:space="preserve"> jačanje sveobuhvatne regionalne stabilnosti;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da surađuju s Kanadom na pravednom i trajnom miru na Bliskom istoku putem dogovorenog dvodržavnog rješenja; da pojačaju suradnju kako bi se osiguralo pružanje humanitarne pomoći civilima u Gazi i podupru sve diplomatske i operativne napore za jačanje sveobuhvatne regionalne stabilnosti;</w:t>
            </w:r>
          </w:p>
        </w:tc>
        <w:tc>
          <w:tcPr>
            <w:tcW w:w="4876" w:type="dxa"/>
            <w:tcBorders>
              <w:top w:val="nil"/>
              <w:left w:val="nil"/>
              <w:bottom w:val="nil"/>
              <w:right w:val="nil"/>
            </w:tcBorders>
          </w:tcPr>
          <w:p>
            <w:pPr>
              <w:pStyle w:val="Normal6a"/>
            </w:pPr>
            <w:r>
              <w:t>(k)</w:t>
            </w:r>
            <w:r>
              <w:tab/>
            </w:r>
            <w:r>
              <w:t xml:space="preserve">da surađuju s Kanadom na </w:t>
            </w:r>
            <w:r>
              <w:rPr>
                <w:b/>
                <w:i/>
              </w:rPr>
              <w:t>iskorjenjivanju terorizma i</w:t>
            </w:r>
            <w:r>
              <w:t xml:space="preserve"> pravednom i trajnom miru na Bliskom istoku putem dogovorenog dvodržavnog rješenja; da pojačaju suradnju kako bi se osiguralo pružanje humanitarne pomoći civilima u Gazi i podupru sve diplomatske i operativne napore za jačanje sveobuhvatne regionalne stabilnosti;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Marie-Agnes Strack-Zimmermann, Marjan Šarec,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naglase zajedničku odlučnost EU-a i Kanade da unaprijede provedbu Programa o ženama, miru i sigurnosti pojačanom bilateralnom suradnjom i promicanjem tih ciljeva u okviru multilateralnih foruma te da potaknu obje strane da osmisle konkretne zajedničke inicijative, napore za izgradnju kapaciteta i diplomatske mjere usmjerene na integraciju rodnih perspektiva u mirovne i sigurnosne politike, u skladu sa strateškim pristupom EU-a ženama, miru i sigurnosti i kanadskim nacionalnim akcijskim planom za žene, mir i sigurnost;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nastave nadograđivati koordiniranu potporu EU-a i Kanade suverenosti, teritorijalnoj cjelovitosti i otpornosti Republike Moldove s obzirom na ciljane hibridne aktivnosti Ruske Federacije, kao i posljedice ruske agresije na Ukrajinu;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nastave podupirati zeleni savez EU-a i Kanade kao zajedničku predanost ambicioznom djelovanju u području okoliša i klime na globalnoj razini, uključujući potporu potpunoj provedbi ciljeva Globalnog okvira za bioraznolikost iz Kunminga i Montreala i Pariškog sporazuma;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prepoznaju ulogu Kanade u NATO-ovoj inicijativi za izgradnju kapaciteta na Bliskom istoku putem misija osposobljavanja lokalnih sigurnosnih snaga i potpore koju EU i države članice mogu pružati preuzimanjem civilnih odgovornosti u određenim inicijativama za izgradnju kapaciteta;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bliskije surađuju s Kanadom u očuvanju stabilnosti u indo-pacifičkoj regiji, nadovezujući se na dugotrajnu prisutnost Kanade u toj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koordiniraju diplomatsku izolaciju Izraela i sankcije protiv Izraela s Kanadom;</w:t>
            </w:r>
            <w:r>
              <w:t xml:space="preserve"> </w:t>
            </w:r>
            <w:r>
              <w:rPr>
                <w:b/>
                <w:i/>
              </w:rPr>
              <w:t>potiču Kanadu da se pridruži Haškoj skupini;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da pohvale Kanadu za sudjelovanje u globalnoj koaliciji za borbu protiv Daiša zajedno s mnogim državama članicama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la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da prepoznaju vrijedan doprinos Kanade projektima u okviru PESCO-a pod nazivom „Vojna mobilnost” i „NetLogHubs” te apeliraju na EU da dodatno promiče udruživanje i dijeljenje s Kanadom na način koji uključuje NATO-ove inicijative koje se odnose na pametnu obranu, povezane snage i obveze ulaganja u obranu, koji se mogu ojačati akcijskim planom za kapacitete EU-a i Kanade kojim se nastoje bolje stvoriti sinergije, interoperabilnost i učinkovitost u odnosu između dobavljača i krajnjih korisnika;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la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da priznaju predanosti Kanade europskoj sigurnosti, kao što je vidljivo iz trenutačne kanadske operacije „Operation Reassurance” u Latviji, kojom se omogućuje ključna sigurnost EU-u u cjelini;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lb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da preporuče sklapanje bilateralnog sporazuma s Kanadom za sigurnu koprodukciju i prijenos tehnologije kapaciteta CUAS-a primjenom modela zajedničkog razvoja i sufinanciranja kojima se omogućuje pristup dokazanim sustavima;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da dodatno ojača suradnju s Kanadom u obrani </w:t>
            </w:r>
            <w:r>
              <w:rPr>
                <w:b/>
                <w:i/>
              </w:rPr>
              <w:t>multilateralizma</w:t>
            </w:r>
            <w:r>
              <w:t xml:space="preserve"> kako bi zajednički odgovorili na nove i opasne geopolitičke okolnosti koje utječu na naše zajedničke vrijednosti, interese i sigurnost;</w:t>
            </w:r>
          </w:p>
        </w:tc>
        <w:tc>
          <w:tcPr>
            <w:tcW w:w="4876" w:type="dxa"/>
            <w:tcBorders>
              <w:top w:val="nil"/>
              <w:left w:val="nil"/>
              <w:bottom w:val="nil"/>
              <w:right w:val="nil"/>
            </w:tcBorders>
          </w:tcPr>
          <w:p>
            <w:pPr>
              <w:pStyle w:val="Normal6a"/>
            </w:pPr>
            <w:r>
              <w:t>(m)</w:t>
            </w:r>
            <w:r>
              <w:tab/>
            </w:r>
            <w:r>
              <w:t xml:space="preserve">da dodatno ojača suradnju s Kanadom u obrani </w:t>
            </w:r>
            <w:r>
              <w:rPr>
                <w:b/>
                <w:i/>
              </w:rPr>
              <w:t>suradnje</w:t>
            </w:r>
            <w:r>
              <w:t xml:space="preserve"> kako bi zajednički odgovorili na nove i opasne geopolitičke okolnosti koje utječu na naše zajedničke vrijednosti, interese i sigurnost;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ma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da potiču države članice i EDF da aktivno surađuju s Kanadom radi poticanja transatlantskog tehnološkog i industrijskog razvoja kako bi se uklonile prepreke i protekcionizam te osigurala sinergija postupaka izdavanja dozvola za izvoz odnosno politika prijenosa tehnologija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da ojačaju suradnju EU-a i Kanade na multilateralnim forumima koordinacijom stajališta, usklađivanjem inicijativa i suradnjom na obrani zajedničkih vrijednosti;</w:t>
            </w:r>
          </w:p>
        </w:tc>
        <w:tc>
          <w:tcPr>
            <w:tcW w:w="4876" w:type="dxa"/>
            <w:tcBorders>
              <w:top w:val="nil"/>
              <w:left w:val="nil"/>
              <w:bottom w:val="nil"/>
              <w:right w:val="nil"/>
            </w:tcBorders>
          </w:tcPr>
          <w:p>
            <w:pPr>
              <w:pStyle w:val="Normal6a"/>
            </w:pPr>
            <w:r>
              <w:t>(n)</w:t>
            </w:r>
            <w:r>
              <w:tab/>
            </w:r>
            <w:r>
              <w:t xml:space="preserve">da ojačaju suradnju EU-a i Kanade na multilateralnim forumima koordinacijom stajališta, usklađivanjem inicijativa </w:t>
            </w:r>
            <w:r>
              <w:rPr>
                <w:b/>
                <w:i/>
              </w:rPr>
              <w:t>kad je to u interesu obiju strana</w:t>
            </w:r>
            <w:r>
              <w:t xml:space="preserve"> i suradnjom na obrani zajedničkih vrijednosti;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na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da podupru napore za osnivanje multilateralnih kreditnih institucija u suradnji s Kanadom kako bi se dopunilo financiranje obrane EU-a i razvoj kapaciteta potpunim iskorištavanjem pristupa jeftinom, dugoročnom financiranju, uz istodobno poticanje inovacija i rasta u našoj industrijskoj bazi;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da surađuju na očuvanju ključne uloge i funkcioniranja multilateralnih institucija, kao što su UN, G7, G20 i NATO;</w:t>
            </w:r>
          </w:p>
        </w:tc>
        <w:tc>
          <w:tcPr>
            <w:tcW w:w="4876" w:type="dxa"/>
            <w:tcBorders>
              <w:top w:val="nil"/>
              <w:left w:val="nil"/>
              <w:bottom w:val="nil"/>
              <w:right w:val="nil"/>
            </w:tcBorders>
          </w:tcPr>
          <w:p>
            <w:pPr>
              <w:pStyle w:val="Normal6a"/>
            </w:pPr>
            <w:r>
              <w:t>(o)</w:t>
            </w:r>
            <w:r>
              <w:tab/>
            </w:r>
            <w:r>
              <w:t>da surađuju na očuvanju ključne uloge i funkcioniranja multilateralnih institucija, kao što su UN, G7, G20 i NATO</w:t>
            </w:r>
            <w:r>
              <w:rPr>
                <w:b/>
                <w:i/>
              </w:rPr>
              <w:t>, te surađuju na reformi i poboljšanju učinkovitosti foruma kao što je UN koji više ne služe u potpunosti svojoj svrsi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da surađuju na očuvanju ključne uloge i funkcioniranja multilateralnih institucija, kao što su UN, G7, G20 i NATO;</w:t>
            </w:r>
          </w:p>
        </w:tc>
        <w:tc>
          <w:tcPr>
            <w:tcW w:w="4876" w:type="dxa"/>
            <w:tcBorders>
              <w:top w:val="nil"/>
              <w:left w:val="nil"/>
              <w:bottom w:val="nil"/>
              <w:right w:val="nil"/>
            </w:tcBorders>
          </w:tcPr>
          <w:p>
            <w:pPr>
              <w:pStyle w:val="Normal6a"/>
            </w:pPr>
            <w:r>
              <w:t>(o)</w:t>
            </w:r>
            <w:r>
              <w:tab/>
            </w:r>
            <w:r>
              <w:t xml:space="preserve">da surađuju na očuvanju ključne uloge i funkcioniranja multilateralnih institucija, kao što su UN, G7, G20 i NATO; </w:t>
            </w:r>
            <w:r>
              <w:rPr>
                <w:b/>
                <w:i/>
              </w:rPr>
              <w:t>da koordiniraju napore za provedbu dugo potrebne reforme multilateralnih organizacija, kao što su UN, a posebno SZO;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da surađuju na </w:t>
            </w:r>
            <w:r>
              <w:rPr>
                <w:b/>
                <w:i/>
              </w:rPr>
              <w:t>očuvanju</w:t>
            </w:r>
            <w:r>
              <w:t xml:space="preserve"> ključne uloge i funkcioniranja multilateralnih institucija, kao što su UN, </w:t>
            </w:r>
            <w:r>
              <w:rPr>
                <w:b/>
                <w:i/>
              </w:rPr>
              <w:t>G7, G20</w:t>
            </w:r>
            <w:r>
              <w:t xml:space="preserve"> i NATO;</w:t>
            </w:r>
          </w:p>
        </w:tc>
        <w:tc>
          <w:tcPr>
            <w:tcW w:w="4876" w:type="dxa"/>
            <w:tcBorders>
              <w:top w:val="nil"/>
              <w:left w:val="nil"/>
              <w:bottom w:val="nil"/>
              <w:right w:val="nil"/>
            </w:tcBorders>
          </w:tcPr>
          <w:p>
            <w:pPr>
              <w:pStyle w:val="Normal6a"/>
            </w:pPr>
            <w:r>
              <w:t>(o)</w:t>
            </w:r>
            <w:r>
              <w:tab/>
            </w:r>
            <w:r>
              <w:t xml:space="preserve">da surađuju na </w:t>
            </w:r>
            <w:r>
              <w:rPr>
                <w:b/>
                <w:i/>
              </w:rPr>
              <w:t>zaštiti</w:t>
            </w:r>
            <w:r>
              <w:t xml:space="preserve"> ključne uloge i funkcioniranja multilateralnih institucija, kao što su UN, </w:t>
            </w:r>
            <w:r>
              <w:rPr>
                <w:b/>
                <w:i/>
              </w:rPr>
              <w:t>međunarodne organizacije kao što su Međunarodni kazneni sud, SZO</w:t>
            </w:r>
            <w:r>
              <w:t xml:space="preserve"> i NATO</w:t>
            </w:r>
            <w:r>
              <w:rPr>
                <w:b/>
                <w:i/>
              </w:rPr>
              <w:t>, kao i međunarodni forumi kao što su skupine G7 i G20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da surađuju </w:t>
            </w:r>
            <w:r>
              <w:rPr>
                <w:b/>
                <w:i/>
              </w:rPr>
              <w:t>na očuvanju ključne uloge i funkcioniranja</w:t>
            </w:r>
            <w:r>
              <w:t xml:space="preserve"> multilateralnih institucija, kao što su UN, G7, G20 i NATO;</w:t>
            </w:r>
          </w:p>
        </w:tc>
        <w:tc>
          <w:tcPr>
            <w:tcW w:w="4876" w:type="dxa"/>
            <w:tcBorders>
              <w:top w:val="nil"/>
              <w:left w:val="nil"/>
              <w:bottom w:val="nil"/>
              <w:right w:val="nil"/>
            </w:tcBorders>
          </w:tcPr>
          <w:p>
            <w:pPr>
              <w:pStyle w:val="Normal6a"/>
            </w:pPr>
            <w:r>
              <w:t>(o)</w:t>
            </w:r>
            <w:r>
              <w:tab/>
            </w:r>
            <w:r>
              <w:t xml:space="preserve">da </w:t>
            </w:r>
            <w:r>
              <w:rPr>
                <w:b/>
                <w:i/>
              </w:rPr>
              <w:t>preuzmu zajedničku odgovornost i blisko i dosljedno</w:t>
            </w:r>
            <w:r>
              <w:t xml:space="preserve"> surađuju </w:t>
            </w:r>
            <w:r>
              <w:rPr>
                <w:b/>
                <w:i/>
              </w:rPr>
              <w:t>kako bi zaštitili ključnu ulogu i funkcioniranje</w:t>
            </w:r>
            <w:r>
              <w:t xml:space="preserve"> multilateralnih institucija, kao što su UN, G7, G20 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da surađuju na očuvanju ključne uloge i funkcioniranja multilateralnih institucija, kao što su UN, G7, G20 </w:t>
            </w:r>
            <w:r>
              <w:rPr>
                <w:b/>
                <w:i/>
              </w:rPr>
              <w:t>i NATO</w:t>
            </w:r>
            <w:r>
              <w:t>;</w:t>
            </w:r>
          </w:p>
        </w:tc>
        <w:tc>
          <w:tcPr>
            <w:tcW w:w="4876" w:type="dxa"/>
            <w:tcBorders>
              <w:top w:val="nil"/>
              <w:left w:val="nil"/>
              <w:bottom w:val="nil"/>
              <w:right w:val="nil"/>
            </w:tcBorders>
          </w:tcPr>
          <w:p>
            <w:pPr>
              <w:pStyle w:val="Normal6a"/>
            </w:pPr>
            <w:r>
              <w:t>(o)</w:t>
            </w:r>
            <w:r>
              <w:tab/>
            </w:r>
            <w:r>
              <w:t>da surađuju na očuvanju ključne uloge i funkcioniranja multilateralnih institucija, kao što su UN, G7, G20;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da potiču bližu koordinaciju angažmana EU-a i Kanade u indopacifičkoj regiji usklađivanjem svojih indopacifičkih strategija radi promicanja slobodne, otvorene i uključive indopacifičke regije utemeljene na pravilima, među ostalim suradnjom s regionalnim partnerima (kao što su ASEAN, Japan i drugi) u području pomorske sigurnosti, povezivosti i poštovanja međunarodnog prava u Istočnom i Južnom kineskom moru te Tajvanskom tjesnacu;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da podrže zajedničke napore za ostvarivanje prijeko potrebne strateške reforme SZO-a koja postaje hitna i neophodna kako bi se osigurala stabilnost globalnog trgovinskog sustava i dugoročno blagostanje svih strana;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da poboljšaju suradnju u području zakonodavstva o društvenim medijima i velikim tehnološkim poduzećima, uz istodobno jačanje zakonodavstva EU-a tj. Akta o digitalnim uslugama i Akta o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ob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da surađuju s Kanadom na zajedničkom poticanju našeg zajedničkog odnosa sa Sjedinjenim Američkim Državama, što je ključno za sigurnost i gospodarstvo Kanade 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da izraze zabrinutost zbog militarizacije Arktika i surađuju s Kanadom na očuvanju Arktika kao regije mira, stabilnosti i suradnje u skladu s međunarodnim pravom;</w:t>
            </w:r>
          </w:p>
        </w:tc>
        <w:tc>
          <w:tcPr>
            <w:tcW w:w="4876" w:type="dxa"/>
            <w:tcBorders>
              <w:top w:val="nil"/>
              <w:left w:val="nil"/>
              <w:bottom w:val="nil"/>
              <w:right w:val="nil"/>
            </w:tcBorders>
          </w:tcPr>
          <w:p>
            <w:pPr>
              <w:pStyle w:val="Normal6a"/>
            </w:pPr>
            <w:r>
              <w:t>(p)</w:t>
            </w:r>
            <w:r>
              <w:tab/>
            </w:r>
            <w:r>
              <w:t>da izraze zabrinutost zbog militarizacije Arktika i surađuju s Kanadom na očuvanju Arktika kao regije mira, stabilnosti i suradnje u skladu s međunarodnim pravom</w:t>
            </w:r>
            <w:r>
              <w:rPr>
                <w:b/>
                <w:i/>
              </w:rPr>
              <w:t>, posebno Konvencijom UN-a o pravu mora (UNCLOS), te obrane međunarodni poredak utemeljen na pravilima i time ojačaju multilateralne institucije kao što je Arktičko vijeće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da izraze zabrinutost zbog militarizacije Arktika </w:t>
            </w:r>
            <w:r>
              <w:rPr>
                <w:b/>
                <w:i/>
              </w:rPr>
              <w:t>i</w:t>
            </w:r>
            <w:r>
              <w:t xml:space="preserve"> surađuju s Kanadom </w:t>
            </w:r>
            <w:r>
              <w:rPr>
                <w:b/>
                <w:i/>
              </w:rPr>
              <w:t>na očuvanju Arktika kao regije</w:t>
            </w:r>
            <w:r>
              <w:t xml:space="preserve"> mira, stabilnosti i suradnje u skladu s međunarodnim pravom;</w:t>
            </w:r>
          </w:p>
        </w:tc>
        <w:tc>
          <w:tcPr>
            <w:tcW w:w="4876" w:type="dxa"/>
            <w:tcBorders>
              <w:top w:val="nil"/>
              <w:left w:val="nil"/>
              <w:bottom w:val="nil"/>
              <w:right w:val="nil"/>
            </w:tcBorders>
          </w:tcPr>
          <w:p>
            <w:pPr>
              <w:pStyle w:val="Normal6a"/>
            </w:pPr>
            <w:r>
              <w:t>(p)</w:t>
            </w:r>
            <w:r>
              <w:tab/>
            </w:r>
            <w:r>
              <w:t>da izraze zabrinutost zbog militarizacije Arktika</w:t>
            </w:r>
            <w:r>
              <w:rPr>
                <w:b/>
                <w:i/>
              </w:rPr>
              <w:t>, uključujući rusko širenje vojne infrastrukture i sve veću stratešku prisutnost Kine, te da</w:t>
            </w:r>
            <w:r>
              <w:t xml:space="preserve"> surađuju s Kanadom </w:t>
            </w:r>
            <w:r>
              <w:rPr>
                <w:b/>
                <w:i/>
              </w:rPr>
              <w:t>kako bi se Arktik očuvao kao regija</w:t>
            </w:r>
            <w:r>
              <w:t xml:space="preserve"> mira, stabilnosti i suradnje u skladu s međunarodnim pravom;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rPr>
                <w:b/>
                <w:i/>
              </w:rPr>
              <w:t>da izraze</w:t>
            </w:r>
            <w:r>
              <w:t xml:space="preserve"> zabrinutost zbog </w:t>
            </w:r>
            <w:r>
              <w:rPr>
                <w:b/>
                <w:i/>
              </w:rPr>
              <w:t>militarizacije Arktika i surađuju</w:t>
            </w:r>
            <w:r>
              <w:t xml:space="preserve"> s Kanadom </w:t>
            </w:r>
            <w:r>
              <w:rPr>
                <w:b/>
                <w:i/>
              </w:rPr>
              <w:t>na očuvanju Arktika kao regije</w:t>
            </w:r>
            <w:r>
              <w:t xml:space="preserve"> mira, stabilnosti i suradnje u skladu s međunarodnim pravom;</w:t>
            </w:r>
          </w:p>
        </w:tc>
        <w:tc>
          <w:tcPr>
            <w:tcW w:w="4876" w:type="dxa"/>
            <w:tcBorders>
              <w:top w:val="nil"/>
              <w:left w:val="nil"/>
              <w:bottom w:val="nil"/>
              <w:right w:val="nil"/>
            </w:tcBorders>
          </w:tcPr>
          <w:p>
            <w:pPr>
              <w:pStyle w:val="Normal6a"/>
            </w:pPr>
            <w:r>
              <w:t>(p)</w:t>
            </w:r>
            <w:r>
              <w:tab/>
            </w:r>
            <w:r>
              <w:rPr>
                <w:b/>
                <w:i/>
              </w:rPr>
              <w:t>izražava</w:t>
            </w:r>
            <w:r>
              <w:t xml:space="preserve"> zabrinutost zbog </w:t>
            </w:r>
            <w:r>
              <w:rPr>
                <w:b/>
                <w:i/>
              </w:rPr>
              <w:t>povećanja ruske vojne prisutnosti na Arktiku, kao i zbog povećanog interesa Kine za arktičku regiju i surađuje</w:t>
            </w:r>
            <w:r>
              <w:t xml:space="preserve"> s Kanadom </w:t>
            </w:r>
            <w:r>
              <w:rPr>
                <w:b/>
                <w:i/>
              </w:rPr>
              <w:t>kako bi Arktik ostao područje</w:t>
            </w:r>
            <w:r>
              <w:t xml:space="preserve"> mira, stabilnosti i suradnje u skladu s međunarodnim pravom;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da izraze zabrinutost zbog militarizacije Arktika </w:t>
            </w:r>
            <w:r>
              <w:rPr>
                <w:b/>
                <w:i/>
              </w:rPr>
              <w:t>i</w:t>
            </w:r>
            <w:r>
              <w:t xml:space="preserve"> surađuju s Kanadom na očuvanju Arktika kao regije mira</w:t>
            </w:r>
            <w:r>
              <w:rPr>
                <w:b/>
                <w:i/>
              </w:rPr>
              <w:t>,</w:t>
            </w:r>
            <w:r>
              <w:t xml:space="preserve"> stabilnosti </w:t>
            </w:r>
            <w:r>
              <w:rPr>
                <w:b/>
                <w:i/>
              </w:rPr>
              <w:t>i suradnje u skladu s međunarodnim pravom</w:t>
            </w:r>
            <w:r>
              <w:t>;</w:t>
            </w:r>
          </w:p>
        </w:tc>
        <w:tc>
          <w:tcPr>
            <w:tcW w:w="4876" w:type="dxa"/>
            <w:tcBorders>
              <w:top w:val="nil"/>
              <w:left w:val="nil"/>
              <w:bottom w:val="nil"/>
              <w:right w:val="nil"/>
            </w:tcBorders>
          </w:tcPr>
          <w:p>
            <w:pPr>
              <w:pStyle w:val="Normal6a"/>
            </w:pPr>
            <w:r>
              <w:t>(p)</w:t>
            </w:r>
            <w:r>
              <w:tab/>
            </w:r>
            <w:r>
              <w:t>da izraze zabrinutost zbog militarizacije Arktika</w:t>
            </w:r>
            <w:r>
              <w:rPr>
                <w:b/>
                <w:i/>
              </w:rPr>
              <w:t>, posebno od strane Rusije, ali i zbog sve većeg interesa Kine za tu regiju, te da stoga</w:t>
            </w:r>
            <w:r>
              <w:t xml:space="preserve"> surađuju s Kanadom na očuvanju Arktika kao regije mira </w:t>
            </w:r>
            <w:r>
              <w:rPr>
                <w:b/>
                <w:i/>
              </w:rPr>
              <w:t>i</w:t>
            </w:r>
            <w:r>
              <w:t xml:space="preserve"> stabilnosti </w:t>
            </w:r>
            <w:r>
              <w:rPr>
                <w:b/>
                <w:i/>
              </w:rPr>
              <w:t>koristeći se svim odgovarajućim tehničkim i pravnim alatima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da izraze zabrinutost zbog militarizacije Arktika i surađuju s Kanadom na očuvanju Arktika kao regije mira, stabilnosti i suradnje u skladu s međunarodnim pravom;</w:t>
            </w:r>
          </w:p>
        </w:tc>
        <w:tc>
          <w:tcPr>
            <w:tcW w:w="4876" w:type="dxa"/>
            <w:tcBorders>
              <w:top w:val="nil"/>
              <w:left w:val="nil"/>
              <w:bottom w:val="nil"/>
              <w:right w:val="nil"/>
            </w:tcBorders>
          </w:tcPr>
          <w:p>
            <w:pPr>
              <w:pStyle w:val="Normal6a"/>
            </w:pPr>
            <w:r>
              <w:t>(p)</w:t>
            </w:r>
            <w:r>
              <w:tab/>
            </w:r>
            <w:r>
              <w:t xml:space="preserve">da izraze zabrinutost zbog militarizacije Arktika i surađuju s Kanadom na očuvanju Arktika kao regije mira, stabilnosti i suradnje u skladu s međunarodnim pravom </w:t>
            </w:r>
            <w:r>
              <w:rPr>
                <w:b/>
                <w:i/>
              </w:rPr>
              <w:t>te da promiču zaštitu arktičkog okoliša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da izraze zabrinutost zbog militarizacije Arktika i surađuju s Kanadom na očuvanju Arktika kao regije mira, stabilnosti i suradnje u skladu s međunarodnim pravom;</w:t>
            </w:r>
          </w:p>
        </w:tc>
        <w:tc>
          <w:tcPr>
            <w:tcW w:w="4876" w:type="dxa"/>
            <w:tcBorders>
              <w:top w:val="nil"/>
              <w:left w:val="nil"/>
              <w:bottom w:val="nil"/>
              <w:right w:val="nil"/>
            </w:tcBorders>
          </w:tcPr>
          <w:p>
            <w:pPr>
              <w:pStyle w:val="Normal6a"/>
            </w:pPr>
            <w:r>
              <w:t>(p)</w:t>
            </w:r>
            <w:r>
              <w:tab/>
            </w:r>
            <w:r>
              <w:t xml:space="preserve">da izraze zabrinutost zbog militarizacije Arktika i surađuju s Kanadom </w:t>
            </w:r>
            <w:r>
              <w:rPr>
                <w:b/>
                <w:i/>
              </w:rPr>
              <w:t>i SAD-om</w:t>
            </w:r>
            <w:r>
              <w:t xml:space="preserve"> na očuvanju Arktika kao regije mira, stabilnosti i suradnje u skladu s međunarodnim pravom;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da </w:t>
            </w:r>
            <w:r>
              <w:rPr>
                <w:b/>
                <w:i/>
              </w:rPr>
              <w:t>izraze zabrinutost zbog militarizacije</w:t>
            </w:r>
            <w:r>
              <w:t xml:space="preserve"> Arktika i surađuju s Kanadom na očuvanju Arktika kao regije mira, stabilnosti i suradnje u skladu s međunarodnim pravom;</w:t>
            </w:r>
          </w:p>
        </w:tc>
        <w:tc>
          <w:tcPr>
            <w:tcW w:w="4876" w:type="dxa"/>
            <w:tcBorders>
              <w:top w:val="nil"/>
              <w:left w:val="nil"/>
              <w:bottom w:val="nil"/>
              <w:right w:val="nil"/>
            </w:tcBorders>
          </w:tcPr>
          <w:p>
            <w:pPr>
              <w:pStyle w:val="Normal6a"/>
            </w:pPr>
            <w:r>
              <w:t>(p)</w:t>
            </w:r>
            <w:r>
              <w:tab/>
            </w:r>
            <w:r>
              <w:t xml:space="preserve">da </w:t>
            </w:r>
            <w:r>
              <w:rPr>
                <w:b/>
                <w:i/>
              </w:rPr>
              <w:t>prime na znanje sve veću sigurnosnu ulogu</w:t>
            </w:r>
            <w:r>
              <w:t xml:space="preserve"> Arktika i surađuju s Kanadom na očuvanju Arktika kao regije mira, stabilnosti i suradnje u skladu s međunarodnim pravom;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da istaknu stratešku važnost arktičke regije za Europsku uniju i Kanadu s obzirom na njezinu sve veću geopolitičku, okolišnu i ekonomsku važnost;</w:t>
            </w:r>
            <w:r>
              <w:t xml:space="preserve"> </w:t>
            </w:r>
            <w:r>
              <w:rPr>
                <w:b/>
                <w:i/>
              </w:rPr>
              <w:t>da pozovu na dublju suradnju EU-a i Kanade na Arktiku, među ostalim u području održivog razvoja, pomorske sigurnosti, praćenja okoliša i istraživanja otpornosti na klimatske promjene, kao i na pojačanu koordinaciju u okviru multilateralnih foruma kao što je Arktičko vijeće;</w:t>
            </w:r>
            <w:r>
              <w:t xml:space="preserve"> </w:t>
            </w:r>
            <w:r>
              <w:rPr>
                <w:b/>
                <w:i/>
              </w:rPr>
              <w:t>da potiču uspostavu strukturiranih dijaloga između institucija EU-a i Kanade radi promicanja zajedničke informiranosti o stanju, zaštite infrastrukture i otpornosti sjevernih zajednica, uz istodobno poštovanje prava autohtonih naroda i načela međunarodnog prava kojima se uređuje Arktik;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mišljenja su da su bolja koordinacija s Kanadom u osiguranju mirne suradnje i slobode plovidbe na Arktiku te iskorištavanje sinergija u najvećoj mogućoj mjeri najbolji odgovor na rastuću kinesko-rusku suradnju na Arktiku;</w:t>
            </w:r>
            <w:r>
              <w:t xml:space="preserve"> </w:t>
            </w:r>
            <w:r>
              <w:rPr>
                <w:b/>
                <w:i/>
              </w:rPr>
              <w:t>prime na znanje kanadski okvir politike za Arktik i sjever te potiču EU da surađuje s Kanadom kako bi se osigurala odgovarajuća koordinacija u regiji;</w:t>
            </w:r>
            <w:r>
              <w:t xml:space="preserve"> </w:t>
            </w:r>
            <w:r>
              <w:rPr>
                <w:b/>
                <w:i/>
              </w:rPr>
              <w:t>u tom pogledu poziva na snažan dijalog između EU-a i Arktika, uz sudjelovanje Kanade, kao potporu provedbi politike EU-a prema Arktiku;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da uvide da zbog povećanih geopolitičkih napetosti Kanada i EU ne mogu stajati sa strane i pratiti sigurnosna kretanja s margina, već moraju uspostaviti konkretnu strategiju kako bi zaštitili Kanadu i arktičke države članice EU-a;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da poboljšaju suradnju EU-a i Kanade kako bi se očuvala baština i sredstva za život autohtonih naroda;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da podrže napore za jačanje otpornosti od mogućeg pritiska iz Narodne Republike Kine ili drugih aktera koji ne daju prednost vađenju minerala na ekološki prihvatljiv i održiv način ili u skladu s međunarodnim normama i konvencijama Ujedinjenih naroda;</w:t>
            </w:r>
            <w:r>
              <w:t xml:space="preserve"> </w:t>
            </w:r>
            <w:r>
              <w:rPr>
                <w:b/>
                <w:i/>
              </w:rPr>
              <w:t>da pozovu na veću suradnju s Kanadom u tom pogledu i pozovu radnu skupinu Stratcom da prati kampanje usmjerene na utjecanje na postupke donošenja odluka o vađenju minerala koje se provodi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da pozovu na redovitiju razmjenu stajališta o pitanjima Arktika na razini Političkog i sigurnosnog odbora i tijekom sastanaka Vijeća te kao važno područje savjetovanja EU-a i NATO-a;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da preporuče da države članice razmotre stvaranje novih projekata u okviru stalne strukturirane suradnje s Kanadom, koji su, primjerice, usmjereni na potragu i spašavanje ili odgovor na okolišne izazove, a čiji je cilj jačanje sposobnosti zajedničke sigurnosne i obrambene politike (ZSOP) na Arktiku;</w:t>
            </w:r>
            <w:r>
              <w:t xml:space="preserve"> </w:t>
            </w:r>
            <w:r>
              <w:rPr>
                <w:b/>
                <w:i/>
              </w:rPr>
              <w:t>potiču EU i države članice da provedu simulacijske vježbe s Kanadom o načinu na koji se Mehanizam EU-a za civilnu zaštitu može široko provoditi na Arktiku;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w:t>
            </w:r>
            <w:r>
              <w:tab/>
            </w:r>
            <w:r>
              <w:rPr>
                <w:b/>
                <w:i/>
              </w:rPr>
              <w:t>da zauzmu stajalište da bi pomorsku strategiju EU-a trebalo ažurirati kako bi se uzele u obzir nove mogućnosti i izazovi zajedno sa strateškim partnerima kao što je Kanada.</w:t>
            </w:r>
            <w:r>
              <w:t xml:space="preserve"> </w:t>
            </w:r>
            <w:r>
              <w:rPr>
                <w:b/>
                <w:i/>
              </w:rPr>
              <w:t>Slične procjene i preispitivanja trebalo bi provesti u drugim politikama EU-a, uključujući svemirsku politiku EU-a, kako bi se procijenilo proširenje postojećih satelitskih programa radi zadovoljavanja specifičnih potreba arktičke regije u suradnji s Kanadom, među ostalim kako bi se omogućio pristup upotrebi programa Copernicus za praćenje razvoja događaja na Arktiku;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pf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(pf)</w:t>
            </w:r>
            <w:r>
              <w:tab/>
            </w:r>
            <w:r>
              <w:rPr>
                <w:b/>
                <w:i/>
              </w:rPr>
              <w:t>naglase ulogu koju Arktik ima s obzirom na klimatološku i geografsku konkurentsku prednost u pogledu digitalne povezivosti između Sjeverne Amerike, Europe i Azije, kao i u pogledu centara za pohranu podataka;</w:t>
            </w:r>
            <w:r>
              <w:t xml:space="preserve"> </w:t>
            </w:r>
            <w:r>
              <w:rPr>
                <w:b/>
                <w:i/>
              </w:rPr>
              <w:t>potiču blisku suradnju s Kanadom u izgradnji novih „digitalnih autocesta” pomoću proširenih sustava optičkih kabela i infrastrukture koji bi također trebali omogućiti bolju digitalnu povezivost arktičkih zajednica, kao i zdravstvenu potporu i socijalne usluge (npr. usluge telezdravstva) za internetsko obrazovanje kako bi se općenito olakšao pristup globalnom gospodarstvu;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da blisko surađuju s Kanadom kako bi se zaštitila autonomija Grenlanda i otpornost grenlandskog naroda u kontekstu povećanog geopolitičkog interesa za Arktik;</w:t>
            </w:r>
          </w:p>
        </w:tc>
        <w:tc>
          <w:tcPr>
            <w:tcW w:w="4876" w:type="dxa"/>
            <w:tcBorders>
              <w:top w:val="nil"/>
              <w:left w:val="nil"/>
              <w:bottom w:val="nil"/>
              <w:right w:val="nil"/>
            </w:tcBorders>
          </w:tcPr>
          <w:p>
            <w:pPr>
              <w:pStyle w:val="Normal6a"/>
            </w:pPr>
            <w:r>
              <w:t>(q)</w:t>
            </w:r>
            <w:r>
              <w:tab/>
            </w:r>
            <w:r>
              <w:t xml:space="preserve">da blisko surađuju s Kanadom kako bi se zaštitila autonomija Grenlanda i otpornost grenlandskog naroda u kontekstu povećanog geopolitičkog interesa za Arktik; </w:t>
            </w:r>
            <w:r>
              <w:rPr>
                <w:b/>
                <w:i/>
              </w:rPr>
              <w:t>da prepoznaju ključnu ulogu Kanade u upravljanju Arktikom i potiču dublju koordinaciju u području zaštite okoliša, pomorske sigurnosti i održivog razvoja resursa u regiji;</w:t>
            </w:r>
            <w:r>
              <w:t xml:space="preserve"> </w:t>
            </w:r>
            <w:r>
              <w:rPr>
                <w:b/>
                <w:i/>
              </w:rPr>
              <w:t>da istaknu potrebu za suradnjom s Kanadom kao partnerom istomišljenikom na Arktiku, uz istodobno osiguravanje potpunog očuvanja europskih interesa i strateške autonomije;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da blisko surađuju s Kanadom kako bi se zaštitila autonomija Grenlanda i otpornost grenlandskog naroda u kontekstu povećanog geopolitičkog interesa za Arktik;</w:t>
            </w:r>
          </w:p>
        </w:tc>
        <w:tc>
          <w:tcPr>
            <w:tcW w:w="4876" w:type="dxa"/>
            <w:tcBorders>
              <w:top w:val="nil"/>
              <w:left w:val="nil"/>
              <w:bottom w:val="nil"/>
              <w:right w:val="nil"/>
            </w:tcBorders>
          </w:tcPr>
          <w:p>
            <w:pPr>
              <w:pStyle w:val="Normal6a"/>
            </w:pPr>
            <w:r>
              <w:t>(q)</w:t>
            </w:r>
            <w:r>
              <w:tab/>
            </w:r>
            <w:r>
              <w:t xml:space="preserve">da blisko surađuju s Kanadom kako bi se zaštitila autonomija Grenlanda i otpornost grenlandskog naroda u kontekstu povećanog geopolitičkog interesa za Arktik </w:t>
            </w:r>
            <w:r>
              <w:rPr>
                <w:b/>
                <w:i/>
              </w:rPr>
              <w:t>i najavljenog povećanog ulaganja u infrastrukturu na sjevernim teritorijima Kanade</w:t>
            </w:r>
            <w:r>
              <w:t xml:space="preserve">; </w:t>
            </w:r>
            <w:r>
              <w:rPr>
                <w:b/>
                <w:i/>
              </w:rPr>
              <w:t>da surađuju s Kanadom kako bi se osigurala primjena visokih okolišnih, socijalnih i upravljačkih standarda u provedbi infrastrukturnih i rudarskih projekata na Arktiku;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da blisko surađuju s Kanadom kako bi se zaštitila autonomija Grenlanda i otpornost grenlandskog naroda u kontekstu povećanog geopolitičkog interesa za Arktik;</w:t>
            </w:r>
          </w:p>
        </w:tc>
        <w:tc>
          <w:tcPr>
            <w:tcW w:w="4876" w:type="dxa"/>
            <w:tcBorders>
              <w:top w:val="nil"/>
              <w:left w:val="nil"/>
              <w:bottom w:val="nil"/>
              <w:right w:val="nil"/>
            </w:tcBorders>
          </w:tcPr>
          <w:p>
            <w:pPr>
              <w:pStyle w:val="Normal6a"/>
            </w:pPr>
            <w:r>
              <w:t>(q)</w:t>
            </w:r>
            <w:r>
              <w:tab/>
            </w:r>
            <w:r>
              <w:t>da blisko surađuju s Kanadom kako bi se zaštitila autonomija Grenlanda i otpornost grenlandskog naroda u kontekstu povećanog geopolitičkog interesa za Arktik</w:t>
            </w:r>
            <w:r>
              <w:rPr>
                <w:b/>
                <w:i/>
              </w:rPr>
              <w:t>, kao što je pokazala izjava Kine da je „gotovo arktička država"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u ime Kluba zastupnika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da blisko surađuju s Kanadom kako bi se zaštitila autonomija Grenlanda i otpornost grenlandskog naroda u kontekstu povećanog geopolitičkog interesa za Arktik;</w:t>
            </w:r>
          </w:p>
        </w:tc>
        <w:tc>
          <w:tcPr>
            <w:tcW w:w="4876" w:type="dxa"/>
            <w:tcBorders>
              <w:top w:val="nil"/>
              <w:left w:val="nil"/>
              <w:bottom w:val="nil"/>
              <w:right w:val="nil"/>
            </w:tcBorders>
          </w:tcPr>
          <w:p>
            <w:pPr>
              <w:pStyle w:val="Normal6a"/>
            </w:pPr>
            <w:r>
              <w:t>(q)</w:t>
            </w:r>
            <w:r>
              <w:tab/>
            </w:r>
            <w:r>
              <w:t xml:space="preserve">da blisko surađuju s Kanadom kako bi se zaštitila autonomija Grenlanda i otpornost grenlandskog naroda u kontekstu povećanog geopolitičkog interesa za Arktik </w:t>
            </w:r>
            <w:r>
              <w:rPr>
                <w:b/>
                <w:i/>
              </w:rPr>
              <w:t>i agresivnog uplitanja SAD-a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da blisko surađuju s Kanadom kako bi se zaštitila autonomija Grenlanda i otpornost grenlandskog naroda u kontekstu povećanog geopolitičkog interesa za Arktik;</w:t>
            </w:r>
          </w:p>
        </w:tc>
        <w:tc>
          <w:tcPr>
            <w:tcW w:w="4876" w:type="dxa"/>
            <w:tcBorders>
              <w:top w:val="nil"/>
              <w:left w:val="nil"/>
              <w:bottom w:val="nil"/>
              <w:right w:val="nil"/>
            </w:tcBorders>
          </w:tcPr>
          <w:p>
            <w:pPr>
              <w:pStyle w:val="Normal6a"/>
            </w:pPr>
            <w:r>
              <w:t>(q)</w:t>
            </w:r>
            <w:r>
              <w:tab/>
            </w:r>
            <w:r>
              <w:t xml:space="preserve">da blisko surađuju s Kanadom </w:t>
            </w:r>
            <w:r>
              <w:rPr>
                <w:b/>
                <w:i/>
              </w:rPr>
              <w:t>i SAD-om</w:t>
            </w:r>
            <w:r>
              <w:t xml:space="preserve"> kako bi se zaštitila autonomija Grenlanda i otpornost grenlandskog naroda u kontekstu povećanog geopolitičkog interesa za Arktik;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da promiču poticajna politička okruženja za autohtone narode na Arktiku kako bi mogli iskoristiti svoj slobodan, prethodni i informirani pristanak prije odobravanja bilo kojeg projekta koji utječe na njihova zemljišta, teritorije ili resurse, posebno u pogledu razvoja, korištenja ili iskorištavanja prirodnih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qb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da uspostave strukturirani dijalog s Kanadom o zaštiti ekosustava i bioraznolikosti, provedbi međunarodnih standarda zaštite okoliša, otpornoj infrastrukturi, sigurnosti pomorskih putova i uključivanju znanja autohtonih naroda u donošenje odluka;</w:t>
            </w:r>
            <w:r>
              <w:t xml:space="preserve"> </w:t>
            </w:r>
            <w:r>
              <w:rPr>
                <w:b/>
                <w:i/>
              </w:rPr>
              <w:t>potiču bližu suradnju u znanstvenom i kulturnom području kako bi se osnažilo autohtono stanovništvo i ojačala njihova otpornost;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da ojačaju suradnju između EU-a, Kanade, Danske i Grenlanda na temelju povijesnog dogovora postignutog radi mirnog rješavanja dugotrajnih graničnih sporova;</w:t>
            </w:r>
          </w:p>
        </w:tc>
        <w:tc>
          <w:tcPr>
            <w:tcW w:w="4876" w:type="dxa"/>
            <w:tcBorders>
              <w:top w:val="nil"/>
              <w:left w:val="nil"/>
              <w:bottom w:val="nil"/>
              <w:right w:val="nil"/>
            </w:tcBorders>
          </w:tcPr>
          <w:p>
            <w:pPr>
              <w:pStyle w:val="Normal6a"/>
            </w:pPr>
            <w:r>
              <w:t>(r)</w:t>
            </w:r>
            <w:r>
              <w:tab/>
            </w:r>
            <w:r>
              <w:t xml:space="preserve">da ojačaju suradnju između EU-a, Kanade, Danske i Grenlanda na temelju povijesnog dogovora postignutog radi mirnog rješavanja dugotrajnih graničnih sporova; </w:t>
            </w:r>
            <w:r>
              <w:rPr>
                <w:b/>
                <w:i/>
              </w:rPr>
              <w:t>pozdraviti potpisivanje novog memoranduma o razumijevanju za ribarstvo između Grenlanda i teritorija Nunavuta u Kanadi;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da pozovu na uspostavu namjenskog okvira za suradnju između EU-a i Kanade u arktičkoj regiji kako bi se osiguralo da krajnji sjever ostane regija mira, sigurnosti i održivog razvoja;</w:t>
            </w:r>
            <w:r>
              <w:t xml:space="preserve"> </w:t>
            </w:r>
            <w:r>
              <w:rPr>
                <w:b/>
                <w:i/>
              </w:rPr>
              <w:t>da naglase da je bolja koordinacija, među ostalim u okviru Arktičkog vijeća i drugih relevantnih foruma, ključna za poštovanje međunarodnog prava (posebno UNCLOS-a – Konvencije Ujedinjenih naroda o pravu mora), rješavanje klimatskih i okolišnih izazova te zaštitu interesa i prava arktičkih zajednica i autohtonih naroda;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snažno potiču EU da provede ambiciozan i ekološki održiv plan ulaganja za Arktik usmjeren na budućnost povećanjem financiranja u ključnim područjima kao što su znanstvena istraživanja i sredstva iz programa Obzor 2020. dodijeljena za arktičko istraživanje, razvoj i inovacije, svemirsku, digitalnu i prometnu infrastrukturu, svemirske tehnologije, održivi pomorski promet, održivo vađenje i preradu sirovina, obnovljive izvore energije i druge aktivnosti s niskom razinom emisija ugljika te turizam;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da zajedno s Kanadom zaštite društvene, ekonomske i pravne osnove na temelju kojih autohtoni narodi koji žive na Arktiku mogu zadržati svoju kulturu i sredstva za život;</w:t>
            </w:r>
            <w:r>
              <w:t xml:space="preserve"> </w:t>
            </w:r>
            <w:r>
              <w:rPr>
                <w:b/>
                <w:i/>
              </w:rPr>
              <w:t>osim toga da uzmu u obzir i poduzmu napore da uspore klimatske promjene na Arktiku, koje napreduju brže nego u kontinentalnoj regiji, i njihov utjecaj na autohtone narode i druge stanovnike Arktika;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da poboljšaju suradnju EU-a i Kanade u području sigurnosti Arktika, uključujući zajedničko praćenje strateških pomorskih koridora kao što je prolaz između Grenlanda, Islanda i Ujedinjene Kraljevine (GIUK), sustavi ranog upozoravanja, procjene prijetnji i koordinirani odgovori na hibridne i konvencionalne prijetnje, u skladu sa sigurnosnim okvirima NATO-a 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da prodube suradnju s Kanadom u borbi protiv utjecaja klimatskih promjena na Arktik, poboljšaju strategije prilagodbe, podupru inicijative za praćenje i povećaju ulaganja u istraživanje, prometnu i energetsku infrastrukturu te otpornost;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da podupru Kanadu u odgovoru na sve prisutnije kineske aktivnosti na kanadskom Arktiku pojačanom suradnjom u području znanosti, ekonomskog razvoja i vojne suradnje;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da surađuju na zaštiti prava autohtonih naroda, kao i njihovih jezika i kulture;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rb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(rb)</w:t>
            </w:r>
            <w:r>
              <w:tab/>
            </w:r>
            <w:r>
              <w:rPr>
                <w:b/>
                <w:i/>
              </w:rPr>
              <w:t>da koordiniraju napore s Kanadom za zaštitu ključne arktičke infrastrukture, uključujući podmorske kabele, cjevovode i komunikacijske sustave, rješavanjem hibridnih prijetnji kao što su kibernetički napadi, ometanje GPS-a i operacije flote u sjeni;</w:t>
            </w:r>
            <w:r>
              <w:t xml:space="preserve"> </w:t>
            </w:r>
            <w:r>
              <w:rPr>
                <w:b/>
                <w:i/>
              </w:rPr>
              <w:t>da podupru zajedničke procjene rizika, izvješćivanje o incidentima i standarde otpornosti radi zaštite strateških interesa EU-a i Kanade;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Nathalie Loiseau,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Trgovina robom i uslugama, digitalna trgovina i ulaganja</w:t>
            </w:r>
          </w:p>
        </w:tc>
        <w:tc>
          <w:tcPr>
            <w:tcW w:w="4876" w:type="dxa"/>
            <w:tcBorders>
              <w:top w:val="nil"/>
              <w:left w:val="nil"/>
              <w:bottom w:val="nil"/>
              <w:right w:val="nil"/>
            </w:tcBorders>
          </w:tcPr>
          <w:p>
            <w:pPr>
              <w:pStyle w:val="Normal6a"/>
            </w:pPr>
            <w:r>
              <w:t xml:space="preserve">Trgovina robom i uslugama, digitalna trgovina i ulaganja </w:t>
            </w:r>
            <w:r>
              <w:rPr>
                <w:b/>
                <w:i/>
              </w:rPr>
              <w:t>te ekonomska sigurnost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da </w:t>
            </w:r>
            <w:r>
              <w:rPr>
                <w:b/>
                <w:i/>
              </w:rPr>
              <w:t>promiču prednosti</w:t>
            </w:r>
            <w:r>
              <w:t xml:space="preserve"> CETA-e u državama članicama i EU-u, </w:t>
            </w:r>
            <w:r>
              <w:rPr>
                <w:b/>
                <w:i/>
              </w:rPr>
              <w:t>uključujući poboljšani pristup tržištu, pojednostavljenu trgovinu i smanjene prepreke za MSP-ove</w:t>
            </w:r>
            <w:r>
              <w:t>;</w:t>
            </w:r>
          </w:p>
        </w:tc>
        <w:tc>
          <w:tcPr>
            <w:tcW w:w="4876" w:type="dxa"/>
            <w:tcBorders>
              <w:top w:val="nil"/>
              <w:left w:val="nil"/>
              <w:bottom w:val="nil"/>
              <w:right w:val="nil"/>
            </w:tcBorders>
          </w:tcPr>
          <w:p>
            <w:pPr>
              <w:pStyle w:val="Normal6a"/>
            </w:pPr>
            <w:r>
              <w:t>(s)</w:t>
            </w:r>
            <w:r>
              <w:tab/>
            </w:r>
            <w:r>
              <w:t xml:space="preserve">da </w:t>
            </w:r>
            <w:r>
              <w:rPr>
                <w:b/>
                <w:i/>
              </w:rPr>
              <w:t>odlučno odbace pokušaje promicanja</w:t>
            </w:r>
            <w:r>
              <w:t xml:space="preserve"> CETA-e u državama članicama i EU-u, </w:t>
            </w:r>
            <w:r>
              <w:rPr>
                <w:b/>
                <w:i/>
              </w:rPr>
              <w:t>naglašavajući da se takvim naporima zanemaruju neriješena pitanja povezana s nacionalnim suverenitetom, sigurnošću opskrbe hranom te jednakovrijednošću proizvodnih i ekoloških standarda;</w:t>
            </w:r>
            <w:r>
              <w:t xml:space="preserve"> </w:t>
            </w:r>
            <w:r>
              <w:rPr>
                <w:b/>
                <w:i/>
              </w:rPr>
              <w:t>da podsjete da Kanada ne podliježe zrcalnim klauzulama kojima se osigurava istovjetnost s okolišnim, sanitarnim i proizvodnim standardima EU-a, čime se europski MSP-ovi, poljoprivrednici i proizvođači stavljaju u nepovoljan položaj u odnosu na konkurenciju i potkopava predanost Unije pravednoj i održivoj trgovini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rPr>
                <w:b/>
                <w:i/>
              </w:rPr>
              <w:t>da promiču prednosti CETA-e u državama članicama i EU-u, uključujući poboljšani pristup tržištu, pojednostavljenu trgovinu i smanjene prepreke za MSP-ove</w:t>
            </w:r>
            <w:r>
              <w:t>;</w:t>
            </w:r>
          </w:p>
        </w:tc>
        <w:tc>
          <w:tcPr>
            <w:tcW w:w="4876" w:type="dxa"/>
            <w:tcBorders>
              <w:top w:val="nil"/>
              <w:left w:val="nil"/>
              <w:bottom w:val="nil"/>
              <w:right w:val="nil"/>
            </w:tcBorders>
          </w:tcPr>
          <w:p>
            <w:pPr>
              <w:pStyle w:val="Normal6a"/>
            </w:pPr>
            <w:r>
              <w:t>(s)</w:t>
            </w:r>
            <w:r>
              <w:tab/>
            </w:r>
            <w:r>
              <w:rPr>
                <w:b/>
                <w:i/>
              </w:rPr>
              <w:t>prime na znanje činjenicu da više od trećine država članica još nije ratificiralo CETA-u;</w:t>
            </w:r>
            <w:r>
              <w:t xml:space="preserve"> </w:t>
            </w:r>
            <w:r>
              <w:rPr>
                <w:b/>
                <w:i/>
              </w:rPr>
              <w:t>poziva na temeljitu ponovnu procjenu toga služi li sporazum zaista nacionalnim ekonomskim interesima građana EU-a i MSP-ova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da promiču prednosti CETA-e u državama članicama i EU-u, uključujući poboljšani pristup tržištu, pojednostavljenu trgovinu i smanjene prepreke za MSP-ove;</w:t>
            </w:r>
          </w:p>
        </w:tc>
        <w:tc>
          <w:tcPr>
            <w:tcW w:w="4876" w:type="dxa"/>
            <w:tcBorders>
              <w:top w:val="nil"/>
              <w:left w:val="nil"/>
              <w:bottom w:val="nil"/>
              <w:right w:val="nil"/>
            </w:tcBorders>
          </w:tcPr>
          <w:p>
            <w:pPr>
              <w:pStyle w:val="Normal6a"/>
            </w:pPr>
            <w:r>
              <w:t>(s)</w:t>
            </w:r>
            <w:r>
              <w:tab/>
            </w:r>
            <w:r>
              <w:t>da promiču prednosti CETA-e u državama članicama i EU-u, uključujući poboljšani pristup tržištu, pojednostavljenu trgovinu i smanjene prepreke za MSP-ove</w:t>
            </w:r>
            <w:r>
              <w:rPr>
                <w:b/>
                <w:i/>
              </w:rPr>
              <w:t>, koje mogu pomoći državama članica da postignu potreban gospodarski rast u kontekstu sve veće globalne konkurencije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da promiču prednosti CETA-e u državama članicama i EU-u, uključujući poboljšani pristup tržištu, pojednostavljenu trgovinu i smanjene prepreke za MSP-ove;</w:t>
            </w:r>
          </w:p>
        </w:tc>
        <w:tc>
          <w:tcPr>
            <w:tcW w:w="4876" w:type="dxa"/>
            <w:tcBorders>
              <w:top w:val="nil"/>
              <w:left w:val="nil"/>
              <w:bottom w:val="nil"/>
              <w:right w:val="nil"/>
            </w:tcBorders>
          </w:tcPr>
          <w:p>
            <w:pPr>
              <w:pStyle w:val="Normal6a"/>
            </w:pPr>
            <w:r>
              <w:t>(s)</w:t>
            </w:r>
            <w:r>
              <w:tab/>
            </w:r>
            <w:r>
              <w:t>da promiču prednosti CETA-e u državama članicama i EU-u, uključujući poboljšani pristup tržištu, pojednostavljenu trgovinu</w:t>
            </w:r>
            <w:r>
              <w:rPr>
                <w:b/>
                <w:i/>
              </w:rPr>
              <w:t>, ulaganje u sektor obrane</w:t>
            </w:r>
            <w:r>
              <w:t xml:space="preserve"> i smanjene prepreke za MSP-ove;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sa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da poboljšaju suradnju u području otpornosti lanaca opskrbe diversifikacijom opskrbe mineralima ključnima za naše industrije;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sa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da poboljšaju trgovinske i ulagačke odnose između EU-a i Kanade kako bi se povećala konkurentnost europskih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da </w:t>
            </w:r>
            <w:r>
              <w:rPr>
                <w:b/>
                <w:i/>
              </w:rPr>
              <w:t>pozovu deset</w:t>
            </w:r>
            <w:r>
              <w:t xml:space="preserve"> država članica </w:t>
            </w:r>
            <w:r>
              <w:rPr>
                <w:b/>
                <w:i/>
              </w:rPr>
              <w:t>koje još nisu ratificirale CETA-u da to učine brzo, jer je to važna politička poruka uoči desete obljetnice njegove privremene primjene 2027.</w:t>
            </w:r>
            <w:r>
              <w:t>;</w:t>
            </w:r>
          </w:p>
        </w:tc>
        <w:tc>
          <w:tcPr>
            <w:tcW w:w="4876" w:type="dxa"/>
            <w:tcBorders>
              <w:top w:val="nil"/>
              <w:left w:val="nil"/>
              <w:bottom w:val="nil"/>
              <w:right w:val="nil"/>
            </w:tcBorders>
          </w:tcPr>
          <w:p>
            <w:pPr>
              <w:pStyle w:val="Normal6a"/>
            </w:pPr>
            <w:r>
              <w:t>(t)</w:t>
            </w:r>
            <w:r>
              <w:tab/>
            </w:r>
            <w:r>
              <w:t xml:space="preserve">da </w:t>
            </w:r>
            <w:r>
              <w:rPr>
                <w:b/>
                <w:i/>
              </w:rPr>
              <w:t>ponovno potvrde da je potpuna ratifikacija CETA-e isključivo u nadležnosti</w:t>
            </w:r>
            <w:r>
              <w:t xml:space="preserve"> država članica </w:t>
            </w:r>
            <w:r>
              <w:rPr>
                <w:b/>
                <w:i/>
              </w:rPr>
              <w:t>u skladu s njihovim ustavnim procedurama te podsjeća da i dalje postoji ozbiljna zabrinutost u pogledu prehrambene neovisnosti, zaštite europskih poljoprivrednika i usklađenosti sa sanitarnim standardima Europske unije;</w:t>
            </w:r>
            <w:r>
              <w:t xml:space="preserve"> </w:t>
            </w:r>
            <w:r>
              <w:rPr>
                <w:b/>
                <w:i/>
              </w:rPr>
              <w:t>uzmu u obzir da se, dok se ne pruže obvezujuća jamstva u pogledu sljedivosti, metoda uzgoja, upotrebe životinjskog brašna, jednakovrijednosti proizvodnih standarda i zaštite osjetljivih poljoprivrednih sektora ne može zahtijevati ratifikacija niti europske institucije mogu poticati ratifikaciju Sporazuma kako bi se osigurala razina zaštite jednaka onoj u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da </w:t>
            </w:r>
            <w:r>
              <w:rPr>
                <w:b/>
                <w:i/>
              </w:rPr>
              <w:t>pozovu</w:t>
            </w:r>
            <w:r>
              <w:t xml:space="preserve"> deset država članica koje još nisu ratificirale CETA-u da to učine </w:t>
            </w:r>
            <w:r>
              <w:rPr>
                <w:b/>
                <w:i/>
              </w:rPr>
              <w:t>brzo, jer je to važna politička poruka</w:t>
            </w:r>
            <w:r>
              <w:t xml:space="preserve"> uoči desete obljetnice </w:t>
            </w:r>
            <w:r>
              <w:rPr>
                <w:b/>
                <w:i/>
              </w:rPr>
              <w:t>njegove</w:t>
            </w:r>
            <w:r>
              <w:t xml:space="preserve"> privremene primjene 2027.;</w:t>
            </w:r>
          </w:p>
        </w:tc>
        <w:tc>
          <w:tcPr>
            <w:tcW w:w="4876" w:type="dxa"/>
            <w:tcBorders>
              <w:top w:val="nil"/>
              <w:left w:val="nil"/>
              <w:bottom w:val="nil"/>
              <w:right w:val="nil"/>
            </w:tcBorders>
          </w:tcPr>
          <w:p>
            <w:pPr>
              <w:pStyle w:val="Normal6a"/>
            </w:pPr>
            <w:r>
              <w:t>(t)</w:t>
            </w:r>
            <w:r>
              <w:tab/>
            </w:r>
            <w:r>
              <w:t xml:space="preserve">da </w:t>
            </w:r>
            <w:r>
              <w:rPr>
                <w:b/>
                <w:i/>
              </w:rPr>
              <w:t>apeliraju na</w:t>
            </w:r>
            <w:r>
              <w:t xml:space="preserve"> deset država članica koje još nisu ratificirale CETA-u da to učine </w:t>
            </w:r>
            <w:r>
              <w:rPr>
                <w:b/>
                <w:i/>
              </w:rPr>
              <w:t>što je prije moguće, kao važan politički signal</w:t>
            </w:r>
            <w:r>
              <w:t xml:space="preserve"> uoči desete obljetnice </w:t>
            </w:r>
            <w:r>
              <w:rPr>
                <w:b/>
                <w:i/>
              </w:rPr>
              <w:t>njezine</w:t>
            </w:r>
            <w:r>
              <w:t xml:space="preserve"> privremene primjene 2027. </w:t>
            </w:r>
            <w:r>
              <w:rPr>
                <w:b/>
                <w:i/>
              </w:rPr>
              <w:t>godine, kako bi se oslobodio puni potencijal recipročnog pristupa tržištu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da </w:t>
            </w:r>
            <w:r>
              <w:rPr>
                <w:b/>
                <w:i/>
              </w:rPr>
              <w:t>pozovu deset država članica koje još nisu ratificirale CETA-u da to učine brzo, jer je to važna politička poruka uoči desete obljetnice njegove privremene primjene 2027.</w:t>
            </w:r>
            <w:r>
              <w:t>;</w:t>
            </w:r>
          </w:p>
        </w:tc>
        <w:tc>
          <w:tcPr>
            <w:tcW w:w="4876" w:type="dxa"/>
            <w:tcBorders>
              <w:top w:val="nil"/>
              <w:left w:val="nil"/>
              <w:bottom w:val="nil"/>
              <w:right w:val="nil"/>
            </w:tcBorders>
          </w:tcPr>
          <w:p>
            <w:pPr>
              <w:pStyle w:val="Normal6a"/>
            </w:pPr>
            <w:r>
              <w:t>(t)</w:t>
            </w:r>
            <w:r>
              <w:tab/>
            </w:r>
            <w:r>
              <w:t xml:space="preserve">da </w:t>
            </w:r>
            <w:r>
              <w:rPr>
                <w:b/>
                <w:i/>
              </w:rPr>
              <w:t>provedu novu dubinsku procjenu gospodarskog, socijalnog i ekološkog učinka CETA-e prije bilo kakve daljnje ratifikacije, posebno u pogledu zaštite europskih poljoprivrednika, sigurnosti opskrbe hranom i reciprociteta zdravstvenih i ekoloških standarda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da </w:t>
            </w:r>
            <w:r>
              <w:rPr>
                <w:b/>
                <w:i/>
              </w:rPr>
              <w:t>pozovu</w:t>
            </w:r>
            <w:r>
              <w:t xml:space="preserve"> deset država članica koje </w:t>
            </w:r>
            <w:r>
              <w:rPr>
                <w:b/>
                <w:i/>
              </w:rPr>
              <w:t>još</w:t>
            </w:r>
            <w:r>
              <w:t xml:space="preserve"> nisu ratificirale CETA-u </w:t>
            </w:r>
            <w:r>
              <w:rPr>
                <w:b/>
                <w:i/>
              </w:rPr>
              <w:t>da to učine brzo, jer je to važna politička poruka uoči desete obljetnice njegove privremene primjene 2027.</w:t>
            </w:r>
            <w:r>
              <w:t>;</w:t>
            </w:r>
          </w:p>
        </w:tc>
        <w:tc>
          <w:tcPr>
            <w:tcW w:w="4876" w:type="dxa"/>
            <w:tcBorders>
              <w:top w:val="nil"/>
              <w:left w:val="nil"/>
              <w:bottom w:val="nil"/>
              <w:right w:val="nil"/>
            </w:tcBorders>
          </w:tcPr>
          <w:p>
            <w:pPr>
              <w:pStyle w:val="Normal6a"/>
            </w:pPr>
            <w:r>
              <w:t>(t)</w:t>
            </w:r>
            <w:r>
              <w:tab/>
            </w:r>
            <w:r>
              <w:t xml:space="preserve">da </w:t>
            </w:r>
            <w:r>
              <w:rPr>
                <w:b/>
                <w:i/>
              </w:rPr>
              <w:t>poštuju suverene odluke</w:t>
            </w:r>
            <w:r>
              <w:t xml:space="preserve"> deset država članica koje nisu ratificirale CETA-u </w:t>
            </w:r>
            <w:r>
              <w:rPr>
                <w:b/>
                <w:i/>
              </w:rPr>
              <w:t>i osiguraju da europski porezni obveznici zaista profitiraju od svakog trgovinskog sporazuma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da pokrenu namjensku inicijativu EU-a i Kanade za jačanje zajedničke strateške otpornosti i inovacija, s naglaskom na razvoju sigurnih i diversificiranih lanaca opskrbe kritičnim sirovinama, baterijama, poluvodičima i drugim ključnim tehnologijama nužnima za zelenu i digitalnu tranziciju;</w:t>
            </w:r>
            <w:r>
              <w:t xml:space="preserve"> </w:t>
            </w:r>
            <w:r>
              <w:rPr>
                <w:b/>
                <w:i/>
              </w:rPr>
              <w:t>poziva na pojačanu suradnju u okviru strateškog partnerstva za sirovine i usklađivanje s visokim standardima u području čiste energije, umjetne inteligencije i industrijskih inovacija;</w:t>
            </w:r>
            <w:r>
              <w:t xml:space="preserve"> </w:t>
            </w:r>
            <w:r>
              <w:rPr>
                <w:b/>
                <w:i/>
              </w:rPr>
              <w:t>da naglase da bi se tim naporima trebale smanjiti strateške ovisnosti o autoritarnim režimima, povećati konkurentnost i očuvati zajedničke demokratske vrijednosti i obveze u pogledu održivosti;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u okviru nedavno započetih pregovora o Sporazumu o digitalnoj trgovini: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—poboljšaju suradnju s Kanadom u području digitalnih politika, posebno u pogledu usklađivanja naših regulatornih okvira i standarda, posebno kako bi internetske platforme postale sigurnije i uključivije te kako bi se razvili pouzdani sustavi umjetne inteligencije,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pojačaju suradnju u uspostavi interoperabilnih javnih digitalnih infrastruktura kojima se osigurava tehnološka suverenost i tržišno okruženje pogodno za tržišno natjecanje te koje se temelje na pravednim i konkurentnim ekonomskim modelima i decentraliziranom upravljanju,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pozivaju na ubrzanje postojeće suradnje u području nuklearnih tehnologija, uključujući goriva i usluge gorivnog ciklusa, pregovorima o moderniziranom i sveobuhvatnom Sporazumu o nuklearnoj suradnji između Kanade i Euratoma;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da se nadovežu na strateško partnerstvo EU-a i Kanade u području sirovina (pokrenuto 2021.) kako bi se dodatno povećala sigurnost opskrbe i otpornost EU-a u području kritičnih sirovina;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da pojačaju suradnju u području kritičnih sirovina kako bi se povećala otpornost i sigurnost lanaca opskrbe na vanjske ekonomske pritiske, uključujući prakse prisile;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da pozdrave razvoj zajedničkog digitalnog ekosustava sa zajedničkim standardima i kompatibilnošću u ključnim područjima kao što su regulacija umjetne inteligencije, lanci opskrbe ključnim tehnologijama i 5G infrastruktura;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da poboljšaju suradnju i trgovinske odnose EU-a i Kanade kako bi se smanjila štetna ovisnost o sirovinama;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da potiču suradnju s Kanadom kao ključnim partnerom za energetsku sigurnost i proizvodnju ili iskorištavanje kritičnih minerala;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da naglase obnovljenu važnost strateškog partnerstva EU-a i Kanade u području kritičnih sirovina sklopljenog 2021. i pozovu na njegovu daljnju nadogradnju, među ostalim pojačanom tehničkom i znanstvenom suradnjom, povećanim infrastrukturnim ulaganjima i olakšavanjem mehanizama odobravanja za proširenje strateških projekata ulaganja;</w:t>
            </w:r>
            <w:r>
              <w:t xml:space="preserve"> </w:t>
            </w:r>
            <w:r>
              <w:rPr>
                <w:b/>
                <w:i/>
              </w:rPr>
              <w:t>da pozovu EU da postane vodeći strani ulagač u kanadsko rudarstvo, uz potpuno poštovanje ekoloških načela EU-a, kao protuteža dramatičnom porastu prisutnosti Kine i SAD-a;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da pojačaju suradnju s Kanadom u području energetske sigurnosti kako bi se poduprli ciljevi EU-a u području klime i diversifikacije;</w:t>
            </w:r>
            <w:r>
              <w:t xml:space="preserve"> </w:t>
            </w:r>
            <w:r>
              <w:rPr>
                <w:b/>
                <w:i/>
              </w:rPr>
              <w:t>da pozovu na proširenje energetskog dijaloga na visokoj razini između EU-a i Kanade kako bi se razvile zajedničke mjere za vodik, zaštitu kritične energetske infrastrukture i trgovinu održivom energijom (kao što su ukapljeni prirodni plin u kratkoročnom razdoblju i zeleni vodik u dugoročnom razdoblju), čime bi se smanjila ovisnost o nepouzdanim dobavljačima i ubrzala zelena tranzicija u oba gospodarstva;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da potiču bližu suradnju između Europske unije i Kanade u području kritičnih sirovina te pozovu na razvoj sveobuhvatne strategije suradnje u tom području, uzimajući u obzir sve veću globalnu važnost tih resursa, posebno nikla;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da pozovu na blisku suradnju s Kanadom na razvoju i uvođenju malih modularnih reaktora kao izvora sigurne, raznolike, čiste i pouzdane energije u cilju jačanja energetske sigurnosti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(tc)</w:t>
            </w:r>
            <w:r>
              <w:tab/>
            </w:r>
            <w:r>
              <w:rPr>
                <w:b/>
                <w:i/>
              </w:rPr>
              <w:t>da blisko surađuju na ispunjavanju budućih energetskih potreba i jačanju energetske sigurnosti zajedničkim istraživanjem otpornijih, raznolikijih i pouzdanijih lanaca opskrbe energijom, uključujući lance vrijednosti čistih tehnologija, ukapljeni prirodni plin, obnovljive izvore energije, siguran i održiv niskougljični vodik i druge sigurne i održive tehnologije s niskom razinom emisija ugljika;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(tc)</w:t>
            </w:r>
            <w:r>
              <w:tab/>
            </w:r>
            <w:r>
              <w:rPr>
                <w:b/>
                <w:i/>
              </w:rPr>
              <w:t>da pozovu na unapređenje suradnje između EU-a i Kanade u opskrbi kritičnim sirovinama, među ostalim istraživanjem novih prilika za olakšavanje dvosmjernog protoka ulaganja, materijala i stručnog znanja u okviru strateškog partnerstva EU-a i Kanade u području sirovina;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td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(td)</w:t>
            </w:r>
            <w:r>
              <w:tab/>
            </w:r>
            <w:r>
              <w:rPr>
                <w:b/>
                <w:i/>
              </w:rPr>
              <w:t>da nastave postojeću suradnju u području nuklearnih tehnologija, uključujući goriva i usluge gorivnog ciklusa, pregovorima o moderniziranom i sveobuhvatnom Sporazumu o nuklearnoj suradnji između Kanade i Euratoma;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w:t>
            </w:r>
            <w:r>
              <w:tab/>
            </w:r>
            <w:r>
              <w:rPr>
                <w:b/>
                <w:i/>
              </w:rPr>
              <w:t>da osiguraju blisku koordinaciju s Kanadom kako bi se popunile kritične praznine, ojačali multilateralni razvojni okviri, promicali održivi razvoj i uključiva međunarodna partnerstva te poduprli civilno društvo i demokratska otpornost;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da osiguraju blisku koordinaciju s Kanadom kako bi se popunile kritične praznine, ojačali multilateralni razvojni okviri, promicali održivi razvoj i uključiva međunarodna partnerstva te poduprli civilno društvo i demokratska otpornost;</w:t>
            </w:r>
          </w:p>
        </w:tc>
        <w:tc>
          <w:tcPr>
            <w:tcW w:w="4876" w:type="dxa"/>
            <w:tcBorders>
              <w:top w:val="nil"/>
              <w:left w:val="nil"/>
              <w:bottom w:val="nil"/>
              <w:right w:val="nil"/>
            </w:tcBorders>
          </w:tcPr>
          <w:p>
            <w:pPr>
              <w:pStyle w:val="Normal6a"/>
            </w:pPr>
            <w:r>
              <w:t>(u)</w:t>
            </w:r>
            <w:r>
              <w:tab/>
            </w:r>
            <w:r>
              <w:t xml:space="preserve">da osiguraju blisku koordinaciju s Kanadom kako bi se popunile kritične praznine, ojačali multilateralni razvojni okviri, </w:t>
            </w:r>
            <w:r>
              <w:rPr>
                <w:b/>
                <w:i/>
              </w:rPr>
              <w:t>djelovalo kao jača protuteža autoritarnim režimima i suprotstavilo njihovom rastućem globalnom utjecaju,</w:t>
            </w:r>
            <w:r>
              <w:t xml:space="preserve"> promicali održivi razvoj i uključiva međunarodna partnerstva te poduprli civilno društvo i demokratska otpornost;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da osiguraju blisku koordinaciju s Kanadom kako bi se popunile kritične praznine, ojačali multilateralni razvojni okviri, promicali održivi razvoj i uključiva međunarodna partnerstva te poduprli civilno društvo i demokratska otpornost;</w:t>
            </w:r>
          </w:p>
        </w:tc>
        <w:tc>
          <w:tcPr>
            <w:tcW w:w="4876" w:type="dxa"/>
            <w:tcBorders>
              <w:top w:val="nil"/>
              <w:left w:val="nil"/>
              <w:bottom w:val="nil"/>
              <w:right w:val="nil"/>
            </w:tcBorders>
          </w:tcPr>
          <w:p>
            <w:pPr>
              <w:pStyle w:val="Normal6a"/>
            </w:pPr>
            <w:r>
              <w:t>(u)</w:t>
            </w:r>
            <w:r>
              <w:tab/>
            </w:r>
            <w:r>
              <w:t>da osiguraju blisku koordinaciju s Kanadom kako bi se popunile kritične praznine, ojačali multilateralni razvojni okviri, promicali održivi razvoj i uključiva međunarodna partnerstva te poduprli civilno društvo i demokratska otpornost</w:t>
            </w:r>
            <w:r>
              <w:rPr>
                <w:b/>
                <w:i/>
              </w:rPr>
              <w:t>, uključujući u susjedstvu EU-a, a posebno u zemljama kandidatkinjama za članstvu u EU-u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da osiguraju blisku koordinaciju s Kanadom kako bi se popunile kritične praznine, ojačali multilateralni razvojni okviri, promicali održivi razvoj i uključiva međunarodna partnerstva te poduprli civilno društvo i demokratska otpornost;</w:t>
            </w:r>
          </w:p>
        </w:tc>
        <w:tc>
          <w:tcPr>
            <w:tcW w:w="4876" w:type="dxa"/>
            <w:tcBorders>
              <w:top w:val="nil"/>
              <w:left w:val="nil"/>
              <w:bottom w:val="nil"/>
              <w:right w:val="nil"/>
            </w:tcBorders>
          </w:tcPr>
          <w:p>
            <w:pPr>
              <w:pStyle w:val="Normal6a"/>
            </w:pPr>
            <w:r>
              <w:t>(u)</w:t>
            </w:r>
            <w:r>
              <w:tab/>
            </w:r>
            <w:r>
              <w:t xml:space="preserve">da osiguraju blisku koordinaciju s Kanadom kako bi se popunile kritične praznine, ojačali multilateralni razvojni okviri, promicali održivi razvoj i </w:t>
            </w:r>
            <w:r>
              <w:rPr>
                <w:b/>
                <w:i/>
              </w:rPr>
              <w:t>ostvarenje Programa 2030, s njegovim ciljevima održivog razvoja,</w:t>
            </w:r>
            <w:r>
              <w:t xml:space="preserve"> uključiva međunarodna partnerstva te poduprli civilno društvo i demokratska otpornost;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ua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da zajednički rješavaju nove izazove koji ugrožavaju globalni razvoj, uključujući ukidanje Agencije Sjedinjenih Američkih Država za međunarodni razvoj (USAID) i prekid pružanja strane pomoći SAD-a;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ua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da izraze duboku zabrinutost zbog izvješća o napadima podmetanjem požara na crkve u Kanadi i pozovu kanadsku vladu da bez odgode u potpunosti istraži sve takve slučajeve;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va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da promiču zajedničke istraživačke inicijative na Arktiku s Kanadom, osiguravajući da se u znanstvenoj suradnji uzimaju u obzir i sigurnosni rizici dvojne namjene;</w:t>
            </w:r>
            <w:r>
              <w:t xml:space="preserve"> </w:t>
            </w:r>
            <w:r>
              <w:rPr>
                <w:b/>
                <w:i/>
              </w:rPr>
              <w:t>da potiču otvorenu razmjenu podataka, praćenje klimatskih, okolišnih i strateških kretanja te integraciju istraživanja u planiranje politika i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va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da potiču programe razmjene za mlade poduzetnike, istraživače i ulagače kako bi se ojačale transatlantske inovacije;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da povećaju otpornost društva poticanjem pridruživanja Kanade programu Obzor Europa, jačanjem suradnje u obrazovanju i istraživanju, olakšavanjem transatlantske mobilnosti mladih radi rada, studiranja i volontiranja te daljnjim istraživanjem mogućnosti za međuljudske kontakte i razmjene studenata, na temelju programa Erasmus i Erasmus+;</w:t>
            </w:r>
          </w:p>
        </w:tc>
        <w:tc>
          <w:tcPr>
            <w:tcW w:w="4876" w:type="dxa"/>
            <w:tcBorders>
              <w:top w:val="nil"/>
              <w:left w:val="nil"/>
              <w:bottom w:val="nil"/>
              <w:right w:val="nil"/>
            </w:tcBorders>
          </w:tcPr>
          <w:p>
            <w:pPr>
              <w:pStyle w:val="Normal6a"/>
            </w:pPr>
            <w:r>
              <w:t>(w)</w:t>
            </w:r>
            <w:r>
              <w:tab/>
            </w:r>
            <w:r>
              <w:t>da povećaju otpornost društva poticanjem pridruživanja Kanade programu Obzor Europa, jačanjem suradnje u obrazovanju i istraživanju, olakšavanjem transatlantske mobilnosti mladih radi rada, studiranja i volontiranja te daljnjim istraživanjem mogućnosti za međuljudske kontakte i razmjene studenata, na temelju programa Erasmus i Erasmus+</w:t>
            </w:r>
            <w:r>
              <w:rPr>
                <w:b/>
                <w:i/>
              </w:rPr>
              <w:t>, a da pritom ne zaborave da su financijska sredstva ograničena i da to znači da je potrebno ograničiti te programe prvenstveno na građane država članica EU-a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da povećaju otpornost društva poticanjem pridruživanja Kanade programu Obzor Europa, jačanjem suradnje u obrazovanju </w:t>
            </w:r>
            <w:r>
              <w:rPr>
                <w:b/>
                <w:i/>
              </w:rPr>
              <w:t>i</w:t>
            </w:r>
            <w:r>
              <w:t xml:space="preserve"> istraživanju, olakšavanjem transatlantske mobilnosti mladih radi rada, studiranja i volontiranja te daljnjim istraživanjem mogućnosti za međuljudske kontakte i razmjene studenata, na temelju programa Erasmus i Erasmus+;</w:t>
            </w:r>
          </w:p>
        </w:tc>
        <w:tc>
          <w:tcPr>
            <w:tcW w:w="4876" w:type="dxa"/>
            <w:tcBorders>
              <w:top w:val="nil"/>
              <w:left w:val="nil"/>
              <w:bottom w:val="nil"/>
              <w:right w:val="nil"/>
            </w:tcBorders>
          </w:tcPr>
          <w:p>
            <w:pPr>
              <w:pStyle w:val="Normal6a"/>
            </w:pPr>
            <w:r>
              <w:t>(w)</w:t>
            </w:r>
            <w:r>
              <w:tab/>
            </w:r>
            <w:r>
              <w:t>da povećaju otpornost društva poticanjem pridruživanja Kanade programu Obzor Europa, jačanjem suradnje u obrazovanju</w:t>
            </w:r>
            <w:r>
              <w:rPr>
                <w:b/>
                <w:i/>
              </w:rPr>
              <w:t>,</w:t>
            </w:r>
            <w:r>
              <w:t xml:space="preserve"> istraživanju </w:t>
            </w:r>
            <w:r>
              <w:rPr>
                <w:b/>
                <w:i/>
              </w:rPr>
              <w:t>i znanstvene suradnje u strateškim domenama</w:t>
            </w:r>
            <w:r>
              <w:t xml:space="preserve">, olakšavanjem </w:t>
            </w:r>
            <w:r>
              <w:rPr>
                <w:b/>
                <w:i/>
              </w:rPr>
              <w:t>i poticanjem</w:t>
            </w:r>
            <w:r>
              <w:t xml:space="preserve"> transatlantske mobilnosti mladih radi rada, studiranja i volontiranja</w:t>
            </w:r>
            <w:r>
              <w:rPr>
                <w:b/>
                <w:i/>
              </w:rPr>
              <w:t>, pojednostavljenjem međusobnog priznavanja vještina</w:t>
            </w:r>
            <w:r>
              <w:t xml:space="preserve"> te daljnjim istraživanjem mogućnosti za međuljudske kontakte i razmjene studenata, na temelju programa Erasmus i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wa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sa zabrinutošću primjećuju da demografski rast Kanade gotovo u potpunosti ovisi o međunarodnim migracijama, što pokazuje trend koji je zabilježen i u Europi, gdje rast stanovništva sve više ovisi o vanjskim čimbenicima, a ne o unutarnjoj vitalnosti;</w:t>
            </w:r>
            <w:r>
              <w:t xml:space="preserve"> </w:t>
            </w:r>
            <w:r>
              <w:rPr>
                <w:b/>
                <w:i/>
              </w:rPr>
              <w:t>izražavaju žaljenje zbog toga što ni u Kanadi ni u većini država članica nisu provedene snažne i dosljedne politike nataliteta ili potpore obiteljima kako bi se zaštitili demografski kontinuitet i socijalna kohezija;</w:t>
            </w:r>
            <w:r>
              <w:t xml:space="preserve"> </w:t>
            </w:r>
            <w:r>
              <w:rPr>
                <w:b/>
                <w:i/>
              </w:rPr>
              <w:t>naglase da istinski suverenitet ne može postojati bez sposobnosti ljudi da se obnove putem nacionalnih politika kojima se podupiru obitelji, natalitet i kulturni prijenos;</w:t>
            </w:r>
            <w:r>
              <w:t xml:space="preserve"> </w:t>
            </w:r>
            <w:r>
              <w:rPr>
                <w:b/>
                <w:i/>
              </w:rPr>
              <w:t>nadalje napominju da preobrazba kanadskog sustava visokog obrazovanja, koji je postao model imigracije, a ne prostor za akademsku razmjenu, odražava strukturni gubitak kontrole nad migracijskom politikom;</w:t>
            </w:r>
            <w:r>
              <w:t xml:space="preserve"> </w:t>
            </w:r>
            <w:r>
              <w:rPr>
                <w:b/>
                <w:i/>
              </w:rPr>
              <w:t>naglašavaju da u europskom kontekstu programi kao što je Erasmus+ moraju zadržati svoju obrazovnu i privremenu narav kako ne bi postali neizravni alati masovne migracije;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wa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da potiču suradnju i razmjenu dobrih praksi radi zajedničkog promicanja ravnopravnosti i uključenosti marginaliziranih skupina u EU-u, Kanadi i svijetu, nadovezujući se na inicijative kao što su Unija ravnopravnosti EU-a i kanadska strategija za pravosuđe za autohtone narode;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wb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(wb)</w:t>
            </w:r>
            <w:r>
              <w:tab/>
            </w:r>
            <w:r>
              <w:rPr>
                <w:b/>
                <w:i/>
              </w:rPr>
              <w:t>da prepoznaju ulogu kulture u jačanju međuljudskih veza;</w:t>
            </w:r>
            <w:r>
              <w:t xml:space="preserve"> </w:t>
            </w:r>
            <w:r>
              <w:rPr>
                <w:b/>
                <w:i/>
              </w:rPr>
              <w:t>poduzmu konkretne korake za potporu suradnji, mobilnosti i razmjeni u sektoru kulture, s naglaskom na mladim umjetnicima, umjetnicima u usponu i nezavisnim umjetnicima te drugim stručnjacima u kulturnom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wa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da surađuju s Kanadom na promicanju demokratske otpornosti na globalnoj razini podupiranjem slobodnih medija, izbornog integriteta i civilnog društva u ranjivim demokracijama;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rPr>
                <w:b/>
                <w:i/>
              </w:rPr>
              <w:t>da</w:t>
            </w:r>
            <w:r>
              <w:t xml:space="preserve"> nastave graditi </w:t>
            </w:r>
            <w:r>
              <w:rPr>
                <w:b/>
                <w:i/>
              </w:rPr>
              <w:t>istinsko ravnopravno</w:t>
            </w:r>
            <w:r>
              <w:t xml:space="preserve"> partnerstvo s Kanadom koje se temelji na </w:t>
            </w:r>
            <w:r>
              <w:rPr>
                <w:b/>
                <w:i/>
              </w:rPr>
              <w:t>povjerenju, zajedničkim vrijednostima i zajedničkim interesima</w:t>
            </w:r>
            <w:r>
              <w:t>;</w:t>
            </w:r>
          </w:p>
        </w:tc>
        <w:tc>
          <w:tcPr>
            <w:tcW w:w="4876" w:type="dxa"/>
            <w:tcBorders>
              <w:top w:val="nil"/>
              <w:left w:val="nil"/>
              <w:bottom w:val="nil"/>
              <w:right w:val="nil"/>
            </w:tcBorders>
          </w:tcPr>
          <w:p>
            <w:pPr>
              <w:pStyle w:val="Normal6a"/>
            </w:pPr>
            <w:r>
              <w:t>(x)</w:t>
            </w:r>
            <w:r>
              <w:tab/>
            </w:r>
            <w:r>
              <w:t xml:space="preserve">nastave graditi </w:t>
            </w:r>
            <w:r>
              <w:rPr>
                <w:b/>
                <w:i/>
              </w:rPr>
              <w:t>pragmatično</w:t>
            </w:r>
            <w:r>
              <w:t xml:space="preserve"> partnerstvo s Kanadom koje se temelji na </w:t>
            </w:r>
            <w:r>
              <w:rPr>
                <w:b/>
                <w:i/>
              </w:rPr>
              <w:t>težnji za blagostanjem građana EU-a, a ne na globalnom aktivizmu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Geadis Geadi, Tobiasz Bocheński,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da nastave graditi istinsko ravnopravno partnerstvo s Kanadom koje se temelji na povjerenju</w:t>
            </w:r>
            <w:r>
              <w:rPr>
                <w:b/>
                <w:i/>
              </w:rPr>
              <w:t>, zajedničkim vrijednostima</w:t>
            </w:r>
            <w:r>
              <w:t xml:space="preserve"> i zajedničkim </w:t>
            </w:r>
            <w:r>
              <w:rPr>
                <w:b/>
                <w:i/>
              </w:rPr>
              <w:t>interesima</w:t>
            </w:r>
            <w:r>
              <w:t>;</w:t>
            </w:r>
          </w:p>
        </w:tc>
        <w:tc>
          <w:tcPr>
            <w:tcW w:w="4876" w:type="dxa"/>
            <w:tcBorders>
              <w:top w:val="nil"/>
              <w:left w:val="nil"/>
              <w:bottom w:val="nil"/>
              <w:right w:val="nil"/>
            </w:tcBorders>
          </w:tcPr>
          <w:p>
            <w:pPr>
              <w:pStyle w:val="Normal6a"/>
            </w:pPr>
            <w:r>
              <w:t>(x)</w:t>
            </w:r>
            <w:r>
              <w:tab/>
            </w:r>
            <w:r>
              <w:t xml:space="preserve">da nastave graditi istinsko ravnopravno partnerstvo s Kanadom koje se temelji na povjerenju i zajedničkim </w:t>
            </w:r>
            <w:r>
              <w:rPr>
                <w:b/>
                <w:i/>
              </w:rPr>
              <w:t>načelima i vrijednostima te vrijednostima ukorijenjenima u međunarodnom pravu i demokraciji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da nastave graditi istinsko ravnopravno partnerstvo s Kanadom koje se temelji na povjerenju</w:t>
            </w:r>
            <w:r>
              <w:rPr>
                <w:b/>
                <w:i/>
              </w:rPr>
              <w:t>, zajedničkim vrijednostima</w:t>
            </w:r>
            <w:r>
              <w:t xml:space="preserve"> i zajedničkim </w:t>
            </w:r>
            <w:r>
              <w:rPr>
                <w:b/>
                <w:i/>
              </w:rPr>
              <w:t>interesima</w:t>
            </w:r>
            <w:r>
              <w:t>;</w:t>
            </w:r>
          </w:p>
        </w:tc>
        <w:tc>
          <w:tcPr>
            <w:tcW w:w="4876" w:type="dxa"/>
            <w:tcBorders>
              <w:top w:val="nil"/>
              <w:left w:val="nil"/>
              <w:bottom w:val="nil"/>
              <w:right w:val="nil"/>
            </w:tcBorders>
          </w:tcPr>
          <w:p>
            <w:pPr>
              <w:pStyle w:val="Normal6a"/>
            </w:pPr>
            <w:r>
              <w:t>(x)</w:t>
            </w:r>
            <w:r>
              <w:tab/>
            </w:r>
            <w:r>
              <w:t xml:space="preserve">da nastave graditi istinsko ravnopravno partnerstvo s Kanadom koje se temelji na povjerenju i zajedničkim </w:t>
            </w:r>
            <w:r>
              <w:rPr>
                <w:b/>
                <w:i/>
              </w:rPr>
              <w:t>načelima i vrijednostima te vrijednostima ukorijenjenima u međunarodnom pravu i demokraciji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xa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da ojačaju multilateralno upravljanje Arktikom s Kanadom, uključujući suradnju u okviru Arktičkog vijeća, država promatrača i NATO-a, kako bi se poštovalo međunarodno pravo, pomorska sloboda i sprečavanje sukoba;</w:t>
            </w:r>
            <w:r>
              <w:t xml:space="preserve"> </w:t>
            </w:r>
            <w:r>
              <w:rPr>
                <w:b/>
                <w:i/>
              </w:rPr>
              <w:t>promiču inicijative pod vodstvom EU-a i Kanade za dijalog, odgovor na krizu i zajedničke vježbe;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da promiču sudjelovanje u inicijativama za suradnju ne samo sa središnjom vladom Kanade, već i s njezinim pokrajinskim vlastima i drugim relevantnim tijelima;</w:t>
            </w:r>
          </w:p>
        </w:tc>
        <w:tc>
          <w:tcPr>
            <w:tcW w:w="4876" w:type="dxa"/>
            <w:tcBorders>
              <w:top w:val="nil"/>
              <w:left w:val="nil"/>
              <w:bottom w:val="nil"/>
              <w:right w:val="nil"/>
            </w:tcBorders>
          </w:tcPr>
          <w:p>
            <w:pPr>
              <w:pStyle w:val="Normal6a"/>
            </w:pPr>
            <w:r>
              <w:t>(y)</w:t>
            </w:r>
            <w:r>
              <w:tab/>
            </w:r>
            <w:r>
              <w:t xml:space="preserve">da promiču sudjelovanje u inicijativama za suradnju ne samo sa središnjom vladom Kanade, već i s njezinim pokrajinskim </w:t>
            </w:r>
            <w:r>
              <w:rPr>
                <w:b/>
                <w:i/>
              </w:rPr>
              <w:t>i općinskim</w:t>
            </w:r>
            <w:r>
              <w:t xml:space="preserve"> vlastima i drugim relevantnim tijelima;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 – točka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da promiču sudjelovanje u inicijativama za suradnju </w:t>
            </w:r>
            <w:r>
              <w:rPr>
                <w:b/>
                <w:i/>
              </w:rPr>
              <w:t>ne samo</w:t>
            </w:r>
            <w:r>
              <w:t xml:space="preserve"> sa središnjom vladom Kanade</w:t>
            </w:r>
            <w:r>
              <w:rPr>
                <w:b/>
                <w:i/>
              </w:rPr>
              <w:t>, već i s njezinim pokrajinskim vlastima i drugim relevantnim tijelima</w:t>
            </w:r>
            <w:r>
              <w:t>;</w:t>
            </w:r>
          </w:p>
        </w:tc>
        <w:tc>
          <w:tcPr>
            <w:tcW w:w="4876" w:type="dxa"/>
            <w:tcBorders>
              <w:top w:val="nil"/>
              <w:left w:val="nil"/>
              <w:bottom w:val="nil"/>
              <w:right w:val="nil"/>
            </w:tcBorders>
          </w:tcPr>
          <w:p>
            <w:pPr>
              <w:pStyle w:val="Normal6a"/>
            </w:pPr>
            <w:r>
              <w:t>(y)</w:t>
            </w:r>
            <w:r>
              <w:tab/>
            </w:r>
            <w:r>
              <w:t xml:space="preserve">da promiču sudjelovanje u inicijativama za suradnju sa središnjom vladom Kanade </w:t>
            </w:r>
            <w:r>
              <w:rPr>
                <w:b/>
                <w:i/>
              </w:rPr>
              <w:t>isključivo u sektorima u kojima je suradnja uzajamno korisna i financijski učinkovita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779.608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93</w:t>
    </w:r>
    <w:r>
      <w:fldChar w:fldCharType="end"/>
    </w:r>
    <w:r>
      <w:tab/>
    </w:r>
    <w:r>
      <w:rPr>
        <w:rStyle w:val="HideTWBExt"/>
      </w:rPr>
      <w:t>&lt;PathFdR&gt;</w:t>
    </w:r>
    <w:r>
      <w:t>AM\1331859HR.docx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AM\1331859HR.docx</w:t>
    </w:r>
    <w:r>
      <w:rPr>
        <w:rStyle w:val="HideTWBExt"/>
      </w:rPr>
      <w:t>&lt;/PathFdR&gt;</w:t>
    </w:r>
    <w:r>
      <w:tab/>
    </w:r>
    <w:r>
      <w:fldChar w:fldCharType="begin"/>
    </w:r>
    <w:r>
      <w:instrText xml:space="preserve"> PAGE </w:instrText>
    </w:r>
    <w:r>
      <w:fldChar w:fldCharType="separate"/>
    </w:r>
    <w:r>
      <w:t>93</w:t>
    </w:r>
    <w:r>
      <w:fldChar w:fldCharType="end"/>
    </w:r>
    <w:r>
      <w:t>/</w:t>
    </w:r>
    <w:r>
      <w:fldChar w:fldCharType="begin"/>
    </w:r>
    <w:r>
      <w:instrText xml:space="preserve"> NUMPAGES </w:instrText>
    </w:r>
    <w:r>
      <w:fldChar w:fldCharType="separate"/>
    </w:r>
    <w:r>
      <w:t>93</w:t>
    </w:r>
    <w:r>
      <w:fldChar w:fldCharType="end"/>
    </w:r>
    <w:r>
      <w:tab/>
    </w:r>
    <w:r>
      <w:t>PE</w:t>
    </w:r>
    <w:r>
      <w:rPr>
        <w:rStyle w:val="HideTWBExt"/>
      </w:rPr>
      <w:t>&lt;NoPE&gt;</w:t>
    </w:r>
    <w:r>
      <w:t>779.608</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AM\1331859HR.docx</w:t>
    </w:r>
    <w:r>
      <w:rPr>
        <w:rStyle w:val="HideTWBExt"/>
      </w:rPr>
      <w:t>&lt;/PathFdR&gt;</w:t>
    </w:r>
    <w:r>
      <w:tab/>
    </w:r>
    <w:r>
      <w:tab/>
    </w:r>
    <w:r>
      <w:t>PE</w:t>
    </w:r>
    <w:r>
      <w:rPr>
        <w:rStyle w:val="HideTWBExt"/>
      </w:rPr>
      <w:t>&lt;NoPE&gt;</w:t>
    </w:r>
    <w:r>
      <w:t>779.608</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93</Pages>
  <Words>16470</Words>
  <Characters>101438</Characters>
  <Application>Microsoft Office Word</Application>
  <DocSecurity>0</DocSecurity>
  <Lines>1</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296061</vt:lpwstr>
  </property>
  <property fmtid="{D5CDD505-2E9C-101B-9397-08002B2CF9AE}" pid="7" name="dmxml.render.traceId">
    <vt:lpwstr>6926ef4b3b16eccd3d2d960b52a6bc9b</vt:lpwstr>
  </property>
  <property fmtid="{D5CDD505-2E9C-101B-9397-08002B2CF9AE}" pid="8" name="FooterPath">
    <vt:lpwstr>AM\1331859HR.docx</vt:lpwstr>
  </property>
  <property fmtid="{D5CDD505-2E9C-101B-9397-08002B2CF9AE}" pid="9" name="PE Number">
    <vt:lpwstr>779.608</vt:lpwstr>
  </property>
  <property fmtid="{D5CDD505-2E9C-101B-9397-08002B2CF9AE}" pid="10" name="UID">
    <vt:lpwstr>eu.europa.europarl-DIN1-2025-0000217634_01.00-hr-01.00_text-xml</vt:lpwstr>
  </property>
</Properties>
</file>