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Külügyi Bizottság</w:t>
      </w:r>
      <w:r>
        <w:rPr>
          <w:rStyle w:val="HideTWBExt"/>
        </w:rPr>
        <w:t>&lt;/Commission&gt;</w:t>
      </w:r>
    </w:p>
    <w:p>
      <w:pPr>
        <w:pStyle w:val="LineBottom"/>
      </w:pPr>
      <w:r>
        <w:t xml:space="preserve"> </w:t>
      </w:r>
    </w:p>
    <w:p>
      <w:pPr>
        <w:pStyle w:val="CoverReference"/>
      </w:pPr>
      <w:r>
        <w:rPr>
          <w:rStyle w:val="HideTWBExt"/>
        </w:rPr>
        <w:t>&lt;RefProc&gt;</w:t>
      </w:r>
      <w:r>
        <w:t>2025/2167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{20/02/2026}</w:t>
      </w:r>
      <w:r>
        <w:t>20.2.2026</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w:t>
      </w:r>
      <w:r>
        <w:t xml:space="preserve"> - </w:t>
      </w:r>
      <w:r>
        <w:t>243</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Andrey Kovatchev</w:t>
      </w:r>
      <w:r>
        <w:rPr>
          <w:rStyle w:val="HideTWBExt"/>
        </w:rPr>
        <w:t>&lt;/Rapporteur&gt;</w:t>
      </w:r>
    </w:p>
    <w:p>
      <w:pPr>
        <w:pStyle w:val="CoverNormal24a"/>
      </w:pPr>
      <w:r>
        <w:rPr>
          <w:rStyle w:val="HideTWBExt"/>
        </w:rPr>
        <w:t>&lt;DocRefPE&gt;</w:t>
      </w:r>
      <w:r>
        <w:t>(PE778.304v01-00)</w:t>
      </w:r>
      <w:r>
        <w:rPr>
          <w:rStyle w:val="HideTWBExt"/>
        </w:rPr>
        <w:t>&lt;/DocRefPE&gt;</w:t>
      </w:r>
    </w:p>
    <w:p>
      <w:pPr>
        <w:pStyle w:val="CoverNormal"/>
      </w:pPr>
      <w:r>
        <w:rPr>
          <w:rStyle w:val="HideTWBExt"/>
        </w:rPr>
        <w:t>&lt;Titre&gt;</w:t>
      </w:r>
      <w:r>
        <w:t>Ajánlás a Tanácsnak, a Bizottságnak és a Bizottság alelnökének/az Unió külügyi és biztonságpolitikai főképviselőjének az Egyesült Nemzetek Szervezete Közgyűlésének 81. ülésszakáról</w:t>
      </w:r>
      <w:r>
        <w:rPr>
          <w:rStyle w:val="HideTWBExt"/>
        </w:rPr>
        <w:t>&lt;/Titre&gt;</w:t>
      </w:r>
    </w:p>
    <w:p>
      <w:pPr>
        <w:pStyle w:val="CoverNormal24a"/>
      </w:pPr>
      <w:r>
        <w:rPr>
          <w:rStyle w:val="HideTWBExt"/>
        </w:rPr>
        <w:t>&lt;DocRef&gt;</w:t>
      </w:r>
      <w:r>
        <w:t>(2025/2167(INI))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tekintettel az Egyesült Nemzetek Szervezete Közgyűlésének 80. ülésszakára,</w:t>
            </w:r>
          </w:p>
        </w:tc>
        <w:tc>
          <w:tcPr>
            <w:tcW w:w="4876" w:type="dxa"/>
            <w:tcBorders>
              <w:top w:val="nil"/>
              <w:left w:val="nil"/>
              <w:bottom w:val="nil"/>
              <w:right w:val="nil"/>
            </w:tcBorders>
          </w:tcPr>
          <w:p>
            <w:pPr>
              <w:pStyle w:val="Normal6a"/>
            </w:pPr>
            <w:r>
              <w:rPr>
                <w:b/>
                <w:i/>
              </w:rPr>
              <w:t>–</w:t>
            </w:r>
            <w:r>
              <w:tab/>
            </w:r>
            <w:r>
              <w:t xml:space="preserve">tekintettel az Egyesült Nemzetek Szervezete Közgyűlésének 80.ülésszakára, </w:t>
            </w:r>
            <w:r>
              <w:rPr>
                <w:b/>
                <w:i/>
              </w:rPr>
              <w:t>valamint a főtitkárnak az ENSZ 80. évfordulójára vonatkozó üzenetére,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Emberi Jogok Egyetemes Nyilatkozatára, különösen annak preambulumára és 18. cikkére, valamint az ahhoz kapcsolódó emberi jogi ENSZ-egyezményekre és azok fakultatív jegyzőkönyveire,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ENSZ Közgyűlésének Ukrajna területi integritásáról szóló, 2022. október 12-i ES-11/4. sz. határozatára,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ENSZ80-kezdeményezés 2025. november 21-i akciótervére,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a közös kül- és biztonságpolitika végrehajtásáról szóló, valamint „Az emberi jogok és a demokrácia helyzete a világban és az Európai Unió ezzel kapcsolatos politikája – 2025. évi éves jelentés” című, 2026. január 21-i állásfoglalásaira,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Fegyverkereskedelmi Szerződésre (ATT),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c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nőkkel szemben alkalmazott hátrányos megkülönböztetés minden formájának kiküszöböléséről szóló ENSZ-egyezményre,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d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ENSZ 2030-ig tartó időszakra vonatkozó fenntartható fejlődési menetrendjére és a fenntartható fejlődési célokra,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2758. sz. ENSZ-határozatnak a Kínai Népköztársaság általi félreértelmezéséről és Tajvan körüli folyamatos katonai provokációiról szóló, 2024. október 24-i állásfoglalására,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António Costa elnök szóbeli következtetéseire az Európai Tanács tagjainak 2026. január 22-i, nem hivatalos ülését követően,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Európai Biztonsági és Együttműködési Értekezlet 1975. augusztus 1-jén aláírt záróokmányára (Helsinki Záróokmány),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ENSZ Biztonsági Tanácsának a nőkről, a békéről és a biztonságról szóló 2000. október 18-i, 1325. sz. határozatára,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ENSZ Biztonsági Tanácsának a gázai tűzszüneti terv elfogadásáról szóló 2025. november 17-i, 2803. sz. határozatára,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mivel </w:t>
            </w:r>
            <w:r>
              <w:rPr>
                <w:b/>
                <w:i/>
              </w:rPr>
              <w:t>a jelenlegi geopolitikai környezetben</w:t>
            </w:r>
            <w:r>
              <w:t xml:space="preserve"> döntő fontosságú </w:t>
            </w:r>
            <w:r>
              <w:rPr>
                <w:b/>
                <w:i/>
              </w:rPr>
              <w:t>a szabályokon alapuló nemzetközi rend fenntartása és megerősítése, valamint a kormányközi szervezetek</w:t>
            </w:r>
            <w:r>
              <w:t xml:space="preserve"> hatékony működésének biztosítása;</w:t>
            </w:r>
          </w:p>
        </w:tc>
        <w:tc>
          <w:tcPr>
            <w:tcW w:w="4876" w:type="dxa"/>
            <w:tcBorders>
              <w:top w:val="nil"/>
              <w:left w:val="nil"/>
              <w:bottom w:val="nil"/>
              <w:right w:val="nil"/>
            </w:tcBorders>
          </w:tcPr>
          <w:p>
            <w:pPr>
              <w:pStyle w:val="Normal6a"/>
            </w:pPr>
            <w:r>
              <w:t>A.</w:t>
            </w:r>
            <w:r>
              <w:tab/>
            </w:r>
            <w:r>
              <w:t xml:space="preserve">mivel döntő fontosságú </w:t>
            </w:r>
            <w:r>
              <w:rPr>
                <w:b/>
                <w:i/>
              </w:rPr>
              <w:t>az ENSZ-szervezetek</w:t>
            </w:r>
            <w:r>
              <w:t xml:space="preserve"> hatékony működésének biztosítása; </w:t>
            </w:r>
            <w:r>
              <w:rPr>
                <w:b/>
                <w:i/>
              </w:rPr>
              <w:t>mivel az Egyesült Nemzetek Szervezete a globális jelentőségű kérdések megvitatásának elsődleges fóruma, és el kell kerülni az Európai Unió általi párhuzamos 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mivel a demokrácia, annak rendszerei, normái és értékei a jelenlegi multilaterális rendszer alapvető pillérei;</w:t>
            </w:r>
            <w:r>
              <w:t xml:space="preserve"> </w:t>
            </w:r>
            <w:r>
              <w:rPr>
                <w:b/>
                <w:i/>
              </w:rPr>
              <w:t>mivel a multilateralizmust a demokráciák szorgalmazzák, és a demokráciák általában támogatják a kölcsönös előnyökkel járó multilateralizmust;</w:t>
            </w:r>
            <w:r>
              <w:t xml:space="preserve"> </w:t>
            </w:r>
            <w:r>
              <w:rPr>
                <w:b/>
                <w:i/>
              </w:rPr>
              <w:t>mivel az érett demokratikus rendszerekként értelmezett demokráciák világa összességében biztonságosabb világ, tekintettel jelentős fékeikre és ellensúlyaikra, amelyek megakadályozzák az önkényuralmak nemzetközi környezetben tanúsított kiszámíthatatlan magatartását;</w:t>
            </w:r>
            <w:r>
              <w:t xml:space="preserve"> </w:t>
            </w:r>
            <w:r>
              <w:rPr>
                <w:b/>
                <w:i/>
              </w:rPr>
              <w:t>mivel a demokráciát a nemzetközi színtéren autoriter, totalitárius és illiberális rezsimek ostromolják, határaikon belül és kívül egyaránt támadást intézve ellene;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mivel a multilaterális rendszer egyre növekvő fenyegetésekkel néz szembe, például a globális béke- és biztonsági struktúra, többek között az ENSZ Biztonsági Tanácsa (ENSZ BT) elleni orosz támadásokkal, Kína növekvő befolyásával és az Egyesült Államok nemzetközi szervezetekben való részvételének átalakításával, valamint az olyan kritikus területeket érintő finanszírozás csökkentésével, mint a humanitárius segítségnyújtás, az oktatás, az egészségügy és a békeépítés;</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multilaterális rendszer egyre növekvő fenyegetésekkel néz szembe, például a </w:t>
            </w:r>
            <w:r>
              <w:rPr>
                <w:b/>
                <w:i/>
              </w:rPr>
              <w:t>globális béke- és biztonsági struktúra, többek között az ENSZ Biztonsági Tanácsa (ENSZ BT) elleni orosz támadásokkal, Kína növekvő befolyásával és az Egyesült Államok</w:t>
            </w:r>
            <w:r>
              <w:t xml:space="preserve"> nemzetközi </w:t>
            </w:r>
            <w:r>
              <w:rPr>
                <w:b/>
                <w:i/>
              </w:rPr>
              <w:t>szervezetekben való részvételének átalakításával</w:t>
            </w:r>
            <w:r>
              <w:t xml:space="preserve">, valamint az </w:t>
            </w:r>
            <w:r>
              <w:rPr>
                <w:b/>
                <w:i/>
              </w:rPr>
              <w:t>olyan kritikus területeket érintő finanszírozás csökkentésével, mint a humanitárius segítségnyújtás, az oktatás, az egészségügy és a békeépítés</w:t>
            </w:r>
            <w:r>
              <w:t>;</w:t>
            </w:r>
          </w:p>
        </w:tc>
        <w:tc>
          <w:tcPr>
            <w:tcW w:w="4876" w:type="dxa"/>
            <w:tcBorders>
              <w:top w:val="nil"/>
              <w:left w:val="nil"/>
              <w:bottom w:val="nil"/>
              <w:right w:val="nil"/>
            </w:tcBorders>
          </w:tcPr>
          <w:p>
            <w:pPr>
              <w:pStyle w:val="Normal6a"/>
            </w:pPr>
            <w:r>
              <w:t>B.</w:t>
            </w:r>
            <w:r>
              <w:tab/>
            </w:r>
            <w:r>
              <w:t xml:space="preserve">mivel a multilaterális rendszer egyre növekvő fenyegetésekkel néz szembe, például a nemzetközi </w:t>
            </w:r>
            <w:r>
              <w:rPr>
                <w:b/>
                <w:i/>
              </w:rPr>
              <w:t>joggal ellentétes egyoldalú politikák terjedése, a militarizmus erősödése, a geopolitikai blokkok közötti feszültségek fokozódása</w:t>
            </w:r>
            <w:r>
              <w:t xml:space="preserve">, valamint az </w:t>
            </w:r>
            <w:r>
              <w:rPr>
                <w:b/>
                <w:i/>
              </w:rPr>
              <w:t>ENSZ e számos válságnak betudható működésképtelensége miatt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multilaterális rendszer egyre növekvő fenyegetésekkel néz szembe, </w:t>
            </w:r>
            <w:r>
              <w:rPr>
                <w:b/>
                <w:i/>
              </w:rPr>
              <w:t>például</w:t>
            </w:r>
            <w:r>
              <w:t xml:space="preserve"> a globális béke- és biztonsági struktúra, többek között az ENSZ Biztonsági Tanácsa (ENSZ BT) elleni </w:t>
            </w:r>
            <w:r>
              <w:rPr>
                <w:b/>
                <w:i/>
              </w:rPr>
              <w:t>orosz támadásokkal</w:t>
            </w:r>
            <w:r>
              <w:t xml:space="preserve">, Kína növekvő </w:t>
            </w:r>
            <w:r>
              <w:rPr>
                <w:b/>
                <w:i/>
              </w:rPr>
              <w:t>befolyásával és az Egyesült Államok nemzetközi szervezetekben való részvételének átalakításával, valamint az olyan kritikus területeket érintő finanszírozás csökkentésével, mint a humanitárius segítségnyújtás, az oktatás, az egészségügy és a békeépítés</w:t>
            </w:r>
            <w:r>
              <w:t>;</w:t>
            </w:r>
          </w:p>
        </w:tc>
        <w:tc>
          <w:tcPr>
            <w:tcW w:w="4876" w:type="dxa"/>
            <w:tcBorders>
              <w:top w:val="nil"/>
              <w:left w:val="nil"/>
              <w:bottom w:val="nil"/>
              <w:right w:val="nil"/>
            </w:tcBorders>
          </w:tcPr>
          <w:p>
            <w:pPr>
              <w:pStyle w:val="Normal6a"/>
            </w:pPr>
            <w:r>
              <w:t>B.</w:t>
            </w:r>
            <w:r>
              <w:tab/>
            </w:r>
            <w:r>
              <w:t xml:space="preserve">mivel a multilaterális rendszer egyre növekvő fenyegetésekkel néz szembe, </w:t>
            </w:r>
            <w:r>
              <w:rPr>
                <w:b/>
                <w:i/>
              </w:rPr>
              <w:t>különösen Oroszország Ukrajna elleni agressziós háborújának és</w:t>
            </w:r>
            <w:r>
              <w:t xml:space="preserve"> a globális béke- és biztonsági struktúra, többek között az ENSZ Biztonsági Tanácsa (ENSZ BT) elleni </w:t>
            </w:r>
            <w:r>
              <w:rPr>
                <w:b/>
                <w:i/>
              </w:rPr>
              <w:t>egyéb támadásainak</w:t>
            </w:r>
            <w:r>
              <w:t xml:space="preserve">, </w:t>
            </w:r>
            <w:r>
              <w:rPr>
                <w:b/>
                <w:i/>
              </w:rPr>
              <w:t>valamint</w:t>
            </w:r>
            <w:r>
              <w:t xml:space="preserve"> Kína növekvő </w:t>
            </w:r>
            <w:r>
              <w:rPr>
                <w:b/>
                <w:i/>
              </w:rPr>
              <w:t>befolyásának következtében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multilaterális rendszer egyre növekvő fenyegetésekkel néz szembe, például a globális béke- és biztonsági struktúra, többek között az ENSZ Biztonsági Tanácsa (ENSZ BT) elleni orosz támadásokkal, Kína növekvő befolyásával és az Egyesült Államok nemzetközi szervezetekben való részvételének </w:t>
            </w:r>
            <w:r>
              <w:rPr>
                <w:b/>
                <w:i/>
              </w:rPr>
              <w:t>átalakításával</w:t>
            </w:r>
            <w:r>
              <w:t>, valamint az olyan kritikus területeket érintő finanszírozás csökkentésével, mint a humanitárius segítségnyújtás, az oktatás, az egészségügy és a békeépítés;</w:t>
            </w:r>
          </w:p>
        </w:tc>
        <w:tc>
          <w:tcPr>
            <w:tcW w:w="4876" w:type="dxa"/>
            <w:tcBorders>
              <w:top w:val="nil"/>
              <w:left w:val="nil"/>
              <w:bottom w:val="nil"/>
              <w:right w:val="nil"/>
            </w:tcBorders>
          </w:tcPr>
          <w:p>
            <w:pPr>
              <w:pStyle w:val="Normal6a"/>
            </w:pPr>
            <w:r>
              <w:t>B.</w:t>
            </w:r>
            <w:r>
              <w:tab/>
            </w:r>
            <w:r>
              <w:t xml:space="preserve">mivel a multilaterális rendszer egyre növekvő fenyegetésekkel néz szembe, például a globális béke- és biztonsági struktúra, többek között az ENSZ Biztonsági Tanácsa (ENSZ BT) elleni orosz támadásokkal, Kína növekvő befolyásával és az Egyesült Államok nemzetközi szervezetekben való részvételének </w:t>
            </w:r>
            <w:r>
              <w:rPr>
                <w:b/>
                <w:i/>
              </w:rPr>
              <w:t>visszavonásával</w:t>
            </w:r>
            <w:r>
              <w:t xml:space="preserve">, valamint az olyan kritikus területeket érintő finanszírozás csökkentésével, mint a humanitárius segítségnyújtás, az oktatás, az egészségügy és a békeépítés; </w:t>
            </w:r>
            <w:r>
              <w:rPr>
                <w:b/>
                <w:i/>
              </w:rPr>
              <w:t>mivel az, hogy az ENSZ Biztonsági Tanácsa és annak állandó tagjai képtelenek fellépni az ENSZ Alapokmányának súlyos megsértése esetén, hozzájárult az ENSZ egészével szembeni nyilvános kritikák erősödéséhez;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mivel a multilaterális rendszer egyre növekvő fenyegetésekkel néz szembe, például a globális béke- és biztonsági struktúra, többek között az ENSZ Biztonsági Tanácsa (ENSZ BT) elleni orosz támadásokkal, Kína növekvő befolyásával és az Egyesült Államok nemzetközi </w:t>
            </w:r>
            <w:r>
              <w:rPr>
                <w:b/>
                <w:i/>
              </w:rPr>
              <w:t>szervezetekben való részvételének átalakításával</w:t>
            </w:r>
            <w:r>
              <w:t>, valamint az olyan kritikus területeket érintő finanszírozás csökkentésével, mint a humanitárius segítségnyújtás, az oktatás, az egészségügy és a békeépítés;</w:t>
            </w:r>
          </w:p>
        </w:tc>
        <w:tc>
          <w:tcPr>
            <w:tcW w:w="4876" w:type="dxa"/>
            <w:tcBorders>
              <w:top w:val="nil"/>
              <w:left w:val="nil"/>
              <w:bottom w:val="nil"/>
              <w:right w:val="nil"/>
            </w:tcBorders>
          </w:tcPr>
          <w:p>
            <w:pPr>
              <w:pStyle w:val="Normal6a"/>
            </w:pPr>
            <w:r>
              <w:t>B.</w:t>
            </w:r>
            <w:r>
              <w:tab/>
            </w:r>
            <w:r>
              <w:t xml:space="preserve">mivel a multilaterális rendszer egyre növekvő fenyegetésekkel néz szembe, például a globális béke- és biztonsági struktúra, többek között az ENSZ Biztonsági Tanácsa (ENSZ BT) elleni orosz támadásokkal, Kína növekvő befolyásával és az Egyesült Államok nemzetközi </w:t>
            </w:r>
            <w:r>
              <w:rPr>
                <w:b/>
                <w:i/>
              </w:rPr>
              <w:t>szervezetekből való aktív kivonulásával</w:t>
            </w:r>
            <w:r>
              <w:t>, valamint az olyan kritikus területeket érintő finanszírozás csökkentésével, mint a humanitárius segítségnyújtás, az oktatás, az egészségügy és a békeépítés;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mivel a multilaterális rendszer egyre növekvő fenyegetésekkel néz szembe, például a globális béke- és biztonsági struktúra, többek között az ENSZ Biztonsági Tanácsa (ENSZ BT) elleni orosz támadásokkal, Kína növekvő befolyásával és az Egyesült Államok nemzetközi szervezetekben való részvételének átalakításával, valamint az olyan kritikus területeket érintő finanszírozás csökkentésével, mint a humanitárius segítségnyújtás, az oktatás, az egészségügy és a békeépítés;</w:t>
            </w:r>
          </w:p>
        </w:tc>
        <w:tc>
          <w:tcPr>
            <w:tcW w:w="4876" w:type="dxa"/>
            <w:tcBorders>
              <w:top w:val="nil"/>
              <w:left w:val="nil"/>
              <w:bottom w:val="nil"/>
              <w:right w:val="nil"/>
            </w:tcBorders>
          </w:tcPr>
          <w:p>
            <w:pPr>
              <w:pStyle w:val="Normal6a"/>
            </w:pPr>
            <w:r>
              <w:t>B.</w:t>
            </w:r>
            <w:r>
              <w:tab/>
            </w:r>
            <w:r>
              <w:t xml:space="preserve">mivel a multilaterális rendszer egyre növekvő fenyegetésekkel néz szembe, például a globális béke- és biztonsági struktúra, többek között az ENSZ Biztonsági Tanácsa (ENSZ BT) elleni orosz támadásokkal, Kína növekvő befolyásával és az Egyesült Államok nemzetközi szervezetekben való részvételének </w:t>
            </w:r>
            <w:r>
              <w:rPr>
                <w:b/>
                <w:i/>
              </w:rPr>
              <w:t>sajnálatos</w:t>
            </w:r>
            <w:r>
              <w:t xml:space="preserve"> átalakításával, valamint az olyan kritikus területeket érintő finanszírozás csökkentésével, mint a humanitárius segítségnyújtás, az oktatás, az </w:t>
            </w:r>
            <w:r>
              <w:rPr>
                <w:b/>
                <w:i/>
              </w:rPr>
              <w:t>éghajlatváltozás, a hibrid fenyegetések, a nemzetközi jog, az</w:t>
            </w:r>
            <w:r>
              <w:t xml:space="preserve"> egészségügy és a békeépítés; </w:t>
            </w:r>
            <w:r>
              <w:rPr>
                <w:b/>
                <w:i/>
              </w:rPr>
              <w:t>mivel a multilaterális rendszer elleni támadások demokratikus országokból és az EU (természetes) szövetségeseitől is érkeznek;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az ENSZ Alapokmányának széles körű megsértése – ideértve az agressziót és a területi integritás megsértését, például Oroszország Ukrajna elleni jogellenes agressziós háborúját – súlyos fenyegetést jelent a nemzetközi békére és biztonságra;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mivel az Európai Unió továbbra is elkötelezett az ENSZ Alapokmánya és annak szabályai és elvei, többek között a szuverenitás, a területi integritás és az önrendelkezés, valamint az emberi jogok és alapvető szabadságok iránt, és határozottan támogatja a nemzetközi jogra épülő multilaterális rendszert, amelynek középpontjában az ENSZ áll;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 Donald Trump elnök vezette amerikai kormányzat aktívan részt vesz a multilateralizmus és a szabályokon alapuló nemzetközi rend szisztematikus megtámadásában, többek között a nemzetközi intézmények szándékos gyengítésével, egyoldalú döntéshozatallal, valamint a politikai, gazdasági és pénzügyi hatalom eszközként való felhasználásával, amely aláássa a kollektív globális kormányzást;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f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mivel a Grönland és Dánia szuverenitását és területi integritását fenyegető nyilatkozatok és fellépések a nemzetközi jog alapvető elveinek, többek között a szuverenitás, a területi integritás és az önrendelkezés tiszteletben tartásának megsértését jelentik, és hozzájárulnak a kényszerítő diplomácia normalizálásához;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mivel az ENSZ Közgyűlésének legutóbbi ülésén Donald Trump, az Egyesült Államok elnöke nyíltan megtámadta az ENSZ rendszerét, és megkérdőjelezte annak legitimitását és hatékonyságát;</w:t>
            </w:r>
            <w:r>
              <w:t xml:space="preserve"> </w:t>
            </w:r>
            <w:r>
              <w:rPr>
                <w:b/>
                <w:i/>
              </w:rPr>
              <w:t>mivel az ENSZ Biztonsági Tanácsának 2803. sz. határozata jóváhagyta a Béketanács létrehozását Gáza újjáépítéséért felelős ideiglenes és szigorúan átmeneti közigazgatási szerveként;</w:t>
            </w:r>
            <w:r>
              <w:t xml:space="preserve"> </w:t>
            </w:r>
            <w:r>
              <w:rPr>
                <w:b/>
                <w:i/>
              </w:rPr>
              <w:t>mivel ezt követően Trump elnök nyilvánosan bejelentette, hogy a Béketanácsot állandó megbízatással és kiterjesztett földrajzi és funkcionális hatókörrel kívánja felruházni, amely messze túlmutat Gázán, anélkül, hogy az ENSZ vagy tagállamai újból jóváhagynák azt;</w:t>
            </w:r>
            <w:r>
              <w:t xml:space="preserve"> </w:t>
            </w:r>
            <w:r>
              <w:rPr>
                <w:b/>
                <w:i/>
              </w:rPr>
              <w:t>mivel az Egyesült Államok kormánya által nyilvánosan hozzáférhetővé tett, a Béketanács létrehozásával kapcsolatos dokumentumok és alapokmány-tervezetek egy, az ENSZ-rendszeren kívül működő új nemzetközi szervezet létrehozását irányozzák elő, amelynek tagságát kizárólag meghívás alapján, egy élethosszig tartó elnöki tisztséget betöltő, önjelölt személy döntése szerint határoznák meg, eltérve a multilateralizmus, az államok egyenlősége és a demokratikus kormányzás elfogadott elveitől;</w:t>
            </w:r>
            <w:r>
              <w:t xml:space="preserve"> </w:t>
            </w:r>
            <w:r>
              <w:rPr>
                <w:b/>
                <w:i/>
              </w:rPr>
              <w:t>mivel ezek a tervezetek továbbá kötelező pénzügyi hozzájárulások, díjak vagy „részvételi költségek” kivetését is előirányozzák az érintett lakosságra és a részt vevő szervezetekre, képviselői hozzájárulás, parlamenti felügyelet vagy átlátható költségvetési ellenőrzés nélkül, ami komoly aggályokat vet fel a jogszerűség, az elszámoltathatóság és a lehetséges visszaélések tekintetében;</w:t>
            </w:r>
            <w:r>
              <w:t xml:space="preserve"> </w:t>
            </w:r>
            <w:r>
              <w:rPr>
                <w:b/>
                <w:i/>
              </w:rPr>
              <w:t>mivel a Béketanács javasolt irányítási struktúrája a jelek szerint lehetővé teszi a politikai hovatartozás vagy stratégiai érdekek alapján történő szelektív részvételt és kizárást, ezáltal intézményesítve a nemzetközi emberi jogi jogszabályokkal, az ENSZ Alapokmányával és az államok szuverén egyenlőségének elvével összeegyeztethetetlen hátrányos megkülönböztetés elvét;</w:t>
            </w:r>
            <w:r>
              <w:t xml:space="preserve"> </w:t>
            </w:r>
            <w:r>
              <w:rPr>
                <w:b/>
                <w:i/>
              </w:rPr>
              <w:t>mivel a bírósági felülvizsgálati mechanizmusok, a független felügyelet és a hatalom egyértelműen meghatározott korlátai hiányában felmerül a kockázat, hogy a Béketanács ellenőrizetlen végrehajtói, igazgatási és pénzügyi hatásköröket kap, ami aláássa a jogállamiságot és precedenst teremt a nemzetközi konszenzus nélkül bevezetett párhuzamos irányítási struktúrák számára;</w:t>
            </w:r>
            <w:r>
              <w:t xml:space="preserve"> </w:t>
            </w:r>
            <w:r>
              <w:rPr>
                <w:b/>
                <w:i/>
              </w:rPr>
              <w:t>mivel a Béketanács összetétele és szervezete nagy bizonytalanságot jelent a palesztinok tényleges részvételét és cselekvőképességét illetően az újjáépítési folyamatban, valamint saját jövőjük alakításában, ami ellentétes az ENSZ BT 2803. számú határozatában meghatározott célokkal;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g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mivel 2025 augusztusában a Trump-kormány megtiltotta Mahmúd Abbász palesztin elnöknek és 80 palesztin tisztviselőnek, hogy részt vegyenek a világ vezetői által az ENSZ Közgyűlésén New Yorkban tartott találkozón;</w:t>
            </w:r>
            <w:r>
              <w:t xml:space="preserve"> </w:t>
            </w:r>
            <w:r>
              <w:rPr>
                <w:b/>
                <w:i/>
              </w:rPr>
              <w:t>mivel ez a döntés az ENSZ-rendszer alapját képező inkluzivitás és egyetemesség elveinek súlyos és elfogadhatatlan megsértése, aláássa az ENSZ mint a békés párbeszéd fórumának hitelességét, és kísérletet jelent egy nép politikai képviselethez való jogának, valamint a gázai és a közel-keleti béke előmozdítására irányuló törekvések delegitimálására;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d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mivel a kereskedelem, a vámok és a szankciók multilaterális kereteken kívüli, egyoldalú intézkedésekkel történő, fegyverként való felhasználása aláássa a Kereskedelmi Világszervezetet, széttöri a globális gazdaságot, súlyosbítja a globális egyenlőtlenségeket, és aránytalanul nagy mértékben károsítja a fejlődő országokat és a kiszolgáltatott lakosságot;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e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mivel a kulcsfontosságú multilaterális szervezetek és fórumok – többek között az Egészségügyi Világszervezet (WHO), az UNRWA, az UNESCO, az ENSZ Emberi Jogi Tanácsa és az UNFCCC keretében működő éghajlat-politikai mechanizmusok – finanszírozásának csökkentése és az ezekből való kivonulás jelentősen gyengítette a nemzetközi közösség képességét arra, hogy hatékonyan reagáljon a humanitárius válságokra, a globális egészségügyi fenyegetésekre, az emberi jogi jogsértésekre és az éghajlatváltozásra;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mivel a globalizáció és az olyan jelentős kihívások, mint például az éghajlatváltozás, a migrációs áramlások kezelése, a tömegpusztító fegyverek elterjedésének megakadályozása, a világjárványok, a terrorizmus, valamint a szervezett bűnözés és a kábítószer-kereskedelem elleni küzdelem multilaterális válaszlépéseket igényelnek;</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 nemzetközi jog és az ENSZ Alapokmánya elveinek tiszteletben tartása az EU külső tevékenységének alapelvei közé tartozik;</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mivel az ENSZ Biztonsági Tanácsa a nemzetközi béke és biztonság fenntartása szempontjából rendkívül fontos szerv, amelynek a jelenlegi kihívások komolysága és összetettsége miatt hatékonyabb és határozottabb szerepet kell játszania;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az ENSZ-rendszer a jelenlegi multilaterális rendszer sarokköve;</w:t>
            </w:r>
            <w:r>
              <w:t xml:space="preserve"> </w:t>
            </w:r>
            <w:r>
              <w:rPr>
                <w:b/>
                <w:i/>
              </w:rPr>
              <w:t>mivel továbbra is ez a legmegfelelőbb keret a béke, az emberi jogok és a fenntartható fejlődés globális szintű előmozdítására irányuló alapvető ENSZ-célok megvalósításához;</w:t>
            </w:r>
            <w:r>
              <w:t xml:space="preserve"> </w:t>
            </w:r>
            <w:r>
              <w:rPr>
                <w:b/>
                <w:i/>
              </w:rPr>
              <w:t>mivel az ENSZ-rendszer strukturális kifáradást tapasztalhat, részben amiatt, hogy nem alkalmazkodott az elveit osztó új nemzetközi szereplőkhöz, például az EU-hoz;</w:t>
            </w:r>
            <w:r>
              <w:t xml:space="preserve"> </w:t>
            </w:r>
            <w:r>
              <w:rPr>
                <w:b/>
                <w:i/>
              </w:rPr>
              <w:t>mivel az ENSZ-rendszert meg kell reformálni annak biztosításához, hogy az alkalmas legyen céljai elérésére;</w:t>
            </w:r>
            <w:r>
              <w:t xml:space="preserve"> </w:t>
            </w:r>
            <w:r>
              <w:rPr>
                <w:b/>
                <w:i/>
              </w:rPr>
              <w:t>mivel az ENSZ80-kezdeményezés üdvözlendő, de fennáll a veszélye annak, hogy költségvetés-átcsoportosítási gyakorlattá válik, többek között egyes államok, például az Egyesült Államok önkéntes hozzájárulásainak csökkenése miatt;</w:t>
            </w:r>
            <w:r>
              <w:t xml:space="preserve"> </w:t>
            </w:r>
            <w:r>
              <w:rPr>
                <w:b/>
                <w:i/>
              </w:rPr>
              <w:t>mivel ez a költségvetés-átcsoportosítás veszélyezteti az ENSZ-rendszer megfelelő működését olyan alapvető területeken, mint az emberi jogok vagy az éghajlatváltozás;</w:t>
            </w:r>
            <w:r>
              <w:t xml:space="preserve"> </w:t>
            </w:r>
            <w:r>
              <w:rPr>
                <w:b/>
                <w:i/>
              </w:rPr>
              <w:t>mivel nem várható el az ENSZ-től, hogy kevesebb erőforrással többet teljesítsen;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az Európai Biztonsági és Együttműködési Értekezlet 1975. augusztus 1-jén aláírt záróokmánya (Helsinki Záróokmány) az európai biztonság érdekében átfogó keretet hozott létre, amely az alábbi, a részt vevő államok közötti kapcsolatokat irányító tíz alapelvre épül: a szuverén egyenlőség, az erőszakkal való fenyegetéstől, illetve az erőszak alkalmazásától való tartózkodás, a határok sérthetetlensége, az államok területi integritása, a viták békés rendezése, a belügyekbe való be nem avatkozás, az emberi jogok és az alapvető szabadságok tiszteletben tartása – beleértve a gondolat, a lelkiismeret, a vallás vagy a meggyőződés szabadságát –, a népek jogegyenlősége és önrendelkezési joga, az államok közötti együttműködés, valamint a nemzetközi jog szerinti kötelezettségek jóhiszemű teljesítése; és figyelembe véve, hogy ezen alapelveknek továbbra is az európai biztonsági rend alapköveinek kell maradniuk;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mivel az Európai Unió nem tagja az ENSZ-nek, és az Egyesült Nemzetek munkájában megerősített megfigyelői státusszal vesz részt;</w:t>
            </w:r>
            <w:r>
              <w:t xml:space="preserve"> </w:t>
            </w:r>
            <w:r>
              <w:rPr>
                <w:b/>
                <w:i/>
              </w:rPr>
              <w:t>mivel az Unió szerepét nem szabad a tagsággal egyenértékűnek tekinteni;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mivel az Európai Unió ENSZ Biztonsági Tanácsban való tagságára vonatkozó várakozások nem helyénvalóak, és veszélyeztetnék az ENSZ tagállamainak az ENSZ Alapokmányában meghatározott szerepét és felelősségét;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mivel az ENSZ békefenntartó és békeépítő struktúrájának hiteltelenítésére vagy gyengítésére irányuló kísérletek – ideértve az ENSZ Békeépítési Bizottságát és a szélesebb körű békefenntartó struktúrákat ért támadásokat – az ENSZ konfliktusmegelőző, a konfliktusokat követő újjáépítést támogató és a nemzetközi béke és biztonság garantálójaként fellépő képességének aláásását célozzák;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d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mivel az Európai Uniónak mint a multilateralizmus és az ENSZ Alapokmányának elvei iránt elkötelezett globális szereplőnek jelentősebb szerepet kell játszania az ENSZ-en belül;</w:t>
            </w:r>
            <w:r>
              <w:t xml:space="preserve"> </w:t>
            </w:r>
            <w:r>
              <w:rPr>
                <w:b/>
                <w:i/>
              </w:rPr>
              <w:t>mivel az Európai Unió fokozatosan növeli biztonsági és védelmi képességeit azzal a céllal, hogy nagyobb felelősséget vállaljon a konfliktusok megelőzésében, a válságkezelésben, valamint a béke megóvásában és megszilárdításában;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mivel elengedhetetlennek tűnik, hogy az Európai Unió fokozza együttműködését minden partnerével, beleértve az Egyesült Nemzetek Szervezetét és annak ügynökségeit, hogy közösen előmozdítsák az ENSZ belső reformfolyamatát, és így biztosítsák, hogy az Egyesült Nemzetek Szervezete továbbra is eredményes, költséghatékony és korunk növekvő globális kihívásainak kezelésére képes legyen;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B d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mivel az Európai Parlament Külügyi Bizottsága (AFET) felel többek között az Egyesült Nemzetek Szervezetével való kapcsolatokért a hatáskörébe tartozó ügyekben, valamint az Unió közös kül- és biztonságpolitikájának előmozdításáért, végrehajtásáért és nyomon követéséért, többek között a nemzetközi partnerekkel folytatott eszmecserék és parlamenti diplomácia révén, és elismerve, hogy az ENSZ Közgyűlésének éves ülésszaka kulcsfontosságú multilaterális fórum az EU külpolitikai prioritásainak előmozdítására és a parlamenti ellenőrzésre;</w:t>
            </w:r>
            <w:r>
              <w:t xml:space="preserve"> </w:t>
            </w:r>
            <w:r>
              <w:rPr>
                <w:b/>
                <w:i/>
              </w:rPr>
              <w:t>mivel a fentiekre tekintettel az ENSZ Közgyűlés üléseire rendszeresen indított AFET bizottsági küldöttségek támogatnák ezt a megbízatást, lehetővé téve az Európai Parlament számára, hogy kapcsolatba lépjen partnereivel, megerősítse az Európai Parlament szerepét a multilaterális ügyekben, és fenntartsa az EU elkötelezettségét a hatékony és koherens külső fellépés iránt;</w:t>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1 a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utasítsák el a befolyási övezetek bármely hatalom által gyakorolt doktrínáján alapuló konfrontációt;</w:t>
            </w:r>
            <w:r>
              <w:t xml:space="preserve"> </w:t>
            </w:r>
            <w:r>
              <w:rPr>
                <w:b/>
                <w:i/>
              </w:rPr>
              <w:t>erősítsék meg, hogy az ilyen megközelítés összeegyeztethetetlen az államok szuverén egyenlősége, a be nem avatkozás és az önrendelkezés ENSZ Alapokmányban rögzített elveivel;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1 b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fejezzék ki mély aggodalmukat az Egyesült Államok azon egyoldalú döntései miatt, hogy kilép a nemzetközi szervezetekből, megállapodásokból és többoldalú keretekből vagy felfüggeszti az azokban való részvételt, különösen akkor, ha ezek a döntések gyengítik a nemzetközi együttműködést olyan alapvető területeken, mint a béke és biztonság, a globális egészségügy, a kereskedelem, az éghajlat vagy az emberi jogok;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p>
        </w:tc>
        <w:tc>
          <w:tcPr>
            <w:tcW w:w="4876" w:type="dxa"/>
            <w:tcBorders>
              <w:top w:val="nil"/>
              <w:left w:val="nil"/>
              <w:bottom w:val="nil"/>
              <w:right w:val="nil"/>
            </w:tcBorders>
          </w:tcPr>
          <w:p>
            <w:pPr>
              <w:pStyle w:val="Normal6a"/>
            </w:pPr>
            <w:r>
              <w:rPr>
                <w:b/>
                <w:i/>
              </w:rPr>
              <w:t>a)</w:t>
            </w:r>
            <w:r>
              <w:tab/>
            </w:r>
            <w:r>
              <w:t>továbbra is támogassák a hatékony multilateralizmust, amelynek középpontjában az ENSZ áll</w:t>
            </w:r>
            <w:r>
              <w:rPr>
                <w:b/>
                <w:i/>
              </w:rPr>
              <w:t>, előnyben részesítve – amennyiben ez hatékonyabbnak bizonyul – az Európai Unió és harmadik államok közötti kétoldalú kapcsolatokat, elsősorban a hatékonyságra törekedve</w:t>
            </w:r>
            <w:r>
              <w:t>,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p>
        </w:tc>
        <w:tc>
          <w:tcPr>
            <w:tcW w:w="4876" w:type="dxa"/>
            <w:tcBorders>
              <w:top w:val="nil"/>
              <w:left w:val="nil"/>
              <w:bottom w:val="nil"/>
              <w:right w:val="nil"/>
            </w:tcBorders>
          </w:tcPr>
          <w:p>
            <w:pPr>
              <w:pStyle w:val="Normal6a"/>
            </w:pPr>
            <w:r>
              <w:rPr>
                <w:b/>
                <w:i/>
              </w:rPr>
              <w:t>a)</w:t>
            </w:r>
            <w:r>
              <w:tab/>
            </w:r>
            <w:r>
              <w:t xml:space="preserve">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 </w:t>
            </w:r>
            <w:r>
              <w:rPr>
                <w:b/>
                <w:i/>
              </w:rPr>
              <w:t>határozottan ellenezzék az egyoldalú fellépéseket, a kényszerítő diplomáciát és gazdasági súlyától függetlenül bármely állam arra irányuló kísérleteit, hogy szűk nemzeti érdekeit követve aláássa a multilaterális intézményeket és a globális stabilitást;</w:t>
            </w:r>
            <w:r>
              <w:t xml:space="preserve"> </w:t>
            </w:r>
            <w:r>
              <w:rPr>
                <w:b/>
                <w:i/>
              </w:rPr>
              <w:t>és szorgalmazzák a blokkoló intézkedésekről szóló uniós rendelet tényleges alkalmazását és megerősítését a nemzetközi igazságszolgáltatási szervek, különösen a Nemzetközi Büntetőbíróság és a Nemzetközi Bíróság függetlenségének és működésének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p>
        </w:tc>
        <w:tc>
          <w:tcPr>
            <w:tcW w:w="4876" w:type="dxa"/>
            <w:tcBorders>
              <w:top w:val="nil"/>
              <w:left w:val="nil"/>
              <w:bottom w:val="nil"/>
              <w:right w:val="nil"/>
            </w:tcBorders>
          </w:tcPr>
          <w:p>
            <w:pPr>
              <w:pStyle w:val="Normal6a"/>
            </w:pPr>
            <w:r>
              <w:rPr>
                <w:b/>
                <w:i/>
              </w:rPr>
              <w:t>a)</w:t>
            </w:r>
            <w:r>
              <w:tab/>
            </w:r>
            <w:r>
              <w:t xml:space="preserve">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 </w:t>
            </w:r>
            <w:r>
              <w:rPr>
                <w:b/>
                <w:i/>
              </w:rPr>
              <w:t>tartózkodjanak a párhuzamos struktúrák létrehozásától, az ENSZ megbízatásának megkettőzésétől vagy az ENSZ helyettesítőjeként történő fellépéstől;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p>
        </w:tc>
        <w:tc>
          <w:tcPr>
            <w:tcW w:w="4876" w:type="dxa"/>
            <w:tcBorders>
              <w:top w:val="nil"/>
              <w:left w:val="nil"/>
              <w:bottom w:val="nil"/>
              <w:right w:val="nil"/>
            </w:tcBorders>
          </w:tcPr>
          <w:p>
            <w:pPr>
              <w:pStyle w:val="Normal6a"/>
            </w:pPr>
            <w:r>
              <w:rPr>
                <w:b/>
                <w:i/>
              </w:rPr>
              <w:t>a)</w:t>
            </w:r>
            <w:r>
              <w:tab/>
            </w:r>
            <w:r>
              <w:t>továbbra is támogassák a hatékony multilateralizmust</w:t>
            </w:r>
            <w:r>
              <w:rPr>
                <w:b/>
                <w:i/>
              </w:rPr>
              <w:t>, amelyben a törvények és normák erősebbek a konfliktusoknál</w:t>
            </w:r>
            <w:r>
              <w: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r>
              <w:rPr>
                <w:b/>
                <w:i/>
              </w:rPr>
              <w:t>, valamint szálljanak szembe az e rend aláásására és megbontására irányuló erőfeszítésekkel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p>
        </w:tc>
        <w:tc>
          <w:tcPr>
            <w:tcW w:w="4876" w:type="dxa"/>
            <w:tcBorders>
              <w:top w:val="nil"/>
              <w:left w:val="nil"/>
              <w:bottom w:val="nil"/>
              <w:right w:val="nil"/>
            </w:tcBorders>
          </w:tcPr>
          <w:p>
            <w:pPr>
              <w:pStyle w:val="Normal6a"/>
            </w:pPr>
            <w:r>
              <w:rPr>
                <w:b/>
                <w:i/>
              </w:rPr>
              <w:t>a)</w:t>
            </w:r>
            <w:r>
              <w:tab/>
            </w:r>
            <w:r>
              <w:t xml:space="preserve">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w:t>
            </w:r>
            <w:r>
              <w:rPr>
                <w:b/>
                <w:i/>
              </w:rPr>
              <w:t>– beleértve az ENSZ Tengerjogi Egyezményében meghatározott tengeri övezetekét –</w:t>
            </w:r>
            <w:r>
              <w:t>, a politikai függetlenséget, az önrendelkezést, valamint az emberi jogok és alapvető szabadságok védelmét;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a politikai függetlenséget, az önrendelkezést, valamint az emberi jogok és alapvető szabadságok védelmét;</w:t>
            </w:r>
          </w:p>
        </w:tc>
        <w:tc>
          <w:tcPr>
            <w:tcW w:w="4876" w:type="dxa"/>
            <w:tcBorders>
              <w:top w:val="nil"/>
              <w:left w:val="nil"/>
              <w:bottom w:val="nil"/>
              <w:right w:val="nil"/>
            </w:tcBorders>
          </w:tcPr>
          <w:p>
            <w:pPr>
              <w:pStyle w:val="Normal6a"/>
            </w:pPr>
            <w:r>
              <w:rPr>
                <w:b/>
                <w:i/>
              </w:rPr>
              <w:t>a)</w:t>
            </w:r>
            <w:r>
              <w:tab/>
            </w:r>
            <w:r>
              <w:t xml:space="preserve">továbbra is támogassák a hatékony multilateralizmust, amelynek középpontjában az ENSZ áll, mozdítsák elő és védjék a nemzetközi jogot, és tartsák fenn az ENSZ Alapokmányában foglalt szabályokat és alapelveket, beleértve a szuverenitást, a területi integritást, </w:t>
            </w:r>
            <w:r>
              <w:rPr>
                <w:b/>
                <w:i/>
              </w:rPr>
              <w:t>az erőszak alkalmazásáról való lemondást,</w:t>
            </w:r>
            <w:r>
              <w:t xml:space="preserve"> a politikai függetlenséget, az önrendelkezést, valamint az emberi jogok és alapvető szabadságok védelmét;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emlékeztessenek arra, hogy az ENSZ Alapokmánya és az ENSZ alapvető emberi jogi eszközei nem hivatkoznak a „nem” fogalmára vagy a genderideológiára, hanem szigorúan a nemi alapon történő megkülönböztetés tilalmának elvén alapulnak</w:t>
            </w:r>
            <w:r>
              <w:rPr>
                <w:b/>
                <w:i/>
                <w:vertAlign w:val="superscript"/>
              </w:rPr>
              <w:t>1a</w:t>
            </w:r>
            <w:r>
              <w:rPr>
                <w:b/>
                <w:i/>
              </w:rPr>
              <w:t>;</w:t>
            </w:r>
            <w:r>
              <w:t xml:space="preserve"> </w:t>
            </w:r>
            <w:r>
              <w:rPr>
                <w:b/>
                <w:i/>
              </w:rPr>
              <w:t>hangsúlyozzák, hogy az emberi jogok átpolitizált újraértelmezése – ideértve az ideológiailag motivált nemi identitás fogalmának bevezetését – veszélyezteti az emberi jogok védelmének egyetemességét, koherenciáját és jogbiztonságát, átpolitizálja a nemzetközi emberi jogi kereteket, és gyengíti a nők, férfiak és gyermekek jogainak hatékony védelmét;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hangsúlyozzák, hogy az ENSZ Alapokmánya</w:t>
            </w:r>
            <w:r>
              <w:rPr>
                <w:b/>
                <w:i/>
                <w:vertAlign w:val="superscript"/>
              </w:rPr>
              <w:t>2a</w:t>
            </w:r>
            <w:r>
              <w:t xml:space="preserve"> </w:t>
            </w:r>
            <w:r>
              <w:rPr>
                <w:b/>
                <w:i/>
              </w:rPr>
              <w:t>I. fejezetének 1. cikke kifejezetten kimondja, hogy az ENSZ egyik célja az emberi jogok és alapvető szabadságok tiszteletben tartásának előmozdítása és ösztönzése faji, nemi, nyelvi vagy vallási megkülönböztetés nélkül mindenki számára;</w:t>
            </w:r>
            <w:r>
              <w:t xml:space="preserve"> </w:t>
            </w:r>
            <w:r>
              <w:rPr>
                <w:b/>
                <w:i/>
              </w:rPr>
              <w:t>ezért hangsúlyozza, hogy az emberi jogok védelme egyértelmű és általánosan elismert kategóriákon alapul, és hogy az Alapokmányban szereplő megfogalmazáson túlmutató, ideológiailag motivált nemi identitás-értelmezések bevezetése e keret gyengülésének kockázatával jár, jogi bizonytalanságot teremt és aláássa a jogok, különösen a nemi alapú jogok hatékony és egyenlő védelmét;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továbbra is szilárdan védelmezzék az egyetemes emberi jogok, a demokrácia, az emberi méltóság, az egyenlőség és a jogállamiság tiszteletben tartását, védelmét és érvényesítését, összhangban az ENSZ emberi jogi fórumain képviselendő uniós prioritásokról szóló 2025. évi tanácsi következtetésekkel;</w:t>
            </w:r>
          </w:p>
        </w:tc>
        <w:tc>
          <w:tcPr>
            <w:tcW w:w="4876" w:type="dxa"/>
            <w:tcBorders>
              <w:top w:val="nil"/>
              <w:left w:val="nil"/>
              <w:bottom w:val="nil"/>
              <w:right w:val="nil"/>
            </w:tcBorders>
          </w:tcPr>
          <w:p>
            <w:pPr>
              <w:pStyle w:val="Normal6a"/>
            </w:pPr>
            <w:r>
              <w:rPr>
                <w:b/>
                <w:i/>
              </w:rPr>
              <w:t>b)</w:t>
            </w:r>
            <w:r>
              <w:tab/>
            </w:r>
            <w:r>
              <w:t>továbbra is szilárdan védelmezzék az egyetemes emberi jogok, a demokrácia, az emberi méltóság, az egyenlőség és a jogállamiság tiszteletben tartását, védelmét és érvényesítését, összhangban az ENSZ emberi jogi fórumain képviselendő uniós prioritásokról szóló 2025. évi tanácsi következtetésekkel</w:t>
            </w:r>
            <w:r>
              <w:rPr>
                <w:b/>
                <w:i/>
              </w:rPr>
              <w:t>,</w:t>
            </w:r>
            <w:r>
              <w:t xml:space="preserve"> </w:t>
            </w:r>
            <w:r>
              <w:rPr>
                <w:b/>
                <w:i/>
              </w:rPr>
              <w:t>melyek szerint az emberi jogok – legyen szó polgári, kulturális, gazdasági, politikai vagy szociális jogokról – egyetemesek, oszthatatlanok, egymástól kölcsönösen függenek és egymáshoz kapcsolódnak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hangsúlyozzák, hogy a multilateralizmus védelme megköveteli, hogy a retorikai támogatáson túl konkrét politikai, pénzügyi és diplomáciai kötelezettségvállalásokra is sor kerüljön, és hogy az EU készen álljon nagyobb felelősség vállalására, ha más kulcsfontosságú szereplők kivonulnak a multilaterális intézményekből, akadályozzák azok működését vagy nyíltan aláássák azok tekintélyét;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továbbra is szilárdan védelmezzék az egyetemes emberi jogok, a demokrácia, az emberi méltóság, az egyenlőség és a jogállamiság tiszteletben tartását, védelmét és érvényesítését, összhangban az ENSZ emberi jogi fórumain képviselendő uniós prioritásokról szóló 2025. évi tanácsi következtetésekkel;</w:t>
            </w:r>
          </w:p>
        </w:tc>
        <w:tc>
          <w:tcPr>
            <w:tcW w:w="4876" w:type="dxa"/>
            <w:tcBorders>
              <w:top w:val="nil"/>
              <w:left w:val="nil"/>
              <w:bottom w:val="nil"/>
              <w:right w:val="nil"/>
            </w:tcBorders>
          </w:tcPr>
          <w:p>
            <w:pPr>
              <w:pStyle w:val="Normal6a"/>
            </w:pPr>
            <w:r>
              <w:rPr>
                <w:b/>
                <w:i/>
              </w:rPr>
              <w:t>b)</w:t>
            </w:r>
            <w:r>
              <w:tab/>
            </w:r>
            <w:r>
              <w:t xml:space="preserve">továbbra is szilárdan védelmezzék az egyetemes emberi jogok, a demokrácia, az emberi méltóság, az egyenlőség és a jogállamiság tiszteletben tartását, védelmét és érvényesítését, összhangban </w:t>
            </w:r>
            <w:r>
              <w:rPr>
                <w:b/>
                <w:i/>
              </w:rPr>
              <w:t>a nemzeti alkotmányos joghatóságokkal és a szubszidiaritás elvével, valamint</w:t>
            </w:r>
            <w:r>
              <w:t xml:space="preserve"> az ENSZ emberi jogi fórumain képviselendő uniós prioritásokról szóló 2025. évi tanácsi következtetésekkel;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továbbra is szilárdan védelmezzék az egyetemes emberi jogok, a demokrácia, az emberi méltóság, az egyenlőség és a jogállamiság tiszteletben tartását, védelmét és érvényesítését, összhangban az ENSZ emberi jogi fórumain képviselendő uniós prioritásokról szóló 2025. évi tanácsi következtetésekkel;</w:t>
            </w:r>
          </w:p>
        </w:tc>
        <w:tc>
          <w:tcPr>
            <w:tcW w:w="4876" w:type="dxa"/>
            <w:tcBorders>
              <w:top w:val="nil"/>
              <w:left w:val="nil"/>
              <w:bottom w:val="nil"/>
              <w:right w:val="nil"/>
            </w:tcBorders>
          </w:tcPr>
          <w:p>
            <w:pPr>
              <w:pStyle w:val="Normal6a"/>
            </w:pPr>
            <w:r>
              <w:rPr>
                <w:b/>
                <w:i/>
              </w:rPr>
              <w:t>b)</w:t>
            </w:r>
            <w:r>
              <w:tab/>
            </w:r>
            <w:r>
              <w:t xml:space="preserve">továbbra is szilárdan védelmezzék az egyetemes emberi jogok, a demokrácia, az emberi méltóság, az egyenlőség és a jogállamiság tiszteletben tartását, védelmét és érvényesítését, </w:t>
            </w:r>
            <w:r>
              <w:rPr>
                <w:b/>
                <w:i/>
              </w:rPr>
              <w:t>valamint az átlátható, hiteles és inkluzív választási folyamatokat,</w:t>
            </w:r>
            <w:r>
              <w:t xml:space="preserve"> összhangban az ENSZ emberi jogi fórumain képviselendő uniós prioritásokról szóló 2025. évi tanácsi következtetésekkel;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hangsúlyozzák a nemek közötti egyenlőség előmozdításának, a nők és lányok jogai megerősítésének, valamint a vonatkozó nemzetközi kötelezettségvállalások, többek között a nőkkel, a békével és a biztonsággal kapcsolatos menetrend és az ENSZ nőjogi szervezete programjának teljes körű végrehajtásának fontosságát;</w:t>
            </w:r>
            <w:r>
              <w:t xml:space="preserve"> </w:t>
            </w:r>
            <w:r>
              <w:rPr>
                <w:b/>
                <w:i/>
              </w:rPr>
              <w:t>hangsúlyozzák, hogy ezek az elveket a svéd feminista külpolitika is tükrözi, amely modellként szolgál a nemek közötti egyenlőség szempontjainak a külpolitikába, a béketeremtésbe és a multilaterális együttműködésbe való integrálásához;</w:t>
            </w:r>
            <w:r>
              <w:t xml:space="preserve"> </w:t>
            </w:r>
            <w:r>
              <w:rPr>
                <w:b/>
                <w:i/>
              </w:rPr>
              <w:t>szólítsák fel az EU-t és tagállamait, hogy aktívan támogassák a nemek közötti egyenlőségnek az ENSZ valamennyi politikájába és programjába való beépítését, biztosítva a nők egyenlő részvételét a vezetésben és a döntéshozatalban, a megfelelő erőforrások biztosítását, valamint a nők és lányok jogainak védelmét és előmozdítását a nemzetközi normáknak megfelelően;</w:t>
            </w:r>
            <w:r>
              <w:t xml:space="preserve"> </w:t>
            </w:r>
            <w:r>
              <w:rPr>
                <w:b/>
                <w:i/>
              </w:rPr>
              <w:t>ismerjék el, hogy a nők és a lányok aránytalanul nagy mértékben érintettek a fegyveres konfliktusokban, ugyanakkor egyben a változás erőteljes mozgatórugói a konfliktusmegelőzés, a közvetítés, a béketeremtés és a konfliktus utáni helyreállítás során;</w:t>
            </w:r>
            <w:r>
              <w:t xml:space="preserve"> </w:t>
            </w:r>
            <w:r>
              <w:rPr>
                <w:b/>
                <w:i/>
              </w:rPr>
              <w:t>szólítsanak fel a nők teljes, egyenlő és érdemi részvételére a békefolyamatokban és a döntéshozatalban, valamint a nőkkel, a békével és a biztonsággal kapcsolatos kötelezettségvállalások végrehajtásához szükséges megfelelő források biztosítására, továbbá az ENSZ békefenntartó műveletei és közvetítési erőfeszítései során az elszámoltathatóságra;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erősítsék meg a multilaterális szervezetek alapvető szerepét, amelyek a konfliktusrendezés és a globális kormányzás nélkülözhetetlen platformjai;</w:t>
            </w:r>
          </w:p>
        </w:tc>
        <w:tc>
          <w:tcPr>
            <w:tcW w:w="4876" w:type="dxa"/>
            <w:tcBorders>
              <w:top w:val="nil"/>
              <w:left w:val="nil"/>
              <w:bottom w:val="nil"/>
              <w:right w:val="nil"/>
            </w:tcBorders>
          </w:tcPr>
          <w:p>
            <w:pPr>
              <w:pStyle w:val="Normal6a"/>
            </w:pPr>
            <w:r>
              <w:rPr>
                <w:b/>
                <w:i/>
              </w:rPr>
              <w:t>c)</w:t>
            </w:r>
            <w:r>
              <w:tab/>
            </w:r>
            <w:r>
              <w:t>erősítsék meg a multilaterális szervezetek alapvető szerepét, amelyek a konfliktusrendezés és a globális kormányzás</w:t>
            </w:r>
            <w:r>
              <w:rPr>
                <w:b/>
                <w:i/>
              </w:rPr>
              <w:t>, valamint a legfőbb globális kihívásokra – többek között az éghajlatváltozásra, a migrációs áramlások kezelésére, a tömegpusztító fegyverek elterjedésének megakadályozására, a világjárványokra, a terrorizmusra és a szervezett bűnözés és kábítószer-kereskedelem elleni küzdelemre – adott válaszok</w:t>
            </w:r>
            <w:r>
              <w:t xml:space="preserve"> nélkülözhetetlen platformjai;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erősítsék meg a multilaterális szervezetek alapvető szerepét, amelyek a konfliktusrendezés és a globális kormányzás nélkülözhetetlen platformjai;</w:t>
            </w:r>
          </w:p>
        </w:tc>
        <w:tc>
          <w:tcPr>
            <w:tcW w:w="4876" w:type="dxa"/>
            <w:tcBorders>
              <w:top w:val="nil"/>
              <w:left w:val="nil"/>
              <w:bottom w:val="nil"/>
              <w:right w:val="nil"/>
            </w:tcBorders>
          </w:tcPr>
          <w:p>
            <w:pPr>
              <w:pStyle w:val="Normal6a"/>
            </w:pPr>
            <w:r>
              <w:rPr>
                <w:b/>
                <w:i/>
              </w:rPr>
              <w:t>c)</w:t>
            </w:r>
            <w:r>
              <w:tab/>
            </w:r>
            <w:r>
              <w:t xml:space="preserve">erősítsék meg a multilaterális szervezetek alapvető szerepét, amelyek a konfliktusrendezés és a globális kormányzás nélkülözhetetlen platformjai; </w:t>
            </w:r>
            <w:r>
              <w:rPr>
                <w:b/>
                <w:i/>
              </w:rPr>
              <w:t>ítéljék el az ENSZ legitimitásának, tekintélyének és egyetemességének aláásására irányuló kísérleteket, ideértve azokat az erőfeszítéseket is, amelyek célja bizonyos szereplők vagy népek kizárása az ENSZ fórumain való részvételből, a békefenntartó struktúrák gyengítése vagy az ENSZ-szervek működésének átpolitizálása;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erősítsék meg a multilaterális szervezetek alapvető szerepét, amelyek a konfliktusrendezés és a globális kormányzás nélkülözhetetlen platformjai;</w:t>
            </w:r>
          </w:p>
        </w:tc>
        <w:tc>
          <w:tcPr>
            <w:tcW w:w="4876" w:type="dxa"/>
            <w:tcBorders>
              <w:top w:val="nil"/>
              <w:left w:val="nil"/>
              <w:bottom w:val="nil"/>
              <w:right w:val="nil"/>
            </w:tcBorders>
          </w:tcPr>
          <w:p>
            <w:pPr>
              <w:pStyle w:val="Normal6a"/>
            </w:pPr>
            <w:r>
              <w:rPr>
                <w:b/>
                <w:i/>
              </w:rPr>
              <w:t>c)</w:t>
            </w:r>
            <w:r>
              <w:tab/>
            </w:r>
            <w:r>
              <w:t xml:space="preserve">erősítsék meg a multilaterális szervezetek alapvető szerepét, amelyek a konfliktusrendezés és a globális kormányzás nélkülözhetetlen platformjai; </w:t>
            </w:r>
            <w:r>
              <w:rPr>
                <w:b/>
                <w:i/>
              </w:rPr>
              <w:t>hangsúlyozzák annak fontosságát, hogy a nők és a fiatalok érdemben vegyenek részt a multilaterális döntéshozatali folyamatokban, többek között strukturált ifjúsági tanácsadó mechanizmusok és az ENSZ ifjúsággal, békével és biztonsággal kapcsolatos menetrendjének támogatása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erősítsék meg a multilaterális szervezetek alapvető szerepét, amelyek a konfliktusrendezés és a globális kormányzás nélkülözhetetlen platformjai;</w:t>
            </w:r>
          </w:p>
        </w:tc>
        <w:tc>
          <w:tcPr>
            <w:tcW w:w="4876" w:type="dxa"/>
            <w:tcBorders>
              <w:top w:val="nil"/>
              <w:left w:val="nil"/>
              <w:bottom w:val="nil"/>
              <w:right w:val="nil"/>
            </w:tcBorders>
          </w:tcPr>
          <w:p>
            <w:pPr>
              <w:pStyle w:val="Normal6a"/>
            </w:pPr>
            <w:r>
              <w:rPr>
                <w:b/>
                <w:i/>
              </w:rPr>
              <w:t>c)</w:t>
            </w:r>
            <w:r>
              <w:tab/>
            </w:r>
            <w:r>
              <w:t>erősítsék meg a multilaterális szervezetek alapvető szerepét, amelyek a konfliktusrendezés és a globális kormányzás nélkülözhetetlen platformjai</w:t>
            </w:r>
            <w:r>
              <w:rPr>
                <w:b/>
                <w:i/>
              </w:rPr>
              <w:t>, és szoros együttműködésben az EU hasonló gondolkodású partnereivel játsszanak úttörő szerepet a globális szabályokban szilárdan gyökerező multilaterális kezdeményezésekben, amelyek hozzájárulnak Európa biztonságának és prosperitásának biztosításához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újólag fejezzék ki sajnálatukat az Egyesült Államok elnökének döntése miatt, amely szerint számos nemzetközi szervezetből, köztük számos ENSZ-szervből kilép, csökkenti azok finanszírozását, felfüggeszti az azokban való részvételt vagy megszünteti a velük való együttműködést;</w:t>
            </w:r>
            <w:r>
              <w:t xml:space="preserve"> </w:t>
            </w:r>
            <w:r>
              <w:rPr>
                <w:b/>
                <w:i/>
              </w:rPr>
              <w:t>adjanak hangot komoly aggodalmuknak amiatt, hogy egy ilyen lépés alááshatja az ENSZ rendszerének pénzügyi fenntarthatóságát, gyengítheti a multilaterális együttműködést egy olyan időszakban, amikor arra a legnagyobb szükség van, és felbátoríthat olyan tekintélyelvű és revizionista szereplőket, akik a múltban is arra törekedtek, hogy kihasználják a nyugati hatalmak nemzetközi szervezetekből való kilépését vagy az azokkal való együttműködésük megszüntetését;</w:t>
            </w:r>
            <w:r>
              <w:t xml:space="preserve"> </w:t>
            </w:r>
            <w:r>
              <w:rPr>
                <w:b/>
                <w:i/>
              </w:rPr>
              <w:t>arra ösztönözzék az Egyesült Államok kormányát, hogy mérlegelje döntését, és erősítse meg az ENSZ és a multilaterális együttműködés iránti elkötelezettségét;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felhívja az Egyesült Államokat, hogy az ENSZ New York-i közgyűlései előtt adjon vízumot a palesztin vezetőknek, és szüntesse meg a látogatói vízumok feldolgozásának diszkriminatív felfüggesztését valamennyi palesztin állampolgár számára;</w:t>
            </w:r>
            <w:r>
              <w:t xml:space="preserve"> </w:t>
            </w:r>
            <w:r>
              <w:rPr>
                <w:b/>
                <w:i/>
              </w:rPr>
              <w:t>felhívja az ENSZ-t, hogy biztosítson hozzáférést az ENSZ rendezvényeihez a tajvani útlevéllel rendelkező aktivisták, civil társadalmi képviselők és újságírók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terjesszenek elő megalapozott javaslatokat annak érdekében, hogy az EU minden multilaterális fórumon állandó helyet kapjon, ami segítene biztosítani az EU külső tevékenységének következetességét, valamint megszilárdítaná az EU mint harmadik országok tárgyalópartnere szerepét a multilaterális dimenzióban, különös tekintettel a globális dél országaira;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tegyenek meg minden tőlük telhetőt annak biztosítása érdekében, hogy a 2025-ös költségvetési hiányt a lehető leggyorsabban pótolni lehessen a pénzügyi összeomlás elkerülése, a programok világszerte történő folyamatos végrehajtásának, valamint az ENSZ-székház műveleteinek és az ENSZ-közgyűlés 81. ülésszaka megtartásának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hangsúlyozzák, hogy a hatékony multilateralizmusnak tiszteletben kell tartania a nemzeti szuverenitást és a demokratikus elszámoltathatóságot;</w:t>
            </w:r>
            <w:r>
              <w:t xml:space="preserve"> </w:t>
            </w:r>
            <w:r>
              <w:rPr>
                <w:b/>
                <w:i/>
              </w:rPr>
              <w:t>ellenezzék az ENSZ mandátumainak olyan területekre való kiterjesztését, amelyek aláássák a tagállamok migrációval, oktatással vagy a véleménynyilvánítás szabadságával kapcsolatos hatásköreit;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Bernard Guetta,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kiemeli a multilaterális fórumok, például az ENSZ megnövekedett jelentőségét a fokozódó geopolitikai feszültségek és a humanitárius válságok által világszerte sújtott területek összefüggésében;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megismétli, hogy a stabil, megbízható és méltányos multilaterális rendszer elengedhetetlen a béke és a biztonság garantálásához, és ezért azt az EU biztonsági architektúrájának prioritásként kell kezelnie;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támogassák a Béketanácsnak a 2803. sz. ENSZ BT-határozatban meghatározott korlátozott és ideiglenes tevékenységi körét;</w:t>
            </w:r>
            <w:r>
              <w:t xml:space="preserve"> </w:t>
            </w:r>
            <w:r>
              <w:rPr>
                <w:b/>
                <w:i/>
              </w:rPr>
              <w:t>határozottan utasítsák el és ellenezzék a Béketanácsot, amint az az Egyesült Államok kormánya által köröztetett, nyilvánosan hozzáférhető dokumentumokban és chartatervezetekben szerepel, ami összeegyeztethetetlennek tűnik az inkluzív, többoldalú diplomácia és a nemzetközi jog bevett normáival;</w:t>
            </w:r>
            <w:r>
              <w:t xml:space="preserve"> </w:t>
            </w:r>
            <w:r>
              <w:rPr>
                <w:b/>
                <w:i/>
              </w:rPr>
              <w:t>hangsúlyozzák, hogy ez a megközelítés alááshatja az Egyesült Nemzetek Alapokmánya szerinti meglévő nemzetközi béke- és biztonsági struktúrák legitimitását, tekintélyét és koherenciáját;</w:t>
            </w:r>
            <w:r>
              <w:t xml:space="preserve"> </w:t>
            </w:r>
            <w:r>
              <w:rPr>
                <w:b/>
                <w:i/>
              </w:rPr>
              <w:t>komoly aggodalmának ad hangot amiatt, hogy több olyan állam, amely aláíró fele a Béketanácsnak vagy kifejezte részvételi szándékát, nyíltan tekintélyelvű rezsim, mint például Belarusz;</w:t>
            </w:r>
            <w:r>
              <w:t xml:space="preserve"> </w:t>
            </w:r>
            <w:r>
              <w:rPr>
                <w:b/>
                <w:i/>
              </w:rPr>
              <w:t>felhívja az összes uniós tagállamot, hogy biztosítsák az ENSZ központi szerepét, és kövessék a Béketanács részvételével vagy jóváhagyásával kapcsolatos közös álláspontot, amely nem ássa alá a közös uniós álláspontot;</w:t>
            </w:r>
            <w:r>
              <w:t xml:space="preserve"> </w:t>
            </w:r>
            <w:r>
              <w:rPr>
                <w:b/>
                <w:i/>
              </w:rPr>
              <w:t>elítéli, hogy a magyar és a bolgár kormány támogatja az Egyesült Államok Béketanácsát;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hangsúlyozva az ENSZ következő főtitkára közelgő kiválasztásának stratégiai fontosságát, összehangolt és átlátható módon járjanak el a nyílt, inkluzív és érdemeken alapuló kiválasztási folyamat támogatása érdekében, azzal a céllal, hogy biztosítsák egy olyan jelölt kinevezését, aki bizonyítottan vezető szerepet tölt be, független és elkötelezett az ENSZ Alapokmánya, a nemzetközi jog és a hatékony multilateralizmus iránt, és képes előmozdítani az ENSZ reformját, megerősíteni a konfliktusmegelőzést, és határozottan reagálni a jelenlegi és újonnan felmerülő globális biztonsági kihívásokra, valamint támogatni azt;</w:t>
            </w:r>
            <w:r>
              <w:t xml:space="preserve"> </w:t>
            </w:r>
            <w:r>
              <w:rPr>
                <w:b/>
                <w:i/>
              </w:rPr>
              <w:t>amennyiben a jelöltek érdemeik alapján egyformán képzettek, kellő figyelmet kell fordítani a nemek közötti egyenlőség előmozdítására, többek között egy női főtitkár kinevezése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c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elismeri a súlyos likviditási válságot, amely a főbb adományozók késedelmes fizetéséből vagy fizetésük elmaradásából, valamint az adományozók, elsősorban az Egyesült Államok által nyújtott önkéntes segélyek jelentős csökkentéséből ered, és amely negatívan befolyásolja az ENSZ megbízatásának megvalósítását, különösen a humanitárius területen;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d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támogassák az ENSZ rendszerének ambiciózus reformjait, és </w:t>
            </w:r>
            <w:r>
              <w:rPr>
                <w:b/>
                <w:i/>
              </w:rPr>
              <w:t>mozdítsák elő</w:t>
            </w:r>
            <w:r>
              <w:t xml:space="preserve"> az ENSZ80 </w:t>
            </w:r>
            <w:r>
              <w:rPr>
                <w:b/>
                <w:i/>
              </w:rPr>
              <w:t>reformprogramját</w:t>
            </w:r>
            <w:r>
              <w:t>, biztosítva egy hatékonyabb, eredményesebb, átláthatóbb, pénzügyileg fenntarthatóbb és reagálóképesebb ENSZ-t, amely képes kezelni a jelenlegi és a felmerülő globális kihívásokat;</w:t>
            </w:r>
          </w:p>
        </w:tc>
        <w:tc>
          <w:tcPr>
            <w:tcW w:w="4876" w:type="dxa"/>
            <w:tcBorders>
              <w:top w:val="nil"/>
              <w:left w:val="nil"/>
              <w:bottom w:val="nil"/>
              <w:right w:val="nil"/>
            </w:tcBorders>
          </w:tcPr>
          <w:p>
            <w:pPr>
              <w:pStyle w:val="Normal6a"/>
            </w:pPr>
            <w:r>
              <w:t>(d)</w:t>
            </w:r>
            <w:r>
              <w:tab/>
            </w:r>
            <w:r>
              <w:t xml:space="preserve">támogassák az ENSZ rendszerének ambiciózus reformjait, és </w:t>
            </w:r>
            <w:r>
              <w:rPr>
                <w:b/>
                <w:i/>
              </w:rPr>
              <w:t>működjenek együtt az ENSZ tagállamaival, az ENSZ rendszerével és az ENSZ főtitkárával</w:t>
            </w:r>
            <w:r>
              <w:t xml:space="preserve"> az ENSZ80 </w:t>
            </w:r>
            <w:r>
              <w:rPr>
                <w:b/>
                <w:i/>
              </w:rPr>
              <w:t>reformprogramjának előmozdítása érdekében, amely képes hatékonyan megvalósítani a következő három pillért:</w:t>
            </w:r>
            <w:r>
              <w:t xml:space="preserve"> </w:t>
            </w:r>
            <w:r>
              <w:rPr>
                <w:b/>
                <w:i/>
              </w:rPr>
              <w:t>béke és biztonság, fenntartható fejlődés és emberi jogok</w:t>
            </w:r>
            <w:r>
              <w:t xml:space="preserve">, biztosítva egy hatékonyabb, eredményesebb, átláthatóbb, pénzügyileg fenntarthatóbb és reagálóképesebb ENSZ-t, amely képes kezelni a jelenlegi és a felmerülő globális kihívásokat; </w:t>
            </w:r>
            <w:r>
              <w:rPr>
                <w:b/>
                <w:i/>
              </w:rPr>
              <w:t>vegyék tudomásul az ENSZ80 kezdeményezésre vonatkozó, 2025 novemberében előterjesztett cselekvési terv következő lépéseit, és vegyenek részt azokban;</w:t>
            </w:r>
            <w:r>
              <w:t xml:space="preserve"> </w:t>
            </w:r>
            <w:r>
              <w:rPr>
                <w:b/>
                <w:i/>
              </w:rPr>
              <w:t>aktívan vegyenek részt az ENSZ költségvetésébe befizetendő pénzügyi hozzájárulások és visszatérítések rendszerének reformjáról szóló vitákban, az időben történő beszedés, majd a hatékony forráselosztás biztosítása céljából, az azzal kapcsolatos aggályok enyhítése érdekében, hogy az ENSZ-hez való hozzájárulás során a pénzt megfelelően költik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d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támogassák az ENSZ rendszerének ambiciózus reformjait, és mozdítsák elő az ENSZ80 reformprogramját, biztosítva egy hatékonyabb, eredményesebb, átláthatóbb, pénzügyileg fenntarthatóbb és reagálóképesebb ENSZ-t, amely képes kezelni a jelenlegi és a felmerülő globális kihívásokat;</w:t>
            </w:r>
          </w:p>
        </w:tc>
        <w:tc>
          <w:tcPr>
            <w:tcW w:w="4876" w:type="dxa"/>
            <w:tcBorders>
              <w:top w:val="nil"/>
              <w:left w:val="nil"/>
              <w:bottom w:val="nil"/>
              <w:right w:val="nil"/>
            </w:tcBorders>
          </w:tcPr>
          <w:p>
            <w:pPr>
              <w:pStyle w:val="Normal6a"/>
            </w:pPr>
            <w:r>
              <w:t>(d)</w:t>
            </w:r>
            <w:r>
              <w:tab/>
            </w:r>
            <w:r>
              <w:t xml:space="preserve">támogassák az ENSZ rendszerének ambiciózus reformjait, és mozdítsák elő az ENSZ80 reformprogramját, biztosítva egy hatékonyabb, eredményesebb, átláthatóbb, pénzügyileg fenntarthatóbb és reagálóképesebb ENSZ-t, amely képes kezelni a jelenlegi és a felmerülő globális kihívásokat; </w:t>
            </w:r>
            <w:r>
              <w:rPr>
                <w:b/>
                <w:i/>
              </w:rPr>
              <w:t>működjenek együtt az ENSZ-szel annak biztosítása érdekében, hogy az ENSZ80 kezdeményezés ne váljon pusztán költségvetési átcsoportosítássá, amely veszélyezteti annak megfelelő működését olyan kulcsfontosságú területeken, mint az emberi jogok;</w:t>
            </w:r>
            <w:r>
              <w:t xml:space="preserve"> </w:t>
            </w:r>
            <w:r>
              <w:rPr>
                <w:b/>
                <w:i/>
              </w:rPr>
              <w:t>e tekintetben működjenek együtt harmadik országokkal, például Kínával vagy az Egyesült Államokkal annak biztosítása érdekében, hogy az ENSZ rendszeréhez való önkéntes hozzájárulásaik arányosak legyenek gazdasági fejlődésükkel és az ENSZ BT tagjaként betöltött kiemelkedő szerepükkel;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támogassák az ENSZ rendszerének ambiciózus reformjait, és mozdítsák elő az ENSZ80 reformprogramját, biztosítva egy hatékonyabb, eredményesebb, átláthatóbb, pénzügyileg fenntarthatóbb és reagálóképesebb ENSZ-t, amely képes kezelni a jelenlegi és a felmerülő globális kihívásokat;</w:t>
            </w:r>
          </w:p>
        </w:tc>
        <w:tc>
          <w:tcPr>
            <w:tcW w:w="4876" w:type="dxa"/>
            <w:tcBorders>
              <w:top w:val="nil"/>
              <w:left w:val="nil"/>
              <w:bottom w:val="nil"/>
              <w:right w:val="nil"/>
            </w:tcBorders>
          </w:tcPr>
          <w:p>
            <w:pPr>
              <w:pStyle w:val="Normal6a"/>
            </w:pPr>
            <w:r>
              <w:t>(d)</w:t>
            </w:r>
            <w:r>
              <w:tab/>
            </w:r>
            <w:r>
              <w:t xml:space="preserve">támogassák az ENSZ rendszerének ambiciózus reformjait, és mozdítsák elő az ENSZ80 reformprogramját, biztosítva egy hatékonyabb, eredményesebb, átláthatóbb, pénzügyileg fenntarthatóbb és reagálóképesebb ENSZ-t, amely képes kezelni a jelenlegi és a felmerülő globális kihívásokat; </w:t>
            </w:r>
            <w:r>
              <w:rPr>
                <w:b/>
                <w:i/>
              </w:rPr>
              <w:t>hangsúlyozzák, hogy különösen más globális szereplők kivonulása esetén az EU-nak nagyobb felelősséget kell vállalnia a multilaterális intézmények, köztük az ENSZ támogatásáért, finanszírozásáért és megerősítéséért, különösen a Biztonsági Tanács reformjával, hogy az jobban tükrözze a mai világot, valamint az ENSZ-nek és ügynökségeinek nyújtott alapvető támogatás fenntartása és növelése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támogassák az ENSZ rendszerének ambiciózus reformjait, és mozdítsák elő az ENSZ80 reformprogramját, biztosítva egy hatékonyabb, eredményesebb, átláthatóbb, pénzügyileg fenntarthatóbb és reagálóképesebb ENSZ-t, amely képes kezelni a jelenlegi és a felmerülő globális kihívásokat;</w:t>
            </w:r>
          </w:p>
        </w:tc>
        <w:tc>
          <w:tcPr>
            <w:tcW w:w="4876" w:type="dxa"/>
            <w:tcBorders>
              <w:top w:val="nil"/>
              <w:left w:val="nil"/>
              <w:bottom w:val="nil"/>
              <w:right w:val="nil"/>
            </w:tcBorders>
          </w:tcPr>
          <w:p>
            <w:pPr>
              <w:pStyle w:val="Normal6a"/>
            </w:pPr>
            <w:r>
              <w:t>(d)</w:t>
            </w:r>
            <w:r>
              <w:tab/>
            </w:r>
            <w:r>
              <w:t>támogassák az ENSZ rendszerének ambiciózus reformjait, és mozdítsák elő az ENSZ80 reformprogramját, biztosítva egy hatékonyabb, eredményesebb, átláthatóbb, pénzügyileg fenntarthatóbb és reagálóképesebb ENSZ-t, amely képes kezelni a jelenlegi és a felmerülő globális kihívásokat</w:t>
            </w:r>
            <w:r>
              <w:rPr>
                <w:b/>
                <w:i/>
              </w:rPr>
              <w:t>, valamint elkerülni az átpolitizáltságot és az ideológiai programokat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támogassák az ENSZ rendszerének ambiciózus reformjait, és mozdítsák elő az ENSZ80 reformprogramját, biztosítva egy hatékonyabb, eredményesebb, átláthatóbb, pénzügyileg fenntarthatóbb és reagálóképesebb ENSZ-t, amely képes kezelni a jelenlegi és a felmerülő globális kihívásokat;</w:t>
            </w:r>
          </w:p>
        </w:tc>
        <w:tc>
          <w:tcPr>
            <w:tcW w:w="4876" w:type="dxa"/>
            <w:tcBorders>
              <w:top w:val="nil"/>
              <w:left w:val="nil"/>
              <w:bottom w:val="nil"/>
              <w:right w:val="nil"/>
            </w:tcBorders>
          </w:tcPr>
          <w:p>
            <w:pPr>
              <w:pStyle w:val="Normal6a"/>
            </w:pPr>
            <w:r>
              <w:t>(d)</w:t>
            </w:r>
            <w:r>
              <w:tab/>
            </w:r>
            <w:r>
              <w:t xml:space="preserve">támogassák az ENSZ rendszerének ambiciózus reformjait, és mozdítsák elő az ENSZ80 reformprogramját, biztosítva egy hatékonyabb, eredményesebb, </w:t>
            </w:r>
            <w:r>
              <w:rPr>
                <w:b/>
                <w:i/>
              </w:rPr>
              <w:t>pártatlan,</w:t>
            </w:r>
            <w:r>
              <w:t xml:space="preserve"> átláthatóbb, pénzügyileg fenntarthatóbb és reagálóképesebb ENSZ-t, amely képes kezelni a jelenlegi és a felmerülő globális kihívásokat;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d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erősítsék meg a jövőt szolgáló paktum iránti elkötelezettségüket, amely fontos lépés az ENSZ újjáélesztése, a 2030-ig tartó időszakra szóló menetrend és a fenntartható fejlődési célok elérése, valamint a nemzetközi béke és biztonság fenntartása felé;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támogassák az ENSZ BT átfogó reformját annak </w:t>
            </w:r>
            <w:r>
              <w:rPr>
                <w:b/>
                <w:i/>
              </w:rPr>
              <w:t>érdekében, hogy az</w:t>
            </w:r>
            <w:r>
              <w:t xml:space="preserve"> hatékonyabbá</w:t>
            </w:r>
            <w:r>
              <w:rPr>
                <w:b/>
                <w:i/>
              </w:rPr>
              <w:t>,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r>
              <w:t>;</w:t>
            </w:r>
          </w:p>
        </w:tc>
        <w:tc>
          <w:tcPr>
            <w:tcW w:w="4876" w:type="dxa"/>
            <w:tcBorders>
              <w:top w:val="nil"/>
              <w:left w:val="nil"/>
              <w:bottom w:val="nil"/>
              <w:right w:val="nil"/>
            </w:tcBorders>
          </w:tcPr>
          <w:p>
            <w:pPr>
              <w:pStyle w:val="Normal6a"/>
            </w:pPr>
            <w:r>
              <w:t>(e)</w:t>
            </w:r>
            <w:r>
              <w:tab/>
            </w:r>
            <w:r>
              <w:t xml:space="preserve">támogassák az ENSZ BT átfogó reformját annak hatékonyabbá </w:t>
            </w:r>
            <w:r>
              <w:rPr>
                <w:b/>
                <w:i/>
              </w:rPr>
              <w:t>tétele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támogassák az ENSZ BT </w:t>
            </w:r>
            <w:r>
              <w:rPr>
                <w:b/>
                <w:i/>
              </w:rPr>
              <w:t>átfogó</w:t>
            </w:r>
            <w:r>
              <w:t xml:space="preserve"> reformját </w:t>
            </w:r>
            <w:r>
              <w:rPr>
                <w:b/>
                <w:i/>
              </w:rPr>
              <w:t>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w:t>
            </w:r>
            <w:r>
              <w:t xml:space="preserve"> alapvető </w:t>
            </w:r>
            <w:r>
              <w:rPr>
                <w:b/>
                <w:i/>
              </w:rPr>
              <w:t>intézkedéseit, azzal a céllal, hogy a jövőben teljes mértékben eltöröljék azt</w:t>
            </w:r>
            <w:r>
              <w:t>;</w:t>
            </w:r>
          </w:p>
        </w:tc>
        <w:tc>
          <w:tcPr>
            <w:tcW w:w="4876" w:type="dxa"/>
            <w:tcBorders>
              <w:top w:val="nil"/>
              <w:left w:val="nil"/>
              <w:bottom w:val="nil"/>
              <w:right w:val="nil"/>
            </w:tcBorders>
          </w:tcPr>
          <w:p>
            <w:pPr>
              <w:pStyle w:val="Normal6a"/>
            </w:pPr>
            <w:r>
              <w:t>(e)</w:t>
            </w:r>
            <w:r>
              <w:tab/>
            </w:r>
            <w:r>
              <w:t xml:space="preserve">támogassák az ENSZ BT </w:t>
            </w:r>
            <w:r>
              <w:rPr>
                <w:b/>
                <w:i/>
              </w:rPr>
              <w:t>pragmatikus és reális</w:t>
            </w:r>
            <w:r>
              <w:t xml:space="preserve"> reformját</w:t>
            </w:r>
            <w:r>
              <w:rPr>
                <w:b/>
                <w:i/>
              </w:rPr>
              <w:t>, amelynek célja az átláthatóság és a hatékonyság javítása, a vétómechanizmus gyengítése nélkül, amely továbbra is a nemzeti szuverenitás</w:t>
            </w:r>
            <w:r>
              <w:t xml:space="preserve"> alapvető </w:t>
            </w:r>
            <w:r>
              <w:rPr>
                <w:b/>
                <w:i/>
              </w:rPr>
              <w:t>biztosítéka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w:t>
            </w:r>
            <w:r>
              <w:rPr>
                <w:b/>
                <w:i/>
              </w:rPr>
              <w:t>, olyan feltételeket teremtve, amelyek szigorúan korlátozzák a vétó alkalmazását, amikor az megakadályozza az ENSZ</w:t>
            </w:r>
            <w:r>
              <w:t xml:space="preserve"> alapvető </w:t>
            </w:r>
            <w:r>
              <w:rPr>
                <w:b/>
                <w:i/>
              </w:rPr>
              <w:t>intézkedéseit, azzal a céllal, hogy a jövőben teljes mértékben eltöröljék azt</w:t>
            </w:r>
            <w:r>
              <w:t>;</w:t>
            </w:r>
          </w:p>
        </w:tc>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w:t>
            </w:r>
            <w:r>
              <w:rPr>
                <w:b/>
                <w:i/>
              </w:rPr>
              <w:t>;</w:t>
            </w:r>
            <w:r>
              <w:t xml:space="preserve"> </w:t>
            </w:r>
            <w:r>
              <w:rPr>
                <w:b/>
                <w:i/>
              </w:rPr>
              <w:t>emlékeztessenek arra, hogy a vétójog a szuverén államok közötti egyensúly</w:t>
            </w:r>
            <w:r>
              <w:t xml:space="preserve"> alapvető </w:t>
            </w:r>
            <w:r>
              <w:rPr>
                <w:b/>
                <w:i/>
              </w:rPr>
              <w:t>garanciája a Biztonsági Tanácsban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w:t>
            </w:r>
            <w:r>
              <w:rPr>
                <w:b/>
                <w:i/>
              </w:rPr>
              <w:t>, olyan feltételeket teremtve, amelyek szigorúan korlátozzák a vétó alkalmazását, amikor az megakadályozza az ENSZ alapvető intézkedéseit, azzal a céllal, hogy a jövőben teljes mértékben eltöröljék azt</w:t>
            </w:r>
            <w:r>
              <w:t>;</w:t>
            </w:r>
          </w:p>
        </w:tc>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támogassák az ENSZ BT átfogó reformját annak érdekében, hogy az hatékonyabbá, inkluzívabbá, átláthatóbbá, demokratikusabbá és elszámoltathatóbbá váljon, biztosítva, hogy jobban tükrözze napjaink globális realitásait, </w:t>
            </w:r>
            <w:r>
              <w:rPr>
                <w:b/>
                <w:i/>
              </w:rPr>
              <w:t>olyan feltételeket teremtve, amelyek szigorúan korlátozzák a vétó alkalmazását, amikor az megakadályozza</w:t>
            </w:r>
            <w:r>
              <w:t xml:space="preserve"> az ENSZ alapvető </w:t>
            </w:r>
            <w:r>
              <w:rPr>
                <w:b/>
                <w:i/>
              </w:rPr>
              <w:t>intézkedéseit, azzal a céllal, hogy a jövőben teljes mértékben eltöröljék azt</w:t>
            </w:r>
            <w:r>
              <w:t>;</w:t>
            </w:r>
          </w:p>
        </w:tc>
        <w:tc>
          <w:tcPr>
            <w:tcW w:w="4876" w:type="dxa"/>
            <w:tcBorders>
              <w:top w:val="nil"/>
              <w:left w:val="nil"/>
              <w:bottom w:val="nil"/>
              <w:right w:val="nil"/>
            </w:tcBorders>
          </w:tcPr>
          <w:p>
            <w:pPr>
              <w:pStyle w:val="Normal6a"/>
            </w:pPr>
            <w:r>
              <w:t>(e)</w:t>
            </w:r>
            <w:r>
              <w:tab/>
            </w:r>
            <w:r>
              <w:t xml:space="preserve">támogassák az ENSZ BT átfogó reformját annak érdekében, hogy az hatékonyabbá, inkluzívabbá, átláthatóbbá, demokratikusabbá és elszámoltathatóbbá váljon, biztosítva, hogy jobban tükrözze napjaink globális realitásait, </w:t>
            </w:r>
            <w:r>
              <w:rPr>
                <w:b/>
                <w:i/>
              </w:rPr>
              <w:t>és megteremtve a szélesebb körű konszenzus feltételeit</w:t>
            </w:r>
            <w:r>
              <w:t xml:space="preserve"> az ENSZ alapvető </w:t>
            </w:r>
            <w:r>
              <w:rPr>
                <w:b/>
                <w:i/>
              </w:rPr>
              <w:t>tevékenységének támogatása érdekében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w:t>
            </w:r>
            <w:r>
              <w:rPr>
                <w:b/>
                <w:i/>
              </w:rPr>
              <w:t>, azzal a céllal, hogy a jövőben teljes mértékben eltöröljék azt</w:t>
            </w:r>
            <w:r>
              <w:t>;</w:t>
            </w:r>
          </w:p>
        </w:tc>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c>
          <w:tcPr>
            <w:tcW w:w="4876" w:type="dxa"/>
            <w:tcBorders>
              <w:top w:val="nil"/>
              <w:left w:val="nil"/>
              <w:bottom w:val="nil"/>
              <w:right w:val="nil"/>
            </w:tcBorders>
          </w:tcPr>
          <w:p>
            <w:pPr>
              <w:pStyle w:val="Normal6a"/>
            </w:pPr>
            <w:r>
              <w:t>(e)</w:t>
            </w:r>
            <w:r>
              <w:tab/>
            </w:r>
            <w:r>
              <w:rPr>
                <w:b/>
                <w:i/>
              </w:rPr>
              <w:t>sajnálatukat fejezik ki amiatt, hogy az ENSZ Biztonsági Tanácsának összetétele a II. világháború utáni hatalmi struktúrát tükrözi, és nem felel meg napjaink jelenlegi dinamikájának, regionális képviseletének, demográfiai súlyának, illetve politikai és gazdasági realitásainak;</w:t>
            </w:r>
            <w:r>
              <w:t xml:space="preserve"> 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támogassák</w:t>
            </w:r>
            <w:r>
              <w:t xml:space="preserve"> az ENSZ BT átfogó </w:t>
            </w:r>
            <w:r>
              <w:rPr>
                <w:b/>
                <w:i/>
              </w:rPr>
              <w:t>reformját annak érdekében</w:t>
            </w:r>
            <w:r>
              <w:t>,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c>
          <w:tcPr>
            <w:tcW w:w="4876" w:type="dxa"/>
            <w:tcBorders>
              <w:top w:val="nil"/>
              <w:left w:val="nil"/>
              <w:bottom w:val="nil"/>
              <w:right w:val="nil"/>
            </w:tcBorders>
          </w:tcPr>
          <w:p>
            <w:pPr>
              <w:pStyle w:val="Normal6a"/>
            </w:pPr>
            <w:r>
              <w:t>(e)</w:t>
            </w:r>
            <w:r>
              <w:tab/>
            </w:r>
            <w:r>
              <w:rPr>
                <w:b/>
                <w:i/>
              </w:rPr>
              <w:t>ismerjék el, hogy a jelenlegi multilaterális rendszert – bár nélkülözhetetlen – de facto továbbra is néhány erős állam érdekei uralják;</w:t>
            </w:r>
            <w:r>
              <w:t xml:space="preserve"> </w:t>
            </w:r>
            <w:r>
              <w:rPr>
                <w:b/>
                <w:i/>
              </w:rPr>
              <w:t>hangsúlyozzák, hogy a nemzetközi rend legitimitása és fenntarthatósága</w:t>
            </w:r>
            <w:r>
              <w:t xml:space="preserve"> az ENSZ BT átfogó </w:t>
            </w:r>
            <w:r>
              <w:rPr>
                <w:b/>
                <w:i/>
              </w:rPr>
              <w:t>reformjától függ</w:t>
            </w:r>
            <w:r>
              <w:t>,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c>
          <w:tcPr>
            <w:tcW w:w="4876" w:type="dxa"/>
            <w:tcBorders>
              <w:top w:val="nil"/>
              <w:left w:val="nil"/>
              <w:bottom w:val="nil"/>
              <w:right w:val="nil"/>
            </w:tcBorders>
          </w:tcPr>
          <w:p>
            <w:pPr>
              <w:pStyle w:val="Normal6a"/>
            </w:pPr>
            <w:r>
              <w:t>(e)</w:t>
            </w:r>
            <w:r>
              <w:tab/>
            </w:r>
            <w:r>
              <w:t xml:space="preserve">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 </w:t>
            </w:r>
            <w:r>
              <w:rPr>
                <w:b/>
                <w:i/>
              </w:rPr>
              <w:t>hangsúlyozzák, hogy Oroszország elvesztette legitimitását az ENSZ Biztonsági Tanácsának állandó tagjaként azáltal, hogy kirívóan megsértette az ENSZ Alapokmányának alapelveit, különösen azáltal, hogy agressziós háborút folytat Ukrajna ellen, és vétója révén blokkolta a saját jogellenes cselekményeire vonatkozó döntéseket;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c>
          <w:tcPr>
            <w:tcW w:w="4876" w:type="dxa"/>
            <w:tcBorders>
              <w:top w:val="nil"/>
              <w:left w:val="nil"/>
              <w:bottom w:val="nil"/>
              <w:right w:val="nil"/>
            </w:tcBorders>
          </w:tcPr>
          <w:p>
            <w:pPr>
              <w:pStyle w:val="Normal6a"/>
            </w:pPr>
            <w:r>
              <w:t>(e)</w:t>
            </w:r>
            <w:r>
              <w:tab/>
            </w:r>
            <w:r>
              <w:t>támogassák az ENSZ BT átfogó reformját</w:t>
            </w:r>
            <w:r>
              <w:rPr>
                <w:b/>
                <w:i/>
              </w:rPr>
              <w:t>, beleértve az Európai Unió állandó helyének létrehozását Franciaország helye mellett,</w:t>
            </w:r>
            <w:r>
              <w:t xml:space="preserve">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w:t>
            </w:r>
            <w:r>
              <w:rPr>
                <w:b/>
                <w:i/>
              </w:rPr>
              <w:t>különösen háborús bűncselekmények és emberiesség elleni bűncselekmények esetén,</w:t>
            </w:r>
            <w:r>
              <w:t xml:space="preserve"> azzal a céllal, hogy a jövőben teljes mértékben eltöröljék azt;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Petras Auštrevičius, Michał Kobosko,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c>
          <w:tcPr>
            <w:tcW w:w="4876" w:type="dxa"/>
            <w:tcBorders>
              <w:top w:val="nil"/>
              <w:left w:val="nil"/>
              <w:bottom w:val="nil"/>
              <w:right w:val="nil"/>
            </w:tcBorders>
          </w:tcPr>
          <w:p>
            <w:pPr>
              <w:pStyle w:val="Normal6a"/>
            </w:pPr>
            <w:r>
              <w:t>(e)</w:t>
            </w:r>
            <w:r>
              <w:tab/>
            </w:r>
            <w:r>
              <w:t xml:space="preserve">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 </w:t>
            </w:r>
            <w:r>
              <w:rPr>
                <w:b/>
                <w:i/>
              </w:rPr>
              <w:t>törekedjenek arra, hogy a Franciaország által már betöltött hely mellett az EU állandó helyet kapjon az ENSZ BT-ben;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c>
          <w:tcPr>
            <w:tcW w:w="4876" w:type="dxa"/>
            <w:tcBorders>
              <w:top w:val="nil"/>
              <w:left w:val="nil"/>
              <w:bottom w:val="nil"/>
              <w:right w:val="nil"/>
            </w:tcBorders>
          </w:tcPr>
          <w:p>
            <w:pPr>
              <w:pStyle w:val="Normal6a"/>
            </w:pPr>
            <w:r>
              <w:t>(e)</w:t>
            </w:r>
            <w:r>
              <w:tab/>
            </w:r>
            <w:r>
              <w:t xml:space="preserve">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 </w:t>
            </w:r>
            <w:r>
              <w:rPr>
                <w:b/>
                <w:i/>
              </w:rPr>
              <w:t>felhívja az EU-t és tagállamait, hogy fontolják meg annak lehetőségét, hogy az EU helyet kapjon az ENSZ BT-ben;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w:t>
            </w:r>
          </w:p>
        </w:tc>
        <w:tc>
          <w:tcPr>
            <w:tcW w:w="4876" w:type="dxa"/>
            <w:tcBorders>
              <w:top w:val="nil"/>
              <w:left w:val="nil"/>
              <w:bottom w:val="nil"/>
              <w:right w:val="nil"/>
            </w:tcBorders>
          </w:tcPr>
          <w:p>
            <w:pPr>
              <w:pStyle w:val="Normal6a"/>
            </w:pPr>
            <w:r>
              <w:t>(e)</w:t>
            </w:r>
            <w:r>
              <w:tab/>
            </w:r>
            <w:r>
              <w:t xml:space="preserve">támogassák az ENSZ BT átfogó reformját annak érdekében, hogy az hatékonyabbá, inkluzívabbá, átláthatóbbá, demokratikusabbá és elszámoltathatóbbá váljon, biztosítva, hogy jobban tükrözze napjaink globális realitásait, olyan feltételeket teremtve, amelyek szigorúan korlátozzák a vétó alkalmazását, amikor az megakadályozza az ENSZ alapvető intézkedéseit, azzal a céllal, hogy a jövőben teljes mértékben eltöröljék azt; </w:t>
            </w:r>
            <w:r>
              <w:rPr>
                <w:b/>
                <w:i/>
              </w:rPr>
              <w:t>törekedjenek arra, hogy az EU állandó helyet kapjon az ENSZ BT-ben;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támogassák, hogy az Európai Unió állandó helyet kapjon a Biztonsági Tanácsban e szerv jövőbeli konszenzusos reformjával összefüggésben;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mozdítsák elő azt a nézetet, hogy Oroszországnak az ENSZ Biztonsági Tanácsa állandó tagjaként betöltött helye jogilag megkérdőjelezhető, mivel az ENSZ Alapokmányának 23. cikke a Szovjetuniót nevezi meg állandó tagként, nem pedig Oroszországot;</w:t>
            </w:r>
            <w:r>
              <w:t xml:space="preserve"> </w:t>
            </w:r>
            <w:r>
              <w:rPr>
                <w:b/>
                <w:i/>
              </w:rPr>
              <w:t>hangsúlyozzák, hogy a Szovjetunió felbomlása az állam 15 független köztársaságra való teljes feloszlatását jelentette, amelyek közül Oroszország csak egy volt, és nem született hivatalos döntés elődje helyének örököléséről;</w:t>
            </w:r>
            <w:r>
              <w:t xml:space="preserve"> </w:t>
            </w:r>
            <w:r>
              <w:rPr>
                <w:b/>
                <w:i/>
              </w:rPr>
              <w:t>mutassanak rá arra, hogy a többi szovjet köztársaság külön kérte az ENSZ-tagságot, míg Oroszország megkerülte ezt az eljárást, és egyoldalú nyilatkozattal átvette a Szovjetunió helyét;</w:t>
            </w:r>
            <w:r>
              <w:t xml:space="preserve"> </w:t>
            </w:r>
            <w:r>
              <w:rPr>
                <w:b/>
                <w:i/>
              </w:rPr>
              <w:t>hangsúlyozzák, hogy Oroszországnak a Biztonsági Tanács állandó tagjaként betöltött státusza a hallgatólagos elfogadáson és a politikai gyakorlaton alapul, nem pedig egyértelmű jogi döntésen;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hangsúlyozzák, hogy sürgősen valódi és strukturált uniós szerepvállalásra van szükség a globális dél országaival mint egyenlő partnerekkel a globális kormányzásban, többek között a döntéshozó szervekben való fokozott képviselet, a finanszírozáshoz és a technológiához való méltányos hozzáférés, valamint a nemzetközi kezdeményezésekben való közös szerepvállalás révén olyan területeken, mint a fejlesztés, az éghajlat-politika, a digitális kormányzás és a békeépítés;</w:t>
            </w:r>
            <w:r>
              <w:t xml:space="preserve"> </w:t>
            </w:r>
            <w:r>
              <w:rPr>
                <w:b/>
                <w:i/>
              </w:rPr>
              <w:t>felhívja az uniós tagállamokat, valamint az Európai Tanácsot és az EKSZ-t, hogy törekedjenek az EU szerepvállalásának fokozására ezekben az országokban, beleértve az önkényuralmi és illiberális rezsimek által stratégiailag alkalmazott EU-ellenes dezinformációs kampányok és narratívák elleni küzdelmet, amelyek célja az EU Latin-Amerikával, Afrikával és Ázsiával fenntartott kapcsolatainak aláásása;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elismerését fejezi ki az ENSZ-nek és ügynökségeinek különösen a konfliktusövezetekben betöltött szerepükért;</w:t>
            </w:r>
            <w:r>
              <w:t xml:space="preserve"> </w:t>
            </w:r>
            <w:r>
              <w:rPr>
                <w:b/>
                <w:i/>
              </w:rPr>
              <w:t>felhívja az EU-t, hogy többszörözze meg a multilateralizmus támogatását azáltal, hogy növeli az ENSZ és ügynökségei munkájához nyújtott politikai és pénzügyi támogatását;</w:t>
            </w:r>
            <w:r>
              <w:t xml:space="preserve"> </w:t>
            </w:r>
            <w:r>
              <w:rPr>
                <w:b/>
                <w:i/>
              </w:rPr>
              <w:t>kéri, hogy a következő többéves pénzügyi keret biztosítson célzott, megfelelő és kiszámítható finanszírozást az ENSZ és ügynökségei, különösen az UNRWA számára, amely alapvető szolgáltatásokat nyújt Gázában és Ciszjordániában és munkája alapvető és pótolhatatlan a régió lakossága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hangsúlyozzák, hogy kezelni kell a szervezetek közötti és szervezeten belüli rendszerszintű széttagoltságot, a párhuzamosságokat, valamint a megbízatások és a finanszírozás összehangolásának hiányát az ENSZ struktúráiban és szerveiben;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e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biztosítsanak megfelelő forrásokat az EKSZ stratégiai kommunikációs és előrejelzési részlege számára az önkényuralmi és illiberális rezsimek által stratégiailag alkalmazott EU-ellenes dezinformációs kampányok és narratívák elleni hatékony küzdelem érdekében, amelyek célja az EU külső tevékenységének aláásása a multilaterális fórumokon, különösen a globális dél országaival szemben;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ösztönözzék arra a tagállamokat, hogy hangolják össze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c>
          <w:tcPr>
            <w:tcW w:w="4876" w:type="dxa"/>
            <w:tcBorders>
              <w:top w:val="nil"/>
              <w:left w:val="nil"/>
              <w:bottom w:val="nil"/>
              <w:right w:val="nil"/>
            </w:tcBorders>
          </w:tcPr>
          <w:p>
            <w:pPr>
              <w:pStyle w:val="Normal6a"/>
            </w:pPr>
            <w:r>
              <w:t>(f)</w:t>
            </w:r>
            <w:r>
              <w:tab/>
            </w:r>
            <w:r>
              <w:t xml:space="preserve">ösztönözzék arra a tagállamokat, hogy hangolják össze fellépéseiket az ENSZ szervein és ügynökségein belül, és törekedjenek az ENSZ különleges előadói rendszerének reformjára;fogadjanak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 </w:t>
            </w:r>
            <w:r>
              <w:rPr>
                <w:b/>
                <w:i/>
              </w:rPr>
              <w:t>felhívja az EU-t és tagállamait, hogy vizsgálják felül és igazítsák ki az Egyesült Államok által a közelmúltban visszavont ENSZ-ügynökségekbe, például az UNESCO-ba, a WTO-ba, az UNRWA-ba, az UNHRC-be, az UNFCCC-be és az UNFPA-ba történő beruházásaikat, tekintettel az e szervezetek által elszenvedett jelentős finanszírozási veszteségekre;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ösztönözzék arra a tagállamokat, hogy hangolják össze fellépéseiket az ENSZ szervein és ügynökségein belül, és törekedjenek az ENSZ különleges előadói rendszerének reformjára; fogadjanak el </w:t>
            </w:r>
            <w:r>
              <w:rPr>
                <w:b/>
                <w:i/>
              </w:rPr>
              <w:t>olyan</w:t>
            </w:r>
            <w:r>
              <w:t xml:space="preserve"> eljárásokat</w:t>
            </w:r>
            <w:r>
              <w:rPr>
                <w:b/>
                <w:i/>
              </w:rPr>
              <w:t>, amelyekkel hatékonyan kezelhetők</w:t>
            </w:r>
            <w:r>
              <w:t xml:space="preserve"> az ENSZ ügynökségeinek megbízatását </w:t>
            </w:r>
            <w:r>
              <w:rPr>
                <w:b/>
                <w:i/>
              </w:rPr>
              <w:t>veszélyeztető esetleges elfogultságok és hatékonysági problémák, biztosítva a személyzet megfelelő átvilágítását és felügyeletét, valamint adott esetben eltávolítását</w:t>
            </w:r>
            <w:r>
              <w:t>;</w:t>
            </w:r>
          </w:p>
        </w:tc>
        <w:tc>
          <w:tcPr>
            <w:tcW w:w="4876" w:type="dxa"/>
            <w:tcBorders>
              <w:top w:val="nil"/>
              <w:left w:val="nil"/>
              <w:bottom w:val="nil"/>
              <w:right w:val="nil"/>
            </w:tcBorders>
          </w:tcPr>
          <w:p>
            <w:pPr>
              <w:pStyle w:val="Normal6a"/>
            </w:pPr>
            <w:r>
              <w:t>(f)</w:t>
            </w:r>
            <w:r>
              <w:tab/>
            </w:r>
            <w:r>
              <w:t xml:space="preserve">ösztönözzék arra a tagállamokat, hogy hangolják össze fellépéseiket az ENSZ szervein és ügynökségein belül, és törekedjenek az ENSZ különleges előadói rendszerének reformjára; fogadjanak el eljárásokat </w:t>
            </w:r>
            <w:r>
              <w:rPr>
                <w:b/>
                <w:i/>
              </w:rPr>
              <w:t>minden olyan esetleges akadály vagy korlátozás hatékony kezelésére, amely veszélyeztetheti</w:t>
            </w:r>
            <w:r>
              <w:t xml:space="preserve"> az ENSZ ügynökségeinek megbízatását</w:t>
            </w:r>
            <w:r>
              <w:rPr>
                <w:b/>
                <w:i/>
              </w:rPr>
              <w:t>, különös tekintettel az uniós hozzájárulásokra és finanszírozásra;</w:t>
            </w:r>
            <w:r>
              <w:t xml:space="preserve"> </w:t>
            </w:r>
            <w:r>
              <w:rPr>
                <w:b/>
                <w:i/>
              </w:rPr>
              <w:t>e tekintetben biztosítsák, hogy az ENSZ-ügynökségeknek nyújtott uniós hozzájárulások időszerűek és megfelelőek maradjanak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ösztönözzék arra a tagállamokat, hogy hangolják össze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c>
          <w:tcPr>
            <w:tcW w:w="4876" w:type="dxa"/>
            <w:tcBorders>
              <w:top w:val="nil"/>
              <w:left w:val="nil"/>
              <w:bottom w:val="nil"/>
              <w:right w:val="nil"/>
            </w:tcBorders>
          </w:tcPr>
          <w:p>
            <w:pPr>
              <w:pStyle w:val="Normal6a"/>
            </w:pPr>
            <w:r>
              <w:t>(f)</w:t>
            </w:r>
            <w:r>
              <w:tab/>
            </w:r>
            <w:r>
              <w:t xml:space="preserve">ösztönözzék arra a tagállamokat, hogy hangolják össze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 </w:t>
            </w:r>
            <w:r>
              <w:rPr>
                <w:b/>
                <w:i/>
              </w:rPr>
              <w:t>biztosítsák, hogy az ENSZ megbízottjai és tisztviselői betartsák a legmagasabb szintű szakmai magatartási normákat, elkerülve egyes megbízottak, köztük Francesca Albanese különleges ENSZ-előadó erősen átpolitizált magatartását és nyilvános nyilatkozatait, amelyek alááshatják az ENSZ hitelességét és a pártatlanság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ösztönözzék arra a tagállamokat, hogy hangolják össze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c>
          <w:tcPr>
            <w:tcW w:w="4876" w:type="dxa"/>
            <w:tcBorders>
              <w:top w:val="nil"/>
              <w:left w:val="nil"/>
              <w:bottom w:val="nil"/>
              <w:right w:val="nil"/>
            </w:tcBorders>
          </w:tcPr>
          <w:p>
            <w:pPr>
              <w:pStyle w:val="Normal6a"/>
            </w:pPr>
            <w:r>
              <w:t>(f)</w:t>
            </w:r>
            <w:r>
              <w:tab/>
            </w:r>
            <w:r>
              <w:t xml:space="preserve">ösztönözzék arra a tagállamokat, hogy hangolják össze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 </w:t>
            </w:r>
            <w:r>
              <w:rPr>
                <w:b/>
                <w:i/>
              </w:rPr>
              <w:t>vizsgálják meg egy demokratikusan megválasztott képviselőkből álló parlamenti közgyűlés létrehozásának lehetőségét az ENSZ keretében azzal a céllal, hogy megerősítsék a multilaterális rendszer demokratikus legitimitását, és átlátható és részvételen alapuló módon kezeljék az emberiség jövőjét érintő globális kihívásokat;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ösztönözzék arra a tagállamokat, hogy hangolják össze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c>
          <w:tcPr>
            <w:tcW w:w="4876" w:type="dxa"/>
            <w:tcBorders>
              <w:top w:val="nil"/>
              <w:left w:val="nil"/>
              <w:bottom w:val="nil"/>
              <w:right w:val="nil"/>
            </w:tcBorders>
          </w:tcPr>
          <w:p>
            <w:pPr>
              <w:pStyle w:val="Normal6a"/>
            </w:pPr>
            <w:r>
              <w:t>(f)</w:t>
            </w:r>
            <w:r>
              <w:tab/>
            </w:r>
            <w:r>
              <w:t>ösztönözzék arra a tagállamokat, hogy hangolják össze fellépéseiket az ENSZ szervein és ügynökségein belül, és törekedjenek az ENSZ különleges előadói rendszerének reformjára</w:t>
            </w:r>
            <w:r>
              <w:rPr>
                <w:b/>
                <w:i/>
              </w:rPr>
              <w:t>;</w:t>
            </w:r>
            <w:r>
              <w:t xml:space="preserve"> </w:t>
            </w:r>
            <w:r>
              <w:rPr>
                <w:b/>
                <w:i/>
              </w:rPr>
              <w:t>ismételten hangsúlyozza annak fontosságát, hogy valamennyi ország újra elkötelezze magát amellett, hogy teljes körű hozzáférést biztosít az ENSZ különleges előadói számára</w:t>
            </w:r>
            <w:r>
              <w:t>;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a(z) ESN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ösztönözzék arra a tagállamokat, hogy </w:t>
            </w:r>
            <w:r>
              <w:rPr>
                <w:b/>
                <w:i/>
              </w:rPr>
              <w:t>hangolják össze fellépéseiket</w:t>
            </w:r>
            <w:r>
              <w:t xml:space="preserve">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c>
          <w:tcPr>
            <w:tcW w:w="4876" w:type="dxa"/>
            <w:tcBorders>
              <w:top w:val="nil"/>
              <w:left w:val="nil"/>
              <w:bottom w:val="nil"/>
              <w:right w:val="nil"/>
            </w:tcBorders>
          </w:tcPr>
          <w:p>
            <w:pPr>
              <w:pStyle w:val="Normal6a"/>
            </w:pPr>
            <w:r>
              <w:t>(f)</w:t>
            </w:r>
            <w:r>
              <w:tab/>
            </w:r>
            <w:r>
              <w:t xml:space="preserve">ösztönözzék arra a tagállamokat, hogy </w:t>
            </w:r>
            <w:r>
              <w:rPr>
                <w:b/>
                <w:i/>
              </w:rPr>
              <w:t>fontolják meg fellépéseik összehangolását a közös érdekű területeken</w:t>
            </w:r>
            <w:r>
              <w:t xml:space="preserve">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ösztönözzék arra a tagállamokat, hogy hangolják össze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c>
          <w:tcPr>
            <w:tcW w:w="4876" w:type="dxa"/>
            <w:tcBorders>
              <w:top w:val="nil"/>
              <w:left w:val="nil"/>
              <w:bottom w:val="nil"/>
              <w:right w:val="nil"/>
            </w:tcBorders>
          </w:tcPr>
          <w:p>
            <w:pPr>
              <w:pStyle w:val="Normal6a"/>
            </w:pPr>
            <w:r>
              <w:t>(f)</w:t>
            </w:r>
            <w:r>
              <w:tab/>
            </w:r>
            <w:r>
              <w:t xml:space="preserve">ösztönözzék arra a tagállamokat, hogy hangolják össze </w:t>
            </w:r>
            <w:r>
              <w:rPr>
                <w:b/>
                <w:i/>
              </w:rPr>
              <w:t>és koordinálják</w:t>
            </w:r>
            <w:r>
              <w:t xml:space="preserve"> fellépéseiket az ENSZ szervein és ügynökségein belül, és törekedjenek az ENSZ különleges előadói rendszerének reformjára; fogadjanak el olyan eljárásokat, amelyekkel hatékonyan kezelhetők az ENSZ ügynökségeinek megbízatását veszélyeztető esetleges elfogultságok és hatékonysági problémák, biztosítva a személyzet megfelelő átvilágítását és felügyeletét, valamint adott esetben eltávolítását;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szigorú feltételrendszerre és eseti értékelésre szólít fel az ENSZ-ügynökségeknek nyújtott uniós finanszírozás vonatkozásában, beleértve a visszavonás lehetőségét is, amennyiben a semlegesség, az átláthatóság vagy az elszámoltathatóság nem garantálható;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f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szólítsanak fel az UNRWA által támogatott oktatási anyagok független, ismétlődő külső felülvizsgálatára annak biztosítása érdekében, hogy azok megfeleljenek az ENSZ normáinak, és ne mozdítsák elő a gyűlöletet, az erőszakot vagy a terrorizmus dicsőítését;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g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folytassák a partnerekkel</w:t>
            </w:r>
            <w:r>
              <w:rPr>
                <w:b/>
                <w:i/>
              </w:rPr>
              <w:t>, például az Egyesült Államokkal</w:t>
            </w:r>
            <w:r>
              <w:t xml:space="preserve"> folytatott együttműködés megerősítését a konszenzus kialakítása és a hatékony multilaterális rend előmozdítása érdekében;</w:t>
            </w:r>
          </w:p>
        </w:tc>
        <w:tc>
          <w:tcPr>
            <w:tcW w:w="4876" w:type="dxa"/>
            <w:tcBorders>
              <w:top w:val="nil"/>
              <w:left w:val="nil"/>
              <w:bottom w:val="nil"/>
              <w:right w:val="nil"/>
            </w:tcBorders>
          </w:tcPr>
          <w:p>
            <w:pPr>
              <w:pStyle w:val="Normal6a"/>
            </w:pPr>
            <w:r>
              <w:t>(g)</w:t>
            </w:r>
            <w:r>
              <w:tab/>
            </w:r>
            <w:r>
              <w:t xml:space="preserve">folytassák a partnerekkel folytatott együttműködés megerősítését a konszenzus kialakítása és a hatékony multilaterális rend előmozdítása érdekében; </w:t>
            </w:r>
            <w:r>
              <w:rPr>
                <w:b/>
                <w:i/>
              </w:rPr>
              <w:t>különösen a hasonlóan gondolkodó országokkal és azokkal, amelyek készek a multilaterális rendszer tiszteletben tartására, az ahhoz való hozzájárulásra és annak megerősítésére;</w:t>
            </w:r>
            <w:r>
              <w:t xml:space="preserve"> </w:t>
            </w:r>
            <w:r>
              <w:rPr>
                <w:b/>
                <w:i/>
              </w:rPr>
              <w:t>hangsúlyozza, hogy ennek az együttműködésnek a multilateralizmus, a nemzetközi jog, az emberi jogok és a nemzetközi intézményeken belüli közös döntéshozatal tiszteletben tartásán kell alapulnia;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g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folytassák a partnerekkel</w:t>
            </w:r>
            <w:r>
              <w:rPr>
                <w:b/>
                <w:i/>
              </w:rPr>
              <w:t>, például az Egyesült Államokkal</w:t>
            </w:r>
            <w:r>
              <w:t xml:space="preserve"> folytatott együttműködés megerősítését a konszenzus kialakítása és a hatékony multilaterális rend előmozdítása érdekében;</w:t>
            </w:r>
          </w:p>
        </w:tc>
        <w:tc>
          <w:tcPr>
            <w:tcW w:w="4876" w:type="dxa"/>
            <w:tcBorders>
              <w:top w:val="nil"/>
              <w:left w:val="nil"/>
              <w:bottom w:val="nil"/>
              <w:right w:val="nil"/>
            </w:tcBorders>
          </w:tcPr>
          <w:p>
            <w:pPr>
              <w:pStyle w:val="Normal6a"/>
            </w:pPr>
            <w:r>
              <w:t>(g)</w:t>
            </w:r>
            <w:r>
              <w:tab/>
            </w:r>
            <w:r>
              <w:t>folytassák a partnerekkel folytatott együttműködés megerősítését a konszenzus kialakítása és a hatékony multilaterális rend előmozdítása érdekében</w:t>
            </w:r>
            <w:r>
              <w:rPr>
                <w:b/>
                <w:i/>
              </w:rPr>
              <w:t>, biztosítva ugyanakkor, hogy az Unió fejlessze a politikai, pénzügyi és intézményi kapacitást, hogy önállóan tudjon fellépni, amikor a partnerek kivonulnak a multilaterális keretekből, aláássák vagy eszközként használják fel azokat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g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folytassák a partnerekkel</w:t>
            </w:r>
            <w:r>
              <w:rPr>
                <w:b/>
                <w:i/>
              </w:rPr>
              <w:t>, például az Egyesült Államokkal</w:t>
            </w:r>
            <w:r>
              <w:t xml:space="preserve"> folytatott együttműködés megerősítését a konszenzus kialakítása és a hatékony multilaterális rend előmozdítása érdekében;</w:t>
            </w:r>
          </w:p>
        </w:tc>
        <w:tc>
          <w:tcPr>
            <w:tcW w:w="4876" w:type="dxa"/>
            <w:tcBorders>
              <w:top w:val="nil"/>
              <w:left w:val="nil"/>
              <w:bottom w:val="nil"/>
              <w:right w:val="nil"/>
            </w:tcBorders>
          </w:tcPr>
          <w:p>
            <w:pPr>
              <w:pStyle w:val="Normal6a"/>
            </w:pPr>
            <w:r>
              <w:t>(g)</w:t>
            </w:r>
            <w:r>
              <w:tab/>
            </w:r>
            <w:r>
              <w:t>folytassák a partnerekkel folytatott együttműködés megerősítését a konszenzus kialakítása és a hatékony multilaterális rend előmozdítása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g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felhívja az Európai Uniót és tagállamait, hogy határozottan és a legmagasabb politikai szinten működjenek együtt az Egyesült Államokkal, és fejezzék ki mély aggodalmukat Trump elnöknek az ENSZ és a multilaterális rendszer egésze elleni ismételt nyilvános támadásai miatt;</w:t>
            </w:r>
            <w:r>
              <w:t xml:space="preserve"> </w:t>
            </w:r>
            <w:r>
              <w:rPr>
                <w:b/>
                <w:i/>
              </w:rPr>
              <w:t>figyelmeztet arra, hogy az ilyen fellépések és retorika azzal a kockázattal járnak, hogy aláássák a szabályokon alapuló nemzetközi rendet, és az Egyesült Államokat a multilateralizmus pilléréből a kétoldalú tranzakciós kapcsolatok bajnokává alakítják át;</w:t>
            </w:r>
            <w:r>
              <w:t xml:space="preserve"> </w:t>
            </w:r>
            <w:r>
              <w:rPr>
                <w:b/>
                <w:i/>
              </w:rPr>
              <w:t>hangsúlyozza, hogy a multilaterális intézmények, a nemzetközi jog és az államok szuverén egyenlőségének tiszteletben tartása elengedhetetlen a globális békéhez, biztonsághoz és fenntartható fejlődéshez;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g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fokozzák a koordinációt a latin-amerikai országokkal, amelyekkel oly sok közös kapcsolatunk van, és amelyek közös elképzeléssel rendelkeznek a szabályokon és multilateralizmuson alapuló nemzetközi rendről, tekintettel arra, hogy a két régió együttesen a szavazati jogok egyharmadát adja az ENSZ-ben;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egy uniós típusú, minősített többségi szavazási rendszer alkalmazásával, amelynek értelmében az ENSZ Közgyűlésének azon határozatai, amelyeket a népesség kétharmadát képviselő tagok kétharmados többsége szavaz meg, kötelező érvényűnek minősülnek;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w:t>
            </w:r>
            <w:r>
              <w:rPr>
                <w:b/>
                <w:i/>
              </w:rPr>
              <w:t>, és tárják fel, hogy miként lehetne megerősíteni az ENSZ Közgyűlésének szerepét ezen a területen egy uniós típusú, minősített többségi szavazási rendszer alkalmazásával, amelynek értelmében az ENSZ Közgyűlésének azon határozatai, amelyeket a népesség kétharmadát képviselő tagok kétharmados többsége szavaz meg, kötelező érvényűnek minősülnek</w:t>
            </w:r>
            <w:r>
              <w:t>;</w:t>
            </w:r>
          </w:p>
        </w:tc>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w:t>
            </w:r>
            <w:r>
              <w:rPr>
                <w:b/>
                <w:i/>
              </w:rPr>
              <w:t>, és tárják fel, hogy miként lehetne megerősíteni az ENSZ Közgyűlésének szerepét ezen a területen egy uniós típusú, minősített többségi szavazási rendszer alkalmazásával, amelynek értelmében az ENSZ Közgyűlésének azon határozatai, amelyeket a népesség kétharmadát képviselő tagok kétharmados többsége szavaz meg, kötelező érvényűnek minősülnek</w:t>
            </w:r>
            <w:r>
              <w:t>;</w:t>
            </w:r>
          </w:p>
        </w:tc>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felelősségére, és </w:t>
            </w:r>
            <w:r>
              <w:rPr>
                <w:b/>
                <w:i/>
              </w:rPr>
              <w:t>tárják fel, hogy miként lehetne megerősíteni</w:t>
            </w:r>
            <w:r>
              <w:t xml:space="preserve"> az ENSZ Közgyűlésének szerepét </w:t>
            </w:r>
            <w:r>
              <w:rPr>
                <w:b/>
                <w:i/>
              </w:rPr>
              <w:t>ezen a területen egy uniós típusú, minősített többségi szavazási rendszer alkalmazásával, amelynek értelmében az ENSZ Közgyűlésének azon határozatai, amelyeket a népesség kétharmadát képviselő</w:t>
            </w:r>
            <w:r>
              <w:t xml:space="preserve"> tagok </w:t>
            </w:r>
            <w:r>
              <w:rPr>
                <w:b/>
                <w:i/>
              </w:rPr>
              <w:t>kétharmados többsége szavaz meg, kötelező érvényűnek minősülnek</w:t>
            </w:r>
            <w:r>
              <w:t>;</w:t>
            </w:r>
          </w:p>
        </w:tc>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felelősségére, és </w:t>
            </w:r>
            <w:r>
              <w:rPr>
                <w:b/>
                <w:i/>
              </w:rPr>
              <w:t>erősítsék meg</w:t>
            </w:r>
            <w:r>
              <w:t xml:space="preserve"> az ENSZ Közgyűlésének </w:t>
            </w:r>
            <w:r>
              <w:rPr>
                <w:b/>
                <w:i/>
              </w:rPr>
              <w:t>konzultációs</w:t>
            </w:r>
            <w:r>
              <w:t xml:space="preserve"> szerepét </w:t>
            </w:r>
            <w:r>
              <w:rPr>
                <w:b/>
                <w:i/>
              </w:rPr>
              <w:t>a</w:t>
            </w:r>
            <w:r>
              <w:t xml:space="preserve"> tagok </w:t>
            </w:r>
            <w:r>
              <w:rPr>
                <w:b/>
                <w:i/>
              </w:rPr>
              <w:t>szuverenitásának aláásása nélkül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w:t>
            </w:r>
            <w:r>
              <w:rPr>
                <w:b/>
                <w:i/>
              </w:rPr>
              <w:t>egy uniós típusú, minősített többségi szavazási rendszer alkalmazásával, amelynek értelmében az ENSZ Közgyűlésének azon határozatai, amelyeket a népesség kétharmadát képviselő tagok kétharmados többsége szavaz meg, kötelező érvényűnek minősülnek</w:t>
            </w:r>
            <w:r>
              <w:t>;</w:t>
            </w:r>
          </w:p>
        </w:tc>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w:t>
            </w:r>
            <w:r>
              <w:rPr>
                <w:b/>
                <w:i/>
              </w:rPr>
              <w:t>, és</w:t>
            </w:r>
            <w:r>
              <w:t xml:space="preserve"> tárják fel, hogy miként lehetne megerősíteni az ENSZ Közgyűlésének </w:t>
            </w:r>
            <w:r>
              <w:rPr>
                <w:b/>
                <w:i/>
              </w:rPr>
              <w:t>szerepét ezen a területen egy uniós típusú, minősített többségi szavazási rendszer alkalmazásával, amelynek értelmében</w:t>
            </w:r>
            <w:r>
              <w:t xml:space="preserve"> az ENSZ Közgyűlésének </w:t>
            </w:r>
            <w:r>
              <w:rPr>
                <w:b/>
                <w:i/>
              </w:rPr>
              <w:t>azon határozatai, amelyeket a népesség kétharmadát képviselő tagok kétharmados többsége szavaz meg, kötelező érvényűnek minősülnek</w:t>
            </w:r>
            <w:r>
              <w:t>;</w:t>
            </w:r>
          </w:p>
        </w:tc>
        <w:tc>
          <w:tcPr>
            <w:tcW w:w="4876" w:type="dxa"/>
            <w:tcBorders>
              <w:top w:val="nil"/>
              <w:left w:val="nil"/>
              <w:bottom w:val="nil"/>
              <w:right w:val="nil"/>
            </w:tcBorders>
          </w:tcPr>
          <w:p>
            <w:pPr>
              <w:pStyle w:val="Normal6a"/>
            </w:pPr>
            <w:r>
              <w:t>(h)</w:t>
            </w:r>
            <w:r>
              <w:tab/>
            </w:r>
            <w:r>
              <w:t>emlékeztessék az ENSZ BT-t</w:t>
            </w:r>
            <w:r>
              <w:rPr>
                <w:b/>
                <w:i/>
              </w:rPr>
              <w:t>, különösen állandó tagjait,</w:t>
            </w:r>
            <w:r>
              <w:t xml:space="preserve"> a nemzetközi béke és biztonság fenntartásával és a nemzetközi jog megsértése esetén az elszámoltathatóság biztosításával kapcsolatos felelősségére</w:t>
            </w:r>
            <w:r>
              <w:rPr>
                <w:b/>
                <w:i/>
              </w:rPr>
              <w:t>;</w:t>
            </w:r>
            <w:r>
              <w:t xml:space="preserve"> tárják fel, hogy miként lehetne megerősíteni az ENSZ Közgyűlésének </w:t>
            </w:r>
            <w:r>
              <w:rPr>
                <w:b/>
                <w:i/>
              </w:rPr>
              <w:t>cselekvőképességét abban az esetben, ha az ENSZ BT nem teljesíti elsődleges felelősségét;</w:t>
            </w:r>
            <w:r>
              <w:t xml:space="preserve"> </w:t>
            </w:r>
            <w:r>
              <w:rPr>
                <w:b/>
                <w:i/>
              </w:rPr>
              <w:t>e tekintetben aktívan vizsgálják meg az „Egyesülve a békéért” doktrína alapján az ENSZ Közgyűlésére ruházott cselekvési előjogok alkalmazásának fokozását és összehangolását a hasonlóan gondolkodó országokkal, amely lehetővé teszi</w:t>
            </w:r>
            <w:r>
              <w:t xml:space="preserve"> az ENSZ Közgyűlésének </w:t>
            </w:r>
            <w:r>
              <w:rPr>
                <w:b/>
                <w:i/>
              </w:rPr>
              <w:t>minősített többséggel elfogadott határozatainak az ENSZ fellépését kiváltó hatását, elkerülve ezzel az ENSZ Biztonsági Tanácsának vétójogával járó patthelyzetet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w:t>
            </w:r>
            <w:r>
              <w:rPr>
                <w:b/>
                <w:i/>
              </w:rPr>
              <w:t>felelősségére</w:t>
            </w:r>
            <w:r>
              <w:t xml:space="preserve">, </w:t>
            </w:r>
            <w:r>
              <w:rPr>
                <w:b/>
                <w:i/>
              </w:rPr>
              <w:t>és tárják fel</w:t>
            </w:r>
            <w:r>
              <w:t>, hogy miként lehetne megerősíteni az ENSZ Közgyűlésének szerepét ezen a területen egy uniós típusú, minősített többségi szavazási rendszer alkalmazásával, amelynek értelmében az ENSZ Közgyűlésének azon határozatai, amelyeket a népesség kétharmadát képviselő tagok kétharmados többsége szavaz meg, kötelező érvényűnek minősülnek;</w:t>
            </w:r>
          </w:p>
        </w:tc>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w:t>
            </w:r>
            <w:r>
              <w:rPr>
                <w:b/>
                <w:i/>
              </w:rPr>
              <w:t>felelősségre</w:t>
            </w:r>
            <w:r>
              <w:t xml:space="preserve">, </w:t>
            </w:r>
            <w:r>
              <w:rPr>
                <w:b/>
                <w:i/>
              </w:rPr>
              <w:t>valamint arra, hogy tartózkodjon a kettős mércétől és a nemzetközi szabályok szelektív alkalmazásától;</w:t>
            </w:r>
            <w:r>
              <w:t xml:space="preserve"> </w:t>
            </w:r>
            <w:r>
              <w:rPr>
                <w:b/>
                <w:i/>
              </w:rPr>
              <w:t>határozottan ösztönözzék annak feltárását</w:t>
            </w:r>
            <w:r>
              <w:t>, hogy miként lehetne megerősíteni az ENSZ Közgyűlésének szerepét ezen a területen egy uniós típusú, minősített többségi szavazási rendszer alkalmazásával, amelynek értelmében az ENSZ Közgyűlésének azon határozatai, amelyeket a népesség kétharmadát képviselő tagok kétharmados többsége szavaz meg, kötelező érvényűnek minősülnek;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egy uniós típusú, minősített többségi szavazási rendszer alkalmazásával, amelynek értelmében az ENSZ Közgyűlésének azon határozatai, amelyeket a </w:t>
            </w:r>
            <w:r>
              <w:rPr>
                <w:b/>
                <w:i/>
              </w:rPr>
              <w:t>népesség kétharmadát képviselő</w:t>
            </w:r>
            <w:r>
              <w:t xml:space="preserve"> tagok kétharmados többsége szavaz meg, kötelező érvényűnek minősülnek;</w:t>
            </w:r>
          </w:p>
        </w:tc>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egy uniós típusú, minősített többségi szavazási rendszer alkalmazásával, amelynek értelmében az ENSZ Közgyűlésének azon határozatai, amelyeket a tagok kétharmados többsége szavaz meg, kötelező érvényűnek minősülnek;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a(z) ESN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egy </w:t>
            </w:r>
            <w:r>
              <w:rPr>
                <w:b/>
                <w:i/>
              </w:rPr>
              <w:t>uniós típusú,</w:t>
            </w:r>
            <w:r>
              <w:t xml:space="preserve"> minősített többségi szavazási rendszer alkalmazásával, amelynek értelmében az ENSZ Közgyűlésének azon határozatai, amelyeket a népesség kétharmadát képviselő tagok kétharmados többsége szavaz meg, kötelező érvényűnek minősülnek;</w:t>
            </w:r>
          </w:p>
        </w:tc>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egy </w:t>
            </w:r>
            <w:r>
              <w:rPr>
                <w:b/>
                <w:i/>
              </w:rPr>
              <w:t>továbbfejlesztett</w:t>
            </w:r>
            <w:r>
              <w:t xml:space="preserve"> minősített többségi szavazási rendszer alkalmazásával, amelynek értelmében az ENSZ Közgyűlésének azon határozatai, amelyeket a népesség kétharmadát képviselő tagok kétharmados többsége szavaz meg, kötelező érvényűnek minősülnek;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egy </w:t>
            </w:r>
            <w:r>
              <w:rPr>
                <w:b/>
                <w:i/>
              </w:rPr>
              <w:t>uniós típusú,</w:t>
            </w:r>
            <w:r>
              <w:t xml:space="preserve"> minősített többségi szavazási rendszer alkalmazásával, amelynek értelmében az ENSZ Közgyűlésének azon határozatai, amelyeket a népesség kétharmadát képviselő tagok kétharmados többsége szavaz meg, kötelező érvényűnek minősülnek;</w:t>
            </w:r>
          </w:p>
        </w:tc>
        <w:tc>
          <w:tcPr>
            <w:tcW w:w="4876" w:type="dxa"/>
            <w:tcBorders>
              <w:top w:val="nil"/>
              <w:left w:val="nil"/>
              <w:bottom w:val="nil"/>
              <w:right w:val="nil"/>
            </w:tcBorders>
          </w:tcPr>
          <w:p>
            <w:pPr>
              <w:pStyle w:val="Normal6a"/>
            </w:pPr>
            <w:r>
              <w:t>(h)</w:t>
            </w:r>
            <w:r>
              <w:tab/>
            </w:r>
            <w:r>
              <w:t>emlékeztessék az ENSZ BT-t a nemzetközi béke és biztonság fenntartásával és a nemzetközi jog megsértése esetén az elszámoltathatóság biztosításával kapcsolatos felelősségére, és tárják fel, hogy miként lehetne megerősíteni az ENSZ Közgyűlésének szerepét ezen a területen egy minősített többségi szavazási rendszer alkalmazásával, amelynek értelmében az ENSZ Közgyűlésének azon határozatai, amelyeket a népesség kétharmadát képviselő tagok kétharmados többsége szavaz meg, kötelező érvényűnek minősülnek;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fejezzék ki mély aggodalmukat az Egyesült Államok azon egyoldalú döntései miatt, hogy kilép a nemzetközi szervezetekből, megállapodásokból és többoldalú keretekből vagy felfüggeszti az azokban való részvételt, különösen akkor, ha ezek a döntések gyengítik a nemzetközi együttműködést olyan alapvető területeken, mint a béke és biztonság, a globális egészségügy, a kereskedelem, az éghajlat-politika vagy az emberi jogok;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szólítsák fel az EU-t és tagállamait, hogy szigorúan ellenőrizzék a nemzetközi igazságügyi szervekkel, köztük a Nemzetközi Bírósággal és a Nemzetközi Büntetőbírósággal kapcsolatos együttműködést és finanszírozást, és ellenezzenek minden arra irányuló kísérletet, hogy az ilyen fórumokat a demokratikus államok legitimitásának delegitimálására vagy a terrorista szervezetek és az önvédelem természetes jogát gyakorló államok közötti egyenrangúságra használják fel;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h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támogassák a védelmi felelősséget (R2P), amely a magas szintű munkacsoport és az intervencióval és az állami szuverenitással foglalkozó nemzetközi bizottság által javasolt, kialakulóban lévő norma, és javasolják, hogy a védelmi felelősség képezze a súlyos veszélyben lévő lakosság megmentésére irányuló kollektív fellépés alapját, amennyiben kormányaik nem képesek vagy nem hajlandók fellépni;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erősítsék meg, hogy elítélik Oroszország Ukrajna elleni jogellenes agressziós háborúját és a globális béke és biztonság struktúrája, többek között az ENSZ BT eszközei elleni támadásait;</w:t>
            </w:r>
            <w:r>
              <w:t xml:space="preserve">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w:t>
            </w:r>
            <w:r>
              <w:rPr>
                <w:b/>
                <w:i/>
              </w:rPr>
              <w:t>támogassák az ENSZ-t olyan jogi mechanizmusok meghatározásában, amelyekkel a befagyasztott orosz vagyon mozgósítható Ukrajna újjáépítése érdekében anélkül, hogy az EU tagállamaira pénzügyi terhet róna;</w:t>
            </w:r>
          </w:p>
        </w:tc>
        <w:tc>
          <w:tcPr>
            <w:tcW w:w="4876" w:type="dxa"/>
            <w:tcBorders>
              <w:top w:val="nil"/>
              <w:left w:val="nil"/>
              <w:bottom w:val="nil"/>
              <w:right w:val="nil"/>
            </w:tcBorders>
          </w:tcPr>
          <w:p>
            <w:pPr>
              <w:pStyle w:val="Normal6a"/>
            </w:pPr>
            <w:r>
              <w:rPr>
                <w:b/>
                <w:i/>
              </w:rPr>
              <w:t>i)</w:t>
            </w:r>
            <w:r>
              <w:tab/>
            </w:r>
            <w:r>
              <w:t>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 anélkül, hogy az EU tagállamaira pénzügyi terhet róna;</w:t>
            </w:r>
          </w:p>
        </w:tc>
        <w:tc>
          <w:tcPr>
            <w:tcW w:w="4876" w:type="dxa"/>
            <w:tcBorders>
              <w:top w:val="nil"/>
              <w:left w:val="nil"/>
              <w:bottom w:val="nil"/>
              <w:right w:val="nil"/>
            </w:tcBorders>
          </w:tcPr>
          <w:p>
            <w:pPr>
              <w:pStyle w:val="Normal6a"/>
            </w:pPr>
            <w:r>
              <w:rPr>
                <w:b/>
                <w:i/>
              </w:rPr>
              <w:t>i)</w:t>
            </w:r>
            <w:r>
              <w:tab/>
            </w:r>
            <w:r>
              <w:t xml:space="preserve">erősítsék meg, hogy </w:t>
            </w:r>
            <w:r>
              <w:rPr>
                <w:b/>
                <w:i/>
              </w:rPr>
              <w:t>határozottan</w:t>
            </w:r>
            <w:r>
              <w:t xml:space="preserve">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w:t>
            </w:r>
            <w:r>
              <w:rPr>
                <w:b/>
                <w:i/>
              </w:rPr>
              <w:t>, az elrabolt ukrán gyermekek, bebörtönzött polgári személyek és hadifoglyok visszatérését</w:t>
            </w:r>
            <w:r>
              <w:t xml:space="preserve">; támogassák az ENSZ-t olyan jogi mechanizmusok meghatározásában, amelyekkel a befagyasztott orosz vagyon mozgósítható Ukrajna újjáépítése érdekében anélkül, hogy az EU tagállamaira pénzügyi terhet róna; </w:t>
            </w:r>
            <w:r>
              <w:rPr>
                <w:b/>
                <w:i/>
              </w:rPr>
              <w:t>törekedjenek az Oroszország és szövetségesei által harmadik országbeli szervezetek és személyek ellen elkövetett kibertámadások elítélésére;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 anélkül, hogy az EU tagállamaira pénzügyi terhet róna;</w:t>
            </w:r>
          </w:p>
        </w:tc>
        <w:tc>
          <w:tcPr>
            <w:tcW w:w="4876" w:type="dxa"/>
            <w:tcBorders>
              <w:top w:val="nil"/>
              <w:left w:val="nil"/>
              <w:bottom w:val="nil"/>
              <w:right w:val="nil"/>
            </w:tcBorders>
          </w:tcPr>
          <w:p>
            <w:pPr>
              <w:pStyle w:val="Normal6a"/>
            </w:pPr>
            <w:r>
              <w:rPr>
                <w:b/>
                <w:i/>
              </w:rPr>
              <w:t>i)</w:t>
            </w:r>
            <w:r>
              <w:tab/>
            </w:r>
            <w:r>
              <w:t xml:space="preserve">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 anélkül, hogy az EU tagállamaira pénzügyi terhet róna; </w:t>
            </w:r>
            <w:r>
              <w:rPr>
                <w:b/>
                <w:i/>
              </w:rPr>
              <w:t>tárják fel a háború utáni időszakra vonatkozó keret kidolgozásának lehetőségeit a béke és az együttműködés megteremtése, valamint a nemzetközi jogon és az ENSZ Alapokmányának elvein alapuló kapcsolatok helyreállítása céljából;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 xml:space="preserve">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w:t>
            </w:r>
            <w:r>
              <w:rPr>
                <w:b/>
                <w:i/>
              </w:rPr>
              <w:t>biztosítva ugyanakkor</w:t>
            </w:r>
            <w:r>
              <w:t xml:space="preserve"> a háborús </w:t>
            </w:r>
            <w:r>
              <w:rPr>
                <w:b/>
                <w:i/>
              </w:rPr>
              <w:t>bűncselekmények teljes körű elszámoltathatóságát</w:t>
            </w:r>
            <w:r>
              <w:t xml:space="preserve">; támogassák az ENSZ-t olyan jogi mechanizmusok meghatározásában, amelyekkel a befagyasztott orosz vagyon mozgósítható Ukrajna újjáépítése érdekében </w:t>
            </w:r>
            <w:r>
              <w:rPr>
                <w:b/>
                <w:i/>
              </w:rPr>
              <w:t>anélkül, hogy az EU tagállamaira pénzügyi terhet róna</w:t>
            </w:r>
            <w:r>
              <w:t>;</w:t>
            </w:r>
          </w:p>
        </w:tc>
        <w:tc>
          <w:tcPr>
            <w:tcW w:w="4876" w:type="dxa"/>
            <w:tcBorders>
              <w:top w:val="nil"/>
              <w:left w:val="nil"/>
              <w:bottom w:val="nil"/>
              <w:right w:val="nil"/>
            </w:tcBorders>
          </w:tcPr>
          <w:p>
            <w:pPr>
              <w:pStyle w:val="Normal6a"/>
            </w:pPr>
            <w:r>
              <w:rPr>
                <w:b/>
                <w:i/>
              </w:rPr>
              <w:t>i)</w:t>
            </w:r>
            <w:r>
              <w:tab/>
            </w:r>
            <w:r>
              <w:t xml:space="preserve">erősítsék meg, hogy </w:t>
            </w:r>
            <w:r>
              <w:rPr>
                <w:b/>
                <w:i/>
              </w:rPr>
              <w:t>a lehető leghatározottabban határozottan</w:t>
            </w:r>
            <w:r>
              <w:t xml:space="preserve">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w:t>
            </w:r>
            <w:r>
              <w:rPr>
                <w:b/>
                <w:i/>
              </w:rPr>
              <w:t>az orosz erők megszállt területekről való ideiglenes kivonását,</w:t>
            </w:r>
            <w:r>
              <w:t xml:space="preserve"> a háborús </w:t>
            </w:r>
            <w:r>
              <w:rPr>
                <w:b/>
                <w:i/>
              </w:rPr>
              <w:t>jóvátétel kifizetését és a háborús bűnösök, többek között az agresszió bűntettének tervezéséért és elkövetéséért felelős személyek felelősségre vonását tetteikért</w:t>
            </w:r>
            <w:r>
              <w:t>; támogassák az ENSZ-t olyan jogi mechanizmusok meghatározásában, amelyekkel a befagyasztott orosz vagyon mozgósítható Ukrajna újjáépítése</w:t>
            </w:r>
            <w:r>
              <w:rPr>
                <w:b/>
                <w:i/>
              </w:rPr>
              <w:t>, valamint az országnak nyújtott katonai és gazdasági támogatás</w:t>
            </w:r>
            <w:r>
              <w:t xml:space="preserve"> érdekében;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 xml:space="preserve">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 anélkül, hogy </w:t>
            </w:r>
            <w:r>
              <w:rPr>
                <w:b/>
                <w:i/>
              </w:rPr>
              <w:t>az EU tagállamaira</w:t>
            </w:r>
            <w:r>
              <w:t xml:space="preserve"> pénzügyi </w:t>
            </w:r>
            <w:r>
              <w:rPr>
                <w:b/>
                <w:i/>
              </w:rPr>
              <w:t>terhet róna</w:t>
            </w:r>
            <w:r>
              <w:t>;</w:t>
            </w:r>
          </w:p>
        </w:tc>
        <w:tc>
          <w:tcPr>
            <w:tcW w:w="4876" w:type="dxa"/>
            <w:tcBorders>
              <w:top w:val="nil"/>
              <w:left w:val="nil"/>
              <w:bottom w:val="nil"/>
              <w:right w:val="nil"/>
            </w:tcBorders>
          </w:tcPr>
          <w:p>
            <w:pPr>
              <w:pStyle w:val="Normal6a"/>
            </w:pPr>
            <w:r>
              <w:rPr>
                <w:b/>
                <w:i/>
              </w:rPr>
              <w:t>i)</w:t>
            </w:r>
            <w:r>
              <w:tab/>
            </w:r>
            <w:r>
              <w:t>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w:t>
            </w:r>
            <w:r>
              <w:rPr>
                <w:b/>
                <w:i/>
              </w:rPr>
              <w:t>, azzal a feltétellel, hogy e vagyoni eszközök felhasználása megfelel a nemzetközi jognak, a magántulajdonra vonatkozó jognak és a nemzetközi bírósági eljárásoknak,</w:t>
            </w:r>
            <w:r>
              <w:t xml:space="preserve"> anélkül, hogy pénzügyi </w:t>
            </w:r>
            <w:r>
              <w:rPr>
                <w:b/>
                <w:i/>
              </w:rPr>
              <w:t>terheket róna az uniós tagállamokra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 anélkül, hogy az EU tagállamaira pénzügyi terhet róna;</w:t>
            </w:r>
          </w:p>
        </w:tc>
        <w:tc>
          <w:tcPr>
            <w:tcW w:w="4876" w:type="dxa"/>
            <w:tcBorders>
              <w:top w:val="nil"/>
              <w:left w:val="nil"/>
              <w:bottom w:val="nil"/>
              <w:right w:val="nil"/>
            </w:tcBorders>
          </w:tcPr>
          <w:p>
            <w:pPr>
              <w:pStyle w:val="Normal6a"/>
            </w:pPr>
            <w:r>
              <w:rPr>
                <w:b/>
                <w:i/>
              </w:rPr>
              <w:t>i)</w:t>
            </w:r>
            <w:r>
              <w:tab/>
            </w:r>
            <w:r>
              <w:t>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w:t>
            </w:r>
            <w:r>
              <w:rPr>
                <w:b/>
                <w:i/>
              </w:rPr>
              <w:t>, amely Ukrajna szuverenitásának tiszteletben tartásán és életképes diplomáciai megoldáson alapul</w:t>
            </w:r>
            <w:r>
              <w:t>,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 anélkül, hogy az EU tagállamaira pénzügyi terhet róna;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biztosítva ugyanakkor a háborús bűncselekmények teljes körű elszámoltathatóságát; támogassák az ENSZ-t olyan jogi mechanizmusok meghatározásában, amelyekkel a befagyasztott orosz vagyon mozgósítható Ukrajna újjáépítése érdekében anélkül, hogy az EU tagállamaira pénzügyi terhet róna;</w:t>
            </w:r>
          </w:p>
        </w:tc>
        <w:tc>
          <w:tcPr>
            <w:tcW w:w="4876" w:type="dxa"/>
            <w:tcBorders>
              <w:top w:val="nil"/>
              <w:left w:val="nil"/>
              <w:bottom w:val="nil"/>
              <w:right w:val="nil"/>
            </w:tcBorders>
          </w:tcPr>
          <w:p>
            <w:pPr>
              <w:pStyle w:val="Normal6a"/>
            </w:pPr>
            <w:r>
              <w:rPr>
                <w:b/>
                <w:i/>
              </w:rPr>
              <w:t>i)</w:t>
            </w:r>
            <w:r>
              <w:tab/>
            </w:r>
            <w:r>
              <w:t xml:space="preserve">erősítsék meg, hogy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w:t>
            </w:r>
            <w:r>
              <w:rPr>
                <w:b/>
                <w:i/>
              </w:rPr>
              <w:t>amelyek megelőznek minden újbóli agressziót és azonnal fellépnek azzal szemben,</w:t>
            </w:r>
            <w:r>
              <w:t xml:space="preserve"> biztosítva ugyanakkor a háborús bűncselekmények teljes körű elszámoltathatóságát; támogassák az ENSZ-t olyan jogi mechanizmusok meghatározásában, amelyekkel a befagyasztott orosz vagyon mozgósítható Ukrajna újjáépítése érdekében anélkül, hogy az EU tagállamaira pénzügyi terhet róna;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hangsúlyozza, hogy az Északi-sarkvidék egyre növekvő geopolitikai feszültséggel terhelt terület, amelyet a természeti erőforrásokért folytatott verseny és a közvetlen katonai pozicionálás formál;</w:t>
            </w:r>
            <w:r>
              <w:t xml:space="preserve"> </w:t>
            </w:r>
            <w:r>
              <w:rPr>
                <w:b/>
                <w:i/>
              </w:rPr>
              <w:t>súlyos aggodalmának ad hangot Oroszországnak </w:t>
            </w:r>
            <w:r>
              <w:rPr>
                <w:b/>
                <w:i/>
              </w:rPr>
              <w:t>a régióban</w:t>
            </w:r>
            <w:r>
              <w:t xml:space="preserve"> </w:t>
            </w:r>
            <w:r>
              <w:rPr>
                <w:b/>
                <w:i/>
              </w:rPr>
              <w:t>folytatott destabilizáló biztonsági és stratégiai tevékenységei miatt;</w:t>
            </w:r>
            <w:r>
              <w:t xml:space="preserve"> </w:t>
            </w:r>
            <w:r>
              <w:rPr>
                <w:b/>
                <w:i/>
              </w:rPr>
              <w:t>hangsúlyozza, hogy az EU-nak és az ENSZ-nek nagyobb hangsúlyt kell fektetnie a stabilitásra és a nemzetközi jog tiszteletben tartására az Északi-sarkvidékkel kapcsolatos ügyekben;</w:t>
            </w:r>
            <w:r>
              <w:t xml:space="preserve"> </w:t>
            </w:r>
            <w:r>
              <w:rPr>
                <w:b/>
                <w:i/>
              </w:rPr>
              <w:t>felhívja továbbá az érdekelt feleket, hogy folytassanak konstruktív párbeszédet, erősítsék meg a szabályokon alapuló nemzetközi kereteket, és biztosítsák, hogy a régióban bekövetkező valamennyi fejlemény teljes mértékben megfeleljen az ENSZ Alapokmányának;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szólítsák fel az Egyesült Nemzetek Szervezetét, hogy fokozza az Oroszország Ukrajna elleni agressziós háborújára válaszul tett erőfeszítéseit azáltal, hogy teljes mértékben kihasználja politikai, diplomáciai és jogi eszközeit az ENSZ Alapokmányának fenntartása, az agresszorra gyakorolt nemzetközi nyomás megerősítése, a polgári lakosság védelmének fokozása, valamint az elszámoltathatósági mechanizmusok aktív támogatása érdekében, hogy biztosítsák az áldozatok számára az igazságszolgáltatást, valamint Ukrajna szuverenitásának és teljes területi integritásának helyreállítását a nemzetközileg elismert határain belül;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hangsúlyozzák, hogy Ukrajna újjáépítésének elsősorban a közszolgáltatások, a lakhatás, az egészségügyi ellátás, az oktatás és a polgári infrastruktúra megerősítésére kell irányulnia, biztosítva az átláthatóságot, a demokratikus részvételt és a korrupció elleni küzdelmet, amelyek az igazságos újjáépítés feltételei;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mély aggodalommal emlékeztessenek a polgári személyek oroszok általi, Bucsában és Ukrajna más területein végrehajtott lemészárlására;</w:t>
            </w:r>
            <w:r>
              <w:t xml:space="preserve"> </w:t>
            </w:r>
            <w:r>
              <w:rPr>
                <w:b/>
                <w:i/>
              </w:rPr>
              <w:t>hangsúlyozza az ENSZ, többek között az ENSZ Emberi Jogi Főbiztosának Hivatala és az Ukrajnával foglalkozó független nemzetközi vizsgálóbizottság szerepét a nemzetközi humanitárius jog súlyos megsértésének dokumentálásában;</w:t>
            </w:r>
            <w:r>
              <w:t xml:space="preserve"> </w:t>
            </w:r>
            <w:r>
              <w:rPr>
                <w:b/>
                <w:i/>
              </w:rPr>
              <w:t>hangsúlyozza azonban, hogy az ENSZ és az EU folyamatos és megerősített szerepvállalására van szükség az Ukrajna elleni agressziós háború során Oroszország által elkövetett háborús bűncselekményekkel és emberiesség elleni bűncselekményekkel kapcsolatos teljes körű és független vizsgálatok, a bizonyítékok megőrzése és az elszámoltathatóság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támogassák Ukrajna adósságának eltörlését vagy jelentős átalakítását a fenntarthatatlan terhek elkerülése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c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szólítsák fel az ENSZ-t, hogy fokozza Grúziát támogató szerepvállalását, emlékeztetve arra, hogy nemzetközileg elismert területének mintegy 20%-a továbbra is illegális orosz megszállás alatt áll;</w:t>
            </w:r>
            <w:r>
              <w:t xml:space="preserve"> </w:t>
            </w:r>
            <w:r>
              <w:rPr>
                <w:b/>
                <w:i/>
              </w:rPr>
              <w:t>sürgessék az ENSZ-t, hogy növelje Grúzia szuverenitásának és területi integritásának fenntartására irányuló erőfeszítéseit, erősítse meg a nemzetközi nyomonkövetési és konfliktusmegelőzési mechanizmusokat, kezelje az Oroszország által megszállt grúz régiókban fennálló emberi jogi helyzetet, és támogassa a belső menekültek biztonságos és méltóságteljes visszatérését, teljes mértékben tiszteletben tartva a nemzetközi jogot és az ENSZ Alapokmányát;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c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utasítsák el a kényszerprivatizáció vagy az erőforrások nagy transznacionális vállalati érdekek általi kiaknázásának menetrendjét;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d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üdvözöljék, hogy az ENSZ Emberi Jogi Tanácsa 2024-ben konszenzussal határozatot fogadott el a Grúziával való együttműködésről, amelyben felszólított arra, hogy az ENSZ Emberi Jogi Főbiztosának Hivatala és más nemzetközi és regionális emberi jogi mechanizmusok haladéktalanul és akadálytalanul beléphessenek az Oroszország által megszállt grúz területekre, és komoly aggodalmát fejezte ki az emberi jogok folyamatos megsértése és a megkülönböztetés miatt, többek között a grúz etnikummal szemben Abháziában és Csinvali régióban</w:t>
            </w:r>
            <w:r>
              <w:rPr>
                <w:b/>
                <w:i/>
                <w:vertAlign w:val="superscript"/>
              </w:rPr>
              <w:t>1a</w:t>
            </w:r>
            <w:r>
              <w:rPr>
                <w:b/>
                <w:i/>
              </w:rPr>
              <w:t>;</w:t>
            </w:r>
            <w:r>
              <w:t xml:space="preserve"> </w:t>
            </w:r>
            <w:r>
              <w:rPr>
                <w:b/>
                <w:i/>
              </w:rPr>
              <w:t>hangsúlyozzák, hogy ez a határozat megerősíti, hogy a nemzetközi közösség támogatja Grúzia szuverenitását, függetlenségét és területi integritását, és példátlan támogatást jelent a határozat első, 2017-es benyújtása óta;</w:t>
            </w:r>
            <w:r>
              <w:t xml:space="preserve"> </w:t>
            </w:r>
            <w:r>
              <w:rPr>
                <w:b/>
                <w:i/>
              </w:rPr>
              <w:t>szólítsák fel az ENSZ-t és tagállamait, hogy tegyenek konkrét nyomonkövetési, jelentéstételi és elszámoltathatósági intézkedéseket </w:t>
            </w:r>
            <w:r>
              <w:rPr>
                <w:b/>
                <w:i/>
              </w:rPr>
              <w:t>Grúzia megszállt régióiban</w:t>
            </w:r>
            <w:r>
              <w:t xml:space="preserve"> </w:t>
            </w:r>
            <w:r>
              <w:rPr>
                <w:b/>
                <w:i/>
              </w:rPr>
              <w:t>az emberi jogok hatékony védelmének és a humanitárius hozzáférésnek a biztosítása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https://digitallibrary.un.org/record/4063065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hangsúlyozzák, hogy a nemzetközi jog gyengülése a Ciprusi Köztársaság északi részének Törökország általi jogellenes megszállásával és elfoglalásával kezdődött;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i d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ismételten ítéljék el, hogy Törökország továbbra is megszállás alatt tartja az</w:t>
            </w:r>
            <w:r>
              <w:t xml:space="preserve"> </w:t>
            </w:r>
            <w:r>
              <w:rPr>
                <w:b/>
                <w:i/>
              </w:rPr>
              <w:t>uniós tagállam Ciprusi Köztársaság 37%-át, és szólítsanak fel a sziget átfogó rendezésére és újraegyesítésére a vonatkozó ENSZ-határozatokkal összhangban egy politikai egyenlőséget élvező, két övezetből és két közösségből álló föderációra alapozva, üdvözöljék az ENSZ-főtitkár Ciprusért felelős személyes megbízottjának, María Ángela Holguínnak és az Európai Unió Ciprusért felelős különmegbízottjának, Johannes Hahnnak a kinevezését, továbbá az igazságos, tartós és kölcsönösen elfogadott megoldás elérésére irányuló valamennyi ENSZ-kezdeményezést;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w:t>
            </w:r>
            <w:r>
              <w:rPr>
                <w:b/>
                <w:i/>
              </w:rPr>
              <w:t>, valamint Izrael destabilizáló szerepe miatt, beleértve a hat szomszédos országban a közelmúltban elkövetett, válogatás nélküli bombázását és a Gázában elkövetett népirtást</w:t>
            </w:r>
            <w:r>
              <w: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w:t>
            </w:r>
            <w:r>
              <w:rPr>
                <w:b/>
                <w:i/>
              </w:rPr>
              <w:t>, valamint Irán és</w:t>
            </w:r>
            <w:r>
              <w:t xml:space="preserve"> regionális </w:t>
            </w:r>
            <w:r>
              <w:rPr>
                <w:b/>
                <w:i/>
              </w:rPr>
              <w:t>helyettesítő erői destabilizáló szerepe miatt</w:t>
            </w:r>
            <w:r>
              <w: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w:t>
            </w:r>
            <w:r>
              <w:rPr>
                <w:b/>
                <w:i/>
              </w:rPr>
              <w:t>miatt, és sürgessék az összes</w:t>
            </w:r>
            <w:r>
              <w:t xml:space="preserve"> regionális </w:t>
            </w:r>
            <w:r>
              <w:rPr>
                <w:b/>
                <w:i/>
              </w:rPr>
              <w:t>és nemzetközi szereplőt, hogy tartózkodjanak a nemzetközi jog keretein kívüli további eszkalációtól és magatartástól</w:t>
            </w:r>
            <w:r>
              <w: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valamint Irán és regionális helyettesítő erői destabilizáló szerepe miatt; </w:t>
            </w:r>
            <w:r>
              <w:rPr>
                <w:b/>
                <w:i/>
              </w:rPr>
              <w:t>fokozzák a diplomáciai erőfeszítéseket a többoldalú fórumokon</w:t>
            </w:r>
            <w:r>
              <w:t xml:space="preserve">, </w:t>
            </w:r>
            <w:r>
              <w:rPr>
                <w:b/>
                <w:i/>
              </w:rPr>
              <w:t>és törekedjenek szorosabb együttműködésre az EU régióbeli partnereivel a dezeszkaláció, az újjáépítés és az érdemi párbeszéd támogatása érdekében;</w:t>
            </w:r>
            <w:r>
              <w:t xml:space="preserve"> </w:t>
            </w:r>
            <w:r>
              <w:rPr>
                <w:b/>
                <w:i/>
              </w:rPr>
              <w:t>sürgessék az összes szereplőt, hogy tegyenek eleget</w:t>
            </w:r>
            <w:r>
              <w:t xml:space="preserve"> a nemzetközi </w:t>
            </w:r>
            <w:r>
              <w:rPr>
                <w:b/>
                <w:i/>
              </w:rPr>
              <w:t>jog szerinti kötelezettségeiknek</w:t>
            </w:r>
            <w:r>
              <w:t xml:space="preserve"> a kétállami </w:t>
            </w:r>
            <w:r>
              <w:rPr>
                <w:b/>
                <w:i/>
              </w:rPr>
              <w:t>megoldáson alapuló tisztességes, átfogó és tartós béke elérése érdekében</w:t>
            </w:r>
            <w:r>
              <w:t>;</w:t>
            </w:r>
          </w:p>
        </w:tc>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valamint Irán és regionális helyettesítő erői destabilizáló szerepe miatt; </w:t>
            </w:r>
            <w:r>
              <w:rPr>
                <w:b/>
                <w:i/>
              </w:rPr>
              <w:t>egyértelműen ítéljék el a terrorizmus állami támogatói</w:t>
            </w:r>
            <w:r>
              <w:t xml:space="preserve">, </w:t>
            </w:r>
            <w:r>
              <w:rPr>
                <w:b/>
                <w:i/>
              </w:rPr>
              <w:t>valamint a Hamász és más, jegyzékbe vett terrorista szervezetek által folytatott terrorista tevékenységeket;</w:t>
            </w:r>
            <w:r>
              <w:t xml:space="preserve"> </w:t>
            </w:r>
            <w:r>
              <w:rPr>
                <w:b/>
                <w:i/>
              </w:rPr>
              <w:t>ismételten megerősíti Izraelnek azon jogát, hogy</w:t>
            </w:r>
            <w:r>
              <w:t xml:space="preserve"> a nemzetközi </w:t>
            </w:r>
            <w:r>
              <w:rPr>
                <w:b/>
                <w:i/>
              </w:rPr>
              <w:t>joggal összhangban megvédje polgárait;</w:t>
            </w:r>
            <w:r>
              <w:t xml:space="preserve"> </w:t>
            </w:r>
            <w:r>
              <w:rPr>
                <w:b/>
                <w:i/>
              </w:rPr>
              <w:t>hangsúlyozzák, hogy minden politikai távlatnak – például</w:t>
            </w:r>
            <w:r>
              <w:t xml:space="preserve"> a kétállami </w:t>
            </w:r>
            <w:r>
              <w:rPr>
                <w:b/>
                <w:i/>
              </w:rPr>
              <w:t>megoldásnak – a terrorista csoportok lefegyverzésén, a terrorizmusra való felbujtás és a terrorizmus dicsőítésének megszüntetésén, valamint a terrorizmus finanszírozásának hatékony megelőzésén kell alapulnia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w:t>
            </w:r>
            <w:r>
              <w:rPr>
                <w:b/>
                <w:i/>
              </w:rPr>
              <w:t>, és törekedjenek szorosabb együttműködésre az EU régióbeli partnereivel</w:t>
            </w:r>
            <w:r>
              <w:t xml:space="preserve"> a dezeszkaláció, az újjáépítés és az érdemi párbeszéd támogatása érdekében; sürgessék az összes szereplőt, hogy tegyenek eleget a nemzetközi jog szerinti kötelezettségeiknek a </w:t>
            </w:r>
            <w:r>
              <w:rPr>
                <w:b/>
                <w:i/>
              </w:rPr>
              <w:t>kétállami megoldáson alapuló</w:t>
            </w:r>
            <w:r>
              <w:t xml:space="preserve"> tisztességes, átfogó és tartós béke elérése érdekében;</w:t>
            </w:r>
          </w:p>
        </w:tc>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a dezeszkaláció, az újjáépítés és az érdemi párbeszéd támogatása érdekében; sürgessék az összes szereplőt, hogy tegyenek eleget a nemzetközi jog szerinti kötelezettségeiknek a tisztességes, átfogó és tartós béke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w:t>
            </w:r>
            <w:r>
              <w:rPr>
                <w:b/>
                <w:i/>
              </w:rPr>
              <w:t>;</w:t>
            </w:r>
            <w:r>
              <w:t xml:space="preserve"> </w:t>
            </w:r>
            <w:r>
              <w:rPr>
                <w:b/>
                <w:i/>
              </w:rPr>
              <w:t>fejezzék ki teljes szolidaritásukat és támogatásukat az iráni nép iránt, határozottan ítéljék el az iráni rezsimet a békés tüntetések erőszakos elnyomásáért, a tömeggyilkosságokért, az önkényes fogva tartásokért és kivégzésekért, üdvözöljék, hogy az EU az Iszlám Forradalmi Gárdát terrorista szervezetté nyilvánította, és szólítsanak fel egy független ENSZ tényfeltáró misszió létrehozására és az azzal való teljes körű együttműködésre a nemzetközi emberi jogi normák és a nemzetközi humanitárius jog valamennyi súlyos megsértése miatti elszámoltathatóság biztosítása érdekében</w:t>
            </w:r>
            <w:r>
              <w: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 xml:space="preserve">fejezzék ki aggodalmukat a </w:t>
            </w:r>
            <w:r>
              <w:rPr>
                <w:b/>
                <w:i/>
              </w:rPr>
              <w:t>Közel-Keleten tapasztalható fokozott</w:t>
            </w:r>
            <w:r>
              <w:t xml:space="preserve"> konfrontáció kockázata</w:t>
            </w:r>
            <w:r>
              <w:rPr>
                <w:b/>
                <w:i/>
              </w:rPr>
              <w:t>, valamint</w:t>
            </w:r>
            <w:r>
              <w:t xml:space="preserve"> Irán és regionális helyettesítő erői destabilizáló szerepe miatt; </w:t>
            </w:r>
            <w:r>
              <w:rPr>
                <w:b/>
                <w:i/>
              </w:rPr>
              <w:t>fokozzák a</w:t>
            </w:r>
            <w:r>
              <w:t xml:space="preserve"> diplomáciai </w:t>
            </w:r>
            <w:r>
              <w:rPr>
                <w:b/>
                <w:i/>
              </w:rPr>
              <w:t>erőfeszítéseket</w:t>
            </w:r>
            <w:r>
              <w:t xml:space="preserve"> a többoldalú fórumokon, és törekedjenek szorosabb együttműködésre az EU </w:t>
            </w:r>
            <w:r>
              <w:rPr>
                <w:b/>
                <w:i/>
              </w:rPr>
              <w:t>régióbeli</w:t>
            </w:r>
            <w:r>
              <w:t xml:space="preserve"> partnereivel a dezeszkaláció, az újjáépítés és az érdemi párbeszéd </w:t>
            </w:r>
            <w:r>
              <w:rPr>
                <w:b/>
                <w:i/>
              </w:rPr>
              <w:t>támogatása</w:t>
            </w:r>
            <w:r>
              <w:t xml:space="preserve"> érdekében; sürgessék az összes </w:t>
            </w:r>
            <w:r>
              <w:rPr>
                <w:b/>
                <w:i/>
              </w:rPr>
              <w:t>szereplőt, hogy</w:t>
            </w:r>
            <w:r>
              <w:t xml:space="preserve"> tegyenek eleget a nemzetközi jog szerinti kötelezettségeiknek a kétállami megoldáson alapuló </w:t>
            </w:r>
            <w:r>
              <w:rPr>
                <w:b/>
                <w:i/>
              </w:rPr>
              <w:t>tisztességes</w:t>
            </w:r>
            <w:r>
              <w:t>, átfogó és tartós béke elérése érdekében;</w:t>
            </w:r>
          </w:p>
        </w:tc>
        <w:tc>
          <w:tcPr>
            <w:tcW w:w="4876" w:type="dxa"/>
            <w:tcBorders>
              <w:top w:val="nil"/>
              <w:left w:val="nil"/>
              <w:bottom w:val="nil"/>
              <w:right w:val="nil"/>
            </w:tcBorders>
          </w:tcPr>
          <w:p>
            <w:pPr>
              <w:pStyle w:val="Normal6a"/>
            </w:pPr>
            <w:r>
              <w:rPr>
                <w:b/>
                <w:i/>
              </w:rPr>
              <w:t>j)</w:t>
            </w:r>
            <w:r>
              <w:tab/>
            </w:r>
            <w:r>
              <w:t xml:space="preserve">fejezzék ki </w:t>
            </w:r>
            <w:r>
              <w:rPr>
                <w:b/>
                <w:i/>
              </w:rPr>
              <w:t>mély</w:t>
            </w:r>
            <w:r>
              <w:t xml:space="preserve"> aggodalmukat a </w:t>
            </w:r>
            <w:r>
              <w:rPr>
                <w:b/>
                <w:i/>
              </w:rPr>
              <w:t>közel-keleti</w:t>
            </w:r>
            <w:r>
              <w:t xml:space="preserve"> konfrontáció </w:t>
            </w:r>
            <w:r>
              <w:rPr>
                <w:b/>
                <w:i/>
              </w:rPr>
              <w:t>növekvő</w:t>
            </w:r>
            <w:r>
              <w:t xml:space="preserve"> kockázata </w:t>
            </w:r>
            <w:r>
              <w:rPr>
                <w:b/>
                <w:i/>
              </w:rPr>
              <w:t>miatt, különösen</w:t>
            </w:r>
            <w:r>
              <w:t xml:space="preserve"> Irán és regionális helyettesítő erői destabilizáló szerepe miatt; </w:t>
            </w:r>
            <w:r>
              <w:rPr>
                <w:b/>
                <w:i/>
              </w:rPr>
              <w:t>szólítsanak fel intenzív</w:t>
            </w:r>
            <w:r>
              <w:t xml:space="preserve"> diplomáciai </w:t>
            </w:r>
            <w:r>
              <w:rPr>
                <w:b/>
                <w:i/>
              </w:rPr>
              <w:t>erőfeszítésekre</w:t>
            </w:r>
            <w:r>
              <w:t xml:space="preserve"> a többoldalú fórumokon, és törekedjenek szorosabb együttműködésre az EU </w:t>
            </w:r>
            <w:r>
              <w:rPr>
                <w:b/>
                <w:i/>
              </w:rPr>
              <w:t>regionális</w:t>
            </w:r>
            <w:r>
              <w:t xml:space="preserve"> partnereivel a dezeszkaláció, az újjáépítés és az érdemi párbeszéd </w:t>
            </w:r>
            <w:r>
              <w:rPr>
                <w:b/>
                <w:i/>
              </w:rPr>
              <w:t>elősegítése</w:t>
            </w:r>
            <w:r>
              <w:t xml:space="preserve"> érdekében</w:t>
            </w:r>
            <w:r>
              <w:rPr>
                <w:b/>
                <w:i/>
              </w:rPr>
              <w:t>;</w:t>
            </w:r>
            <w:r>
              <w:t xml:space="preserve"> </w:t>
            </w:r>
            <w:r>
              <w:rPr>
                <w:b/>
                <w:i/>
              </w:rPr>
              <w:t>emeljék ki Ciszjordánia Izrael általi jogellenes megszállásának destabilizáló hatását a régióban, beleértve az izraeli kormány közelmúltbeli döntéseit, amelyek ténylegesen de facto annektáláshoz, a telepesek által elkövetett erőszak fokozódásához és a palesztinok kényszerű lakóhelyelhagyásához vezettek, amelyek mindegyike sérti a nemzetközi jogot</w:t>
            </w:r>
            <w:r>
              <w:t xml:space="preserve">; sürgessék az összes </w:t>
            </w:r>
            <w:r>
              <w:rPr>
                <w:b/>
                <w:i/>
              </w:rPr>
              <w:t>felet, hogy teljes mértékben</w:t>
            </w:r>
            <w:r>
              <w:t xml:space="preserve"> tegyenek eleget a nemzetközi jog szerinti kötelezettségeiknek a kétállami megoldáson alapuló </w:t>
            </w:r>
            <w:r>
              <w:rPr>
                <w:b/>
                <w:i/>
              </w:rPr>
              <w:t>igazságos</w:t>
            </w:r>
            <w:r>
              <w:t xml:space="preserve">, átfogó és tartós béke </w:t>
            </w:r>
            <w:r>
              <w:rPr>
                <w:b/>
                <w:i/>
              </w:rPr>
              <w:t>céljának</w:t>
            </w:r>
            <w:r>
              <w:t xml:space="preserve">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w:t>
            </w:r>
            <w:r>
              <w:rPr>
                <w:b/>
                <w:i/>
              </w:rPr>
              <w:t>e tekintetben kéri, hogy a következő többéves pénzügyi keretben hozzanak létre egy Gáza újjáépítését célzó uniós eszközt, amelynek célja, hogy elegendő és kiszámítható pénzügyi támogatást nyújtson az újjáépítési folyamathoz, valamint egy ügynökséget a palesztin nép számára a kétállami megoldáshoz való hozzájárulás és annak elérése érdekében;</w:t>
            </w:r>
            <w:r>
              <w:t xml:space="preserve">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 </w:t>
            </w:r>
            <w:r>
              <w:rPr>
                <w:b/>
                <w:i/>
              </w:rPr>
              <w:t>üdvözöljék a gázai háború befejezésére irányuló kötelezettségvállalásokat, különösen a gázai konfliktus befejezésére irányuló átfogó tervről szóló, 2025. november 17-i 2803. sz. ENSZ BT-határozatot, valamint a gázai főképviselő kinevezését, ami előrelépést jelent az összes érdekelt fél közötti megerősített párbeszéd és bizalomépítés felé;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w:t>
            </w:r>
            <w:r>
              <w:rPr>
                <w:b/>
                <w:i/>
              </w:rPr>
              <w:t>fokozzák diplomáciai erőfeszítéseiket annak érdekében, hogy előmozdítsák az azonnali és valódi tűzszünetet Gázában és Ciszjordániában, valamint véget vessenek az Izrael Állam által elkövetett népirtásnak;</w:t>
            </w:r>
            <w:r>
              <w:t xml:space="preserve">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w:t>
            </w:r>
            <w:r>
              <w:rPr>
                <w:b/>
                <w:i/>
              </w:rPr>
              <w:t>kétállami megoldáson alapuló</w:t>
            </w:r>
            <w:r>
              <w:t xml:space="preserve"> tisztességes, átfogó és tartós béke elérése érdekében;</w:t>
            </w:r>
          </w:p>
        </w:tc>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valamint Irán és regionális helyettesítő erői </w:t>
            </w:r>
            <w:r>
              <w:rPr>
                <w:b/>
                <w:i/>
              </w:rPr>
              <w:t>rendkívül</w:t>
            </w:r>
            <w:r>
              <w:t xml:space="preserve">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tisztességes, átfogó és tartós béke elérése érdekében; </w:t>
            </w:r>
            <w:r>
              <w:rPr>
                <w:b/>
                <w:i/>
              </w:rPr>
              <w:t>megismétli, hogy Izraelnek joga van ahhoz, hogy megvédje magát a terrorista szervezetekkel és az Irán által vezetett informális Izrael-ellenes, úgynevezett „ellenállási tengelyekkel” szemben;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w:t>
            </w:r>
            <w:r>
              <w:rPr>
                <w:b/>
                <w:i/>
              </w:rPr>
              <w:t>, támogatva Szíria újjáépítését az inkluzivitást biztosító választásokat követően</w:t>
            </w:r>
            <w:r>
              <w:t>;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w:t>
            </w:r>
            <w:r>
              <w:rPr>
                <w:b/>
                <w:i/>
              </w:rPr>
              <w:t>, valamint</w:t>
            </w:r>
            <w:r>
              <w:t xml:space="preserve"> Irán és regionális helyettesítő erői destabilizáló </w:t>
            </w:r>
            <w:r>
              <w:rPr>
                <w:b/>
                <w:i/>
              </w:rPr>
              <w:t>szerepe miatt</w:t>
            </w:r>
            <w:r>
              <w: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 xml:space="preserve">fejezzék ki aggodalmukat a Közel-Keleten tapasztalható fokozott konfrontáció kockázata </w:t>
            </w:r>
            <w:r>
              <w:rPr>
                <w:b/>
                <w:i/>
              </w:rPr>
              <w:t>miatt, amely</w:t>
            </w:r>
            <w:r>
              <w:t xml:space="preserve"> Irán és regionális helyettesítő erői destabilizáló </w:t>
            </w:r>
            <w:r>
              <w:rPr>
                <w:b/>
                <w:i/>
              </w:rPr>
              <w:t>szerepéből fakad</w:t>
            </w:r>
            <w:r>
              <w:t>; fokozzák a diplomáciai erőfeszítéseket a többoldalú fórumokon, és törekedjenek szorosabb együttműködésre az EU régióbeli partnereivel</w:t>
            </w:r>
            <w:r>
              <w:rPr>
                <w:b/>
                <w:i/>
              </w:rPr>
              <w:t>, különösen a régió egyetlen demokráciájával, Izraellel a régió demokratizálódása,</w:t>
            </w:r>
            <w:r>
              <w:t xml:space="preserve">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 sürgessék az összes szereplőt, hogy tegyenek eleget a nemzetközi jog szerinti kötelezettségeiknek a kétállami megoldáson alapuló tisztességes, átfogó és tartós béke elérése érdekében;</w:t>
            </w:r>
          </w:p>
        </w:tc>
        <w:tc>
          <w:tcPr>
            <w:tcW w:w="4876" w:type="dxa"/>
            <w:tcBorders>
              <w:top w:val="nil"/>
              <w:left w:val="nil"/>
              <w:bottom w:val="nil"/>
              <w:right w:val="nil"/>
            </w:tcBorders>
          </w:tcPr>
          <w:p>
            <w:pPr>
              <w:pStyle w:val="Normal6a"/>
            </w:pPr>
            <w:r>
              <w:rPr>
                <w:b/>
                <w:i/>
              </w:rPr>
              <w:t>j)</w:t>
            </w:r>
            <w:r>
              <w:tab/>
            </w:r>
            <w:r>
              <w:t>fejezzék ki aggodalmukat a Közel-Keleten tapasztalható fokozott konfrontáció kockázata, valamint Irán és regionális helyettesítő erői destabilizáló szerepe miatt; fokozzák a diplomáciai erőfeszítéseket a többoldalú fórumokon, és törekedjenek szorosabb együttműködésre az EU régióbeli partnereivel a dezeszkaláció, az újjáépítés és az érdemi párbeszéd támogatása érdekében</w:t>
            </w:r>
            <w:r>
              <w:rPr>
                <w:b/>
                <w:i/>
              </w:rPr>
              <w:t>, valamint mérlegeljék a libanoni állami struktúrák megerősítését, ami kulcsfontosságú a stabilitás szempontjából</w:t>
            </w:r>
            <w:r>
              <w:t>; sürgessék az összes szereplőt, hogy tegyenek eleget a nemzetközi jog szerinti kötelezettségeiknek a kétállami megoldáson alapuló tisztességes, átfogó és tartós béke elérése érdekében;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fejezzék ki komoly aggodalmukat az Egyesült Nemzetek Szervezetének a közel-keleti palesztin menekülteket segélyező hivatalán (UNRWA) belül a rossz gazdálkodásra, a felügyelet hiányára és a terrorista szervezetekkel kapcsolatban álló személyek részvételére vonatkozó visszatérő állítások és dokumentált esetek miatt;</w:t>
            </w:r>
            <w:r>
              <w:t xml:space="preserve"> </w:t>
            </w:r>
            <w:r>
              <w:rPr>
                <w:b/>
                <w:i/>
              </w:rPr>
              <w:t>hangsúlyozzák, hogy a terrorizmussal való együttműködés vagy a terrorizmussal szembeni tolerancia összes formája alapvetően aláássa a humanitárius elveket, a regionális stabilitást és a békekilátásokat;</w:t>
            </w:r>
            <w:r>
              <w:t xml:space="preserve"> </w:t>
            </w:r>
            <w:r>
              <w:rPr>
                <w:b/>
                <w:i/>
              </w:rPr>
              <w:t>szólítsák fel az Egyesült Nemzetek Szervezetét, hogy biztosítsa az UNRWA teljes átláthatóságát, független vizsgálatait és átfogó strukturális reformjait, beleértve a megbízható átvilágítási, nyomonkövetési és elszámoltathatósági mechanizmusokat is;</w:t>
            </w:r>
            <w:r>
              <w:t xml:space="preserve"> </w:t>
            </w:r>
            <w:r>
              <w:rPr>
                <w:b/>
                <w:i/>
              </w:rPr>
              <w:t>hangsúlyozzák, hogy amennyiben nem biztosítják a hiteles biztonsági garanciákat és a nemzetközi jognak való teljes körű megfelelést, az UNRWA megbízatását fel kell függeszteni vagy meg kell szüntetni, és alternatív, biztonságos mechanizmusokat kell létrehozni a humanitárius segítségnyújtás célba juttatására;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 lehető leghatározottabban ítéljék el a nemzetközi jog folyamatos ciszjordániai megsértését, beleértve az emberi jogok megsértését, a palesztinok kényszerű lakóhelyelhagyását, a telepek jogellenes bővítését és az illegális telepesek által büntetlenül elkövetett erőszakot;</w:t>
            </w:r>
            <w:r>
              <w:t xml:space="preserve"> </w:t>
            </w:r>
            <w:r>
              <w:rPr>
                <w:b/>
                <w:i/>
              </w:rPr>
              <w:t>emlékeztet a Nemzetközi Bíróság (NB) 2024. júliusi tanácsadó véleményére és az OHCHR-nek </w:t>
            </w:r>
            <w:r>
              <w:rPr>
                <w:b/>
                <w:i/>
              </w:rPr>
              <w:t>a megszállt Ciszjordánia, többek között Kelet-Jeruzsálem Izrael általi diszkriminatív irányításáról</w:t>
            </w:r>
            <w:r>
              <w:t xml:space="preserve"> </w:t>
            </w:r>
            <w:r>
              <w:rPr>
                <w:b/>
                <w:i/>
              </w:rPr>
              <w:t>szóló 2026. januári tematikus jelentésére, amely a nemzetközi jog többszöri megsértését állapítja meg Ciszjordániában és a megszállt palesztin területeken;</w:t>
            </w:r>
            <w:r>
              <w:t xml:space="preserve"> </w:t>
            </w:r>
            <w:r>
              <w:rPr>
                <w:b/>
                <w:i/>
              </w:rPr>
              <w:t>súlyos aggodalmának ad hangot az ENSZ mentelmi jogának közelmúltbeli megsértése és az UNRWA kelet-jeruzsálemi irodáiba való engedély nélküli belépés miatt;</w:t>
            </w:r>
            <w:r>
              <w:t xml:space="preserve"> </w:t>
            </w:r>
            <w:r>
              <w:rPr>
                <w:b/>
                <w:i/>
              </w:rPr>
              <w:t>felhívja továbbá a nemzetközi közösséget, hogy követelje meg valamennyi szereplőtől, különösen Izraeltől, hogy tartsák tiszteletben az ENSZ sérthetetlenségét és tartsák be a nemzetközi jogot;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aktívan működjenek együtt a tagállamokkal az azonnali tűzszünet és a kétállami megoldás teljes körű végrehajtása érdekében;</w:t>
            </w:r>
            <w:r>
              <w:t xml:space="preserve"> </w:t>
            </w:r>
            <w:r>
              <w:rPr>
                <w:b/>
                <w:i/>
              </w:rPr>
              <w:t>támogassák Gáza újjáépítését és a humanitárius segítségnyújtást;</w:t>
            </w:r>
            <w:r>
              <w:t xml:space="preserve"> </w:t>
            </w:r>
            <w:r>
              <w:rPr>
                <w:b/>
                <w:i/>
              </w:rPr>
              <w:t>ítéljék el az illegális telepeket és a nemzetközi humanitárius jog mindennemű megsértését, beleértve a háborús bűncselekményeket is;</w:t>
            </w:r>
            <w:r>
              <w:t xml:space="preserve"> </w:t>
            </w:r>
            <w:r>
              <w:rPr>
                <w:b/>
                <w:i/>
              </w:rPr>
              <w:t>nyújtsanak támogatást a palesztinoknak és az UNRWA-nak;</w:t>
            </w:r>
            <w:r>
              <w:t xml:space="preserve"> </w:t>
            </w:r>
            <w:r>
              <w:rPr>
                <w:b/>
                <w:i/>
              </w:rPr>
              <w:t>valamint mozdítsák elő a párbeszédet, a dezeszkalációt és a fenntartható regionális stabilitást a nemzetközi joggal és az ENSZ elveivel összhangban;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 leghatározottabban ítéljék el az iráni rezsim által a tüntetők ellen elkövetett barbár tömeggyilkosságokat, és fejezzék ki támogatásukat az iszlám diktatúra és annak évtizedek óta tartó elnyomó apparátusa ellen felkelő iráni nép iránt;</w:t>
            </w:r>
            <w:r>
              <w:t xml:space="preserve"> </w:t>
            </w:r>
            <w:r>
              <w:rPr>
                <w:b/>
                <w:i/>
              </w:rPr>
              <w:t>támogassák az arra hajlandók nemzetközi koalíciójának létrehozását, hogy megvédjék a polgári lakosságot, megvédjék az emberi jogokat és a regionális stabilitást, valamint támogassák az iráni nép azon törekvését, hogy megszabaduljon az iszlám rezsim diktatúrájától;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visszhangozzák az António Costa elnök által az Európai Tanács tagjainak 2026. január 22-i nem hivatalos ülését követően levont szóbeli következtetéseket, amelyekben komoly kétségeit fejezi ki a Béketanács alapokmányának számos elemével kapcsolatban, amelyek annak hatályával, irányításával és az ENSZ Alapokmányával való összeegyeztethetőségével kapcsolatosak;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adjanak hangot súlyos aggodalmuknak azon dokumentált esetek miatt, amelyekben a Hamász tagjai és szövetségesei az UNRWA struktúráin belül tevékenykednek;</w:t>
            </w:r>
            <w:r>
              <w:t xml:space="preserve"> </w:t>
            </w:r>
            <w:r>
              <w:rPr>
                <w:b/>
                <w:i/>
              </w:rPr>
              <w:t>szólítsanak </w:t>
            </w:r>
            <w:r>
              <w:rPr>
                <w:b/>
                <w:i/>
              </w:rPr>
              <w:t>fel</w:t>
            </w:r>
            <w:r>
              <w:t xml:space="preserve"> </w:t>
            </w:r>
            <w:r>
              <w:rPr>
                <w:b/>
                <w:i/>
              </w:rPr>
              <w:t>az UNRWA-nak nyújtott uniós finanszírozás azonnali felfüggesztésére, valamint arra, hogy megbízható ügynökségek vegyék át a korábban az UNRWA által végzett tevékenységeket;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fokozzák az Unió mint Afrika választott biztonsági partnere szerepét azáltal, hogy megerősítik az EU, az Afrikai Unió és az ENSZ közötti együttműködést a konfliktusmegelőzés, a közvetítés és a válságreagálás terén, többek között az afrikai vezetésű béketámogató műveletek kiszámítható és fenntartható finanszírozása révén, különösen az Afrikai Béke- és Biztonsági Szervezeten és adott esetben az ENSZ által értékelt hozzájárulásokon keresztül;</w:t>
            </w:r>
            <w:r>
              <w:t xml:space="preserve"> </w:t>
            </w:r>
            <w:r>
              <w:rPr>
                <w:b/>
                <w:i/>
              </w:rPr>
              <w:t>kezeljék az akut és egymással összefüggő biztonsági válságokat a Száhel-övezetben, Afrika szarván, Szudánban és a Kongói Demokratikus Köztársaságban, beleértve a dzsihádista terrorizmus terjedését, az erőszakos szélsőségességet, a katonai puccsokat és az államok instabilitását;</w:t>
            </w:r>
            <w:r>
              <w:t xml:space="preserve"> </w:t>
            </w:r>
            <w:r>
              <w:rPr>
                <w:b/>
                <w:i/>
              </w:rPr>
              <w:t>reagáljanak a nemzetközi missziók visszavonása és a destabilizáló külső szereplők, többek között az orosz zsoldoshálózatok és a hibrid beavatkozás növekvő jelenléte által súlyosbított biztonsági vákuumokra;</w:t>
            </w:r>
            <w:r>
              <w:t xml:space="preserve"> </w:t>
            </w:r>
            <w:r>
              <w:rPr>
                <w:b/>
                <w:i/>
              </w:rPr>
              <w:t>valamint biztosítsák, hogy az EU valamennyi biztonsági szerepvállalása a helyi felelősségvállaláson, a demokratikus elszámoltathatóságon, a nemek közötti egyenlőségen, valamint a humanitárius segítségnyújtás, a fejlesztés és a béke közötti kapcsolaton alapuljon, összhangban az ENSZ békeépítésre, valamint a nőkre, a békére és a biztonságra vonatkozó kereteivel;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határozottan ítéljék el az ENSZ-hez kapcsolódó szervek azon döntését, hogy megváltoztatják a gázai éhínség értékelésére vonatkozó, régóta fennálló és globálisan alkalmazott módszertani normákat, beleértve az élelmezésbiztonsági fázisok integrált osztályozását is</w:t>
            </w:r>
            <w:r>
              <w:rPr>
                <w:b/>
                <w:i/>
                <w:vertAlign w:val="superscript"/>
              </w:rPr>
              <w:t>5a</w:t>
            </w:r>
            <w:r>
              <w:rPr>
                <w:b/>
                <w:i/>
              </w:rPr>
              <w:t>;</w:t>
            </w:r>
            <w:r>
              <w:t xml:space="preserve"> </w:t>
            </w:r>
            <w:r>
              <w:rPr>
                <w:b/>
                <w:i/>
              </w:rPr>
              <w:t>vegyék figyelembe, hogy ezek az intézkedések félrevezették a nemzetközi közösséget, torzították a szakpolitikai és humanitárius válaszlépéseket, és hozzájárultak a humanitárius adatok átpolitizálásához;</w:t>
            </w:r>
            <w:r>
              <w:t xml:space="preserve"> </w:t>
            </w:r>
            <w:r>
              <w:rPr>
                <w:b/>
                <w:i/>
              </w:rPr>
              <w:t>hangsúlyozzák, hogy az ilyen magatartás súlyosan aláássa az ENSZ-rendszer egészének hitelességét, semlegességét és integritását;</w:t>
            </w:r>
            <w:r>
              <w:t xml:space="preserve"> </w:t>
            </w:r>
            <w:r>
              <w:rPr>
                <w:b/>
                <w:i/>
              </w:rPr>
              <w:t>szólítsák fel az ENSZ-t, hogy nyilvánosan ismerje el és teljeskörűen magyarázza el ezeket a módszertani változásokat, vállaljon felelősséget azok következményeiért, és haladéktalanul állítsa helyre a szigorú, egységes globális normákat;</w:t>
            </w:r>
            <w:r>
              <w:t xml:space="preserve"> </w:t>
            </w:r>
            <w:r>
              <w:rPr>
                <w:b/>
                <w:i/>
              </w:rPr>
              <w:t>hangsúlyozzák továbbá, hogy az átláthatóság, a független külső ellenőrzések és a módszertani következetesség biztosításának folyamatos elmulasztását a vonatkozó ENSZ-finanszírozás felfüggesztésének és a nemzetközi együttműködés újraértékelésének kell követnie a teljes bizalom és hitelesség helyreállításáig;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https://www.fdd.org/analysis/2025/08/13/global-food-insecurity-scale-was-eased-in-order-to-declare-famine-in-gaza/;</w:t>
            </w:r>
            <w:r>
              <w:t xml:space="preserve"> </w:t>
            </w:r>
            <w:r>
              <w:rPr>
                <w:b/>
                <w:i/>
              </w:rPr>
              <w:t>https://www.inss.org.il/publication/un-hunger-reports/;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hangsúlyozza, hogy a szíriai politikai és biztonsági átmenet egy évvel az Aszad-rezsim bukása után továbbra is törékeny, és azt továbbra is bizonytalanság, tömeges atrocitások, az emberi jogok súlyos megsértése, szexuális és nemi alapú erőszak, széles körű lakóhelyelhagyás és a kisebbségi közösségek elleni célzott támadások jellemzik;</w:t>
            </w:r>
            <w:r>
              <w:t xml:space="preserve"> </w:t>
            </w:r>
            <w:r>
              <w:rPr>
                <w:b/>
                <w:i/>
              </w:rPr>
              <w:t>felhívja továbbá az EU-t és tagállamait, hogy az ENSZ-szel együttműködve fokozzák erőfeszítéseiket annak biztosítása érdekében, hogy az átmenetet az emberi jogok, a demokrácia, a nők jogainak teljes körű tiszteletben tartása és valamennyi szíriai – etnikai vagy vallási identitástól független – védelme garantálja;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fejezzék ki súlyos aggodalmukat a Szudánban zajló humanitárius válság és a régió – különösen Dél-Szudán és Csád – </w:t>
            </w:r>
            <w:r>
              <w:rPr>
                <w:b/>
                <w:i/>
              </w:rPr>
              <w:t>a gazdasági instabilitás és a lakóhelyelhagyás következtében</w:t>
            </w:r>
            <w:r>
              <w:t xml:space="preserve"> </w:t>
            </w:r>
            <w:r>
              <w:rPr>
                <w:b/>
                <w:i/>
              </w:rPr>
              <w:t>fellépő további destabilizációjának lehetősége miatt;</w:t>
            </w:r>
            <w:r>
              <w:t xml:space="preserve"> </w:t>
            </w:r>
            <w:r>
              <w:rPr>
                <w:b/>
                <w:i/>
              </w:rPr>
              <w:t>felhívja az EU-t és tagállamait, hogy az ENSZ Biztonsági Tanácsán belül munkálkodjanak a Dárfúrra jelenleg alkalmazandó fegyverembargó-rendszer Szudán többi részére való kiterjesztésén, tartós tűzszünetre törekedve Szudánban;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kezeljék prioritásként a terrorizmusfinanszírozási hálózatok megzavarását, többek között </w:t>
            </w:r>
            <w:r>
              <w:rPr>
                <w:b/>
                <w:i/>
              </w:rPr>
              <w:t>a magas kockázatú környezetben</w:t>
            </w:r>
            <w:r>
              <w:t xml:space="preserve"> </w:t>
            </w:r>
            <w:r>
              <w:rPr>
                <w:b/>
                <w:i/>
              </w:rPr>
              <w:t>az uniós külső finanszírozás szigorúbb ellenőrzése, a végrehajtó partnerek és a nem kormányzati szervezetek megerősített átvilágítása, valamint az uniós finanszírozású támogatás teljes nyomonkövethetősége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c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határozottan ítéljék el a Kongói Demokratikus Köztársaság keleti részén folytatódó erőszakot és bizonytalanságot;</w:t>
            </w:r>
            <w:r>
              <w:t xml:space="preserve"> </w:t>
            </w:r>
            <w:r>
              <w:rPr>
                <w:b/>
                <w:i/>
              </w:rPr>
              <w:t>játsszanak aktív és összehangolt szerepet a békefolyamat végrehajtásának támogatásában, az inkluzivitás és a nők részvételének, a humanitárius hozzáférésnek és a polgári lakosság védelmének fokozására összpontosítva;</w:t>
            </w:r>
            <w:r>
              <w:t xml:space="preserve"> </w:t>
            </w:r>
            <w:r>
              <w:rPr>
                <w:b/>
                <w:i/>
              </w:rPr>
              <w:t>hangsúlyozzák, hogy az ENSZ immár 16 éves feltérképező jelentését továbbra sem hajtották végre;</w:t>
            </w:r>
            <w:r>
              <w:t xml:space="preserve"> </w:t>
            </w:r>
            <w:r>
              <w:rPr>
                <w:b/>
                <w:i/>
              </w:rPr>
              <w:t>szólítsanak fel az igazságszolgáltatás előmozdítására, a büntetlenség elleni küzdelemre és megállapításai teljes körű nyomon követésének biztosítására irányuló nemzetközi erőfeszítések megújítására, mivel a mai napig nem hajtották végre az ajánlott elszámoltathatósági és szankciós intézkedéseket;</w:t>
            </w:r>
            <w:r>
              <w:t xml:space="preserve"> </w:t>
            </w:r>
            <w:r>
              <w:rPr>
                <w:b/>
                <w:i/>
              </w:rPr>
              <w:t>haladéktalanul függesszék fel az EU és Ruanda közötti, a fenntartható nyersanyag-értékláncokról szóló egyetértési megállapodást mindaddig, amíg Ruanda fel nem hagy beavatkozásával;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j c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akadályozzák meg az UNRWA-t abban, hogy iskoláiban gyűlöletre, erőszakra vagy a gyilkosságok dicsőítésére uszító oktatási anyagokat használjon, terjesszen vagy hagyjon jóvá, és biztosítsák minden olyan tartalom azonnali eltávolítását, amely ellentétes a békének, a toleranciának és az emberi jogok tiszteletben tartásának az Egyesült Nemzetek Alapokmányában foglalt elveivel;</w:t>
            </w:r>
            <w:r>
              <w:t xml:space="preserve"> </w:t>
            </w:r>
            <w:r>
              <w:rPr>
                <w:b/>
                <w:i/>
              </w:rPr>
              <w:t>tiltsák meg az UNRWA igazgatása alatt álló iskolák, létesítmények vagy programok terrorcselekményekkel vagy erőszakkal összefüggésbe hozható személyekről való elnevezését, és biztosítsák, hogy semmilyen intézményi gyakorlat ne járuljon hozzá a terror legitimálásához vagy dicsőítéséhez;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aktívan vegyenek részt a Tajvani-szorosban és a Dél-kínai-tengeren tapasztalható helyzet további eszkalálódását megakadályozó diplomáciai erőfeszítésekben, és ellenezzék a status quo bármilyen egyoldalú megváltoztatását; működjenek együtt a hasonlóan gondolkodó partnerekkel a régió stabilitásának megerősítése érdekében; hangsúlyozzák, hogy a 2758. sz. ENSZ-határozat nem határozza meg a Kínai Népköztársaság Tajvan feletti szuverenitását, és fokozottan támogassák Tajvan nemzetközi szervezetekben való érdemi részvételét;</w:t>
            </w:r>
          </w:p>
        </w:tc>
        <w:tc>
          <w:tcPr>
            <w:tcW w:w="4876" w:type="dxa"/>
            <w:tcBorders>
              <w:top w:val="nil"/>
              <w:left w:val="nil"/>
              <w:bottom w:val="nil"/>
              <w:right w:val="nil"/>
            </w:tcBorders>
          </w:tcPr>
          <w:p>
            <w:pPr>
              <w:pStyle w:val="Normal6a"/>
            </w:pPr>
            <w:r>
              <w:rPr>
                <w:b/>
                <w:i/>
              </w:rPr>
              <w:t>k)</w:t>
            </w:r>
            <w:r>
              <w:tab/>
            </w:r>
            <w:r>
              <w:t xml:space="preserve">aktívan vegyenek részt a Tajvani-szorosban és a Dél-kínai-tengeren tapasztalható helyzet további eszkalálódását megakadályozó diplomáciai erőfeszítésekben, és ellenezzék a status quo bármilyen egyoldalú megváltoztatását; </w:t>
            </w:r>
            <w:r>
              <w:rPr>
                <w:b/>
                <w:i/>
              </w:rPr>
              <w:t>támogassák a szövetségeseket Tajvan biztonságának katonai jelenlét révén történő fokozására irányuló erőfeszítéseikben;</w:t>
            </w:r>
            <w:r>
              <w:t xml:space="preserve"> </w:t>
            </w:r>
            <w:r>
              <w:rPr>
                <w:b/>
                <w:i/>
              </w:rPr>
              <w:t>ítéljék el Kína regionális stabilitást aláásó tevékenységét, beleértve a Tajvan közelében nagyszabású gyakorlatok formájában gyakorolt fokozott katonai nyomást és az egyre élesebb retorikát;</w:t>
            </w:r>
            <w:r>
              <w:t xml:space="preserve"> működjenek együtt a hasonlóan gondolkodó partnerekkel a régió stabilitásának megerősítése érdekében</w:t>
            </w:r>
            <w:r>
              <w:rPr>
                <w:b/>
                <w:i/>
              </w:rPr>
              <w:t>, és hangsúlyozzák, hogy egyértelműen támogatják Tajvant</w:t>
            </w:r>
            <w:r>
              <w:t>; hangsúlyozzák, hogy a 2758. sz. ENSZ-határozat nem határozza meg a Kínai Népköztársaság Tajvan feletti szuverenitását, és fokozottan támogassák Tajvan nemzetközi szervezetekben való érdemi részvételét;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 xml:space="preserve">aktívan vegyenek részt a Tajvani-szorosban és a Dél-kínai-tengeren tapasztalható helyzet további eszkalálódását megakadályozó diplomáciai erőfeszítésekben, és ellenezzék a status quo bármilyen egyoldalú megváltoztatását; működjenek együtt a hasonlóan gondolkodó partnerekkel a régió stabilitásának megerősítése érdekében; hangsúlyozzák, hogy a 2758. sz. ENSZ-határozat nem határozza meg </w:t>
            </w:r>
            <w:r>
              <w:rPr>
                <w:b/>
                <w:i/>
              </w:rPr>
              <w:t>a Kínai Népköztársaság</w:t>
            </w:r>
            <w:r>
              <w:t xml:space="preserve"> Tajvan </w:t>
            </w:r>
            <w:r>
              <w:rPr>
                <w:b/>
                <w:i/>
              </w:rPr>
              <w:t>feletti</w:t>
            </w:r>
            <w:r>
              <w:t xml:space="preserve"> szuverenitását, és </w:t>
            </w:r>
            <w:r>
              <w:rPr>
                <w:b/>
                <w:i/>
              </w:rPr>
              <w:t>fokozottan támogassák</w:t>
            </w:r>
            <w:r>
              <w:t xml:space="preserve"> Tajvan nemzetközi szervezetekben való érdemi </w:t>
            </w:r>
            <w:r>
              <w:rPr>
                <w:b/>
                <w:i/>
              </w:rPr>
              <w:t>részvételét</w:t>
            </w:r>
            <w:r>
              <w:t>;</w:t>
            </w:r>
          </w:p>
        </w:tc>
        <w:tc>
          <w:tcPr>
            <w:tcW w:w="4876" w:type="dxa"/>
            <w:tcBorders>
              <w:top w:val="nil"/>
              <w:left w:val="nil"/>
              <w:bottom w:val="nil"/>
              <w:right w:val="nil"/>
            </w:tcBorders>
          </w:tcPr>
          <w:p>
            <w:pPr>
              <w:pStyle w:val="Normal6a"/>
            </w:pPr>
            <w:r>
              <w:rPr>
                <w:b/>
                <w:i/>
              </w:rPr>
              <w:t>k)</w:t>
            </w:r>
            <w:r>
              <w:tab/>
            </w:r>
            <w:r>
              <w:t>aktívan vegyenek részt a Tajvani-szorosban és a Dél-kínai-tengeren tapasztalható helyzet további eszkalálódását megakadályozó diplomáciai erőfeszítésekben, és ellenezzék a status quo bármilyen egyoldalú</w:t>
            </w:r>
            <w:r>
              <w:rPr>
                <w:b/>
                <w:i/>
              </w:rPr>
              <w:t>, kényszerítéssel vagy erővel történő</w:t>
            </w:r>
            <w:r>
              <w:t xml:space="preserve"> megváltoztatását; működjenek együtt a hasonlóan gondolkodó partnerekkel a régió stabilitásának </w:t>
            </w:r>
            <w:r>
              <w:rPr>
                <w:b/>
                <w:i/>
              </w:rPr>
              <w:t>és biztonságának</w:t>
            </w:r>
            <w:r>
              <w:t xml:space="preserve"> megerősítése érdekében</w:t>
            </w:r>
            <w:r>
              <w:rPr>
                <w:b/>
                <w:i/>
              </w:rPr>
              <w:t>;</w:t>
            </w:r>
            <w:r>
              <w:t xml:space="preserve"> </w:t>
            </w:r>
            <w:r>
              <w:rPr>
                <w:b/>
                <w:i/>
              </w:rPr>
              <w:t>továbbra is védelmezzék az erőszak alkalmazása ENSZ Alapokmányában foglalt tilalmának elvét</w:t>
            </w:r>
            <w:r>
              <w:t xml:space="preserve">; hangsúlyozzák, hogy a 2758. sz. ENSZ-határozat nem határozza meg Tajvan szuverenitását, és </w:t>
            </w:r>
            <w:r>
              <w:rPr>
                <w:b/>
                <w:i/>
              </w:rPr>
              <w:t>Tajvant sem említi, valamint növeljék</w:t>
            </w:r>
            <w:r>
              <w:t xml:space="preserve"> Tajvan nemzetközi szervezetekben való érdemi </w:t>
            </w:r>
            <w:r>
              <w:rPr>
                <w:b/>
                <w:i/>
              </w:rPr>
              <w:t>részvételének uniós támogatását a nemzetközi közösség javára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 xml:space="preserve">aktívan vegyenek részt a Tajvani-szorosban és a Dél-kínai-tengeren tapasztalható helyzet további eszkalálódását megakadályozó diplomáciai erőfeszítésekben, és ellenezzék a status quo bármilyen egyoldalú megváltoztatását; </w:t>
            </w:r>
            <w:r>
              <w:rPr>
                <w:b/>
                <w:i/>
              </w:rPr>
              <w:t>működjenek együtt a hasonlóan gondolkodó partnerekkel</w:t>
            </w:r>
            <w:r>
              <w:t xml:space="preserve"> a régió stabilitásának </w:t>
            </w:r>
            <w:r>
              <w:rPr>
                <w:b/>
                <w:i/>
              </w:rPr>
              <w:t>megerősítése</w:t>
            </w:r>
            <w:r>
              <w:t xml:space="preserve"> érdekében; hangsúlyozzák, hogy a 2758. sz. ENSZ-határozat nem határozza meg a Kínai Népköztársaság Tajvan feletti szuverenitását, és fokozottan támogassák Tajvan nemzetközi szervezetekben való érdemi részvételét;</w:t>
            </w:r>
          </w:p>
        </w:tc>
        <w:tc>
          <w:tcPr>
            <w:tcW w:w="4876" w:type="dxa"/>
            <w:tcBorders>
              <w:top w:val="nil"/>
              <w:left w:val="nil"/>
              <w:bottom w:val="nil"/>
              <w:right w:val="nil"/>
            </w:tcBorders>
          </w:tcPr>
          <w:p>
            <w:pPr>
              <w:pStyle w:val="Normal6a"/>
            </w:pPr>
            <w:r>
              <w:rPr>
                <w:b/>
                <w:i/>
              </w:rPr>
              <w:t>k)</w:t>
            </w:r>
            <w:r>
              <w:tab/>
            </w:r>
            <w:r>
              <w:t xml:space="preserve">aktívan vegyenek részt a Tajvani-szorosban és a Dél-kínai-tengeren tapasztalható helyzet további eszkalálódását megakadályozó diplomáciai erőfeszítésekben, és ellenezzék a status quo bármilyen egyoldalú megváltoztatását; </w:t>
            </w:r>
            <w:r>
              <w:rPr>
                <w:b/>
                <w:i/>
              </w:rPr>
              <w:t>vállaljanak diplomáciai kötelezettséget a Kínai Népköztársasággal és az Egyesült Államokkal folytatott párbeszéd mellett a Tajvant övező feszültségek csökkentésének elősegítése, valamint</w:t>
            </w:r>
            <w:r>
              <w:t xml:space="preserve"> a régió </w:t>
            </w:r>
            <w:r>
              <w:rPr>
                <w:b/>
                <w:i/>
              </w:rPr>
              <w:t>békéjének és</w:t>
            </w:r>
            <w:r>
              <w:t xml:space="preserve"> stabilitásának </w:t>
            </w:r>
            <w:r>
              <w:rPr>
                <w:b/>
                <w:i/>
              </w:rPr>
              <w:t>előmozdítása</w:t>
            </w:r>
            <w:r>
              <w:t xml:space="preserve"> érdekében; hangsúlyozzák, hogy a 2758. sz. ENSZ-határozat nem határozza meg a Kínai Népköztársaság Tajvan feletti szuverenitását, és fokozottan támogassák Tajvan nemzetközi szervezetekben való érdemi részvételét;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aktívan vegyenek részt a Tajvani-szorosban és a Dél-kínai-tengeren tapasztalható helyzet további eszkalálódását megakadályozó diplomáciai erőfeszítésekben, és ellenezzék a status quo bármilyen egyoldalú megváltoztatását; működjenek együtt a hasonlóan gondolkodó partnerekkel a régió stabilitásának megerősítése érdekében; hangsúlyozzák, hogy a 2758. sz. ENSZ-határozat nem határozza meg a Kínai Népköztársaság Tajvan feletti szuverenitását, és fokozottan támogassák Tajvan nemzetközi szervezetekben való érdemi részvételét;</w:t>
            </w:r>
          </w:p>
        </w:tc>
        <w:tc>
          <w:tcPr>
            <w:tcW w:w="4876" w:type="dxa"/>
            <w:tcBorders>
              <w:top w:val="nil"/>
              <w:left w:val="nil"/>
              <w:bottom w:val="nil"/>
              <w:right w:val="nil"/>
            </w:tcBorders>
          </w:tcPr>
          <w:p>
            <w:pPr>
              <w:pStyle w:val="Normal6a"/>
            </w:pPr>
            <w:r>
              <w:rPr>
                <w:b/>
                <w:i/>
              </w:rPr>
              <w:t>k)</w:t>
            </w:r>
            <w:r>
              <w:tab/>
            </w:r>
            <w:r>
              <w:t>aktívan vegyenek részt a Tajvani-szorosban és a Dél-kínai-tengeren tapasztalható helyzet további eszkalálódását megakadályozó diplomáciai erőfeszítésekben, és ellenezzék a status quo bármilyen egyoldalú megváltoztatását; működjenek együtt a hasonlóan gondolkodó partnerekkel a régió stabilitásának megerősítése érdekében</w:t>
            </w:r>
            <w:r>
              <w:rPr>
                <w:b/>
                <w:i/>
              </w:rPr>
              <w:t>, valamint erősítsék meg a kényszerítő vagy katonai fellépésekkel szembeni elrettentést</w:t>
            </w:r>
            <w:r>
              <w:t xml:space="preserve">; hangsúlyozzák, hogy a 2758. sz. ENSZ-határozat nem határozza meg a Kínai Népköztársaság Tajvan feletti szuverenitását, és </w:t>
            </w:r>
            <w:r>
              <w:rPr>
                <w:b/>
                <w:i/>
              </w:rPr>
              <w:t>nem használható fel Tajvan nemzetközi rendszerből való kizárására;</w:t>
            </w:r>
            <w:r>
              <w:t xml:space="preserve"> fokozottan támogassák Tajvan nemzetközi szervezetekben való érdemi részvételét;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aktívan vegyenek részt a Tajvani-szorosban és a Dél-kínai-tengeren tapasztalható helyzet további eszkalálódását megakadályozó diplomáciai erőfeszítésekben, és ellenezzék a status quo bármilyen egyoldalú megváltoztatását; működjenek együtt a hasonlóan gondolkodó partnerekkel a régió stabilitásának megerősítése érdekében; hangsúlyozzák, hogy a 2758. sz. ENSZ-határozat nem határozza meg a Kínai Népköztársaság Tajvan feletti szuverenitását, és fokozottan támogassák Tajvan nemzetközi szervezetekben való érdemi részvételét;</w:t>
            </w:r>
          </w:p>
        </w:tc>
        <w:tc>
          <w:tcPr>
            <w:tcW w:w="4876" w:type="dxa"/>
            <w:tcBorders>
              <w:top w:val="nil"/>
              <w:left w:val="nil"/>
              <w:bottom w:val="nil"/>
              <w:right w:val="nil"/>
            </w:tcBorders>
          </w:tcPr>
          <w:p>
            <w:pPr>
              <w:pStyle w:val="Normal6a"/>
            </w:pPr>
            <w:r>
              <w:rPr>
                <w:b/>
                <w:i/>
              </w:rPr>
              <w:t>k)</w:t>
            </w:r>
            <w:r>
              <w:tab/>
            </w:r>
            <w:r>
              <w:t xml:space="preserve">aktívan vegyenek részt a Tajvani-szorosban és a Dél-kínai-tengeren tapasztalható helyzet további eszkalálódását megakadályozó diplomáciai erőfeszítésekben, és ellenezzék a status quo bármilyen egyoldalú megváltoztatását; működjenek együtt a hasonlóan gondolkodó partnerekkel a régió stabilitásának megerősítése érdekében; hangsúlyozzák, hogy a 2758. sz. ENSZ-határozat nem határozza meg a Kínai Népköztársaság Tajvan feletti szuverenitását, és fokozottan támogassák Tajvan nemzetközi szervezetekben való érdemi részvételét; </w:t>
            </w:r>
            <w:r>
              <w:rPr>
                <w:b/>
                <w:i/>
              </w:rPr>
              <w:t>amelyeknek tagsága vagy tevékenysége nem korlátozódik államokra, beleértve azokat is, ahol megfigyelői státusz lehetséges;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utasítsák el a katonai fenyegetések Kínai Népköztársaság általi alkalmazását, valamint az Egyesült Államok katonai jelenlétének megerősítését a régióban;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újólag erősítsék meg az Unió teljes elkötelezettségét valamennyi tagállama szuverenitásának, függetlenségének és területi integritásának tiszteletben tartása iránt, az Egyesült Nemzetek Alapokmányával összhangban;</w:t>
            </w:r>
            <w:r>
              <w:t xml:space="preserve"> </w:t>
            </w:r>
            <w:r>
              <w:rPr>
                <w:b/>
                <w:i/>
              </w:rPr>
              <w:t>hangsúlyozzák, hogy a török csapatok folyamatos jelenléte az uniós tagállam Ciprusi Köztársaság területén a nemzetközi jog nyilvánvaló megsértését és az alapvető emberi jogok megsértését jelenti;</w:t>
            </w:r>
            <w:r>
              <w:t xml:space="preserve"> </w:t>
            </w:r>
            <w:r>
              <w:rPr>
                <w:b/>
                <w:i/>
              </w:rPr>
              <w:t>szólítsanak fel a török megszálló erők azonnali és teljes kivonására, a megszállt területeknek az egységes és szuverén Ciprusi Köztársaságba való visszaillesztésére, valamennyi menekült őseik földjére való visszatérésére, valamint minden eltűnt személy sorsának felderítésére;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határozottan lépjenek fel az afganisztáni de facto hatóságokkal és romló humanitárius helyzettel szemben;</w:t>
            </w:r>
            <w:r>
              <w:t xml:space="preserve"> </w:t>
            </w:r>
            <w:r>
              <w:rPr>
                <w:b/>
                <w:i/>
              </w:rPr>
              <w:t>szólítsák fel a tálibokat, hogy töröljék el azokat a jogszabályokat és gyakorlatokat, amelyek korlátozzák a nők és lányok oktatáshoz, valamint valamennyi társadalmi, gazdasági és közéleti szférához való egyenlő hozzáférését;</w:t>
            </w:r>
            <w:r>
              <w:t xml:space="preserve"> </w:t>
            </w:r>
            <w:r>
              <w:rPr>
                <w:b/>
                <w:i/>
              </w:rPr>
              <w:t>sürgessék a de facto hatóságokat, hogy vonják vissza az afgán női ENSZ-személyzetnek az ENSZ nemzeti irodáiba való bejutására vonatkozó korlátozásokat;</w:t>
            </w:r>
            <w:r>
              <w:t xml:space="preserve"> </w:t>
            </w:r>
            <w:r>
              <w:rPr>
                <w:b/>
                <w:i/>
              </w:rPr>
              <w:t>továbbra is határozottan ellenezzék a de facto kormányon belüli inkluzivitás hiányát;</w:t>
            </w:r>
            <w:r>
              <w:t xml:space="preserve"> </w:t>
            </w:r>
            <w:r>
              <w:rPr>
                <w:b/>
                <w:i/>
              </w:rPr>
              <w:t>vonják felelősségre az afganisztáni de facto hatóságokat a Nemzetközi Büntetőbíróság és az ENSZ független vizsgálati mechanizmusa által végzett vizsgálatok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k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hangsúlyozzák annak fontosságát, hogy tiszteletben tartsák Grönland mint a Dán Királyság autonóm állama szuverenitását, területi integritását és önrendelkezését, vegyék tudomásul, hogy Grönland népe határozottan ellenzi az e státusz szabad akarata és beleegyezése nélküli megváltoztatására irányuló külső kísérleteket, és szólítsák fel az EU-t és partnereit, hogy támogassák Dániát és Grönlandot Grönland szuverenitásának és stabilitásának a külső geopolitikai nyomással szembeni védelmében, többek között az Északi-sarkvidékkel való fokozott együttműködés, valamint a nemzetközi jog, a területi integritás és a demokratikus folyamatok tiszteletben tartása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4 c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fejezzék ki mély aggodalmukat minden olyan nyilatkozat vagy kezdeményezés miatt, amely megkérdőjelezi az Európai Unió tagállamainak vagy a hozzájuk kapcsolódó területeknek a területi integritását;</w:t>
            </w:r>
            <w:r>
              <w:t xml:space="preserve"> </w:t>
            </w:r>
            <w:r>
              <w:rPr>
                <w:b/>
                <w:i/>
              </w:rPr>
              <w:t>különösen az Egyesült Államok Grönlandot – Dánia autonóm területét – érintő fenyegetéseivel összefüggésben;</w:t>
            </w:r>
            <w:r>
              <w:t xml:space="preserve"> </w:t>
            </w:r>
            <w:r>
              <w:rPr>
                <w:b/>
                <w:i/>
              </w:rPr>
              <w:t>utasítsanak el minden olyan fenyegetést, nyomásgyakorlást vagy területfelvásárlási igényt, amely összeegyeztethetetlen az Egyesült Nemzetek Alapokmányával, és különösen a fenyegetés vagy az erőszak alkalmazásának tilalmára vonatkozó elvet</w:t>
            </w:r>
            <w:r>
              <w:t xml:space="preserve"> </w:t>
            </w:r>
            <w:r>
              <w:rPr>
                <w:b/>
                <w:i/>
              </w:rPr>
              <w:t>sérti meg</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l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ab/>
            </w:r>
            <w:r>
              <w:t>továbbra is működjenek együtt az ENSZ-szel a globális biztonsági kihívások konfliktusmegelőzés, közvetítés, békeépítés és válságkezelés révén történő kezelése érdekében, EU és az ENSZ közötti, a békére és biztonságra irányuló stratégiai partnerséggel összhangban; ismerjék el az ENSZ békeműveleteinek alapvető fontosságú szerepét, és használják ki a műveletek jövőjéről szóló felülvizsgálatot annak biztosítására, hogy azok napjaink biztonsági környezetéhez igazodjanak;</w:t>
            </w:r>
          </w:p>
        </w:tc>
        <w:tc>
          <w:tcPr>
            <w:tcW w:w="4876" w:type="dxa"/>
            <w:tcBorders>
              <w:top w:val="nil"/>
              <w:left w:val="nil"/>
              <w:bottom w:val="nil"/>
              <w:right w:val="nil"/>
            </w:tcBorders>
          </w:tcPr>
          <w:p>
            <w:pPr>
              <w:pStyle w:val="Normal6a"/>
            </w:pPr>
            <w:r>
              <w:rPr>
                <w:b/>
                <w:i/>
              </w:rPr>
              <w:t>l)</w:t>
            </w:r>
            <w:r>
              <w:tab/>
            </w:r>
            <w:r>
              <w:t xml:space="preserve">továbbra is működjenek együtt az ENSZ-szel a globális biztonsági kihívások konfliktusmegelőzés, közvetítés, békeépítés és válságkezelés révén történő kezelése érdekében, EU és az ENSZ közötti, a békére és biztonságra irányuló stratégiai partnerséggel összhangban; ismerjék el az ENSZ békeműveleteinek alapvető fontosságú szerepét, és használják ki a műveletek jövőjéről szóló felülvizsgálatot annak biztosítására, hogy azok napjaink biztonsági környezetéhez igazodjanak; </w:t>
            </w:r>
            <w:r>
              <w:rPr>
                <w:b/>
                <w:i/>
              </w:rPr>
              <w:t>ismételten hangsúlyozzák, hogy a nők elengedhetetlen szerepet játszanak a konfliktusközvetítési és békefenntartó missziókban;</w:t>
            </w:r>
            <w:r>
              <w:t xml:space="preserve"> </w:t>
            </w:r>
            <w:r>
              <w:rPr>
                <w:b/>
                <w:i/>
              </w:rPr>
              <w:t>emlékeztessenek arra, hogy a nők az ENSZ és az EU misszióiban minden szinten alulreprezentáltak, és hogy a nők és lányok védelme a konfliktushelyzetekben és a konfliktus utáni helyzetekben alapvető fontosságú;</w:t>
            </w:r>
            <w:r>
              <w:t xml:space="preserve"> </w:t>
            </w:r>
            <w:r>
              <w:rPr>
                <w:b/>
                <w:i/>
              </w:rPr>
              <w:t>hangsúlyozzák annak alapvető fontosságát, hogy a konfliktushelyzetekben és a konfliktus utáni helyzetekben biztosítsák a nők és lányok számára a szexuális és reproduktív egészséghez és jogokhoz való teljes körű hozzáférést;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l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ab/>
            </w:r>
            <w:r>
              <w:t xml:space="preserve">továbbra is működjenek együtt az ENSZ-szel a globális biztonsági kihívások konfliktusmegelőzés, közvetítés, békeépítés </w:t>
            </w:r>
            <w:r>
              <w:rPr>
                <w:b/>
                <w:i/>
              </w:rPr>
              <w:t>és</w:t>
            </w:r>
            <w:r>
              <w:t xml:space="preserve"> válságkezelés révén történő kezelése érdekében, EU és az ENSZ közötti, a békére és biztonságra irányuló stratégiai partnerséggel összhangban; ismerjék el az ENSZ békeműveleteinek alapvető fontosságú szerepét, és használják ki a műveletek jövőjéről szóló felülvizsgálatot annak biztosítására, hogy azok napjaink biztonsági környezetéhez igazodjanak;</w:t>
            </w:r>
          </w:p>
        </w:tc>
        <w:tc>
          <w:tcPr>
            <w:tcW w:w="4876" w:type="dxa"/>
            <w:tcBorders>
              <w:top w:val="nil"/>
              <w:left w:val="nil"/>
              <w:bottom w:val="nil"/>
              <w:right w:val="nil"/>
            </w:tcBorders>
          </w:tcPr>
          <w:p>
            <w:pPr>
              <w:pStyle w:val="Normal6a"/>
            </w:pPr>
            <w:r>
              <w:rPr>
                <w:b/>
                <w:i/>
              </w:rPr>
              <w:t>l)</w:t>
            </w:r>
            <w:r>
              <w:tab/>
            </w:r>
            <w:r>
              <w:t>továbbra is működjenek együtt az ENSZ-szel a globális biztonsági kihívások konfliktusmegelőzés, közvetítés, békeépítés</w:t>
            </w:r>
            <w:r>
              <w:rPr>
                <w:b/>
                <w:i/>
              </w:rPr>
              <w:t>,</w:t>
            </w:r>
            <w:r>
              <w:t xml:space="preserve"> válságkezelés </w:t>
            </w:r>
            <w:r>
              <w:rPr>
                <w:b/>
                <w:i/>
              </w:rPr>
              <w:t>és terrorizmus elleni küzdelem</w:t>
            </w:r>
            <w:r>
              <w:t xml:space="preserve"> révén történő kezelése érdekében, EU és az ENSZ közötti, a békére és biztonságra irányuló stratégiai partnerséggel összhangban; ismerjék el az ENSZ békeműveleteinek alapvető fontosságú szerepét, és használják ki a műveletek jövőjéről szóló felülvizsgálatot annak biztosítására, hogy azok napjaink biztonsági környezetéhez igazodjanak; </w:t>
            </w:r>
            <w:r>
              <w:rPr>
                <w:b/>
                <w:i/>
              </w:rPr>
              <w:t>szólítsanak fel a szükséges jogi premisszák létrehozására az önvédelem elve hatályának és alkalmazhatóságának növelése érdekében, hogy megfelelően lehessen kezelni a nem állami szereplőktől eredő fenyegetéseket a növekvő aszimmetrikus hadviselés és hibrid intézkedések korában;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l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ab/>
            </w:r>
            <w:r>
              <w:t>továbbra is működjenek együtt az ENSZ-szel a globális biztonsági kihívások konfliktusmegelőzés, közvetítés, békeépítés és válságkezelés révén történő kezelése érdekében, EU és az ENSZ közötti, a békére és biztonságra irányuló stratégiai partnerséggel összhangban; ismerjék el az ENSZ békeműveleteinek alapvető fontosságú szerepét, és használják ki a műveletek jövőjéről szóló felülvizsgálatot annak biztosítására, hogy azok napjaink biztonsági környezetéhez igazodjanak;</w:t>
            </w:r>
          </w:p>
        </w:tc>
        <w:tc>
          <w:tcPr>
            <w:tcW w:w="4876" w:type="dxa"/>
            <w:tcBorders>
              <w:top w:val="nil"/>
              <w:left w:val="nil"/>
              <w:bottom w:val="nil"/>
              <w:right w:val="nil"/>
            </w:tcBorders>
          </w:tcPr>
          <w:p>
            <w:pPr>
              <w:pStyle w:val="Normal6a"/>
            </w:pPr>
            <w:r>
              <w:rPr>
                <w:b/>
                <w:i/>
              </w:rPr>
              <w:t>l)</w:t>
            </w:r>
            <w:r>
              <w:tab/>
            </w:r>
            <w:r>
              <w:t xml:space="preserve">továbbra is működjenek együtt az ENSZ-szel a globális biztonsági kihívások konfliktusmegelőzés, közvetítés, békeépítés és válságkezelés révén történő kezelése érdekében, EU és az ENSZ közötti, a békére és biztonságra irányuló stratégiai partnerséggel összhangban; ismerjék el az ENSZ békeműveleteinek alapvető fontosságú szerepét, és használják ki a műveletek jövőjéről szóló felülvizsgálatot annak biztosítására, hogy azok napjaink biztonsági környezetéhez igazodjanak; </w:t>
            </w:r>
            <w:r>
              <w:rPr>
                <w:b/>
                <w:i/>
              </w:rPr>
              <w:t>kiemeli a demokrácia támogatása és</w:t>
            </w:r>
            <w:r>
              <w:t xml:space="preserve"> </w:t>
            </w:r>
            <w:r>
              <w:rPr>
                <w:b/>
                <w:i/>
              </w:rPr>
              <w:t>a nemzetközi színtéren fennálló biztonság közötti kapcsolatot;</w:t>
            </w:r>
            <w:r>
              <w:t xml:space="preserve"> </w:t>
            </w:r>
            <w:r>
              <w:rPr>
                <w:b/>
                <w:i/>
              </w:rPr>
              <w:t>szólítsanak fel a demokrácia előmozdításának fokozott támogatására a Szerződésben foglalt kötelezettségekkel összhangban, beleértve a választási megfigyelést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ismerjék el az új fegyverkezési versenyből és a globális leszerelési erőfeszítések gyengüléséből eredő súlyos kockázatokat, amelyek nagyrészt Oroszország, Kína és Észak-Korea nukleáris jelenlétének fokozódásából erednek;</w:t>
            </w:r>
            <w:r>
              <w:t xml:space="preserve">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c>
          <w:tcPr>
            <w:tcW w:w="4876" w:type="dxa"/>
            <w:tcBorders>
              <w:top w:val="nil"/>
              <w:left w:val="nil"/>
              <w:bottom w:val="nil"/>
              <w:right w:val="nil"/>
            </w:tcBorders>
          </w:tcPr>
          <w:p>
            <w:pPr>
              <w:pStyle w:val="Normal6a"/>
            </w:pPr>
            <w:r>
              <w:rPr>
                <w:b/>
                <w:i/>
              </w:rPr>
              <w:t>m)</w:t>
            </w:r>
            <w:r>
              <w:tab/>
            </w:r>
            <w:r>
              <w:t>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t xml:space="preserve">ismerjék el </w:t>
            </w:r>
            <w:r>
              <w:rPr>
                <w:b/>
                <w:i/>
              </w:rPr>
              <w:t>az</w:t>
            </w:r>
            <w:r>
              <w:t xml:space="preserve"> új fegyverkezési versenyből és a globális leszerelési erőfeszítések </w:t>
            </w:r>
            <w:r>
              <w:rPr>
                <w:b/>
                <w:i/>
              </w:rPr>
              <w:t>gyengüléséből</w:t>
            </w:r>
            <w:r>
              <w:t xml:space="preserve"> eredő súlyos kockázatokat</w:t>
            </w:r>
            <w:r>
              <w:rPr>
                <w:b/>
                <w:i/>
              </w:rPr>
              <w:t>, amelyek nagyrészt Oroszország, Kína és Észak-Korea nukleáris jelenlétének fokozódásából erednek</w:t>
            </w:r>
            <w:r>
              <w:t>;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c>
          <w:tcPr>
            <w:tcW w:w="4876" w:type="dxa"/>
            <w:tcBorders>
              <w:top w:val="nil"/>
              <w:left w:val="nil"/>
              <w:bottom w:val="nil"/>
              <w:right w:val="nil"/>
            </w:tcBorders>
          </w:tcPr>
          <w:p>
            <w:pPr>
              <w:pStyle w:val="Normal6a"/>
            </w:pPr>
            <w:r>
              <w:rPr>
                <w:b/>
                <w:i/>
              </w:rPr>
              <w:t>m)</w:t>
            </w:r>
            <w:r>
              <w:tab/>
            </w:r>
            <w:r>
              <w:t xml:space="preserve">ismerjék el </w:t>
            </w:r>
            <w:r>
              <w:rPr>
                <w:b/>
                <w:i/>
              </w:rPr>
              <w:t>a különböző hatalmak és katonai szövetségek által indított,</w:t>
            </w:r>
            <w:r>
              <w:t xml:space="preserve"> új fegyverkezési versenyből és a globális leszerelési erőfeszítések </w:t>
            </w:r>
            <w:r>
              <w:rPr>
                <w:b/>
                <w:i/>
              </w:rPr>
              <w:t>gyengítéséből</w:t>
            </w:r>
            <w:r>
              <w:t xml:space="preserve"> eredő súlyos kockázatokat;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t>ismerjék el az új fegyverkezési versenyből és a globális leszerelési erőfeszítések gyengüléséből eredő súlyos kockázatokat, amelyek nagyrészt Oroszország, Kína és Észak-Korea nukleáris jelenlétének fokozódásából erednek;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c>
          <w:tcPr>
            <w:tcW w:w="4876" w:type="dxa"/>
            <w:tcBorders>
              <w:top w:val="nil"/>
              <w:left w:val="nil"/>
              <w:bottom w:val="nil"/>
              <w:right w:val="nil"/>
            </w:tcBorders>
          </w:tcPr>
          <w:p>
            <w:pPr>
              <w:pStyle w:val="Normal6a"/>
            </w:pPr>
            <w:r>
              <w:rPr>
                <w:b/>
                <w:i/>
              </w:rPr>
              <w:t>m)</w:t>
            </w:r>
            <w:r>
              <w:tab/>
            </w:r>
            <w:r>
              <w:t>ismerjék el az új fegyverkezési versenyből és a globális leszerelési erőfeszítések gyengüléséből eredő súlyos kockázatokat, amelyek nagyrészt Oroszország, Kína és Észak-Korea nukleáris jelenlétének fokozódásából erednek</w:t>
            </w:r>
            <w:r>
              <w:rPr>
                <w:b/>
                <w:i/>
              </w:rPr>
              <w:t>;</w:t>
            </w:r>
            <w:r>
              <w:t xml:space="preserve"> </w:t>
            </w:r>
            <w:r>
              <w:rPr>
                <w:b/>
                <w:i/>
              </w:rPr>
              <w:t>szólítsák fel a nukleáris fegyverrel rendelkező összes államot, hogy állítsák le nukleáris arzenáljuk mennyiségi és minőségi bővítését, és vegyenek részt a kockázatcsökkentési, átláthatósági és fegyverzet-ellenőrzési folyamatokban</w:t>
            </w:r>
            <w:r>
              <w:t>;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t xml:space="preserve">ismerjék el az új fegyverkezési versenyből és a globális leszerelési erőfeszítések gyengüléséből eredő súlyos kockázatokat, amelyek nagyrészt Oroszország, Kína és Észak-Korea nukleáris jelenlétének fokozódásából erednek; továbbra is védjék és erősítsék meg a nonproliferációt és a fegyverzet-ellenőrzést szabályozó multilaterális kereteket, valamint a fegyverek és a kettős felhasználású termékek és technológiák kivitelét szabályozó kereteket; </w:t>
            </w:r>
            <w:r>
              <w:rPr>
                <w:b/>
                <w:i/>
              </w:rPr>
              <w:t>támogassák</w:t>
            </w:r>
            <w:r>
              <w:t xml:space="preserve"> és erősítsék meg a vegyi és biológiai fegyverek gyártása, felhalmozása és </w:t>
            </w:r>
            <w:r>
              <w:rPr>
                <w:b/>
                <w:i/>
              </w:rPr>
              <w:t>felhasználása</w:t>
            </w:r>
            <w:r>
              <w:t xml:space="preserve"> elleni többoldalú eszközöket;</w:t>
            </w:r>
          </w:p>
        </w:tc>
        <w:tc>
          <w:tcPr>
            <w:tcW w:w="4876" w:type="dxa"/>
            <w:tcBorders>
              <w:top w:val="nil"/>
              <w:left w:val="nil"/>
              <w:bottom w:val="nil"/>
              <w:right w:val="nil"/>
            </w:tcBorders>
          </w:tcPr>
          <w:p>
            <w:pPr>
              <w:pStyle w:val="Normal6a"/>
            </w:pPr>
            <w:r>
              <w:rPr>
                <w:b/>
                <w:i/>
              </w:rPr>
              <w:t>m)</w:t>
            </w:r>
            <w:r>
              <w:tab/>
            </w:r>
            <w:r>
              <w:t xml:space="preserve">ismerjék el az új fegyverkezési versenyből és a globális leszerelési erőfeszítések gyengüléséből eredő súlyos kockázatokat, amelyek nagyrészt Oroszország, Kína és Észak-Korea nukleáris jelenlétének fokozódásából erednek; továbbra is védjék és erősítsék meg a nonproliferációt és a fegyverzet-ellenőrzést szabályozó multilaterális kereteket, valamint a fegyverek és a kettős felhasználású termékek és technológiák kivitelét szabályozó kereteket; </w:t>
            </w:r>
            <w:r>
              <w:rPr>
                <w:b/>
                <w:i/>
              </w:rPr>
              <w:t>mozdítsák elő</w:t>
            </w:r>
            <w:r>
              <w:t xml:space="preserve"> és erősítsék meg a vegyi és biológiai fegyverek gyártása, felhalmozása és </w:t>
            </w:r>
            <w:r>
              <w:rPr>
                <w:b/>
                <w:i/>
              </w:rPr>
              <w:t>használata</w:t>
            </w:r>
            <w:r>
              <w:t xml:space="preserve"> elleni többoldalú eszközöket</w:t>
            </w:r>
            <w:r>
              <w:rPr>
                <w:b/>
                <w:i/>
              </w:rPr>
              <w:t>, figyelembe véve ugyanakkor a leromlott biztonsági környezetet és azt, hogy az európai államoknak meg kell erősíteniük hagyományos védelmi képességeiket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t>ismerjék el az új fegyverkezési versenyből és a globális leszerelési erőfeszítések gyengüléséből eredő súlyos kockázatokat, amelyek nagyrészt Oroszország, Kína és Észak-Korea nukleáris jelenlétének fokozódásából erednek;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c>
          <w:tcPr>
            <w:tcW w:w="4876" w:type="dxa"/>
            <w:tcBorders>
              <w:top w:val="nil"/>
              <w:left w:val="nil"/>
              <w:bottom w:val="nil"/>
              <w:right w:val="nil"/>
            </w:tcBorders>
          </w:tcPr>
          <w:p>
            <w:pPr>
              <w:pStyle w:val="Normal6a"/>
            </w:pPr>
            <w:r>
              <w:rPr>
                <w:b/>
                <w:i/>
              </w:rPr>
              <w:t>m)</w:t>
            </w:r>
            <w:r>
              <w:tab/>
            </w:r>
            <w:r>
              <w:t>ismerjék el az új fegyverkezési versenyből és a globális leszerelési erőfeszítések gyengüléséből eredő súlyos kockázatokat, amelyek nagyrészt Oroszország, Kína és Észak-Korea nukleáris jelenlétének fokozódásából erednek</w:t>
            </w:r>
            <w:r>
              <w:rPr>
                <w:b/>
                <w:i/>
              </w:rPr>
              <w:t>;</w:t>
            </w:r>
            <w:r>
              <w:t xml:space="preserve"> </w:t>
            </w:r>
            <w:r>
              <w:rPr>
                <w:b/>
                <w:i/>
              </w:rPr>
              <w:t>vegyék figyelembe, hogy Oroszország már 2023-ban egyoldalúan bejelentette, hogy felfüggeszti a nukleáris arzenálokat korlátozó új START-szerződésnek való megfelelését</w:t>
            </w:r>
            <w:r>
              <w:t>;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felhívja az EU-t, hogy fokozza a büntetlenség megszüntetésére és a nemzetközi jog megsértésével kapcsolatos elszámoltathatóság biztosítására irányuló erőfeszítéseit, többek között az emberiesség elleni bűncselekmények megelőzéséről és büntetéséről szóló egyezmény gyors elfogadásának támogatása, a nemzetközi bűncselekmények független kivizsgálásának megerősítése, valamint a Nemzetközi Büntetőbíróság és a Nemzetközi Bíróság teljes körű támogatása révén, többek között a Római Statútum fenntartásával és a Nemzetközi Bíróság végzései és ítéletei kötelező jellegének elismerésével;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fejezzék ki támogatásukat az Irán nukleáris létesítményei elleni, 2025. júniusi amerikai katonai művelet iránt;</w:t>
            </w:r>
            <w:r>
              <w:t xml:space="preserve"> </w:t>
            </w:r>
            <w:r>
              <w:rPr>
                <w:b/>
                <w:i/>
              </w:rPr>
              <w:t>nyugtázzák, hogy a tétlenség rövid távon Irán nukleáris fegyver kifejlesztésének sikeréhez vezethetett volna, ami katasztrofális következményekkel járt volna a globális biztonságra nézve;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m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utasítsák el az újrafegyverkezési igényeket, például a NATO-tagállamok által aláírt azon kötelezettségvállalást, hogy a katonai kiadásokat a bruttó hazai termék (GDP) 5 %-ára növelik;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4 a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sürgessék egy olyan politikai folyamat újraindítását, amelynek célja egy olyan igazságos és tartós politikai megoldás elérése, amely az Egyesült Nemzetek Alapokmányával, valamint a Közgyűlés és a Biztonsági Tanács vonatkozó határozataival összhangban biztosítja a nyugat-szaharai nép önrendelkezési jogát;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4 b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ítéljék el a Kubai Köztársasággal szembeni egyoldalú kényszerítő intézkedéseket, beleértve a gazdasági, kereskedelmi és pénzügyi embargót is;</w:t>
            </w:r>
            <w:r>
              <w:t xml:space="preserve"> </w:t>
            </w:r>
            <w:r>
              <w:rPr>
                <w:b/>
                <w:i/>
              </w:rPr>
              <w:t>ismételten hangsúlyozzák, hogy ezek az intézkedések ellentétesek az államok szuverén egyenlőségének és a be nem avatkozásnak az ENSZ Alapokmányában rögzített elvével;</w:t>
            </w:r>
            <w:r>
              <w:t xml:space="preserve"> </w:t>
            </w:r>
            <w:r>
              <w:rPr>
                <w:b/>
                <w:i/>
              </w:rPr>
              <w:t>szólítsanak fel azonnali és feltétel nélküli feloldásukra, valamint a gazdasági és diplomáciai kapcsolatok teljes körű normalizálására, összhangban az ENSZ Közgyűlésének ismételt határozataival;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4 d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ítéljék el a külső beavatkozás minden olyan formáját, amely sérti a Venezuelai Bolivári Köztársaság szuverenitását és politikai függetlenségét, különösen az Egyesült Nemzetek Biztonsági Tanácsa által nem engedélyezett egyoldalú kényszerítő intézkedések bevezetését;</w:t>
            </w:r>
            <w:r>
              <w:t xml:space="preserve"> </w:t>
            </w:r>
            <w:r>
              <w:rPr>
                <w:b/>
                <w:i/>
              </w:rPr>
              <w:t>sürgessék az államokat, hogy tartózkodjanak a nemzetközi joggal és az ENSZ Alapokmányával ellentétes egyoldalú szankciók elfogadásától vagy fenntartásától;</w:t>
            </w:r>
            <w:r>
              <w:t xml:space="preserve"> </w:t>
            </w:r>
            <w:r>
              <w:rPr>
                <w:b/>
                <w:i/>
              </w:rPr>
              <w:t>támogassák a venezuelaiak által vezetett és pártatlan többoldalú mechanizmusok által elősegített inkluzív politikai párbeszédet, teljes mértékben tiszteletben tartva a be nem avatkozás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4 e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ítéljenek el az ENSZ személyzete, a békefenntartók és az ENSZ létesítményei elleni minden támadást, fenyegetést és erőszakos cselekményt, és szólítsák fel a konfliktusban érintett valamennyi felet, hogy a nemzetközi joggal, többek között az Egyesült Nemzetek saját és kisegítő személyzetének biztonságáról szóló egyezménnyel teljes összhangban tartsák tiszteletben az ENSZ személyzetének és infrastruktúrájának biztonságát, védelmét és semlegességét;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4 f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mozdítsák elő az ENSZ keretében azokat a legalizálási politikákat, amelyek lehetővé teszik a rendezetlen jogállású migránsok számára a munkaügyi, szociális és polgári jogokhoz való hozzáférést, ami hatékony eszköz a kizsákmányolás elleni küzdelemben, a társadalmi kohézió megerősítésében és a befogadás biztosításában, az ilyen helyzetben lévő migránsok spanyolországi legalizálásának példáját követve, amint azt az ENSZ Emberi Jogi Főbiztosának Hivatala is üdvözölte;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a  The Left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4 g alfejezet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folytassák és erősítsék meg a nemek közötti egyenlőség, valamint a nőkkel, a békével és a biztonsággal kapcsolatos menetrend előmozdítására irányuló erőfeszítéseiket, többek között az 1325. sz. ENSZ BT-határozat teljes körű végrehajtása révén, és támogassák a tagállamokat abban, hogy a feminista elveket beépítsék a békeépítésbe, a konfliktusmegelőzésbe és a konfliktus utáni újjáépítési kezdeményezésekbe;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w:t>
            </w:r>
            <w:r>
              <w:tab/>
            </w:r>
            <w:r>
              <w:rPr>
                <w:b/>
                <w:i/>
              </w:rPr>
              <w:t>folytassák az emberi jogokon alapuló megközelítés beépítését a fenntartható fejlődés koncepciójába;</w:t>
            </w:r>
            <w:r>
              <w:t xml:space="preserve"> </w:t>
            </w:r>
            <w:r>
              <w:rPr>
                <w:b/>
                <w:i/>
              </w:rPr>
              <w:t>hangsúlyozzák, hogy az EU vezető szerepet tölt be a tekintetben, hogy a világon a legtöbb hivatalos fejlesztési támogatást nyújtja;</w:t>
            </w:r>
            <w:r>
              <w:t xml:space="preserve"> </w:t>
            </w:r>
            <w:r>
              <w:rPr>
                <w:b/>
                <w:i/>
              </w:rPr>
              <w:t>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folytassák az emberi jogokon alapuló megközelítés beépítését a fenntartható fejlődés koncepciójába;</w:t>
            </w:r>
            <w:r>
              <w:t xml:space="preserve"> </w:t>
            </w:r>
            <w:r>
              <w:rPr>
                <w:b/>
                <w:i/>
              </w:rPr>
              <w:t>hangsúlyozzák, hogy az EU vezető szerepet tölt be a tekintetben, hogy a világon a legtöbb hivatalos fejlesztési támogatást nyújtja;</w:t>
            </w:r>
            <w:r>
              <w:t xml:space="preserve"> </w:t>
            </w:r>
            <w:r>
              <w:rPr>
                <w:b/>
                <w:i/>
              </w:rPr>
              <w:t>továbbra is használják ki a Global Gateway stratégiát mint a versengő infrastrukturális kezdeményezések fenntartható, átlátható, demokratikus és értékalapú alternatíváját, amely hozzájárul</w:t>
            </w:r>
            <w:r>
              <w:t xml:space="preserve"> a fenntartható fejlődési </w:t>
            </w:r>
            <w:r>
              <w:rPr>
                <w:b/>
                <w:i/>
              </w:rPr>
              <w:t>célok eléréséhez azáltal, hogy előmozdítja a kölcsönös növekedést, a gazdasági tevékenységet és a munkahelyteremtést a partnerországokban, miközben megerősíti az EU stratégiai autonómiáját, geopolitikai pozícióját és globális hitelességét</w:t>
            </w:r>
            <w:r>
              <w:t>;</w:t>
            </w:r>
          </w:p>
        </w:tc>
        <w:tc>
          <w:tcPr>
            <w:tcW w:w="4876" w:type="dxa"/>
            <w:tcBorders>
              <w:top w:val="nil"/>
              <w:left w:val="nil"/>
              <w:bottom w:val="nil"/>
              <w:right w:val="nil"/>
            </w:tcBorders>
          </w:tcPr>
          <w:p>
            <w:pPr>
              <w:pStyle w:val="Normal6a"/>
            </w:pPr>
            <w:r>
              <w:t>(n)</w:t>
            </w:r>
            <w:r>
              <w:tab/>
            </w:r>
            <w:r>
              <w:rPr>
                <w:b/>
                <w:i/>
              </w:rPr>
              <w:t>elutasítja</w:t>
            </w:r>
            <w:r>
              <w:t xml:space="preserve"> a fenntartható fejlődési </w:t>
            </w:r>
            <w:r>
              <w:rPr>
                <w:b/>
                <w:i/>
              </w:rPr>
              <w:t>célokat mint nem kötelező erejű, túlságosan széles körű és ideológiailag vezérelt keretet, amely nélkülözi a demokratikus legitimitást, a mérhető elszámoltathatóságot és a bizonyított hatékonyságot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a(z) ESN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folytassák az emberi jogokon alapuló megközelítés beépítését a fenntartható fejlődés koncepciójába;</w:t>
            </w:r>
            <w:r>
              <w:t xml:space="preserve"> </w:t>
            </w:r>
            <w:r>
              <w:rPr>
                <w:b/>
                <w:i/>
              </w:rPr>
              <w:t>hangsúlyozzák, hogy az EU vezető szerepet tölt be a tekintetben, hogy a világon a legtöbb hivatalos fejlesztési támogatást nyújtja;</w:t>
            </w:r>
            <w:r>
              <w:t xml:space="preserve">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w:t>
            </w:r>
            <w:r>
              <w:rPr>
                <w:b/>
                <w:i/>
              </w:rPr>
              <w:t>a gazdasági tevékenységet és a munkahelyteremtést a partnerországokban,</w:t>
            </w:r>
            <w:r>
              <w:t xml:space="preserve"> miközben megerősíti az EU stratégiai autonómiáját, geopolitikai pozícióját és globális hitelességét;</w:t>
            </w:r>
          </w:p>
        </w:tc>
        <w:tc>
          <w:tcPr>
            <w:tcW w:w="4876" w:type="dxa"/>
            <w:tcBorders>
              <w:top w:val="nil"/>
              <w:left w:val="nil"/>
              <w:bottom w:val="nil"/>
              <w:right w:val="nil"/>
            </w:tcBorders>
          </w:tcPr>
          <w:p>
            <w:pPr>
              <w:pStyle w:val="Normal6a"/>
            </w:pPr>
            <w:r>
              <w:t>(n)</w:t>
            </w:r>
            <w:r>
              <w:tab/>
            </w:r>
            <w:r>
              <w:t>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miközben megerősíti az EU stratégiai autonómiáját, geopolitikai pozícióját és globális hitelességét;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folytassák az emberi jogokon alapuló megközelítés beépítését a fenntartható fejlődés koncepciójába; hangsúlyozzák, hogy az EU </w:t>
            </w:r>
            <w:r>
              <w:rPr>
                <w:b/>
                <w:i/>
              </w:rPr>
              <w:t>vezető szerepet tölt be a tekintetben, hogy</w:t>
            </w:r>
            <w:r>
              <w:t xml:space="preserve"> a világon a legtöbb hivatalos fejlesztési támogatást nyújtja; továbbra is használják ki a Global Gateway stratégiát mint a versengő infrastrukturális kezdeményezések fenntartható, átlátható, demokratikus és értékalapú alternatíváját, amely </w:t>
            </w:r>
            <w:r>
              <w:rPr>
                <w:b/>
                <w:i/>
              </w:rPr>
              <w:t>hozzájárul a fenntartható fejlődési célok eléréséhez azáltal, hogy</w:t>
            </w:r>
            <w:r>
              <w:t xml:space="preserve"> előmozdítja a kölcsönös növekedést, a gazdasági tevékenységet és a munkahelyteremtést a partnerországokban, </w:t>
            </w:r>
            <w:r>
              <w:rPr>
                <w:b/>
                <w:i/>
              </w:rPr>
              <w:t>miközben</w:t>
            </w:r>
            <w:r>
              <w:t xml:space="preserve"> megerősíti az EU stratégiai autonómiáját, geopolitikai pozícióját és globális hitelességét;</w:t>
            </w:r>
          </w:p>
        </w:tc>
        <w:tc>
          <w:tcPr>
            <w:tcW w:w="4876" w:type="dxa"/>
            <w:tcBorders>
              <w:top w:val="nil"/>
              <w:left w:val="nil"/>
              <w:bottom w:val="nil"/>
              <w:right w:val="nil"/>
            </w:tcBorders>
          </w:tcPr>
          <w:p>
            <w:pPr>
              <w:pStyle w:val="Normal6a"/>
            </w:pPr>
            <w:r>
              <w:t>(n)</w:t>
            </w:r>
            <w:r>
              <w:tab/>
            </w:r>
            <w:r>
              <w:t xml:space="preserve">folytassák az emberi jogokon alapuló megközelítés beépítését a fenntartható fejlődés koncepciójába; hangsúlyozzák, hogy </w:t>
            </w:r>
            <w:r>
              <w:rPr>
                <w:b/>
                <w:i/>
              </w:rPr>
              <w:t>bár</w:t>
            </w:r>
            <w:r>
              <w:t xml:space="preserve"> az EU a világon a legtöbb hivatalos fejlesztési támogatást nyújtja</w:t>
            </w:r>
            <w:r>
              <w:rPr>
                <w:b/>
                <w:i/>
              </w:rPr>
              <w:t>, ez nem jelzi a nyújtott támogatás hatékonyságát</w:t>
            </w:r>
            <w:r>
              <w:t xml:space="preserve">; továbbra is használják ki a Global Gateway stratégiát mint a versengő </w:t>
            </w:r>
            <w:r>
              <w:rPr>
                <w:b/>
                <w:i/>
              </w:rPr>
              <w:t>- különösen az orosz és a kínai -</w:t>
            </w:r>
            <w:r>
              <w:t xml:space="preserve"> infrastrukturális kezdeményezések fenntartható, átlátható, demokratikus és értékalapú alternatíváját, amely </w:t>
            </w:r>
            <w:r>
              <w:rPr>
                <w:b/>
                <w:i/>
              </w:rPr>
              <w:t>ezzel egyidejűleg</w:t>
            </w:r>
            <w:r>
              <w:t xml:space="preserve"> előmozdítja a kölcsönös növekedést, a gazdasági tevékenységet és a munkahelyteremtést a partnerországokban, </w:t>
            </w:r>
            <w:r>
              <w:rPr>
                <w:b/>
                <w:i/>
              </w:rPr>
              <w:t>és</w:t>
            </w:r>
            <w:r>
              <w:t xml:space="preserve"> megerősíti az EU stratégiai autonómiáját, geopolitikai pozícióját és globális hitelességét; </w:t>
            </w:r>
            <w:r>
              <w:rPr>
                <w:b/>
                <w:i/>
              </w:rPr>
              <w:t>hangsúlyozzák azonban, hogy javítani kell a Global Gateway stratégia keretében finanszírozott projektek megfelelésének nyomon követését és teljesítményértékelését a visszaélések megelőzése és az adóbevételek felelősségteljes felhasználásának biztosítása érdekében;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folytassák az emberi jogokon alapuló megközelítés beépítését a fenntartható fejlődés koncepciójába; hangsúlyozzák, hogy az EU vezető szerepet tölt be a tekintetben, hogy a világon a legtöbb hivatalos fejlesztési támogatást nyújtja;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c>
          <w:tcPr>
            <w:tcW w:w="4876" w:type="dxa"/>
            <w:tcBorders>
              <w:top w:val="nil"/>
              <w:left w:val="nil"/>
              <w:bottom w:val="nil"/>
              <w:right w:val="nil"/>
            </w:tcBorders>
          </w:tcPr>
          <w:p>
            <w:pPr>
              <w:pStyle w:val="Normal6a"/>
            </w:pPr>
            <w:r>
              <w:t>(n)</w:t>
            </w:r>
            <w:r>
              <w:tab/>
            </w:r>
            <w:r>
              <w:t>folytassák az emberi jogokon alapuló megközelítés beépítését a fenntartható fejlődés koncepciójába</w:t>
            </w:r>
            <w:r>
              <w:rPr>
                <w:b/>
                <w:i/>
              </w:rPr>
              <w:t>, elismerve, hogy az emberi jogok teljes körű érvényesítése a 2030-ig tartó időszakra szóló menetrend egyik sarokköve</w:t>
            </w:r>
            <w:r>
              <w:t>; hangsúlyozzák, hogy az EU vezető szerepet tölt be a tekintetben, hogy a világon a legtöbb hivatalos fejlesztési támogatást nyújtja</w:t>
            </w:r>
            <w:r>
              <w:rPr>
                <w:b/>
                <w:i/>
              </w:rPr>
              <w:t>;</w:t>
            </w:r>
            <w:r>
              <w:t xml:space="preserve"> </w:t>
            </w:r>
            <w:r>
              <w:rPr>
                <w:b/>
                <w:i/>
              </w:rPr>
              <w:t>mélyítsék el a többoldalú együttműködést a fenntartható fejlődési célok terén elért eredményeket veszélyeztető válságokra és kihívásokra való felkészültség megerősítése és az azokkal szembeni reziliencia kiépítése érdekében</w:t>
            </w:r>
            <w:r>
              <w:t>;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folytassák az emberi jogokon alapuló megközelítés beépítését a fenntartható fejlődés koncepciójába; hangsúlyozzák, hogy az EU vezető szerepet tölt be a tekintetben, hogy a világon a legtöbb hivatalos fejlesztési támogatást nyújtja;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c>
          <w:tcPr>
            <w:tcW w:w="4876" w:type="dxa"/>
            <w:tcBorders>
              <w:top w:val="nil"/>
              <w:left w:val="nil"/>
              <w:bottom w:val="nil"/>
              <w:right w:val="nil"/>
            </w:tcBorders>
          </w:tcPr>
          <w:p>
            <w:pPr>
              <w:pStyle w:val="Normal6a"/>
            </w:pPr>
            <w:r>
              <w:t>(n)</w:t>
            </w:r>
            <w:r>
              <w:tab/>
            </w:r>
            <w:r>
              <w:t>folytassák az emberi jogokon alapuló megközelítés beépítését a fenntartható fejlődés koncepciójába; hangsúlyozzák, hogy az EU vezető szerepet tölt be a tekintetben, hogy a világon a legtöbb hivatalos fejlesztési támogatást nyújtja</w:t>
            </w:r>
            <w:r>
              <w:rPr>
                <w:b/>
                <w:i/>
              </w:rPr>
              <w:t>;</w:t>
            </w:r>
            <w:r>
              <w:t xml:space="preserve"> </w:t>
            </w:r>
            <w:r>
              <w:rPr>
                <w:b/>
                <w:i/>
              </w:rPr>
              <w:t>hangsúlyozzák, hogy az uniós fejlesztési együttműködést és kétoldalú segítségnyújtást az alapvető emberi jogok, a demokratikus elvek és az uniós szerződésekben rögzített értékek tiszteletben tartásától kell függővé tenni</w:t>
            </w:r>
            <w:r>
              <w:t>;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folytassák az emberi jogokon alapuló megközelítés beépítését a fenntartható fejlődés koncepciójába; hangsúlyozzák, hogy az EU vezető szerepet tölt be a tekintetben, hogy a világon a legtöbb hivatalos fejlesztési támogatást nyújtja;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c>
          <w:tcPr>
            <w:tcW w:w="4876" w:type="dxa"/>
            <w:tcBorders>
              <w:top w:val="nil"/>
              <w:left w:val="nil"/>
              <w:bottom w:val="nil"/>
              <w:right w:val="nil"/>
            </w:tcBorders>
          </w:tcPr>
          <w:p>
            <w:pPr>
              <w:pStyle w:val="Normal6a"/>
            </w:pPr>
            <w:r>
              <w:t>(n)</w:t>
            </w:r>
            <w:r>
              <w:tab/>
            </w:r>
            <w:r>
              <w:t xml:space="preserve">folytassák az emberi jogokon alapuló megközelítés beépítését a fenntartható fejlődés koncepciójába; hangsúlyozzák, hogy az EU vezető szerepet tölt be a tekintetben, hogy a világon a legtöbb hivatalos fejlesztési támogatást nyújtja; továbbra is használják ki a Global Gateway stratégiát mint a versengő infrastrukturális kezdeményezések fenntartható, átlátható, demokratikus és értékalapú alternatíváját </w:t>
            </w:r>
            <w:r>
              <w:rPr>
                <w:b/>
                <w:i/>
              </w:rPr>
              <w:t>az Unió geopolitikai jelenlétének, láthatóságának és rezilienciájának világszerte történő megerősítését célzó stratégiai eszközként</w:t>
            </w:r>
            <w:r>
              <w: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folytassák az emberi jogokon alapuló megközelítés beépítését a fenntartható fejlődés koncepciójába; hangsúlyozzák, hogy az EU vezető szerepet tölt be a tekintetben, hogy a világon a legtöbb hivatalos fejlesztési támogatást nyújtja;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c>
          <w:tcPr>
            <w:tcW w:w="4876" w:type="dxa"/>
            <w:tcBorders>
              <w:top w:val="nil"/>
              <w:left w:val="nil"/>
              <w:bottom w:val="nil"/>
              <w:right w:val="nil"/>
            </w:tcBorders>
          </w:tcPr>
          <w:p>
            <w:pPr>
              <w:pStyle w:val="Normal6a"/>
            </w:pPr>
            <w:r>
              <w:t>(n)</w:t>
            </w:r>
            <w:r>
              <w:tab/>
            </w:r>
            <w:r>
              <w:t>folytassák az emberi jogokon alapuló megközelítés beépítését a fenntartható fejlődés koncepciójába; hangsúlyozzák, hogy az EU vezető szerepet tölt be a tekintetben, hogy a világon a legtöbb hivatalos fejlesztési támogatást nyújtja</w:t>
            </w:r>
            <w:r>
              <w:rPr>
                <w:b/>
                <w:i/>
              </w:rPr>
              <w:t>, az európai érdekek javát szolgáló cél érdekében</w:t>
            </w:r>
            <w:r>
              <w:t>; továbbra is használják ki a Global Gateway stratégiát mint a versengő infrastrukturális kezdeményezések fenntartható, átlátható, demokratikus és értékalapú alternatíváját, amely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hangsúlyozzák a többoldalú fellépés fontosságát a migráció területén, az ENSZ égisze alatt, egy olyan átfogó és kiegyensúlyozott megközelítés alapján, amely többek között a következőket foglalja magában: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származási országgal szomszédos országokba irányuló legális és szabályozott migrációs útvonalak előmozdítása a migránsok gyorsabb és hatékonyabb társadalmi és gazdasági integrációjának elősegítése céljából, figyelembe véve a kulturális és társadalmi közelséget;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többszintű kezdeményezések kidolgozása az Unióba irányuló állandó migrációs áramlások kezelése és a megfelelő szintű gazdasági fejlettséggel és befogadási kapacitással rendelkező nem uniós országok alternatív célállomásainak ösztönzése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pénzügyi források átirányítása a befogadási és integrációs politikáktól a célzott fejlesztési támogatás és beruházások felé azzal a céllal, hogy a munkahelyteremtés és a helyi fejlődés, valamint a migráció mélyebb okainak kezelése érdekében különleges, európai vezetésű gazdasági térségek jöjjenek létre a nem uniós országokban;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a(z) ESN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jegyezzék meg, hogy annak ellenére, hogy az EU a harmadik legnagyobb gazdaság, továbbra is a világ legnagyobb hivatalos fejlesztési támogatója;</w:t>
            </w:r>
            <w:r>
              <w:t xml:space="preserve"> </w:t>
            </w:r>
            <w:r>
              <w:rPr>
                <w:b/>
                <w:i/>
              </w:rPr>
              <w:t>hangsúlyozzák, hogy a fenntartható fejlődési célok hatékony megvalósítása érdekében az EU-nak elő kell mozdítania tagállamainak növekedését.</w:t>
            </w:r>
            <w:r>
              <w:t xml:space="preserve"> </w:t>
            </w:r>
            <w:r>
              <w:rPr>
                <w:b/>
                <w:i/>
              </w:rPr>
              <w:t>A fenntartható fejlődésre vonatkozó globális menetrendnek gazdasági ösztönzőket kell kínálnia az európai vállalatok számára, hogy olyan módon fektessenek be a fejlődő országokban, amely jólétet és munkahelyeket teremt az uniós tagállamokban;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üdvözöljék a közelmúltbeli ENSZ-csúcstalálkozók eredményeit, amelyek a nemzetközi pénzügyi intézmények, köztük az IMF és a Világbank reformjára szólítottak fel;</w:t>
            </w:r>
            <w:r>
              <w:t xml:space="preserve"> </w:t>
            </w:r>
            <w:r>
              <w:rPr>
                <w:b/>
                <w:i/>
              </w:rPr>
              <w:t>szólítsanak fel a szavazati jogok egyensúlyának helyreállítására, a kedvezményes finanszírozás kiterjesztésére, a fenntarthatatlan adósság kezelésére, valamint a pénzmozgásoknak a fenntartható fejlődési célokkal és az éghajlat-politikai kötelezettségvállalásokkal való összehangolására;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szólítsák fel az ENSZ Közgyűlését, hogy fogadjon el erősebb kereteket a hibrid fenyegetések kezelésére, beleértve a dezinformációs kampányokat és más, a demokratikus folyamatokat és a társadalmi kohéziót világszerte aláásó, nem kinetikus befolyásoló műveleteket;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folytassák és erősítsék meg a béranyaság emberi jogi következményeinek vizsgálata érdekében végzett jelentős munkát, különösen a nők és lányok elleni erőszakkal, annak okaival és következményeivel foglalkozó különleges előadó 2025. évi jelentésére építve</w:t>
            </w:r>
            <w:r>
              <w:rPr>
                <w:b/>
                <w:i/>
                <w:vertAlign w:val="superscript"/>
              </w:rPr>
              <w:t>5a</w:t>
            </w:r>
            <w:r>
              <w:rPr>
                <w:b/>
                <w:i/>
              </w:rPr>
              <w:t>, amely kritikusan értékeli az erőszak, a kizsákmányolás és az áruba bocsátás megnyilvánulásait a béranyasági megállapodásokban, és kiemeli azok káros hatásait a nők és gyermekek méltóságára, testi autonómiájára és emberi jogaira;</w:t>
            </w:r>
            <w:r>
              <w:t xml:space="preserve"> </w:t>
            </w:r>
            <w:r>
              <w:rPr>
                <w:b/>
                <w:i/>
              </w:rPr>
              <w:t>mozdítsák elő e jelentés megállapításait, amelyek megállapítják, hogy a béranyaság – akár kereskedelmi, akár önzetlen – olyan kizsákmányoló feltételeket teremthet, amelyek aláássák a béranyák és a gyermekek jogait is, és szólítsák fel a tagállamokat, hogy törekedjenek a béranyaság valamennyi formájának felszámolására, többek között a béranyaságot világszerte tiltó, jogilag kötelező erejű nemzetközi eszköz kidolgozása és elfogadása révén;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https://docs.un.org/en/A/80/158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n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intsenek óva a pénzügyi befolyás, a területen kívüli intézkedések és a gazdasági kényszerítés külpolitikai eszközként való alkalmazásától, amelyek aláássák a nemzetközi pénzügyi rendszerbe vetett bizalmat, és hozzájárulnak a globális instabilitáshoz és egyenlőtlenséghez;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egyértelműen újfent erősítsék meg, hogy az ENSZ-egyezményekben rögzített valamennyi emberi jogot teljes mértékben tiszteletben kell tartani; szólítsák fel az ENSZ-t, hogy ítélje el az e jogokat aláásó globális tendenciákat</w:t>
            </w:r>
            <w:r>
              <w:rPr>
                <w:b/>
                <w:i/>
              </w:rPr>
              <w:t>, beleértve az emberi jogok növekvő marginalizálódását és a civil társadalom mozgásterének szűkülését</w:t>
            </w:r>
            <w:r>
              <w:t>;</w:t>
            </w:r>
          </w:p>
        </w:tc>
        <w:tc>
          <w:tcPr>
            <w:tcW w:w="4876" w:type="dxa"/>
            <w:tcBorders>
              <w:top w:val="nil"/>
              <w:left w:val="nil"/>
              <w:bottom w:val="nil"/>
              <w:right w:val="nil"/>
            </w:tcBorders>
          </w:tcPr>
          <w:p>
            <w:pPr>
              <w:pStyle w:val="Normal6a"/>
            </w:pPr>
            <w:r>
              <w:t>(o)</w:t>
            </w:r>
            <w:r>
              <w:tab/>
            </w:r>
            <w:r>
              <w:t>egyértelműen újfent erősítsék meg, hogy az ENSZ-egyezményekben rögzített valamennyi emberi jogot teljes mértékben tiszteletben kell tartani; szólítsák fel az ENSZ-t, hogy ítélje el az e jogokat aláásó globális tendenciákat;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egyértelműen újfent erősítsék meg, hogy az ENSZ-egyezményekben rögzített valamennyi emberi jogot teljes mértékben tiszteletben kell tartani; szólítsák fel az ENSZ-t, hogy ítélje el az e jogokat aláásó globális tendenciákat, beleértve az emberi jogok növekvő marginalizálódását és a civil társadalom mozgásterének szűkülését;</w:t>
            </w:r>
          </w:p>
        </w:tc>
        <w:tc>
          <w:tcPr>
            <w:tcW w:w="4876" w:type="dxa"/>
            <w:tcBorders>
              <w:top w:val="nil"/>
              <w:left w:val="nil"/>
              <w:bottom w:val="nil"/>
              <w:right w:val="nil"/>
            </w:tcBorders>
          </w:tcPr>
          <w:p>
            <w:pPr>
              <w:pStyle w:val="Normal6a"/>
            </w:pPr>
            <w:r>
              <w:t>(o)</w:t>
            </w:r>
            <w:r>
              <w:tab/>
            </w:r>
            <w:r>
              <w:t>egyértelműen újfent erősítsék meg, hogy az ENSZ-egyezményekben rögzített valamennyi emberi jogot teljes mértékben tiszteletben kell tartani; szólítsák fel az ENSZ-t, hogy ítélje el az e jogokat aláásó globális tendenciákat, beleértve az emberi jogok növekvő marginalizálódását és a civil társadalom mozgásterének szűkülését</w:t>
            </w:r>
            <w:r>
              <w:rPr>
                <w:b/>
                <w:i/>
              </w:rPr>
              <w:t>, nemcsak az önkényuralmi rendszerek, hanem a régóta fennálló demokráciák részéről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egyértelműen újfent erősítsék meg, hogy az ENSZ-egyezményekben rögzített valamennyi emberi jogot teljes mértékben tiszteletben kell tartani; szólítsák fel az ENSZ-t, hogy ítélje el az e jogokat aláásó globális tendenciákat, beleértve az emberi jogok növekvő marginalizálódását és a civil társadalom mozgásterének szűkülését;</w:t>
            </w:r>
          </w:p>
        </w:tc>
        <w:tc>
          <w:tcPr>
            <w:tcW w:w="4876" w:type="dxa"/>
            <w:tcBorders>
              <w:top w:val="nil"/>
              <w:left w:val="nil"/>
              <w:bottom w:val="nil"/>
              <w:right w:val="nil"/>
            </w:tcBorders>
          </w:tcPr>
          <w:p>
            <w:pPr>
              <w:pStyle w:val="Normal6a"/>
            </w:pPr>
            <w:r>
              <w:t>(o)</w:t>
            </w:r>
            <w:r>
              <w:tab/>
            </w:r>
            <w:r>
              <w:t>egyértelműen újfent erősítsék meg, hogy az ENSZ-egyezményekben rögzített valamennyi emberi jogot teljes mértékben tiszteletben kell tartani</w:t>
            </w:r>
            <w:r>
              <w:rPr>
                <w:b/>
                <w:i/>
              </w:rPr>
              <w:t>, beleértve a nemzeti, etnikai és nyelvi kisebbségek jogait is</w:t>
            </w:r>
            <w:r>
              <w:t>; szólítsák fel az ENSZ-t, hogy ítélje el az e jogokat aláásó globális tendenciákat, beleértve az emberi jogok növekvő marginalizálódását és a civil társadalom mozgásterének szűkülését;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egyértelműen újfent erősítsék meg, hogy az ENSZ-egyezményekben rögzített valamennyi emberi jogot teljes mértékben tiszteletben kell tartani; szólítsák fel az ENSZ-t, hogy ítélje el az e jogokat aláásó globális tendenciákat, beleértve az emberi jogok növekvő marginalizálódását és a civil társadalom mozgásterének szűkülését;</w:t>
            </w:r>
          </w:p>
        </w:tc>
        <w:tc>
          <w:tcPr>
            <w:tcW w:w="4876" w:type="dxa"/>
            <w:tcBorders>
              <w:top w:val="nil"/>
              <w:left w:val="nil"/>
              <w:bottom w:val="nil"/>
              <w:right w:val="nil"/>
            </w:tcBorders>
          </w:tcPr>
          <w:p>
            <w:pPr>
              <w:pStyle w:val="Normal6a"/>
            </w:pPr>
            <w:r>
              <w:t>(o)</w:t>
            </w:r>
            <w:r>
              <w:tab/>
            </w:r>
            <w:r>
              <w:t xml:space="preserve">egyértelműen újfent erősítsék meg, hogy az ENSZ-egyezményekben rögzített valamennyi emberi jogot teljes mértékben tiszteletben kell tartani; szólítsák fel az ENSZ-t, hogy ítélje el az e jogokat aláásó globális tendenciákat, beleértve </w:t>
            </w:r>
            <w:r>
              <w:rPr>
                <w:b/>
                <w:i/>
              </w:rPr>
              <w:t>a demokrácia elnyomását,</w:t>
            </w:r>
            <w:r>
              <w:t xml:space="preserve"> az emberi jogok növekvő marginalizálódását és a civil társadalom mozgásterének szűkülését;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egyértelműen újfent erősítsék meg, hogy az ENSZ-egyezményekben rögzített valamennyi emberi </w:t>
            </w:r>
            <w:r>
              <w:rPr>
                <w:b/>
                <w:i/>
              </w:rPr>
              <w:t>jogot</w:t>
            </w:r>
            <w:r>
              <w:t xml:space="preserve"> teljes mértékben tiszteletben kell tartani; szólítsák fel az ENSZ-t, hogy ítélje el az e jogokat aláásó globális tendenciákat, beleértve az emberi jogok növekvő marginalizálódását és a civil társadalom mozgásterének szűkülését;</w:t>
            </w:r>
          </w:p>
        </w:tc>
        <w:tc>
          <w:tcPr>
            <w:tcW w:w="4876" w:type="dxa"/>
            <w:tcBorders>
              <w:top w:val="nil"/>
              <w:left w:val="nil"/>
              <w:bottom w:val="nil"/>
              <w:right w:val="nil"/>
            </w:tcBorders>
          </w:tcPr>
          <w:p>
            <w:pPr>
              <w:pStyle w:val="Normal6a"/>
            </w:pPr>
            <w:r>
              <w:t>(o)</w:t>
            </w:r>
            <w:r>
              <w:tab/>
            </w:r>
            <w:r>
              <w:t xml:space="preserve">egyértelműen újfent erősítsék meg </w:t>
            </w:r>
            <w:r>
              <w:rPr>
                <w:b/>
                <w:i/>
              </w:rPr>
              <w:t>és álljanak ki amellett</w:t>
            </w:r>
            <w:r>
              <w:t xml:space="preserve">, hogy az ENSZ-egyezményekben rögzített valamennyi emberi </w:t>
            </w:r>
            <w:r>
              <w:rPr>
                <w:b/>
                <w:i/>
              </w:rPr>
              <w:t>jog egyetemes, és azokat</w:t>
            </w:r>
            <w:r>
              <w:t xml:space="preserve"> teljes mértékben tiszteletben kell tartani; szólítsák fel az ENSZ-t, hogy ítélje el az e jogokat aláásó globális tendenciákat, beleértve az emberi jogok növekvő marginalizálódását és a civil társadalom mozgásterének szűkülését;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egyértelműen újfent erősítsék meg, hogy az ENSZ-egyezményekben rögzített </w:t>
            </w:r>
            <w:r>
              <w:rPr>
                <w:b/>
                <w:i/>
              </w:rPr>
              <w:t>valamennyi</w:t>
            </w:r>
            <w:r>
              <w:t xml:space="preserve"> emberi </w:t>
            </w:r>
            <w:r>
              <w:rPr>
                <w:b/>
                <w:i/>
              </w:rPr>
              <w:t>jogot</w:t>
            </w:r>
            <w:r>
              <w:t xml:space="preserve"> teljes mértékben tiszteletben kell tartani; szólítsák fel az ENSZ-t, hogy ítélje el az e jogokat aláásó globális tendenciákat, beleértve az emberi jogok növekvő marginalizálódását és a civil társadalom mozgásterének szűkülését;</w:t>
            </w:r>
          </w:p>
        </w:tc>
        <w:tc>
          <w:tcPr>
            <w:tcW w:w="4876" w:type="dxa"/>
            <w:tcBorders>
              <w:top w:val="nil"/>
              <w:left w:val="nil"/>
              <w:bottom w:val="nil"/>
              <w:right w:val="nil"/>
            </w:tcBorders>
          </w:tcPr>
          <w:p>
            <w:pPr>
              <w:pStyle w:val="Normal6a"/>
            </w:pPr>
            <w:r>
              <w:t>(o)</w:t>
            </w:r>
            <w:r>
              <w:tab/>
            </w:r>
            <w:r>
              <w:t>egyértelműen újfent erősítsék meg, hogy </w:t>
            </w:r>
            <w:r>
              <w:rPr>
                <w:b/>
                <w:i/>
              </w:rPr>
              <w:t>valamennyi emberi jogot, és különösen</w:t>
            </w:r>
            <w:r>
              <w:t xml:space="preserve"> az ENSZ-egyezményekben rögzített emberi </w:t>
            </w:r>
            <w:r>
              <w:rPr>
                <w:b/>
                <w:i/>
              </w:rPr>
              <w:t>jogokat,</w:t>
            </w:r>
            <w:r>
              <w:t xml:space="preserve"> teljes mértékben tiszteletben kell tartani; szólítsák fel az ENSZ-t, hogy ítélje el az e jogokat aláásó globális tendenciákat, beleértve az emberi jogok növekvő marginalizálódását és a civil társadalom mozgásterének szűkülését;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folytassák a nők jogainak előmozdítását az ENSZ Pekingi Nyilatkozatában és Cselekvési Platformjában foglaltaknak megfelelően;</w:t>
            </w:r>
            <w:r>
              <w:t xml:space="preserve"> </w:t>
            </w:r>
            <w:r>
              <w:rPr>
                <w:b/>
                <w:i/>
              </w:rPr>
              <w:t>minden rendelkezésére álló eszközt használjanak fel a nők és lányok elleni erőszak elleni küzdelem érdekében az EU-ban és világszerte;</w:t>
            </w:r>
            <w:r>
              <w:t xml:space="preserve"> </w:t>
            </w:r>
            <w:r>
              <w:rPr>
                <w:b/>
                <w:i/>
              </w:rPr>
              <w:t>fordítsanak különös figyelmet a kiszolgáltatott és marginalizált közösségekre azokban az államokban, ahol a nemzeti kormányok ismétlődően aláássák a nők jogait;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ismételten hangsúlyozzák, hogy felül kell vizsgálni az ENSZ Emberi Jogi Tanácsának választási folyamatát, különösen annak megakadályozása érdekében, hogy az emberi jogokat megsértő országok helyet kapjanak a Tanácsban;</w:t>
            </w:r>
            <w:r>
              <w:t xml:space="preserve"> </w:t>
            </w:r>
            <w:r>
              <w:rPr>
                <w:b/>
                <w:i/>
              </w:rPr>
              <w:t>szólítsák fel az uniós tagállamokat, hogy fogadjanak el összehangolt álláspontot az EJT-tagsággal kapcsolatban, és szavazzanak az EJT minden olyan jelöltje ellen, aki nem tartja tiszteletben az emberi jogokat;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szólítsanak fel a nemzetközi szankciórendszerek átfogó felülvizsgálatára a nagyobb hatékonyság, koherencia és elszámoltathatóság biztosítása érdekében, elkerülve ugyanakkor azok átpolitizálódását és minimalizálva a polgári lakosságra gyakorolt aránytalan humanitárius hatásukat, a nemzetközi joggal összhangban;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mozdítsák elő az emberközpontú, jogokon alapuló átalakulást az inkluzív, nyitott, biztonságos és védett digitális jövő támogatása és a Globális Digitális Paktum hatékony végrehajtásának biztosítása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határozottan elítéli azt a képmutatást, hogy a nőkkel szemben rendszerszintű megkülönböztetést alkalmazó államok helyet vagy vezető szerepet tölthetnek be az ENSZ nőjogi testületeiben;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küzdjenek az LMBTIQ+-közösséggel szembeni tartós megkülönböztetés ellen, és biztosítsanak egyenlő hozzáférést a szociális védelemhez, az egészségügyi ellátáshoz, az oktatáshoz, valamint az árukhoz és szolgáltatásokhoz;</w:t>
            </w:r>
            <w:r>
              <w:t xml:space="preserve"> </w:t>
            </w:r>
            <w:r>
              <w:rPr>
                <w:b/>
                <w:i/>
              </w:rPr>
              <w:t>támogassák az ENSZ „Szabad és egyenlő” kampányát a közvélemény tudatosságának növelése és az erősebb jogi védelem előmozdítása révén, különösen azokban az államokban, ahol a diszkriminatív gyakorlatok továbbra is széles körben elterjedtek;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o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ismételten hangsúlyozzák, hogy a nemzetközi emberi jogi mechanizmusokat nem szabad arra használni, hogy de facto migrációs jogokat teremtsenek, vagy aláássák az államok szuverén jogát határaik és migrációs politikáik ellenőrzésére;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p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kezeljék prioritásként </w:t>
            </w:r>
            <w:r>
              <w:rPr>
                <w:b/>
                <w:i/>
              </w:rPr>
              <w:t>a</w:t>
            </w:r>
            <w:r>
              <w:t xml:space="preserve"> dezinformáció elleni küzdelmet</w:t>
            </w:r>
            <w:r>
              <w:rPr>
                <w:b/>
                <w:i/>
              </w:rPr>
              <w:t>, amely az online óriásplatformok által alkalmazott algoritmusokon alapuló felerősítés révén terjed, a megfelelő biztosítékok nélküli nagy nyelvi modellek növekvő használatát, a rosszindulatú külföldi szereplők általi kiaknázásukat, valamint azt, hogy a nagy technológiai vállalatok nem teljesítik az e területre vonatkozó hatályos jogszabályok szerinti kötelezettségeiket, aláásva a demokráciát és a választási folyamatokat</w:t>
            </w:r>
            <w:r>
              <w:t>;</w:t>
            </w:r>
          </w:p>
        </w:tc>
        <w:tc>
          <w:tcPr>
            <w:tcW w:w="4876" w:type="dxa"/>
            <w:tcBorders>
              <w:top w:val="nil"/>
              <w:left w:val="nil"/>
              <w:bottom w:val="nil"/>
              <w:right w:val="nil"/>
            </w:tcBorders>
          </w:tcPr>
          <w:p>
            <w:pPr>
              <w:pStyle w:val="Normal6a"/>
            </w:pPr>
            <w:r>
              <w:t>(p)</w:t>
            </w:r>
            <w:r>
              <w:tab/>
            </w:r>
            <w:r>
              <w:t xml:space="preserve">kezeljék prioritásként </w:t>
            </w:r>
            <w:r>
              <w:rPr>
                <w:b/>
                <w:i/>
              </w:rPr>
              <w:t>az ellenséges államoktól érkező</w:t>
            </w:r>
            <w:r>
              <w:t xml:space="preserve"> dezinformáció </w:t>
            </w:r>
            <w:r>
              <w:rPr>
                <w:b/>
                <w:i/>
              </w:rPr>
              <w:t>befolyása</w:t>
            </w:r>
            <w:r>
              <w:t xml:space="preserve"> elleni küzdelmet;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p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kezeljék prioritásként </w:t>
            </w:r>
            <w:r>
              <w:rPr>
                <w:b/>
                <w:i/>
              </w:rPr>
              <w:t>a dezinformáció elleni küzdelmet, amely</w:t>
            </w:r>
            <w:r>
              <w:t xml:space="preserve"> az online óriásplatformok által alkalmazott algoritmusokon alapuló felerősítés révén </w:t>
            </w:r>
            <w:r>
              <w:rPr>
                <w:b/>
                <w:i/>
              </w:rPr>
              <w:t>terjed</w:t>
            </w:r>
            <w:r>
              <w:t>, a megfelelő biztosítékok nélküli nagy nyelvi modellek növekvő használatát</w:t>
            </w:r>
            <w:r>
              <w:rPr>
                <w:b/>
                <w:i/>
              </w:rPr>
              <w:t>, a rosszindulatú külföldi szereplők általi kiaknázásukat, valamint azt, hogy a nagy technológiai vállalatok nem teljesítik az e területre vonatkozó hatályos jogszabályok szerinti kötelezettségeiket, aláásva a demokráciát és a választási folyamatokat</w:t>
            </w:r>
            <w:r>
              <w:t>;</w:t>
            </w:r>
          </w:p>
        </w:tc>
        <w:tc>
          <w:tcPr>
            <w:tcW w:w="4876" w:type="dxa"/>
            <w:tcBorders>
              <w:top w:val="nil"/>
              <w:left w:val="nil"/>
              <w:bottom w:val="nil"/>
              <w:right w:val="nil"/>
            </w:tcBorders>
          </w:tcPr>
          <w:p>
            <w:pPr>
              <w:pStyle w:val="Normal6a"/>
            </w:pPr>
            <w:r>
              <w:t>(p)</w:t>
            </w:r>
            <w:r>
              <w:tab/>
            </w:r>
            <w:r>
              <w:t xml:space="preserve">kezeljék prioritásként az online óriásplatformok által alkalmazott algoritmusokon alapuló felerősítés révén </w:t>
            </w:r>
            <w:r>
              <w:rPr>
                <w:b/>
                <w:i/>
              </w:rPr>
              <w:t>terjedő dezinformáció elleni küzdelmet</w:t>
            </w:r>
            <w:r>
              <w:t xml:space="preserve">, </w:t>
            </w:r>
            <w:r>
              <w:rPr>
                <w:b/>
                <w:i/>
              </w:rPr>
              <w:t>amely nem válhat cenzúrává vagy további félretájékoztatássá, és</w:t>
            </w:r>
            <w:r>
              <w:t xml:space="preserve"> a megfelelő biztosítékok nélküli nagy nyelvi modellek növekvő használatát;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p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kezeljék prioritásként </w:t>
            </w:r>
            <w:r>
              <w:rPr>
                <w:b/>
                <w:i/>
              </w:rPr>
              <w:t>a dezinformáció elleni küzdelmet, amely</w:t>
            </w:r>
            <w:r>
              <w:t xml:space="preserve"> az online óriásplatformok által alkalmazott algoritmusokon alapuló felerősítés révén </w:t>
            </w:r>
            <w:r>
              <w:rPr>
                <w:b/>
                <w:i/>
              </w:rPr>
              <w:t>terjed</w:t>
            </w:r>
            <w:r>
              <w:t>, a megfelelő biztosítékok nélküli nagy nyelvi modellek növekvő használatát, a rosszindulatú külföldi szereplők általi kiaknázásukat, valamint azt, hogy a nagy technológiai vállalatok nem teljesítik az e területre vonatkozó hatályos jogszabályok szerinti kötelezettségeiket, aláásva a demokráciát és a választási folyamatokat;</w:t>
            </w:r>
          </w:p>
        </w:tc>
        <w:tc>
          <w:tcPr>
            <w:tcW w:w="4876" w:type="dxa"/>
            <w:tcBorders>
              <w:top w:val="nil"/>
              <w:left w:val="nil"/>
              <w:bottom w:val="nil"/>
              <w:right w:val="nil"/>
            </w:tcBorders>
          </w:tcPr>
          <w:p>
            <w:pPr>
              <w:pStyle w:val="Normal6a"/>
            </w:pPr>
            <w:r>
              <w:t>(p)</w:t>
            </w:r>
            <w:r>
              <w:tab/>
            </w:r>
            <w:r>
              <w:t xml:space="preserve">kezeljék prioritásként az online óriásplatformok által alkalmazott algoritmusokon alapuló felerősítés révén </w:t>
            </w:r>
            <w:r>
              <w:rPr>
                <w:b/>
                <w:i/>
              </w:rPr>
              <w:t>terjedő dezinformáció és álhírek elleni küzdelmet</w:t>
            </w:r>
            <w:r>
              <w:t>, a megfelelő biztosítékok nélküli nagy nyelvi modellek növekvő használatát, a rosszindulatú külföldi szereplők általi kiaknázásukat, valamint azt, hogy a nagy technológiai vállalatok nem teljesítik az e területre vonatkozó hatályos jogszabályok szerinti kötelezettségeiket, aláásva a demokráciát és a választási folyamatokat;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p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hangsúlyozzák a média biztonságos környezetének, szerkesztői függetlenségének és pénzügyi támogatásának fontosságát;</w:t>
            </w:r>
            <w:r>
              <w:t xml:space="preserve"> </w:t>
            </w:r>
            <w:r>
              <w:rPr>
                <w:b/>
                <w:i/>
              </w:rPr>
              <w:t>küzdjenek az újságírókat világszerte érő fokozódó fenyegetések ellen, különös tekintettel a női újságírókra, akik aránytalan mértékben válnak célponttá;</w:t>
            </w:r>
            <w:r>
              <w:t xml:space="preserve"> </w:t>
            </w:r>
            <w:r>
              <w:rPr>
                <w:b/>
                <w:i/>
              </w:rPr>
              <w:t>erősítsék meg az OHCHR-rel való együttműködést az újságírók biztonságáról szóló ENSZ cselekvési terv további előmozdítása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p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utasítsák el azt a növekvő tendenciát, hogy az eltérő véleményeket, a politikai ellenzéket vagy a kényelmetlen tényeket „dezinformációnak” minősítik;</w:t>
            </w:r>
            <w:r>
              <w:t xml:space="preserve"> </w:t>
            </w:r>
            <w:r>
              <w:rPr>
                <w:b/>
                <w:i/>
              </w:rPr>
              <w:t>figyelmeztet arra, hogy az online platformokra gyakorolt szabályozási nyomás, amelynek célja a beszéd ellenőrzése vagy az elérés korlátozása, közvetett cenzúrának minősül;</w:t>
            </w:r>
            <w:r>
              <w:t xml:space="preserve"> </w:t>
            </w:r>
            <w:r>
              <w:rPr>
                <w:b/>
                <w:i/>
              </w:rPr>
              <w:t>hangsúlyozza, hogy a véleménynyilvánítás szabadsága, nem pedig az algoritmikus ellenőrzés a demokratikus reziliencia sarokköve;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p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tegyék prioritássá a véleménynyilvánítás szabadságának védelmét, emlékeztetve különösen arra, hogy a dezinformáció elleni küzdelmet nem szabad ürügyként felhasználni az eltérő vélemények elfojtására;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w:t>
            </w:r>
            <w:r>
              <w:rPr>
                <w:b/>
                <w:i/>
              </w:rPr>
              <w:t>, köztük a keresztény közösségek</w:t>
            </w:r>
            <w:r>
              <w:t xml:space="preserve"> védelme érdekében;</w:t>
            </w:r>
          </w:p>
        </w:tc>
        <w:tc>
          <w:tcPr>
            <w:tcW w:w="4876" w:type="dxa"/>
            <w:tcBorders>
              <w:top w:val="nil"/>
              <w:left w:val="nil"/>
              <w:bottom w:val="nil"/>
              <w:right w:val="nil"/>
            </w:tcBorders>
          </w:tcPr>
          <w:p>
            <w:pPr>
              <w:pStyle w:val="Normal6a"/>
            </w:pPr>
            <w:r>
              <w:t>(q)</w:t>
            </w:r>
            <w:r>
              <w:tab/>
            </w:r>
            <w:r>
              <w:t>erősítsék meg a vallás</w:t>
            </w:r>
            <w:r>
              <w:rPr>
                <w:b/>
                <w:i/>
              </w:rPr>
              <w:t>, a gondolat, a lelkiismeret</w:t>
            </w:r>
            <w:r>
              <w:t xml:space="preserve"> és a meggyőződés szabadságának előmozdítását, és szólítsanak fel határozottabb intézkedésekre a vallási</w:t>
            </w:r>
            <w:r>
              <w:rPr>
                <w:b/>
                <w:i/>
              </w:rPr>
              <w:t>, az etnikai</w:t>
            </w:r>
            <w:r>
              <w:t xml:space="preserve"> és egyéb kisebbségek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 köztük a keresztény közösségek védelme érdekében;</w:t>
            </w:r>
          </w:p>
        </w:tc>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w:t>
            </w:r>
            <w:r>
              <w:rPr>
                <w:b/>
                <w:i/>
              </w:rPr>
              <w:t>, az etnikai</w:t>
            </w:r>
            <w:r>
              <w:t xml:space="preserve"> és egyéb kisebbségek, köztük a keresztény</w:t>
            </w:r>
            <w:r>
              <w:rPr>
                <w:b/>
                <w:i/>
              </w:rPr>
              <w:t>, a muszlim és a zsidó</w:t>
            </w:r>
            <w:r>
              <w:t xml:space="preserve"> közösségek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a vallási és egyéb kisebbségek, </w:t>
            </w:r>
            <w:r>
              <w:rPr>
                <w:b/>
                <w:i/>
              </w:rPr>
              <w:t>köztük a</w:t>
            </w:r>
            <w:r>
              <w:t xml:space="preserve"> keresztény közösségek védelme érdekében;</w:t>
            </w:r>
          </w:p>
        </w:tc>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a vallási és egyéb kisebbségek, </w:t>
            </w:r>
            <w:r>
              <w:rPr>
                <w:b/>
                <w:i/>
              </w:rPr>
              <w:t>különösen a vallásuk alapján súlyos üldöztetésnek és megkülönböztetésnek leginkább kitett</w:t>
            </w:r>
            <w:r>
              <w:t xml:space="preserve"> keresztény közösségek védelme érdekében;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a vallási és egyéb kisebbségek, </w:t>
            </w:r>
            <w:r>
              <w:rPr>
                <w:b/>
                <w:i/>
              </w:rPr>
              <w:t>köztük</w:t>
            </w:r>
            <w:r>
              <w:t xml:space="preserve"> a keresztény közösségek védelme érdekében;</w:t>
            </w:r>
          </w:p>
        </w:tc>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a vallási és egyéb kisebbségek, </w:t>
            </w:r>
            <w:r>
              <w:rPr>
                <w:b/>
                <w:i/>
              </w:rPr>
              <w:t>mindenekelőtt</w:t>
            </w:r>
            <w:r>
              <w:t xml:space="preserve"> a keresztény közösségek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 köztük a keresztény közösségek védelme érdekében;</w:t>
            </w:r>
          </w:p>
        </w:tc>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 köztük a keresztény közösségek védelme érdekében</w:t>
            </w:r>
            <w:r>
              <w:rPr>
                <w:b/>
                <w:i/>
              </w:rPr>
              <w:t>, és határozottan ítéljék el a keresztények üldözését – amely a világ több százmillió hívőjét érintő egyik legelterjedtebb emberi jogi válság –, valamint a más vallási közösségekkel szembeni erőszak vagy megkülönböztetés minden formáját</w:t>
            </w:r>
            <w:r>
              <w:t xml:space="preserve">; </w:t>
            </w:r>
            <w:r>
              <w:rPr>
                <w:b/>
                <w:i/>
              </w:rPr>
              <w:t>sürgessék továbbá az ENSZ valamennyi tagállamát, hogy nemzetközi emberi jogi kötelezettségvállalásaikkal összhangban minden egyén számára garantálják a vallás és a vallásgyakorlás teljes szabadságát;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 köztük a keresztény közösségek védelme érdekében;</w:t>
            </w:r>
          </w:p>
        </w:tc>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a vallási és egyéb kisebbségek, köztük a keresztény közösségek védelme érdekében; </w:t>
            </w:r>
            <w:r>
              <w:rPr>
                <w:b/>
                <w:i/>
              </w:rPr>
              <w:t>követeljék meg, hogy az ENSZ szervei valamennyi országban és régióban elfogultság nélkül ugyanazokat a normákat alkalmazzák a kisebbségi közösségek elleni, vallási indíttatású erőszak kezelésére, különösen a közel-keleti és észak-afrikai régióban;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 köztük a keresztény közösségek védelme érdekében;</w:t>
            </w:r>
          </w:p>
        </w:tc>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a vallási és egyéb kisebbségek, köztük a keresztény közösségek védelme érdekében; </w:t>
            </w:r>
            <w:r>
              <w:rPr>
                <w:b/>
                <w:i/>
              </w:rPr>
              <w:t>hangsúlyozzák Európa keresztény kontinensként betöltött történelmi szerepét, és mutassanak rá arra, hogy a keresztények a világ legüldözöttebb vallási csoportja;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 köztük a keresztény közösségek védelme érdekében;</w:t>
            </w:r>
          </w:p>
        </w:tc>
        <w:tc>
          <w:tcPr>
            <w:tcW w:w="4876" w:type="dxa"/>
            <w:tcBorders>
              <w:top w:val="nil"/>
              <w:left w:val="nil"/>
              <w:bottom w:val="nil"/>
              <w:right w:val="nil"/>
            </w:tcBorders>
          </w:tcPr>
          <w:p>
            <w:pPr>
              <w:pStyle w:val="Normal6a"/>
            </w:pPr>
            <w:r>
              <w:t>(q)</w:t>
            </w:r>
            <w:r>
              <w:tab/>
            </w:r>
            <w:r>
              <w:t>erősítsék meg a vallás és a meggyőződés szabadságának előmozdítását</w:t>
            </w:r>
            <w:r>
              <w:rPr>
                <w:b/>
                <w:i/>
              </w:rPr>
              <w:t>, amely egyetemes emberi jog és a méltóság tagadhatatlan pillére</w:t>
            </w:r>
            <w:r>
              <w:t xml:space="preserve">, és szólítsanak fel határozottabb intézkedésekre a vallási és egyéb kisebbségek, köztük a </w:t>
            </w:r>
            <w:r>
              <w:rPr>
                <w:b/>
                <w:i/>
              </w:rPr>
              <w:t>világban széles körben üldözött</w:t>
            </w:r>
            <w:r>
              <w:t xml:space="preserve"> keresztény közösségek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 és egyéb kisebbségek, köztük a keresztény közösségek védelme érdekében;</w:t>
            </w:r>
          </w:p>
        </w:tc>
        <w:tc>
          <w:tcPr>
            <w:tcW w:w="4876" w:type="dxa"/>
            <w:tcBorders>
              <w:top w:val="nil"/>
              <w:left w:val="nil"/>
              <w:bottom w:val="nil"/>
              <w:right w:val="nil"/>
            </w:tcBorders>
          </w:tcPr>
          <w:p>
            <w:pPr>
              <w:pStyle w:val="Normal6a"/>
            </w:pPr>
            <w:r>
              <w:t>(q)</w:t>
            </w:r>
            <w:r>
              <w:tab/>
            </w:r>
            <w:r>
              <w:t>erősítsék meg a vallás és a meggyőződés szabadságának előmozdítását, és szólítsanak fel határozottabb intézkedésekre a vallási</w:t>
            </w:r>
            <w:r>
              <w:rPr>
                <w:b/>
                <w:i/>
              </w:rPr>
              <w:t>, nemzeti</w:t>
            </w:r>
            <w:r>
              <w:t xml:space="preserve"> és egyéb kisebbségek, köztük a keresztény közösségek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w:t>
            </w:r>
            <w:r>
              <w:rPr>
                <w:b/>
                <w:i/>
              </w:rPr>
              <w:t>a</w:t>
            </w:r>
            <w:r>
              <w:t xml:space="preserve"> vallási és egyéb </w:t>
            </w:r>
            <w:r>
              <w:rPr>
                <w:b/>
                <w:i/>
              </w:rPr>
              <w:t>kisebbségek, köztük a keresztény közösségek</w:t>
            </w:r>
            <w:r>
              <w:t xml:space="preserve"> védelme érdekében;</w:t>
            </w:r>
          </w:p>
        </w:tc>
        <w:tc>
          <w:tcPr>
            <w:tcW w:w="4876" w:type="dxa"/>
            <w:tcBorders>
              <w:top w:val="nil"/>
              <w:left w:val="nil"/>
              <w:bottom w:val="nil"/>
              <w:right w:val="nil"/>
            </w:tcBorders>
          </w:tcPr>
          <w:p>
            <w:pPr>
              <w:pStyle w:val="Normal6a"/>
            </w:pPr>
            <w:r>
              <w:t>(q)</w:t>
            </w:r>
            <w:r>
              <w:tab/>
            </w:r>
            <w:r>
              <w:t xml:space="preserve">erősítsék meg a vallás és a meggyőződés szabadságának előmozdítását, és szólítsanak fel határozottabb intézkedésekre </w:t>
            </w:r>
            <w:r>
              <w:rPr>
                <w:b/>
                <w:i/>
              </w:rPr>
              <w:t>valamennyi</w:t>
            </w:r>
            <w:r>
              <w:t xml:space="preserve"> vallási és egyéb </w:t>
            </w:r>
            <w:r>
              <w:rPr>
                <w:b/>
                <w:i/>
              </w:rPr>
              <w:t>kisebbség</w:t>
            </w:r>
            <w:r>
              <w:t xml:space="preserve">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hangsúlyozza, hogy az ENSZ Emberi Jogi Tanácsának keretében a kisebbségi kérdésekkel foglalkozó különleges ENSZ-előadó megbízása alapján összehívott, a konfliktusmegelőzéssel és a kisebbségek emberi jogainak védelmével foglalkozó európai regionális fórumon (2021. október 12–13.) az Európai Uniónak címzett ajánlásokkal összhangban az Uniónak meg kell erősítenie a kisebbségek védelmével kapcsolatos belső és külső politikáit, többek között azáltal, hogy megvizsgálja egy olyan közös védelmi keret kidolgozásának lehetőségét, amelynek célja kifejezetten a nemzeti vagy etnikai, vallási és nyelvi kisebbségek jogainak védelme, ezáltal erősítve hitelességét a többoldalú fórumokon, többek között az ENSZ-ben;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fejezzék ki súlyos aggodalmukat a keresztények folyamatos meggyilkolása, üldözése és szisztematikus megkülönböztetése miatt a világ több régiójában, többek között a Közel-Keleten, szubszaharai Afrikában, Dél-Ázsiában és Kelet-Ázsia egyes részein, ahol a keresztény közösségek célzott erőszakkal, terrortámadásokkal, önkényes fogva tartással, kényszerű lakóhelyelhagyással, imahelyek lerombolásával és jogi vagy társadalmi elnyomással szembesülnek;</w:t>
            </w:r>
            <w:r>
              <w:t xml:space="preserve"> </w:t>
            </w:r>
            <w:r>
              <w:rPr>
                <w:b/>
                <w:i/>
              </w:rPr>
              <w:t>hangsúlyozzák, hogy a keresztények továbbra is világszerte a leginkább üldözött vallási csoportok közé tartoznak;</w:t>
            </w:r>
            <w:r>
              <w:t xml:space="preserve"> </w:t>
            </w:r>
            <w:r>
              <w:rPr>
                <w:b/>
                <w:i/>
              </w:rPr>
              <w:t>fejezzék ki mély sajnálatukat amiatt, hogy az ENSZ nem kielégítő, következetlen és gyakran szelektív választ ad ezekre a jogsértésekre;</w:t>
            </w:r>
            <w:r>
              <w:t xml:space="preserve"> </w:t>
            </w:r>
            <w:r>
              <w:rPr>
                <w:b/>
                <w:i/>
              </w:rPr>
              <w:t>szólítsák fel az ENSZ-t, hogy jelentősen erősítse meg a vallási üldöztetéssel kapcsolatos nyomonkövetési, jelentéstételi és korai előrejelző mechanizmusait, a vallási intolerancia egyéb formái mellett biztosítson egyenlő figyelmet a keresztények elleni bűncselekményeknek, szükség esetén hozzon létre célzott ENSZ-struktúrákat vagy megbízatásokat, és tegyen konkrét lépéseket az elkövetők nemzetközi joggal összhangban történő felelősségre vonása érdekében;</w:t>
            </w:r>
            <w:r>
              <w:t xml:space="preserve"> </w:t>
            </w:r>
            <w:r>
              <w:rPr>
                <w:b/>
                <w:i/>
              </w:rPr>
              <w:t>hangsúlyozzák, hogy a vallás és a meggyőződés szabadságának védelmét alapvető emberi jogi prioritásként kell kezelni, és nem szabad alárendelni politikai megfontolásoknak;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q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hangsúlyozzák az ENSZ Közgyűlésének azon kötelezettségét, hogy az ENSZ Emberi Jogi Tanácsa tagjainak megválasztásakor figyelembe vegye a jelöltek elkötelezettségét az emberi jogok előmozdítása és védelme iránt;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r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rPr>
                <w:b/>
                <w:i/>
              </w:rPr>
              <w:t>erősítsék meg az EU azon kötelezettségvállalását, hogy partnereivel együtt előmozdítja a globális egészségügyet</w:t>
            </w:r>
            <w:r>
              <w:t>;</w:t>
            </w:r>
          </w:p>
        </w:tc>
        <w:tc>
          <w:tcPr>
            <w:tcW w:w="4876" w:type="dxa"/>
            <w:tcBorders>
              <w:top w:val="nil"/>
              <w:left w:val="nil"/>
              <w:bottom w:val="nil"/>
              <w:right w:val="nil"/>
            </w:tcBorders>
          </w:tcPr>
          <w:p>
            <w:pPr>
              <w:pStyle w:val="Normal6a"/>
            </w:pPr>
            <w:r>
              <w:t>(r)</w:t>
            </w:r>
            <w:r>
              <w:tab/>
            </w:r>
            <w:r>
              <w:rPr>
                <w:b/>
                <w:i/>
              </w:rPr>
              <w:t>ösztönözzék az Egyesült Nemzetek Szervezetét, hogy folytassa az ENSZ Alapokmányában meghatározott küldetését, hogy fenntartsa a nemzetközi békét és biztonságot, fejlessze a nemzetek közötti baráti kapcsolatokat, nemzetközi együttműködést érjen el a nemzetközi problémák megoldása és az emberi jogok tiszteletben tartásának előmozdítása terén, és a nemzetek fellépéseinek harmonizálására szolgáló központként szolgáljon</w:t>
            </w:r>
            <w:r>
              <w:t xml:space="preserve">; </w:t>
            </w:r>
            <w:r>
              <w:rPr>
                <w:b/>
                <w:i/>
              </w:rPr>
              <w:t>emlékeztessék az Európai Uniót, hogy a Szerződések szerinti alapvető hatásköreire kell összpontosítania, jólétet, biztonságot és versenyképességet kell teremtenie polgárai és adófizetői számára, és el kell kerülnie azon funkciók és megbízatások megkettőzését, amelyekre az ENSZ-t létrehozták;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r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erősítsék meg az EU azon kötelezettségvállalását, hogy partnereivel együtt előmozdítja a globális egészségügyet;</w:t>
            </w:r>
          </w:p>
        </w:tc>
        <w:tc>
          <w:tcPr>
            <w:tcW w:w="4876" w:type="dxa"/>
            <w:tcBorders>
              <w:top w:val="nil"/>
              <w:left w:val="nil"/>
              <w:bottom w:val="nil"/>
              <w:right w:val="nil"/>
            </w:tcBorders>
          </w:tcPr>
          <w:p>
            <w:pPr>
              <w:pStyle w:val="Normal6a"/>
            </w:pPr>
            <w:r>
              <w:t>(r)</w:t>
            </w:r>
            <w:r>
              <w:tab/>
            </w:r>
            <w:r>
              <w:t xml:space="preserve">erősítsék meg az EU azon kötelezettségvállalását, hogy partnereivel együtt előmozdítja a globális egészségügyet </w:t>
            </w:r>
            <w:r>
              <w:rPr>
                <w:b/>
                <w:i/>
              </w:rPr>
              <w:t>az oltási kampányok támogatása, a világjárványokról szóló megállapodás végrehajtása, a nem fertőző betegségek kezelése, valamint a világjárványok megelőzésére, az azokra való felkészültségre és reagálásra irányuló többoldalú mechanizmusok megerősítése révén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r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ismételten erősítsék meg, hogy határozottan támogatják a Nemzetközi Bíróságot és a Nemzetközi Büntetőbíróságot mint alapvető, független és pártatlan igazságszolgáltatási intézményt;</w:t>
            </w:r>
            <w:r>
              <w:t xml:space="preserve"> </w:t>
            </w:r>
            <w:r>
              <w:rPr>
                <w:b/>
                <w:i/>
              </w:rPr>
              <w:t>fejezzék ki sajnálatukat a Nemzetközi Büntetőbíróságot érő példátlan fenyegetések miatt, és szólítsanak fel a blokkoló intézkedésekről szóló uniós rendelet aktiválására a Nemzetközi Büntetőbíróság, valamint a bírósággal együttműködő és azt támogató személyek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r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erősítsék meg a művészi szabadság előmozdítását, valamint a kulturális örökség és a kulturális jogok védelmét azáltal, hogy támogatják az UNESCO munkáját, és előmozdítják az UNESCO állandó uniós előadójának vagy állandó uniós tárgyalópartnerének kijelölését;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r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az ENSZ-nek politikailag és ideológiailag semlegesnek kell maradnia, míg az uniós támogatásnak a nemzetközi szabályok és az alapvető jogok tiszteletben tartására kell összpontosítania, ideológiai menetrendek előmozdítása nélkül.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 – r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(rb)</w:t>
            </w:r>
            <w:r>
              <w:tab/>
            </w:r>
            <w:r>
              <w:rPr>
                <w:b/>
                <w:i/>
              </w:rPr>
              <w:t>növeljék az ENSZ nőjogi szervezete, az ENSZ Népesedési Alapja (UNFPA) és más olyan ENSZ-programok számára nyújtott uniós forrásokat, amelyek a nők jogainak, a nemek közötti egyenlőségnek, valamint valamennyi nő és lány társadalmi szerepvállalásának előmozdítását célozzák;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138</w:t>
    </w:r>
    <w:r>
      <w:fldChar w:fldCharType="end"/>
    </w:r>
    <w:r>
      <w:t>/</w:t>
    </w:r>
    <w:r>
      <w:fldChar w:fldCharType="begin"/>
    </w:r>
    <w:r>
      <w:instrText xml:space="preserve"> NUMPAGES </w:instrText>
    </w:r>
    <w:r>
      <w:fldChar w:fldCharType="separate"/>
    </w:r>
    <w:r>
      <w:t>138</w:t>
    </w:r>
    <w:r>
      <w:fldChar w:fldCharType="end"/>
    </w:r>
    <w:r>
      <w:tab/>
    </w:r>
    <w:r>
      <w:rPr>
        <w:rStyle w:val="HideTWBExt"/>
      </w:rPr>
      <w:t>&lt;PathFdR&gt;</w:t>
    </w:r>
    <w:r>
      <w:t>AM\1336613HU.docx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AM\1336613HU.docx</w:t>
    </w:r>
    <w:r>
      <w:rPr>
        <w:rStyle w:val="HideTWBExt"/>
      </w:rPr>
      <w:t>&lt;/PathFdR&gt;</w:t>
    </w:r>
    <w:r>
      <w:tab/>
    </w:r>
    <w:r>
      <w:fldChar w:fldCharType="begin"/>
    </w:r>
    <w:r>
      <w:instrText xml:space="preserve"> PAGE </w:instrText>
    </w:r>
    <w:r>
      <w:fldChar w:fldCharType="separate"/>
    </w:r>
    <w:r>
      <w:t>137</w:t>
    </w:r>
    <w:r>
      <w:fldChar w:fldCharType="end"/>
    </w:r>
    <w:r>
      <w:t>/</w:t>
    </w:r>
    <w:r>
      <w:fldChar w:fldCharType="begin"/>
    </w:r>
    <w:r>
      <w:instrText xml:space="preserve"> NUMPAGES </w:instrText>
    </w:r>
    <w:r>
      <w:fldChar w:fldCharType="separate"/>
    </w:r>
    <w:r>
      <w:t>138</w:t>
    </w:r>
    <w:r>
      <w:fldChar w:fldCharType="end"/>
    </w:r>
    <w:r>
      <w:tab/>
    </w:r>
    <w:r>
      <w:t>PE</w:t>
    </w:r>
    <w:r>
      <w:rPr>
        <w:rStyle w:val="HideTWBExt"/>
      </w:rPr>
      <w:t>&lt;NoPE&gt;</w:t>
    </w:r>
    <w:r>
      <w:t>784.240</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AM\1336613HU.docx</w:t>
    </w:r>
    <w:r>
      <w:rPr>
        <w:rStyle w:val="HideTWBExt"/>
      </w:rPr>
      <w:t>&lt;/PathFdR&gt;</w:t>
    </w:r>
    <w:r>
      <w:tab/>
    </w:r>
    <w:r>
      <w:tab/>
    </w:r>
    <w:r>
      <w:t>PE</w:t>
    </w:r>
    <w:r>
      <w:rPr>
        <w:rStyle w:val="HideTWBExt"/>
      </w:rPr>
      <w:t>&lt;NoPE&gt;</w:t>
    </w:r>
    <w:r>
      <w:t>784.240</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138</Pages>
  <Words>26159</Words>
  <Characters>187151</Characters>
  <Application>Microsoft Office Word</Application>
  <DocSecurity>0</DocSecurity>
  <Lines>1</Lines>
  <Paragraphs>2117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402168</vt:lpwstr>
  </property>
  <property fmtid="{D5CDD505-2E9C-101B-9397-08002B2CF9AE}" pid="7" name="dmxml.render.traceId">
    <vt:lpwstr>69aab8a72350c3c54c157ca7644af52b</vt:lpwstr>
  </property>
  <property fmtid="{D5CDD505-2E9C-101B-9397-08002B2CF9AE}" pid="8" name="FooterPath">
    <vt:lpwstr>AM\1336613HU.docx</vt:lpwstr>
  </property>
  <property fmtid="{D5CDD505-2E9C-101B-9397-08002B2CF9AE}" pid="9" name="PE Number">
    <vt:lpwstr>784.240</vt:lpwstr>
  </property>
  <property fmtid="{D5CDD505-2E9C-101B-9397-08002B2CF9AE}" pid="10" name="UID">
    <vt:lpwstr>eu.europa.europarl-DIN1-2026-0000041257_02.00-hu-01.00_text-xml</vt:lpwstr>
  </property>
</Properties>
</file>