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Committee on Foreign Affairs</w:t>
      </w:r>
      <w:r>
        <w:rPr>
          <w:rStyle w:val="HideTWBExt"/>
        </w:rPr>
        <w:t>&lt;/Commission&gt;</w:t>
      </w:r>
    </w:p>
    <w:p>
      <w:pPr>
        <w:pStyle w:val="LineBottom"/>
      </w:pPr>
      <w:r>
        <w:t xml:space="preserve"> </w:t>
      </w:r>
    </w:p>
    <w:p>
      <w:pPr>
        <w:pStyle w:val="CoverReference"/>
      </w:pPr>
      <w:r>
        <w:rPr>
          <w:rStyle w:val="HideTWBExt"/>
        </w:rPr>
        <w:t>&lt;RefProc&gt;</w:t>
      </w:r>
      <w:r>
        <w:t>2024/0260M</w:t>
      </w:r>
      <w:r>
        <w:rPr>
          <w:rStyle w:val="HideTWBExt"/>
        </w:rPr>
        <w:t>&lt;/RefProc&gt;</w:t>
      </w:r>
      <w:r>
        <w:rPr>
          <w:rStyle w:val="HideTWBExt"/>
        </w:rPr>
        <w:t>&lt;RefTypeProc&gt;</w:t>
      </w:r>
      <w:r>
        <w:t>(NLE)</w:t>
      </w:r>
      <w:r>
        <w:rPr>
          <w:rStyle w:val="HideTWBExt"/>
        </w:rPr>
        <w:t>&lt;/RefTypeProc&gt;</w:t>
      </w:r>
    </w:p>
    <w:p>
      <w:pPr>
        <w:pStyle w:val="CoverDate"/>
      </w:pPr>
      <w:r>
        <w:rPr>
          <w:rStyle w:val="HideTWBExt"/>
        </w:rPr>
        <w:t>&lt;Date&gt;</w:t>
      </w:r>
      <w:r>
        <w:rPr>
          <w:rStyle w:val="HideTWBInt"/>
        </w:rPr>
        <w:t>{11/02/2026}</w:t>
      </w:r>
      <w:r>
        <w:t>11.2.2026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165</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Ilhan Kyuchyuk</w:t>
      </w:r>
      <w:r>
        <w:rPr>
          <w:rStyle w:val="HideTWBExt"/>
        </w:rPr>
        <w:t>&lt;/Rapporteur&gt;</w:t>
      </w:r>
    </w:p>
    <w:p>
      <w:pPr>
        <w:pStyle w:val="CoverNormal24a"/>
      </w:pPr>
      <w:r>
        <w:rPr>
          <w:rStyle w:val="HideTWBExt"/>
        </w:rPr>
        <w:t>&lt;DocRefPE&gt;</w:t>
      </w:r>
      <w:r>
        <w:t>(PE781.385v01-00)</w:t>
      </w:r>
      <w:r>
        <w:rPr>
          <w:rStyle w:val="HideTWBExt"/>
        </w:rPr>
        <w:t>&lt;/DocRefPE&gt;</w:t>
      </w:r>
    </w:p>
    <w:p>
      <w:pPr>
        <w:pStyle w:val="CoverNormal"/>
      </w:pPr>
      <w:r>
        <w:rPr>
          <w:rStyle w:val="HideTWBExt"/>
        </w:rPr>
        <w:t>&lt;Titre&gt;</w:t>
      </w:r>
      <w:r>
        <w:t>Enhanced Partnership and Cooperation Agreement between the European Union, of the one part, and the Republic of Uzbekistan, of the other part</w:t>
      </w:r>
      <w:r>
        <w:rPr>
          <w:rStyle w:val="HideTWBExt"/>
        </w:rPr>
        <w:t>&lt;/Titre&gt;</w:t>
      </w:r>
    </w:p>
    <w:p>
      <w:pPr>
        <w:pStyle w:val="CoverNormal24a"/>
      </w:pPr>
      <w:r>
        <w:rPr>
          <w:rStyle w:val="HideTWBExt"/>
        </w:rPr>
        <w:t>&lt;DocRef&gt;</w:t>
      </w:r>
      <w:r>
        <w:t>(2024/0260M(NLE))</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UN Convention against Torture and Other Cruel, Inhuman or Degrading Treatment or Punishment;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Council conclusions on the EU strategy on Central Asia;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joint European Union/Council of Europe support to Democratic reforms, Human rights mechanisms and Rule of law principles programme (2024-2026), launched by the Venice Commission on the 1 January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Memorandum of Understanding on a Strategic Partnership on Sustainable Raw Materials Value Chain between the European Union and the Republic of Uzbekistan, signed on 5 April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to the EU-Uzbekistan Memorandum of Understanding launching a strategic partnership on critical raw materials signed on 5 April 2024;</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Citation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having regard the Joint Declaration following the first European Union-Central Asia Summit of 4 April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Uzbekistan occupies a key position in Central Asia, which the EU has recognised as a region of strategic importance;</w:t>
            </w:r>
          </w:p>
        </w:tc>
        <w:tc>
          <w:tcPr>
            <w:tcW w:w="4876" w:type="dxa"/>
            <w:tcBorders>
              <w:top w:val="nil"/>
              <w:left w:val="nil"/>
              <w:bottom w:val="nil"/>
              <w:right w:val="nil"/>
            </w:tcBorders>
          </w:tcPr>
          <w:p>
            <w:pPr>
              <w:pStyle w:val="Normal6a"/>
            </w:pPr>
            <w:r>
              <w:t>A.</w:t>
            </w:r>
            <w:r>
              <w:tab/>
            </w:r>
            <w:r>
              <w:t xml:space="preserve">whereas Uzbekistan occupies a key position in Central Asia, which the EU has recognised as a region of strategic importance </w:t>
            </w:r>
            <w:r>
              <w:rPr>
                <w:b/>
                <w:i/>
              </w:rPr>
              <w:t>in terms of security, connectivity, energy diversification, conflict resolution and the defence of the multilateral rules-based international order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Uzbekistan occupies a key position in Central Asia, which the EU has recognised as a region of strategic importance;</w:t>
            </w:r>
          </w:p>
        </w:tc>
        <w:tc>
          <w:tcPr>
            <w:tcW w:w="4876" w:type="dxa"/>
            <w:tcBorders>
              <w:top w:val="nil"/>
              <w:left w:val="nil"/>
              <w:bottom w:val="nil"/>
              <w:right w:val="nil"/>
            </w:tcBorders>
          </w:tcPr>
          <w:p>
            <w:pPr>
              <w:pStyle w:val="Normal6a"/>
            </w:pPr>
            <w:r>
              <w:t>A.</w:t>
            </w:r>
            <w:r>
              <w:tab/>
            </w:r>
            <w:r>
              <w:t xml:space="preserve">whereas Uzbekistan occupies a key position in Central Asia, which the EU has recognised as a region of strategic importance; </w:t>
            </w:r>
            <w:r>
              <w:rPr>
                <w:b/>
                <w:i/>
              </w:rPr>
              <w:t>whereas any deepening of relations should be guided by a clear and measurable benefit for EU taxpayers;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whereas Uzbekistan is crucial for connecting trade routes between East Asia, South Asia, and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whereas the first EU-Central Asia summit </w:t>
            </w:r>
            <w:r>
              <w:rPr>
                <w:b/>
                <w:i/>
              </w:rPr>
              <w:t>was</w:t>
            </w:r>
            <w:r>
              <w:t xml:space="preserve"> held on 4 April 2025 in Samarkand, Uzbekistan;</w:t>
            </w:r>
          </w:p>
        </w:tc>
        <w:tc>
          <w:tcPr>
            <w:tcW w:w="4876" w:type="dxa"/>
            <w:tcBorders>
              <w:top w:val="nil"/>
              <w:left w:val="nil"/>
              <w:bottom w:val="nil"/>
              <w:right w:val="nil"/>
            </w:tcBorders>
          </w:tcPr>
          <w:p>
            <w:pPr>
              <w:pStyle w:val="Normal6a"/>
            </w:pPr>
            <w:r>
              <w:t>B.</w:t>
            </w:r>
            <w:r>
              <w:tab/>
            </w:r>
            <w:r>
              <w:t>whereas the first EU-Central Asia summit</w:t>
            </w:r>
            <w:r>
              <w:rPr>
                <w:b/>
                <w:i/>
              </w:rPr>
              <w:t>,</w:t>
            </w:r>
            <w:r>
              <w:t xml:space="preserve"> held on 4 April 2025 in Samarkand, Uzbekistan</w:t>
            </w:r>
            <w:r>
              <w:rPr>
                <w:b/>
                <w:i/>
              </w:rPr>
              <w:t>, marked a significant political milestone and confirmed the mutual commitment to upgrading relations to a strategic partnership based on dialogue, cooperation and respect for international law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EPCA provides for cooperation in and mutual respect of human rights and the rule of law; whereas the European Parliament has consistently held that enhanced partnership agreements must be conditional upon respect for democracy, rule of law and human rights; whereas in the case of the EU-Kyrgyzstan EPCA, the European Parliament has linked its consent to a post-ratification assessment of these essential elements, with the prospect of suspension in the event of a negative assessment as per the agreement;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this non-legislative resolution accompanies the European Parliament’s consent to the conclusion of the Enhanced Partnership and Cooperation Agreement and remains fully consistent with the objective of strengthening bilateral relations and supporting a long-term, constructive partnership between the European Union and Uzbekistan;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EPCA provides for cooperation in and mutual respect of human rights and the rule of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whereas the EPCA provides for cooperation in and mutual respect of human rights and the rule of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Uzbekistan has benefited from unilateral and preferential access to the EU market through the Generalised Scheme of Preferences Plus (GSP+) since 2021, and its current status is valid until 2027;</w:t>
            </w:r>
          </w:p>
        </w:tc>
        <w:tc>
          <w:tcPr>
            <w:tcW w:w="4876" w:type="dxa"/>
            <w:tcBorders>
              <w:top w:val="nil"/>
              <w:left w:val="nil"/>
              <w:bottom w:val="nil"/>
              <w:right w:val="nil"/>
            </w:tcBorders>
          </w:tcPr>
          <w:p>
            <w:pPr>
              <w:pStyle w:val="Normal6a"/>
            </w:pPr>
            <w:r>
              <w:t>E.</w:t>
            </w:r>
            <w:r>
              <w:tab/>
            </w:r>
            <w:r>
              <w:t xml:space="preserve">whereas Uzbekistan has benefited from unilateral and preferential access to the EU market through the Generalised Scheme of Preferences Plus (GSP+) since 2021, and its current status is valid until 2027; </w:t>
            </w:r>
            <w:r>
              <w:rPr>
                <w:b/>
                <w:i/>
              </w:rPr>
              <w:t>whereas Uzbekistan has acceded to 27 international conventions related to labour and human rights, environmental and climate protection and good governance in order to benefit from this scheme;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whereas Uzbekistan has benefited from unilateral and preferential access to the EU market through the Generalised Scheme of Preferences Plus (GSP+) since 2021, and its current status is valid until 2027;</w:t>
            </w:r>
          </w:p>
        </w:tc>
        <w:tc>
          <w:tcPr>
            <w:tcW w:w="4876" w:type="dxa"/>
            <w:tcBorders>
              <w:top w:val="nil"/>
              <w:left w:val="nil"/>
              <w:bottom w:val="nil"/>
              <w:right w:val="nil"/>
            </w:tcBorders>
          </w:tcPr>
          <w:p>
            <w:pPr>
              <w:pStyle w:val="Normal6a"/>
            </w:pPr>
            <w:r>
              <w:t>E.</w:t>
            </w:r>
            <w:r>
              <w:tab/>
            </w:r>
            <w:r>
              <w:t xml:space="preserve">whereas Uzbekistan has benefited from unilateral and preferential access to the EU market through the Generalised Scheme of Preferences Plus (GSP+) since 2021, and its current status is valid until 2027; </w:t>
            </w:r>
            <w:r>
              <w:rPr>
                <w:b/>
                <w:i/>
              </w:rPr>
              <w:t>whereas such unilateral preferences should not be prolonged without ensuring reciprocal advantages for Member Staes;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President Mirziyoyev adopted some promising reforms in 2016, Uzbekistan remains an authoritarian state that has not made any significant progress in the field of democracy and human rights in the last decade, including during the time the EPCA was being negotiated; whereas there is no multiparty political system as no opposition parties are allowed to operate legally; whereas all power is centralised with the executive branch of government while the legislature and judiciary are subjugated to the will of the executive which often rules by decree; whereas there is no media freedom in Uzbekistan; whereas there are regular reports of torture and other ill-treatment which are rarely effectively investigated or punished;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the EU has allocated EUR 43 million for the new bilateral programmes between 2025 and 2027, focusing on support to democratic governance and digital transformation, inclusive digital and green growth, and the development of a smart and eco-friendly agro-food sector; whereas Uzbekistan also benefits from a number of regional EU programmes and investments under the European Fund for Sustainable Development (EFSD+), Global Gateway’s main financial tool;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Uzbekistan has not experienced major terrorist attacks on its territory in recent years, while recalling that the threat of radical Islamist terrorism has not been eradicated and remains a concern for national and regional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Uzbekistan has acceded to 27 international conventions related to labour and human rights, environmental and climate protection, and good governance in order to benefit from this scheme;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assessments by independent international organisations and comparative democracy research consistently indicate that Uzbekistan does not meet the standards of a democratic system of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whereas Uzbekistan has acceded to 27 international conventions related to labour and human rights, environmental and climate protection and good governance in order to benefit from this scheme;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whereas Uzbekistan is the EU’s second-largest trading partner in Central Asia, and whereas the total value of trade between Uzbekistan and the EU was almost EUR 4.8 billion in 2024;</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whereas the Uzbek authorities are also increasingly using forms of transnational repression, in particular exploiting international cooperation mechanisms to pursue bloggers and activists based abroad on politically motivated charges; whereas the government uses both Interpol notices and requests through CIS and SCO, with a rising number of individuals forcibly returned from Turkey and CIS countries in recent years;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whereas Uzbekistan continues to be characterised by persistent restrictions on political pluralism, the absence of genuinely free and fair elections, limited political participation, weak institutional checks and balances, and systematic constraints on fundamental rights and freedoms;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w:t>
            </w:r>
            <w:r>
              <w:tab/>
            </w:r>
            <w:r>
              <w:rPr>
                <w:b/>
                <w:i/>
              </w:rPr>
              <w:t>whereas under President Shavkat Mirziyoyev, economic and political reforms have been undertaken that have led to a gradual improvement the country, despite efforts still needed to be made;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whereas the EU is Uzbekistan’s third-largest trading partner:</w:t>
            </w:r>
            <w:r>
              <w:t xml:space="preserve"> </w:t>
            </w:r>
            <w:r>
              <w:rPr>
                <w:b/>
                <w:i/>
              </w:rPr>
              <w:t>in 2024, 10.4 % of trade was with the EU, and 7.2 % of exports went to the EU;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whereas independent NGOs in Uzbekistan face systematic barriers to registration, with their applications routinely rejected on arbitrary grounds; whereas NGOs are also subject to excessive restrictions on their operations and funding; whereas acquiring government approval for receiving foreign grants is a taxing and overly burdensome process often resulting in refusals or significant delays;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whereas concerns persist regarding the protection of workers’ rights in Uzbekistan, including inadequate enforcement of labour legislation, limited freedom of association, insufficient occupational health and safety standards, low wages, and the lack of effective mechanisms for collective bargaining;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c.</w:t>
            </w:r>
            <w:r>
              <w:tab/>
            </w:r>
            <w:r>
              <w:rPr>
                <w:b/>
                <w:i/>
              </w:rPr>
              <w:t>whereas President Mirziyoyev has reviewed Uzbekistan’s Foreign Policy Concept to enhance global engagement, including with Europe, emphasising stronger economic, investment, education and labour mobility 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d.</w:t>
            </w:r>
            <w:r>
              <w:tab/>
            </w:r>
            <w:r>
              <w:rPr>
                <w:b/>
                <w:i/>
              </w:rPr>
              <w:t>whereas since 2023, Uzbekistan has taken notable legislative steps to address domestic violence; whereas these efforts included recognition of violence against women as a criminal offence rather than a private family matter; whereas despite these legal reforms, there remain significant gaps in enforcement, meaning many cases of domestic violence still do not result in accountability for the perpetrator; whereas support for victims is also still lacking; whereas in May 2025 UN Women opened an office in Tashkent as a next step in the ongoing collaboration between UN Women and the Government of Uzbekistan;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d.</w:t>
            </w:r>
            <w:r>
              <w:tab/>
            </w:r>
            <w:r>
              <w:rPr>
                <w:b/>
                <w:i/>
              </w:rPr>
              <w:t>whereas LGBTIQ+ people in Uzbekistan face widespread legal and social discrimination, including the criminalisation of same-sex sexual activity, which is punishable by imprisonment of up to three years, and whereas such laws and practices contribute to an environment of fear, marginalisation, and violation of fundamental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d.</w:t>
            </w:r>
            <w:r>
              <w:tab/>
            </w:r>
            <w:r>
              <w:rPr>
                <w:b/>
                <w:i/>
              </w:rPr>
              <w:t>whereas President Mirziyoyev has instructed a revision of Uzbekistan’s Defence Doctrine and National Security Concept to ensure the country maintains its neutral status, expands multilateral diplomacy and modernises its armed forces in light of evolving global security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e.</w:t>
            </w:r>
            <w:r>
              <w:tab/>
            </w:r>
            <w:r>
              <w:rPr>
                <w:b/>
                <w:i/>
              </w:rPr>
              <w:t>whereas recent statements by Russian state-affiliated media stated that Central Asia “belongs to Russia” and referring to possible military operations in the region, have caused strong public reactions in Central Asian, including in Uzbekistan, and reflect a pattern of imperial and revisionist rhetoric that undermines the sovereignty and territorial integrity of states in the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e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e.</w:t>
            </w:r>
            <w:r>
              <w:tab/>
            </w:r>
            <w:r>
              <w:rPr>
                <w:b/>
                <w:i/>
              </w:rPr>
              <w:t>whereas consensual same-sex sexual conduct between men is criminalised in Uzbekistan under article 120 of the criminal code, punishable with up to three years in prison; whereas this criminalisation leaves LGBTI people exposed to harassment, threats, and abuse without protection;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f.</w:t>
            </w:r>
            <w:r>
              <w:tab/>
            </w:r>
            <w:r>
              <w:rPr>
                <w:b/>
                <w:i/>
              </w:rPr>
              <w:t>whereas Uzbekistan is experiencing the immediate impact of climate change as temperatures have risen by nearly three times the global average over recent decades; whereas these changes also include frequent droughts, including six dry years recorded between 2019 and 2024, as well as more frequent occurrence of natural disasters which have resulted in average losses of USD 92 million every year;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f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f.</w:t>
            </w:r>
            <w:r>
              <w:tab/>
            </w:r>
            <w:r>
              <w:rPr>
                <w:b/>
                <w:i/>
              </w:rPr>
              <w:t>whereas since Russia’s illegal war of aggression against Ukraine, Central Asian countries have gradually distanced themselves from Russia; whereas it is of critical geopolitical importance that the EU deepens its ties with this region; whereas Uzbekistan has abstained in the votes on the UN resolutions on Ukraine;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E g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g.</w:t>
            </w:r>
            <w:r>
              <w:tab/>
            </w:r>
            <w:r>
              <w:rPr>
                <w:b/>
                <w:i/>
              </w:rPr>
              <w:t>whereas in 2023 President Mirziyoyev conducted a constitutional referendum in order to extend his rule for another 17 years until 2040;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Welcomes the conclusion of the EU-Uzbekistan EPCA, which establishes a new, modern and ambitious framework for deepening bilateral relations; reiterates that the agreement puts a strong emphasis on shared values, democracy and the rule of law, human rights and fundamental freedoms, and sustainable development;</w:t>
            </w:r>
          </w:p>
        </w:tc>
        <w:tc>
          <w:tcPr>
            <w:tcW w:w="4876" w:type="dxa"/>
            <w:tcBorders>
              <w:top w:val="nil"/>
              <w:left w:val="nil"/>
              <w:bottom w:val="nil"/>
              <w:right w:val="nil"/>
            </w:tcBorders>
          </w:tcPr>
          <w:p>
            <w:pPr>
              <w:pStyle w:val="Normal6a"/>
            </w:pPr>
            <w:r>
              <w:t>1.</w:t>
            </w:r>
            <w:r>
              <w:tab/>
            </w:r>
            <w:r>
              <w:t xml:space="preserve">Welcomes the conclusion of the EU-Uzbekistan EPCA, which establishes a new, modern and ambitious framework for deepening bilateral relations; reiterates that the agreement puts a strong emphasis on shared values, democracy and the rule of law, human rights and fundamental freedoms, and sustainable development; </w:t>
            </w:r>
            <w:r>
              <w:rPr>
                <w:b/>
                <w:i/>
              </w:rPr>
              <w:t>underlines that the EPCA should place particular emphasis on cooperation in the fields of counter-terrorism, the fight against radical Islamist extremism, regional security in Central Asia and migration management, in view of the persistent terrorist threat emanating from Afghanistan and the transnational nature of these challenges;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Welcomes the conclusion of the EU-Uzbekistan EPCA, which establishes a new, modern and ambitious framework for deepening bilateral relations; reiterates that the agreement puts a strong emphasis on shared values, democracy and the rule of law, human rights and fundamental freedoms, and sustainable development;</w:t>
            </w:r>
          </w:p>
        </w:tc>
        <w:tc>
          <w:tcPr>
            <w:tcW w:w="4876" w:type="dxa"/>
            <w:tcBorders>
              <w:top w:val="nil"/>
              <w:left w:val="nil"/>
              <w:bottom w:val="nil"/>
              <w:right w:val="nil"/>
            </w:tcBorders>
          </w:tcPr>
          <w:p>
            <w:pPr>
              <w:pStyle w:val="Normal6a"/>
            </w:pPr>
            <w:r>
              <w:t>1.</w:t>
            </w:r>
            <w:r>
              <w:tab/>
            </w:r>
            <w:r>
              <w:t xml:space="preserve">Welcomes the conclusion of the EU-Uzbekistan EPCA, which establishes a new, modern and ambitious framework for deepening bilateral relations; reiterates that the agreement puts a strong emphasis on shared values, democracy and the rule of law, human rights and fundamental freedoms, and sustainable development; </w:t>
            </w:r>
            <w:r>
              <w:rPr>
                <w:b/>
                <w:i/>
              </w:rPr>
              <w:t>underlines that the EPCA supports Uzbekistan's reform agenda by opening new horizons for collaboration in cybersecurity and border security; welcomes the EU-funded Global Gateway initiative’s contribution to digital transformation, specifically its support for the expansion of secure internet access regionally;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Welcomes the conclusion of the EU-Uzbekistan EPCA, which establishes a new, modern and ambitious framework for deepening bilateral relations; reiterates that the agreement puts a strong emphasis on shared values, democracy and the rule of law, human rights and fundamental freedoms, and sustainable development;</w:t>
            </w:r>
          </w:p>
        </w:tc>
        <w:tc>
          <w:tcPr>
            <w:tcW w:w="4876" w:type="dxa"/>
            <w:tcBorders>
              <w:top w:val="nil"/>
              <w:left w:val="nil"/>
              <w:bottom w:val="nil"/>
              <w:right w:val="nil"/>
            </w:tcBorders>
          </w:tcPr>
          <w:p>
            <w:pPr>
              <w:pStyle w:val="Normal6a"/>
            </w:pPr>
            <w:r>
              <w:t>1.</w:t>
            </w:r>
            <w:r>
              <w:tab/>
            </w:r>
            <w:r>
              <w:t xml:space="preserve">Welcomes the conclusion of the EU-Uzbekistan EPCA, which establishes a new, modern and ambitious framework for deepening bilateral relations; reiterates that the agreement puts a strong emphasis on shared values, democracy and the rule of law, human rights and fundamental freedoms, </w:t>
            </w:r>
            <w:r>
              <w:rPr>
                <w:b/>
                <w:i/>
              </w:rPr>
              <w:t>which constitute an integral part of the EPCA and are to be advanced through its institutional framework and regular political dialogue,</w:t>
            </w:r>
            <w:r>
              <w:t xml:space="preserve"> and sustainable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Welcomes</w:t>
            </w:r>
            <w:r>
              <w:t xml:space="preserve"> the conclusion of the EU-Uzbekistan EPCA, which establishes a </w:t>
            </w:r>
            <w:r>
              <w:rPr>
                <w:b/>
                <w:i/>
              </w:rPr>
              <w:t>new, modern and ambitious</w:t>
            </w:r>
            <w:r>
              <w:t xml:space="preserve"> framework for deepening bilateral relations; </w:t>
            </w:r>
            <w:r>
              <w:rPr>
                <w:b/>
                <w:i/>
              </w:rPr>
              <w:t>reiterates that the agreement puts a strong emphasis on shared values, democracy and the rule of law, human rights and fundamental freedoms, and sustainable development</w:t>
            </w:r>
            <w:r>
              <w:t>;</w:t>
            </w:r>
          </w:p>
        </w:tc>
        <w:tc>
          <w:tcPr>
            <w:tcW w:w="4876" w:type="dxa"/>
            <w:tcBorders>
              <w:top w:val="nil"/>
              <w:left w:val="nil"/>
              <w:bottom w:val="nil"/>
              <w:right w:val="nil"/>
            </w:tcBorders>
          </w:tcPr>
          <w:p>
            <w:pPr>
              <w:pStyle w:val="Normal6a"/>
            </w:pPr>
            <w:r>
              <w:t>1.</w:t>
            </w:r>
            <w:r>
              <w:tab/>
            </w:r>
            <w:r>
              <w:rPr>
                <w:b/>
                <w:i/>
              </w:rPr>
              <w:t>Notes</w:t>
            </w:r>
            <w:r>
              <w:t xml:space="preserve"> the conclusion of the EU-Uzbekistan EPCA, which establishes a framework for deepening bilateral relations; </w:t>
            </w:r>
            <w:r>
              <w:rPr>
                <w:b/>
                <w:i/>
              </w:rPr>
              <w:t>stresses that cooperation should remain pragmatic and interest-based, instead of value-based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Welcomes</w:t>
            </w:r>
            <w:r>
              <w:t xml:space="preserve"> the conclusion of the EU-Uzbekistan EPCA, which establishes a new, modern and ambitious framework for deepening bilateral relations; </w:t>
            </w:r>
            <w:r>
              <w:rPr>
                <w:b/>
                <w:i/>
              </w:rPr>
              <w:t>reiterates</w:t>
            </w:r>
            <w:r>
              <w:t xml:space="preserve"> that the agreement puts a strong emphasis on shared values, democracy and the rule of law, human rights and fundamental freedoms, and sustainable development;</w:t>
            </w:r>
          </w:p>
        </w:tc>
        <w:tc>
          <w:tcPr>
            <w:tcW w:w="4876" w:type="dxa"/>
            <w:tcBorders>
              <w:top w:val="nil"/>
              <w:left w:val="nil"/>
              <w:bottom w:val="nil"/>
              <w:right w:val="nil"/>
            </w:tcBorders>
          </w:tcPr>
          <w:p>
            <w:pPr>
              <w:pStyle w:val="Normal6a"/>
            </w:pPr>
            <w:r>
              <w:t>1.</w:t>
            </w:r>
            <w:r>
              <w:tab/>
            </w:r>
            <w:r>
              <w:rPr>
                <w:b/>
                <w:i/>
              </w:rPr>
              <w:t>Notes</w:t>
            </w:r>
            <w:r>
              <w:t xml:space="preserve"> the conclusion of the EU-Uzbekistan EPCA, which establishes a new, modern and ambitious framework for deepening bilateral relations; </w:t>
            </w:r>
            <w:r>
              <w:rPr>
                <w:b/>
                <w:i/>
              </w:rPr>
              <w:t>welcomes</w:t>
            </w:r>
            <w:r>
              <w:t xml:space="preserve"> that the agreement puts a strong emphasis on shared values, democracy and the rule of law, human rights and fundamental freedoms, and sustainable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Is concerned that the situation of human rights, democracy and rule of law in Uzbekistan remains deeply worrying, with limited genuine progress, particularly in the context of the completion of negotiations and the signing of the EPCA; insists on the full implementation of the essential elements of the agreement, such as the respect for democratic principles, human rights and fundamental freedoms, and the principle of rule of law enshrined in the agreement; underlines the importance of Parliament’s close involvement in monitoring the implementation of all parts of the EPCA; recalls the EP position on the EPCA with Kyrgyzstan that the approval of an EPCA requires full compliance with the partner country’s duty to protect human rights and uphold democratic standards; considers it imperative that, given the lack of improvement of the human rights situation, the Uzbek government takes some concrete steps in addressing the pressing concerns outlined in this report prior to the approval of the agreement, in particular ending the persecution of human rights defenders, journalists, bloggers, and activists, and releasing those imprisoned for peacefully exercising their rights as well as decriminalising consensual same-sex relations; calls for an effective evaluation by both parties to the agreement, to be conducted within two years by the Commission in consultation with human rights organisations, of the implementation of its essential elements, with clear human rights benchmarks and time frames; calls on the Commission to present to the Parliament the outcome of such evaluations; stresses that a negative assessment of the implementation of these essential elements shall lead to the suspension, in part or in full, of the agreement as per Article 343 of the EPCA;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Commends the long-standing and strategic relationship between the EU and Uzbekistan, as well as the increasing cooperation and exchanges in various formats; reiterates the EU’s commitment to working together with the country, and with the EU’s partners in Central Asia, to ensure peace, security, stability, prosperity and sustainable development;</w:t>
            </w:r>
          </w:p>
        </w:tc>
        <w:tc>
          <w:tcPr>
            <w:tcW w:w="4876" w:type="dxa"/>
            <w:tcBorders>
              <w:top w:val="nil"/>
              <w:left w:val="nil"/>
              <w:bottom w:val="nil"/>
              <w:right w:val="nil"/>
            </w:tcBorders>
          </w:tcPr>
          <w:p>
            <w:pPr>
              <w:pStyle w:val="Normal6a"/>
            </w:pPr>
            <w:r>
              <w:t>2.</w:t>
            </w:r>
            <w:r>
              <w:tab/>
            </w:r>
            <w:r>
              <w:t xml:space="preserve">Commends the long-standing and strategic relationship between the EU and Uzbekistan, as well as the increasing cooperation and exchanges in various formats; reiterates the EU’s commitment to working together with the country, and with the EU’s partners in Central Asia, to ensure peace, security, stability, prosperity and sustainable development; </w:t>
            </w:r>
            <w:r>
              <w:rPr>
                <w:b/>
                <w:i/>
              </w:rPr>
              <w:t>commends the underscoring improvement in the national business environment as well as the continued influx of foreign investment; welcomes the EU-Central Asia Summit held in April 2025 in Samarkand as a strategic turning point, which elevated regional engagement from technical cooperation to a high-level political partnership;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Commends the long-standing and strategic relationship between the EU and Uzbekistan, as well as the increasing cooperation and exchanges in various formats; reiterates the EU’s commitment to working together with the country, and with the EU’s partners in Central Asia, to ensure peace, security, stability, prosperity and sustainable development;</w:t>
            </w:r>
          </w:p>
        </w:tc>
        <w:tc>
          <w:tcPr>
            <w:tcW w:w="4876" w:type="dxa"/>
            <w:tcBorders>
              <w:top w:val="nil"/>
              <w:left w:val="nil"/>
              <w:bottom w:val="nil"/>
              <w:right w:val="nil"/>
            </w:tcBorders>
          </w:tcPr>
          <w:p>
            <w:pPr>
              <w:pStyle w:val="Normal6a"/>
            </w:pPr>
            <w:r>
              <w:t>2.</w:t>
            </w:r>
            <w:r>
              <w:tab/>
            </w:r>
            <w:r>
              <w:t>Commends the long-standing and strategic relationship between the EU and Uzbekistan, as well as the increasing cooperation and exchanges in various formats; reiterates the EU’s commitment to working together with the country, and with the EU’s partners in Central Asia, to ensure peace, security, stability, prosperity</w:t>
            </w:r>
            <w:r>
              <w:rPr>
                <w:b/>
                <w:i/>
              </w:rPr>
              <w:t>, human rights, climate justice,</w:t>
            </w:r>
            <w:r>
              <w:t xml:space="preserve"> and sustainable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Commends the long-standing and strategic relationship between the EU and Uzbekistan, as well as the increasing cooperation and exchanges in various formats; reiterates the EU’s commitment to working together with the country, and with the EU’s partners in Central Asia, to ensure peace, security, stability, prosperity and sustainable development;</w:t>
            </w:r>
          </w:p>
        </w:tc>
        <w:tc>
          <w:tcPr>
            <w:tcW w:w="4876" w:type="dxa"/>
            <w:tcBorders>
              <w:top w:val="nil"/>
              <w:left w:val="nil"/>
              <w:bottom w:val="nil"/>
              <w:right w:val="nil"/>
            </w:tcBorders>
          </w:tcPr>
          <w:p>
            <w:pPr>
              <w:pStyle w:val="Normal6a"/>
            </w:pPr>
            <w:r>
              <w:t>2.</w:t>
            </w:r>
            <w:r>
              <w:tab/>
            </w:r>
            <w:r>
              <w:t>Commends the long-standing and strategic relationship between the EU and Uzbekistan, as well as the increasing cooperation and exchanges in various formats; reiterates the EU’s commitment to working together with the country, and with the EU’s partners in Central Asia, to ensure peace, security, stability, prosperity</w:t>
            </w:r>
            <w:r>
              <w:rPr>
                <w:b/>
                <w:i/>
              </w:rPr>
              <w:t>, human rights, media freedom,</w:t>
            </w:r>
            <w:r>
              <w:t xml:space="preserve"> and sustainable development;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Commends the long-standing and strategic relationship between the EU and Uzbekistan, as well as the increasing cooperation and exchanges in various formats; reiterates the EU’s commitment to working together with the country, and with the EU’s partners in Central Asia, to ensure peace, security, stability, prosperity and sustainable development;</w:t>
            </w:r>
          </w:p>
        </w:tc>
        <w:tc>
          <w:tcPr>
            <w:tcW w:w="4876" w:type="dxa"/>
            <w:tcBorders>
              <w:top w:val="nil"/>
              <w:left w:val="nil"/>
              <w:bottom w:val="nil"/>
              <w:right w:val="nil"/>
            </w:tcBorders>
          </w:tcPr>
          <w:p>
            <w:pPr>
              <w:pStyle w:val="Normal6a"/>
            </w:pPr>
            <w:r>
              <w:t>2.</w:t>
            </w:r>
            <w:r>
              <w:tab/>
            </w:r>
            <w:r>
              <w:t xml:space="preserve">Commends the long-standing and strategic relationship between the EU and Uzbekistan, as well as the increasing cooperation and exchanges in various formats; reiterates the EU’s commitment to working together with the country, and with the EU’s partners in Central Asia, to ensure peace, security, </w:t>
            </w:r>
            <w:r>
              <w:rPr>
                <w:b/>
                <w:i/>
              </w:rPr>
              <w:t>democracy,</w:t>
            </w:r>
            <w:r>
              <w:t xml:space="preserve"> stability, prosperity and sustainable development;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Commends</w:t>
            </w:r>
            <w:r>
              <w:t xml:space="preserve"> the long-standing </w:t>
            </w:r>
            <w:r>
              <w:rPr>
                <w:b/>
                <w:i/>
              </w:rPr>
              <w:t>and strategic</w:t>
            </w:r>
            <w:r>
              <w:t xml:space="preserve"> relationship between the EU and Uzbekistan, as well as the increasing cooperation and exchanges </w:t>
            </w:r>
            <w:r>
              <w:rPr>
                <w:b/>
                <w:i/>
              </w:rPr>
              <w:t>in various formats; reiterates the EU’s commitment to working together with the country, and with the EU’s partners in Central Asia, to ensure peace, security,</w:t>
            </w:r>
            <w:r>
              <w:t xml:space="preserve"> stability</w:t>
            </w:r>
            <w:r>
              <w:rPr>
                <w:b/>
                <w:i/>
              </w:rPr>
              <w:t>, prosperity and sustainable development</w:t>
            </w:r>
            <w:r>
              <w:t>;</w:t>
            </w:r>
          </w:p>
        </w:tc>
        <w:tc>
          <w:tcPr>
            <w:tcW w:w="4876" w:type="dxa"/>
            <w:tcBorders>
              <w:top w:val="nil"/>
              <w:left w:val="nil"/>
              <w:bottom w:val="nil"/>
              <w:right w:val="nil"/>
            </w:tcBorders>
          </w:tcPr>
          <w:p>
            <w:pPr>
              <w:pStyle w:val="Normal6a"/>
            </w:pPr>
            <w:r>
              <w:t>2.</w:t>
            </w:r>
            <w:r>
              <w:tab/>
            </w:r>
            <w:r>
              <w:rPr>
                <w:b/>
                <w:i/>
              </w:rPr>
              <w:t>Notes</w:t>
            </w:r>
            <w:r>
              <w:t xml:space="preserve"> the long-standing relationship between the EU and Uzbekistan, as well as the increasing cooperation and exchanges</w:t>
            </w:r>
            <w:r>
              <w:rPr>
                <w:b/>
                <w:i/>
              </w:rPr>
              <w:t>; warns against the EU supporting short term</w:t>
            </w:r>
            <w:r>
              <w:t xml:space="preserve"> stability </w:t>
            </w:r>
            <w:r>
              <w:rPr>
                <w:b/>
                <w:i/>
              </w:rPr>
              <w:t>in the expectation of a future liberalisation that may not materialise, while EU taxpayers finance reforms without clear returns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Reiterates that the European Union’s partnerships and external engagements should not be guided solely by geopolitical or strategic considerations, and stresses that such partnerships must under no circumstances come at the expense of the EU’s core values, as enshrined in Article 2 of the Treaty on European Union (TEU), including respect for human dignity, freedom, democracy, equality, the rule of law, and human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Stresses that Central Asia, including Uzbekistan, is of strategic importance to the European Union in areas such as security, energy diversification and critical raw materials, transport and digital connectivity;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Calls for the implementation of the reform agenda under the Uzbekistan 2030 strategy to be continued, in particular as regards the strengthening of the rule of law, human rights and governance;</w:t>
            </w:r>
          </w:p>
        </w:tc>
        <w:tc>
          <w:tcPr>
            <w:tcW w:w="4876" w:type="dxa"/>
            <w:tcBorders>
              <w:top w:val="nil"/>
              <w:left w:val="nil"/>
              <w:bottom w:val="nil"/>
              <w:right w:val="nil"/>
            </w:tcBorders>
          </w:tcPr>
          <w:p>
            <w:pPr>
              <w:pStyle w:val="Normal6a"/>
            </w:pPr>
            <w:r>
              <w:t>3.</w:t>
            </w:r>
            <w:r>
              <w:tab/>
            </w:r>
            <w:r>
              <w:t xml:space="preserve">Calls for the implementation of the reform agenda under the Uzbekistan 2030 strategy to be continued, in particular as regards the strengthening of the rule of law, human rights and </w:t>
            </w:r>
            <w:r>
              <w:rPr>
                <w:b/>
                <w:i/>
              </w:rPr>
              <w:t>good</w:t>
            </w:r>
            <w:r>
              <w:t xml:space="preserve"> governance; </w:t>
            </w:r>
            <w:r>
              <w:rPr>
                <w:b/>
                <w:i/>
              </w:rPr>
              <w:t>stresses the importance of public consultation in the reform process of Uzbekistan; regrets however that Uzbekistan's human rights record has worsened in many areas since the start of the negotiations of the EPCA and calls on the authorities to urgently improve the environment for civil society and 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Calls for the implementation of the reform agenda under the Uzbekistan 2030 strategy to be continued, in particular as regards the strengthening of the rule of law, human rights and governance;</w:t>
            </w:r>
          </w:p>
        </w:tc>
        <w:tc>
          <w:tcPr>
            <w:tcW w:w="4876" w:type="dxa"/>
            <w:tcBorders>
              <w:top w:val="nil"/>
              <w:left w:val="nil"/>
              <w:bottom w:val="nil"/>
              <w:right w:val="nil"/>
            </w:tcBorders>
          </w:tcPr>
          <w:p>
            <w:pPr>
              <w:pStyle w:val="Normal6a"/>
            </w:pPr>
            <w:r>
              <w:t>3.</w:t>
            </w:r>
            <w:r>
              <w:tab/>
            </w:r>
            <w:r>
              <w:t xml:space="preserve">Calls for the implementation of the reform agenda under the Uzbekistan 2030 strategy to be continued, in particular as regards the strengthening of the rule of law, human rights and </w:t>
            </w:r>
            <w:r>
              <w:rPr>
                <w:b/>
                <w:i/>
              </w:rPr>
              <w:t>good</w:t>
            </w:r>
            <w:r>
              <w:t xml:space="preserve"> governance; </w:t>
            </w:r>
            <w:r>
              <w:rPr>
                <w:b/>
                <w:i/>
              </w:rPr>
              <w:t>regrets however that Uzbekistan’s human rights record has worsened in many areas since the start of negotiations of the EPCA and calls on the authorities to urgently improve the environment for civil society and media;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Calls for the implementation of the reform agenda under the Uzbekistan 2030 strategy to be continued, in particular as regards the strengthening of the rule of law, human rights and governance;</w:t>
            </w:r>
          </w:p>
        </w:tc>
        <w:tc>
          <w:tcPr>
            <w:tcW w:w="4876" w:type="dxa"/>
            <w:tcBorders>
              <w:top w:val="nil"/>
              <w:left w:val="nil"/>
              <w:bottom w:val="nil"/>
              <w:right w:val="nil"/>
            </w:tcBorders>
          </w:tcPr>
          <w:p>
            <w:pPr>
              <w:pStyle w:val="Normal6a"/>
            </w:pPr>
            <w:r>
              <w:t>3.</w:t>
            </w:r>
            <w:r>
              <w:tab/>
            </w:r>
            <w:r>
              <w:t xml:space="preserve">Calls for the implementation of the reform agenda under the Uzbekistan 2030 strategy to be continued, </w:t>
            </w:r>
            <w:r>
              <w:rPr>
                <w:b/>
                <w:i/>
              </w:rPr>
              <w:t>welcoming the progress achieved so far and underlining the importance of EU support, technical assistance and parliamentary dialogue in accompanying further reforms,</w:t>
            </w:r>
            <w:r>
              <w:t xml:space="preserve"> in particular as regards the strengthening of the rule of law, human rights and governance;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Marie-Agnes Strack-Zimmermann,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Calls for the implementation of the reform agenda under the Uzbekistan 2030 strategy to be continued, in particular as regards the strengthening of the rule of law, human rights and governance;</w:t>
            </w:r>
          </w:p>
        </w:tc>
        <w:tc>
          <w:tcPr>
            <w:tcW w:w="4876" w:type="dxa"/>
            <w:tcBorders>
              <w:top w:val="nil"/>
              <w:left w:val="nil"/>
              <w:bottom w:val="nil"/>
              <w:right w:val="nil"/>
            </w:tcBorders>
          </w:tcPr>
          <w:p>
            <w:pPr>
              <w:pStyle w:val="Normal6a"/>
            </w:pPr>
            <w:r>
              <w:t>3.</w:t>
            </w:r>
            <w:r>
              <w:tab/>
            </w:r>
            <w:r>
              <w:t xml:space="preserve">Calls for the implementation of the reform agenda under the Uzbekistan 2030 strategy to be continued, in particular as regards the strengthening of the rule of law, human rights and </w:t>
            </w:r>
            <w:r>
              <w:rPr>
                <w:b/>
                <w:i/>
              </w:rPr>
              <w:t>good</w:t>
            </w:r>
            <w:r>
              <w:t xml:space="preserve"> governance; </w:t>
            </w:r>
            <w:r>
              <w:rPr>
                <w:b/>
                <w:i/>
              </w:rPr>
              <w:t>underlines that the environment of human rights and civil society should be further improved;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Commends legislative reforms which have somewhat updated criminal procedure norms and judicial frameworks to align more closely with internationally recognised standards, including new laws criminalising gender-based violence, the introduction of an investigating judge system and certain adjustments to powers related to warrants and searches aiming to strengthen judicial independence in criminal justice, as well as projects with the United Nations Development Programme aiming to provide free legal assistance to citizens; calls for continued and increased action in these regards;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Marie-Agnes Strack-Zimmermann,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Underlines the importance of implementing the recommendations made by the Organization for Security and Co-operation in Europe’s Office for Democratic Institutions and Human Rights, following their election observation missions; stresses the need to foster a more dynamic, diverse and competitive political environment in Uzbekistan that would better reflect the views of its citizens and give them a genuine choice in elections; calls for the inclusion of independent and opposition candidates in future parliamentary elections;</w:t>
            </w:r>
          </w:p>
        </w:tc>
        <w:tc>
          <w:tcPr>
            <w:tcW w:w="4876" w:type="dxa"/>
            <w:tcBorders>
              <w:top w:val="nil"/>
              <w:left w:val="nil"/>
              <w:bottom w:val="nil"/>
              <w:right w:val="nil"/>
            </w:tcBorders>
          </w:tcPr>
          <w:p>
            <w:pPr>
              <w:pStyle w:val="Normal6a"/>
            </w:pPr>
            <w:r>
              <w:t>4.</w:t>
            </w:r>
            <w:r>
              <w:tab/>
            </w:r>
            <w:r>
              <w:t xml:space="preserve">Underlines the importance of implementing the recommendations made by the Organization for Security and Co-operation in Europe’s Office for Democratic Institutions and Human Rights, following their election observation missions; stresses the need to foster a more dynamic, diverse and competitive political environment in Uzbekistan that would better reflect the views of its citizens and give them a genuine choice in elections; calls for the inclusion of independent and opposition candidates in future parliamentary elections; </w:t>
            </w:r>
            <w:r>
              <w:rPr>
                <w:b/>
                <w:i/>
              </w:rPr>
              <w:t>calls on Uzbekistan to take efforts to attract and support women politicians to ensure greater gender parity in politics; calls for respect for freedom of expression and media freedom during elections;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Underlines the importance of implementing the recommendations made by the Organization for Security and Co-operation in Europe’s Office for Democratic Institutions and Human Rights, following their election observation missions; stresses the need to foster a more dynamic, diverse and competitive political environment in Uzbekistan that would better reflect the views of its citizens and give them a genuine choice in elections; calls for the inclusion of independent and opposition candidates in future parliamentary elections;</w:t>
            </w:r>
          </w:p>
        </w:tc>
        <w:tc>
          <w:tcPr>
            <w:tcW w:w="4876" w:type="dxa"/>
            <w:tcBorders>
              <w:top w:val="nil"/>
              <w:left w:val="nil"/>
              <w:bottom w:val="nil"/>
              <w:right w:val="nil"/>
            </w:tcBorders>
          </w:tcPr>
          <w:p>
            <w:pPr>
              <w:pStyle w:val="Normal6a"/>
            </w:pPr>
            <w:r>
              <w:t>4.</w:t>
            </w:r>
            <w:r>
              <w:tab/>
            </w:r>
            <w:r>
              <w:t xml:space="preserve">Underlines the importance of implementing the recommendations made by the Organization for Security and Co-operation in Europe’s Office for Democratic Institutions and Human Rights, following their election observation missions; stresses the need to foster a more dynamic, diverse and competitive political environment in Uzbekistan that would better reflect the views of its citizens and give them a genuine choice in elections; calls for the inclusion of independent and opposition candidates in future parliamentary elections; </w:t>
            </w:r>
            <w:r>
              <w:rPr>
                <w:b/>
                <w:i/>
              </w:rPr>
              <w:t>calls on Uzbekistan to take efforts to attract and support women candidates to ensure greater gender parity in politics; calls for respect for freedom of expression and media freedom during elections;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Underlines the importance of implementing the recommendations made by the Organization for Security and Co-operation in Europe’s Office for Democratic Institutions and Human Rights, following their election observation missions; stresses the need to foster a more dynamic, diverse and competitive political environment in Uzbekistan that would better reflect the views of its citizens and give them a genuine choice in elections; calls for the inclusion of independent and opposition candidates in future parliamentary elections;</w:t>
            </w:r>
          </w:p>
        </w:tc>
        <w:tc>
          <w:tcPr>
            <w:tcW w:w="4876" w:type="dxa"/>
            <w:tcBorders>
              <w:top w:val="nil"/>
              <w:left w:val="nil"/>
              <w:bottom w:val="nil"/>
              <w:right w:val="nil"/>
            </w:tcBorders>
          </w:tcPr>
          <w:p>
            <w:pPr>
              <w:pStyle w:val="Normal6a"/>
            </w:pPr>
            <w:r>
              <w:t>4.</w:t>
            </w:r>
            <w:r>
              <w:tab/>
            </w:r>
            <w:r>
              <w:t xml:space="preserve">Underlines the importance of implementing the recommendations made by the Organization for Security and Co-operation in Europe’s Office for Democratic Institutions and Human Rights, following their election observation missions; stresses the need to foster a more dynamic, diverse and competitive political environment in Uzbekistan that would better reflect the views of its citizens and give them a genuine choice in elections; calls for the inclusion of independent and opposition candidates in future parliamentary elections; </w:t>
            </w:r>
            <w:r>
              <w:rPr>
                <w:b/>
                <w:i/>
              </w:rPr>
              <w:t>calls on Uzbekistan to make efforts to attract and support women candidates to ensure greater gender parity in politics; calls for respect for freedom of expression and media freedom during elections;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Underlines the importance of implementing the recommendations made by the Organization for Security and Co-operation in Europe’s Office for Democratic Institutions and Human Rights, following their election observation missions; stresses the need to foster a more dynamic, diverse and competitive political environment in Uzbekistan that would better reflect the views of its citizens and give them a genuine choice in elections; </w:t>
            </w:r>
            <w:r>
              <w:rPr>
                <w:b/>
                <w:i/>
              </w:rPr>
              <w:t>calls for</w:t>
            </w:r>
            <w:r>
              <w:t xml:space="preserve"> the inclusion of independent and opposition candidates in future parliamentary elections;</w:t>
            </w:r>
          </w:p>
        </w:tc>
        <w:tc>
          <w:tcPr>
            <w:tcW w:w="4876" w:type="dxa"/>
            <w:tcBorders>
              <w:top w:val="nil"/>
              <w:left w:val="nil"/>
              <w:bottom w:val="nil"/>
              <w:right w:val="nil"/>
            </w:tcBorders>
          </w:tcPr>
          <w:p>
            <w:pPr>
              <w:pStyle w:val="Normal6a"/>
            </w:pPr>
            <w:r>
              <w:t>4.</w:t>
            </w:r>
            <w:r>
              <w:tab/>
            </w:r>
            <w:r>
              <w:t xml:space="preserve">Underlines the importance of implementing the recommendations made by the Organization for Security and Co-operation in Europe’s Office for Democratic Institutions and Human Rights, following their election observation missions; stresses the need to foster a more dynamic, diverse and competitive political environment in Uzbekistan that would better reflect the views of its citizens and give them a genuine choice in elections; </w:t>
            </w:r>
            <w:r>
              <w:rPr>
                <w:b/>
                <w:i/>
              </w:rPr>
              <w:t>insists on</w:t>
            </w:r>
            <w:r>
              <w:t xml:space="preserve"> the inclusion of independent and opposition candidates in future parliamentary elections</w:t>
            </w:r>
            <w:r>
              <w:rPr>
                <w:b/>
                <w:i/>
              </w:rPr>
              <w:t>, so that the basic requirements for democracy are met</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Underlines that the EPCA paves the way for enhanced cooperation in foreign and security policy, with a focus on regional stability and international cooperation, the non-proliferation of weapons of mass destruction, conflict prevention and crisis management;</w:t>
            </w:r>
          </w:p>
        </w:tc>
        <w:tc>
          <w:tcPr>
            <w:tcW w:w="4876" w:type="dxa"/>
            <w:tcBorders>
              <w:top w:val="nil"/>
              <w:left w:val="nil"/>
              <w:bottom w:val="nil"/>
              <w:right w:val="nil"/>
            </w:tcBorders>
          </w:tcPr>
          <w:p>
            <w:pPr>
              <w:pStyle w:val="Normal6a"/>
            </w:pPr>
            <w:r>
              <w:t>5.</w:t>
            </w:r>
            <w:r>
              <w:tab/>
            </w:r>
            <w:r>
              <w:t xml:space="preserve">Underlines that the EPCA paves the way for enhanced cooperation in foreign and security policy, with a focus on regional stability and international cooperation, the non-proliferation of weapons of mass destruction, conflict prevention and crisis management; </w:t>
            </w:r>
            <w:r>
              <w:rPr>
                <w:b/>
                <w:i/>
              </w:rPr>
              <w:t>stresses that this cooperation should focus on migration, counter-terrorism, the fight against radical Islamist extremism, and the security implications of regional instability, in particular in relation to Afghanistan and Central Asia;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Underlines that the EPCA paves the way for enhanced cooperation in foreign and security policy, with a focus on regional stability and international cooperation, the non-proliferation of weapons of mass destruction, conflict prevention and crisis management;</w:t>
            </w:r>
          </w:p>
        </w:tc>
        <w:tc>
          <w:tcPr>
            <w:tcW w:w="4876" w:type="dxa"/>
            <w:tcBorders>
              <w:top w:val="nil"/>
              <w:left w:val="nil"/>
              <w:bottom w:val="nil"/>
              <w:right w:val="nil"/>
            </w:tcBorders>
          </w:tcPr>
          <w:p>
            <w:pPr>
              <w:pStyle w:val="Normal6a"/>
            </w:pPr>
            <w:r>
              <w:t>5.</w:t>
            </w:r>
            <w:r>
              <w:tab/>
            </w:r>
            <w:r>
              <w:t xml:space="preserve">Underlines that the EPCA paves the way for enhanced cooperation in foreign and security policy, with a focus on regional stability and international cooperation, the non-proliferation of weapons of mass destruction, conflict prevention and crisis management; </w:t>
            </w:r>
            <w:r>
              <w:rPr>
                <w:b/>
                <w:i/>
              </w:rPr>
              <w:t>stresses at the same time that the EU has the moral obligation to use pending approval and implementation of the EPCA should encourage genuine reform, rather than a reward for unfulfilled promises;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Underlines that the EPCA paves the way for enhanced cooperation in foreign and security policy</w:t>
            </w:r>
            <w:r>
              <w:rPr>
                <w:b/>
                <w:i/>
              </w:rPr>
              <w:t>, with a focus on regional stability and international</w:t>
            </w:r>
            <w:r>
              <w:t xml:space="preserve"> cooperation</w:t>
            </w:r>
            <w:r>
              <w:rPr>
                <w:b/>
                <w:i/>
              </w:rPr>
              <w:t>, the non-proliferation of weapons of mass destruction, conflict prevention and crisis management</w:t>
            </w:r>
            <w:r>
              <w:t>;</w:t>
            </w:r>
          </w:p>
        </w:tc>
        <w:tc>
          <w:tcPr>
            <w:tcW w:w="4876" w:type="dxa"/>
            <w:tcBorders>
              <w:top w:val="nil"/>
              <w:left w:val="nil"/>
              <w:bottom w:val="nil"/>
              <w:right w:val="nil"/>
            </w:tcBorders>
          </w:tcPr>
          <w:p>
            <w:pPr>
              <w:pStyle w:val="Normal6a"/>
            </w:pPr>
            <w:r>
              <w:t>5.</w:t>
            </w:r>
            <w:r>
              <w:tab/>
            </w:r>
            <w:r>
              <w:t>Underlines that the EPCA paves the way for enhanced cooperation in foreign and security policy</w:t>
            </w:r>
            <w:r>
              <w:rPr>
                <w:b/>
                <w:i/>
              </w:rPr>
              <w:t>; stresses that such</w:t>
            </w:r>
            <w:r>
              <w:t xml:space="preserve"> cooperation </w:t>
            </w:r>
            <w:r>
              <w:rPr>
                <w:b/>
                <w:i/>
              </w:rPr>
              <w:t>must not be used to align Uzbekistan with EU geopolitical positions by default, and should remain voluntary, limited and based on clearly defined mutual interests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Highlights the importance of strengthening cooperation, where appropriate and in line with respective mandates, between the competent authorities of Uzbekistan, the Member states, and relevant EU agencies, including Europol, Eurojust, Frontex, eu-LISA and the European Union Agency for Asylum (EUAA), to enhance counter-terrorism efforts, improving migration and asylum management, strengthening border security, and addressing the links between irregular migration, organised crime and security threats;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Notes its reservations concerning Uzbekistan's participation in the Organization of Turkic States, since it is the only international organisation referencing race, which indirectly or directly contradicts international law and human rights.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Welcomes the strategic objective of Uzbekistan to promote enhanced regional connectivity, including through the development of cross-border logistical, transport, and infrastructure integration initiatives across the wider region;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Welcomes the upgrade of relations between the EU and Central Asia to the level of a strategic partnership; calls for the momentum of this progress to be maintained by implementing the Joint Roadmap for Deepening Ties between the EU and Central Asia; appreciates the constructive role of Uzbekistan in fostering regional cooperation;</w:t>
            </w:r>
          </w:p>
        </w:tc>
        <w:tc>
          <w:tcPr>
            <w:tcW w:w="4876" w:type="dxa"/>
            <w:tcBorders>
              <w:top w:val="nil"/>
              <w:left w:val="nil"/>
              <w:bottom w:val="nil"/>
              <w:right w:val="nil"/>
            </w:tcBorders>
          </w:tcPr>
          <w:p>
            <w:pPr>
              <w:pStyle w:val="Normal6a"/>
            </w:pPr>
            <w:r>
              <w:t>6.</w:t>
            </w:r>
            <w:r>
              <w:tab/>
            </w:r>
            <w:r>
              <w:t xml:space="preserve">Welcomes the upgrade of relations between the EU and Central Asia to the level of a strategic partnership; calls for the momentum of this progress to be maintained by implementing the Joint Roadmap for Deepening Ties between the EU and Central Asia; appreciates the constructive role of Uzbekistan in fostering regional cooperation </w:t>
            </w:r>
            <w:r>
              <w:rPr>
                <w:b/>
                <w:i/>
              </w:rPr>
              <w:t>and its active participation in the discussions on the Cross-Regional Connectivity Agenda that will foster long-term shared economic opportunities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Welcomes the first meeting of the Team Europe Initiative Steering Committee on Water, Energy and Climate Change, bringing together Kazakhstan, the Kyrgyz Republic, Tajikistan, Turkmenistan, and Uzbekistan, held in Tashkent in November 2025, to enhance regional cooperation under the EU’s Global Gateway framework; calls on the EU and Uzbekistan to further step up their collaboration in the fight against climate change as Uzbekistan is experiencing the challenges of rising temperatures, droughts and natural disasters; calls in particular for increased efforts from the EU to support enhanced regional coordination on water and energy management under climate change in Uzbekistan;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Highlights the importance of enhanced regional and transregional connectivity as a key pillar of the EU–Central Asia strategic partnership; welcomes efforts to strengthen sustainable, resilient and mutually beneficial transport, energy and digital connectivity linking Central Asia with Europe, in line with the outcomes of the first EU–Central Asia Summit held in Samarkand, and underlines the strategic role of Uzbekistan as a regional hub for connectivity and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Reiterates that governments of Central Asian countries should take concrete and sustained measures to improve the protection of human rights and fundamental freedoms, strengthen democratic governance, ensure gender equality and the full enjoyment of women’s rights, guarantee the rights and protection of LGBTIQ+ people, and uphold fair working conditions and workers’ rights, in line with international standards and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Takes note of Uzbekistan’s National Human Rights Strategy, adopted in 2020, with a successor strategy under development, to guide reforms, including protection of civil, political, economic, social, and cultural rights; encourages prompt implementation of the strategy and increased ambition in the successor strategy;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Underlines the importance of the Trans-Caspian Transport Corridor in boosting connection flows between the European Union and Central Asia;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Underlines that the leaders of the EU and the Central Asian states have committed to cooperate for peace, security and democracy, and to fully respect international law, including the UN Charter and the fundamental principles of respect for the independence, sovereignty and territorial integrity of all states, within their internationally recognised borders;</w:t>
            </w:r>
          </w:p>
        </w:tc>
        <w:tc>
          <w:tcPr>
            <w:tcW w:w="4876" w:type="dxa"/>
            <w:tcBorders>
              <w:top w:val="nil"/>
              <w:left w:val="nil"/>
              <w:bottom w:val="nil"/>
              <w:right w:val="nil"/>
            </w:tcBorders>
          </w:tcPr>
          <w:p>
            <w:pPr>
              <w:pStyle w:val="Normal6a"/>
            </w:pPr>
            <w:r>
              <w:t>7.</w:t>
            </w:r>
            <w:r>
              <w:tab/>
            </w:r>
            <w:r>
              <w:t xml:space="preserve">Underlines that the leaders of the EU and the Central Asian states have committed to cooperate for peace, security and democracy, and to fully respect international law, including the UN Charter and the fundamental principles of respect for the independence, sovereignty and territorial integrity of all states, within their internationally recognised borders; </w:t>
            </w:r>
            <w:r>
              <w:rPr>
                <w:b/>
                <w:i/>
              </w:rPr>
              <w:t>looks forward to seeing strong concrete efforts in pursuit of these objectives;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Condemns Uzbekistan's participation in the Organisation of Turkic States (OTS) summit in Bishkek (Kyrgyz Republic), which included and granted OTS observer status to the Turkish Cypriot secessionist entity, the so-called, internationally not recognised, “Turkish Republic of Northern Cyprus” (“TRNC”); reiterates that, as part of the Joint Declaration following the First European Union–Central Asia Summit, Uzbekistan is committed to the relevant United Nations Security Council Resolutions 541 (1983) and 550 (1984);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Notes Uzbekistan’s parallel efforts to address emigration challenges by expanding domestic employment opportunities and focusing on improving skills development; recognises the commitment to creating conditions that reduce reliance on outward labour migration, while supporting the reintegration of returning migrants, primarily from Russia;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considers that the 2019 New EU Strategy on Central Asia should be updated to reflect the enhanced importance of the region, and to be adapted to current geopolitical challenges;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w:t>
            </w:r>
            <w:r>
              <w:tab/>
            </w:r>
            <w:r>
              <w:rPr>
                <w:b/>
                <w:i/>
              </w:rPr>
              <w:t>Welcomes the initiative to hold the first Central Asia–EU Inter-Parliamentary Forum in Samarkand on 30–31 March 2026, as a significant step in deepening parliamentary diplomacy and democratic dialogue between the EU and Central Asia;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Reiterates that the leaders of the EU and Central Asian states have agreed on the importance of achieving, as soon as possible, a comprehensive, just and lasting peace in Ukraine, in accordance with the principles of the UN Charter; regrets, nevertheless, that Uzbekistan has not condemned Russia’s invasion of Ukraine and has, in fact, increased its political, economic and energy cooperation with Russia, while not engaging with Ukraine;</w:t>
            </w:r>
          </w:p>
        </w:tc>
        <w:tc>
          <w:tcPr>
            <w:tcW w:w="4876" w:type="dxa"/>
            <w:tcBorders>
              <w:top w:val="nil"/>
              <w:left w:val="nil"/>
              <w:bottom w:val="nil"/>
              <w:right w:val="nil"/>
            </w:tcBorders>
          </w:tcPr>
          <w:p>
            <w:pPr>
              <w:pStyle w:val="Normal6a"/>
            </w:pPr>
            <w:r>
              <w:t>8.</w:t>
            </w:r>
            <w:r>
              <w:tab/>
            </w:r>
            <w:r>
              <w:t xml:space="preserve">Reiterates that the leaders of the EU and Central Asian states have agreed on the importance of achieving, as soon as possible, a comprehensive, just and lasting peace in Ukraine, in accordance with the principles of the UN Charter; regrets, nevertheless, that Uzbekistan has not condemned Russia’s invasion of Ukraine and has, in fact, increased its political, economic and energy cooperation with Russia, while not engaging with Ukraine; </w:t>
            </w:r>
            <w:r>
              <w:rPr>
                <w:b/>
                <w:i/>
              </w:rPr>
              <w:t>acknowledges Uzbekistan’s significant policy changes aimed at prioritising a more open and outward-oriented foreign policy, notably through diversification of its traditional relations beyond Russia to include new important trade ties with the European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Reiterates that the leaders of the EU and Central Asian states have agreed on the importance of achieving, as soon as possible, a comprehensive, just and lasting peace in Ukraine, in accordance with the principles of the UN Charter; regrets, nevertheless, that Uzbekistan has not condemned Russia’s invasion of Ukraine and has, in fact, increased its political, economic and energy cooperation with Russia, while not engaging with Ukraine;</w:t>
            </w:r>
          </w:p>
        </w:tc>
        <w:tc>
          <w:tcPr>
            <w:tcW w:w="4876" w:type="dxa"/>
            <w:tcBorders>
              <w:top w:val="nil"/>
              <w:left w:val="nil"/>
              <w:bottom w:val="nil"/>
              <w:right w:val="nil"/>
            </w:tcBorders>
          </w:tcPr>
          <w:p>
            <w:pPr>
              <w:pStyle w:val="Normal6a"/>
            </w:pPr>
            <w:r>
              <w:t>8.</w:t>
            </w:r>
            <w:r>
              <w:tab/>
            </w:r>
            <w:r>
              <w:t xml:space="preserve">Reiterates that the leaders of the EU and Central Asian states have agreed on the importance of achieving, as soon as possible, a comprehensive, just and lasting peace in Ukraine, in accordance with the principles of the UN Charter; regrets, nevertheless, that Uzbekistan has not condemned Russia’s invasion of Ukraine and has, in fact, increased its political, economic and energy cooperation with Russia, while not engaging </w:t>
            </w:r>
            <w:r>
              <w:rPr>
                <w:b/>
                <w:i/>
              </w:rPr>
              <w:t>sufficiently</w:t>
            </w:r>
            <w:r>
              <w:t xml:space="preserve"> with Ukraine;</w:t>
            </w:r>
            <w:r>
              <w:rPr>
                <w:b/>
                <w:i/>
              </w:rPr>
              <w:t> commends the support for Ukrainian children affected by war and calls for more thorough support in this regard;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Reiterates that the leaders of the EU and Central Asian states have agreed on the importance of achieving, as soon as possible, a comprehensive, just and lasting peace in Ukraine, in accordance with the principles of the UN Charter; </w:t>
            </w:r>
            <w:r>
              <w:rPr>
                <w:b/>
                <w:i/>
              </w:rPr>
              <w:t>regrets, nevertheless, that Uzbekistan has not condemned Russia’s invasion of Ukraine and has, in fact, increased its political,</w:t>
            </w:r>
            <w:r>
              <w:t xml:space="preserve"> economic and </w:t>
            </w:r>
            <w:r>
              <w:rPr>
                <w:b/>
                <w:i/>
              </w:rPr>
              <w:t>energy cooperation with Russia, while not engaging with Ukraine</w:t>
            </w:r>
            <w:r>
              <w:t>;</w:t>
            </w:r>
          </w:p>
        </w:tc>
        <w:tc>
          <w:tcPr>
            <w:tcW w:w="4876" w:type="dxa"/>
            <w:tcBorders>
              <w:top w:val="nil"/>
              <w:left w:val="nil"/>
              <w:bottom w:val="nil"/>
              <w:right w:val="nil"/>
            </w:tcBorders>
          </w:tcPr>
          <w:p>
            <w:pPr>
              <w:pStyle w:val="Normal6a"/>
            </w:pPr>
            <w:r>
              <w:t>8.</w:t>
            </w:r>
            <w:r>
              <w:tab/>
            </w:r>
            <w:r>
              <w:t xml:space="preserve">Reiterates that the leaders of the EU and Central Asian states have agreed on the importance of achieving, as soon as possible, a comprehensive, just and lasting peace in Ukraine, in accordance with the principles of the UN Charter; </w:t>
            </w:r>
            <w:r>
              <w:rPr>
                <w:b/>
                <w:i/>
              </w:rPr>
              <w:t>recalls that the principle of sovereign equality implies that partners retain freedom of foreign policy choices; stresses that the EU should avoid turning the EPCA into an instrument of coercive alignment against Russia, and should prioritise de-escalation, diplomacy and the protection of EU</w:t>
            </w:r>
            <w:r>
              <w:t xml:space="preserve"> economic and </w:t>
            </w:r>
            <w:r>
              <w:rPr>
                <w:b/>
                <w:i/>
              </w:rPr>
              <w:t>security interests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Reiterates that the leaders of the EU and Central Asian states have agreed on the importance of achieving, as soon as possible, a comprehensive, just and lasting peace in Ukraine, in accordance with the principles of the UN Charter; </w:t>
            </w:r>
            <w:r>
              <w:rPr>
                <w:b/>
                <w:i/>
              </w:rPr>
              <w:t>regrets</w:t>
            </w:r>
            <w:r>
              <w:t>, nevertheless, that Uzbekistan has not condemned Russia’s invasion of Ukraine and has</w:t>
            </w:r>
            <w:r>
              <w:rPr>
                <w:b/>
                <w:i/>
              </w:rPr>
              <w:t>, in fact,</w:t>
            </w:r>
            <w:r>
              <w:t xml:space="preserve"> increased its political, economic and energy cooperation with Russia, while not engaging with Ukraine;</w:t>
            </w:r>
          </w:p>
        </w:tc>
        <w:tc>
          <w:tcPr>
            <w:tcW w:w="4876" w:type="dxa"/>
            <w:tcBorders>
              <w:top w:val="nil"/>
              <w:left w:val="nil"/>
              <w:bottom w:val="nil"/>
              <w:right w:val="nil"/>
            </w:tcBorders>
          </w:tcPr>
          <w:p>
            <w:pPr>
              <w:pStyle w:val="Normal6a"/>
            </w:pPr>
            <w:r>
              <w:t>8.</w:t>
            </w:r>
            <w:r>
              <w:tab/>
            </w:r>
            <w:r>
              <w:t xml:space="preserve">Reiterates that the leaders of the EU and Central Asian states have agreed on the importance of achieving, as soon as possible, a comprehensive, just and lasting peace in Ukraine, in accordance with the principles of the UN Charter; </w:t>
            </w:r>
            <w:r>
              <w:rPr>
                <w:b/>
                <w:i/>
              </w:rPr>
              <w:t>considers it reprehensible</w:t>
            </w:r>
            <w:r>
              <w:t xml:space="preserve">, nevertheless, that Uzbekistan has not condemned Russia’s invasion of Ukraine </w:t>
            </w:r>
            <w:r>
              <w:rPr>
                <w:b/>
                <w:i/>
              </w:rPr>
              <w:t>but has abstained from voting on several UN resolutions on the matter</w:t>
            </w:r>
            <w:r>
              <w:t xml:space="preserve"> and has </w:t>
            </w:r>
            <w:r>
              <w:rPr>
                <w:b/>
                <w:i/>
              </w:rPr>
              <w:t>even</w:t>
            </w:r>
            <w:r>
              <w:t xml:space="preserve"> increased its political, economic and energy cooperation with Russia, while not engaging with Ukraine;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Reiterates </w:t>
            </w:r>
            <w:r>
              <w:rPr>
                <w:b/>
                <w:i/>
              </w:rPr>
              <w:t>that the leaders of the EU and Central Asian states have agreed on</w:t>
            </w:r>
            <w:r>
              <w:t xml:space="preserve"> the importance of achieving</w:t>
            </w:r>
            <w:r>
              <w:rPr>
                <w:b/>
                <w:i/>
              </w:rPr>
              <w:t>, as soon as possible,</w:t>
            </w:r>
            <w:r>
              <w:t xml:space="preserve"> a comprehensive, just and lasting peace in Ukraine, </w:t>
            </w:r>
            <w:r>
              <w:rPr>
                <w:b/>
                <w:i/>
              </w:rPr>
              <w:t>in accordance with the principles of the UN Charter; regrets, nevertheless, that Uzbekistan has not condemned Russia’s invasion of Ukraine and has, in fact, increased its political, economic and energy cooperation with Russia,</w:t>
            </w:r>
            <w:r>
              <w:t xml:space="preserve"> while </w:t>
            </w:r>
            <w:r>
              <w:rPr>
                <w:b/>
                <w:i/>
              </w:rPr>
              <w:t>not engaging with Ukraine</w:t>
            </w:r>
            <w:r>
              <w:t>;</w:t>
            </w:r>
          </w:p>
        </w:tc>
        <w:tc>
          <w:tcPr>
            <w:tcW w:w="4876" w:type="dxa"/>
            <w:tcBorders>
              <w:top w:val="nil"/>
              <w:left w:val="nil"/>
              <w:bottom w:val="nil"/>
              <w:right w:val="nil"/>
            </w:tcBorders>
          </w:tcPr>
          <w:p>
            <w:pPr>
              <w:pStyle w:val="Normal6a"/>
            </w:pPr>
            <w:r>
              <w:t>8.</w:t>
            </w:r>
            <w:r>
              <w:tab/>
            </w:r>
            <w:r>
              <w:t xml:space="preserve">Reiterates the importance of </w:t>
            </w:r>
            <w:r>
              <w:rPr>
                <w:b/>
                <w:i/>
              </w:rPr>
              <w:t>respect for international law and the principles of the UN Charter, including sovereignty and territorial integrity; encourages Uzbekistan to further engage in international efforts aimed at</w:t>
            </w:r>
            <w:r>
              <w:t xml:space="preserve"> achieving a comprehensive, just and lasting peace in Ukraine, while </w:t>
            </w:r>
            <w:r>
              <w:rPr>
                <w:b/>
                <w:i/>
              </w:rPr>
              <w:t>recognising the complex regional and geopolitical environment in which the country operates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Underlines the importance of preventing the circumvention of sanctions, in particular the re-export of common high-priority items; invites the Uzbek authorities to continue their cooperation with the EU and its Sanctions Envoy on this matter;</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Underlines the importance of preventing the circumvention of sanctions, in particular the re-export of common high-priority items; invites the Uzbek authorities to continue their cooperation with the EU and its Sanctions Envoy on this matter;</w:t>
            </w:r>
          </w:p>
        </w:tc>
        <w:tc>
          <w:tcPr>
            <w:tcW w:w="4876" w:type="dxa"/>
            <w:tcBorders>
              <w:top w:val="nil"/>
              <w:left w:val="nil"/>
              <w:bottom w:val="nil"/>
              <w:right w:val="nil"/>
            </w:tcBorders>
          </w:tcPr>
          <w:p>
            <w:pPr>
              <w:pStyle w:val="Normal6a"/>
            </w:pPr>
            <w:r>
              <w:t>9.</w:t>
            </w:r>
            <w:r>
              <w:tab/>
            </w:r>
            <w:r>
              <w:rPr>
                <w:b/>
                <w:i/>
              </w:rPr>
              <w:t>Emphasises that the circumvention of sanctions is contributing to the continuation of Russia’s war of aggression in Ukraine;</w:t>
            </w:r>
            <w:r>
              <w:t xml:space="preserve"> underlines the importance of preventing the circumvention of sanctions, in particular the re-export of common high-priority items; invites the Uzbek authorities to continue their cooperation with the EU and its Sanctions Envoy on this matter;</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Underlines the importance of preventing the circumvention of sanctions, in particular the re-export of common high-priority items; </w:t>
            </w:r>
            <w:r>
              <w:rPr>
                <w:b/>
                <w:i/>
              </w:rPr>
              <w:t>invites</w:t>
            </w:r>
            <w:r>
              <w:t xml:space="preserve"> the Uzbek authorities </w:t>
            </w:r>
            <w:r>
              <w:rPr>
                <w:b/>
                <w:i/>
              </w:rPr>
              <w:t>to continue their cooperation</w:t>
            </w:r>
            <w:r>
              <w:t xml:space="preserve"> with the EU </w:t>
            </w:r>
            <w:r>
              <w:rPr>
                <w:b/>
                <w:i/>
              </w:rPr>
              <w:t>and its</w:t>
            </w:r>
            <w:r>
              <w:t xml:space="preserve"> Sanctions Envoy </w:t>
            </w:r>
            <w:r>
              <w:rPr>
                <w:b/>
                <w:i/>
              </w:rPr>
              <w:t>on this matter</w:t>
            </w:r>
            <w:r>
              <w:t>;</w:t>
            </w:r>
          </w:p>
        </w:tc>
        <w:tc>
          <w:tcPr>
            <w:tcW w:w="4876" w:type="dxa"/>
            <w:tcBorders>
              <w:top w:val="nil"/>
              <w:left w:val="nil"/>
              <w:bottom w:val="nil"/>
              <w:right w:val="nil"/>
            </w:tcBorders>
          </w:tcPr>
          <w:p>
            <w:pPr>
              <w:pStyle w:val="Normal6a"/>
            </w:pPr>
            <w:r>
              <w:t>9.</w:t>
            </w:r>
            <w:r>
              <w:tab/>
            </w:r>
            <w:r>
              <w:t xml:space="preserve">Underlines the importance of preventing the circumvention of sanctions, in particular the re-export of common high-priority items; </w:t>
            </w:r>
            <w:r>
              <w:rPr>
                <w:b/>
                <w:i/>
              </w:rPr>
              <w:t>welcomes the ongoing technical cooperation between the EU and</w:t>
            </w:r>
            <w:r>
              <w:t xml:space="preserve"> the Uzbek authorities</w:t>
            </w:r>
            <w:r>
              <w:rPr>
                <w:b/>
                <w:i/>
              </w:rPr>
              <w:t>, including engagement</w:t>
            </w:r>
            <w:r>
              <w:t xml:space="preserve"> with the EU Sanctions Envoy</w:t>
            </w:r>
            <w:r>
              <w:rPr>
                <w:b/>
                <w:i/>
              </w:rPr>
              <w:t>, and encourages its continuation in a spirit of partnership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Petras Auštrevičius, Marie-Agnes Strack-Zimmermann,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Underlines the importance of</w:t>
            </w:r>
            <w:r>
              <w:t xml:space="preserve"> preventing the circumvention of sanctions, in particular the re-export of common high-priority items; </w:t>
            </w:r>
            <w:r>
              <w:rPr>
                <w:b/>
                <w:i/>
              </w:rPr>
              <w:t>invites</w:t>
            </w:r>
            <w:r>
              <w:t xml:space="preserve"> the Uzbek authorities to continue their cooperation with the EU and its Sanctions Envoy on this matter;</w:t>
            </w:r>
          </w:p>
        </w:tc>
        <w:tc>
          <w:tcPr>
            <w:tcW w:w="4876" w:type="dxa"/>
            <w:tcBorders>
              <w:top w:val="nil"/>
              <w:left w:val="nil"/>
              <w:bottom w:val="nil"/>
              <w:right w:val="nil"/>
            </w:tcBorders>
          </w:tcPr>
          <w:p>
            <w:pPr>
              <w:pStyle w:val="Normal6a"/>
            </w:pPr>
            <w:r>
              <w:t>9.</w:t>
            </w:r>
            <w:r>
              <w:tab/>
            </w:r>
            <w:r>
              <w:rPr>
                <w:b/>
                <w:i/>
              </w:rPr>
              <w:t>Calls on the Uzbek authorities to increase efforts</w:t>
            </w:r>
            <w:r>
              <w:t xml:space="preserve"> preventing the circumvention of sanctions, in particular the re-export of common high-priority items; </w:t>
            </w:r>
            <w:r>
              <w:rPr>
                <w:b/>
                <w:i/>
              </w:rPr>
              <w:t>calls on</w:t>
            </w:r>
            <w:r>
              <w:t xml:space="preserve"> the Uzbek authorities to continue their cooperation with the EU and its Sanctions Envoy on this matter </w:t>
            </w:r>
            <w:r>
              <w:rPr>
                <w:b/>
                <w:i/>
              </w:rPr>
              <w:t>to achieve tangible results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Underlines the importance of preventing the circumvention of</w:t>
            </w:r>
            <w:r>
              <w:t xml:space="preserve"> sanctions</w:t>
            </w:r>
            <w:r>
              <w:rPr>
                <w:b/>
                <w:i/>
              </w:rPr>
              <w:t>, in particular the re-export of common high-priority items; invites the Uzbek authorities to continue their</w:t>
            </w:r>
            <w:r>
              <w:t xml:space="preserve"> cooperation </w:t>
            </w:r>
            <w:r>
              <w:rPr>
                <w:b/>
                <w:i/>
              </w:rPr>
              <w:t>with the EU and its Sanctions Envoy on this matter</w:t>
            </w:r>
            <w:r>
              <w:t>;</w:t>
            </w:r>
          </w:p>
        </w:tc>
        <w:tc>
          <w:tcPr>
            <w:tcW w:w="4876" w:type="dxa"/>
            <w:tcBorders>
              <w:top w:val="nil"/>
              <w:left w:val="nil"/>
              <w:bottom w:val="nil"/>
              <w:right w:val="nil"/>
            </w:tcBorders>
          </w:tcPr>
          <w:p>
            <w:pPr>
              <w:pStyle w:val="Normal6a"/>
            </w:pPr>
            <w:r>
              <w:t>9.</w:t>
            </w:r>
            <w:r>
              <w:tab/>
            </w:r>
            <w:r>
              <w:rPr>
                <w:b/>
                <w:i/>
              </w:rPr>
              <w:t>Stresses that Uzbekistan should not be pressured to adopt or enforce EU</w:t>
            </w:r>
            <w:r>
              <w:t xml:space="preserve"> sanctions </w:t>
            </w:r>
            <w:r>
              <w:rPr>
                <w:b/>
                <w:i/>
              </w:rPr>
              <w:t>regimes, and that any</w:t>
            </w:r>
            <w:r>
              <w:t xml:space="preserve"> cooperation </w:t>
            </w:r>
            <w:r>
              <w:rPr>
                <w:b/>
                <w:i/>
              </w:rPr>
              <w:t>must be voluntary and strictly within Uzbekistan’s domestic legal framework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Calls on Uzbekistan to halt the misuse of international and regional cooperation mechanisms - in particular those of the Commonwealth of Independent States and the Shanghai Cooperation Organisation to pursue politically motivated extradition, detention or forcible return of individuals, and to fully respect the principle of non-refoulement;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Notes that Uzbekistan has gradually been improving its customs control, in particular with regards to products that fall within EU Sanctions; calls nevertheless on the Uzbek authorities to continue to enhance the compliance with EU sanctions and fight against circumventions of sanctions against the Russian regime;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Commends Uzbekistan's leadership role in initiating consultative meetings with neighbouring countries and supporting regional integration amongst the five Central Asia republics, which significantly deepened cross-country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Commends both Uzbekistan and Kyrgyzstan on improving regional cooperation and integration; welcomes the comprehensive agreement reached by both countries in 2023 to demarcate their borders as an important step in overcoming unresolved border disputes;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Calls on the Uzbek authorities to refrain from any action that could directly or indirectly contribute to Russia’s military capabilities, including through the supply, facilitation or transit of dual-use goods and advanced technologies;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c.</w:t>
            </w:r>
            <w:r>
              <w:tab/>
            </w:r>
            <w:r>
              <w:rPr>
                <w:b/>
                <w:i/>
              </w:rPr>
              <w:t>Calls on Uzbekistan and other Central Asian partners to continue strengthening their resilience against foreign information manipulation and interference, including disinformation campaigns that aim to weaken regional stability and their partnerships with the EU; calls on the Commission and the EEAS through its delegations to enhance their programmes and activities related to the fight against disinformation;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c.</w:t>
            </w:r>
            <w:r>
              <w:tab/>
            </w:r>
            <w:r>
              <w:rPr>
                <w:b/>
                <w:i/>
              </w:rPr>
              <w:t>Recognises the key diplomatic role played by the authorities of Uzbekistan in contributing to the peaceful resolution of Kyrgyzstan-Tajikistan border dispute, including through high-level political dialogue; welcomes the country's participation in trilateral negotiations and its support for the signing of a historic tripoint border agreement alongside Kyrgyz and Tajik leaders;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Recognises the important role that Uzbekistan plays in Afghanistan, in particular regarding humanitarian aid, energy supply and the development of transport connectivity, while the humanitarian and human rights situation in Afghanistan remains grave; </w:t>
            </w:r>
            <w:r>
              <w:rPr>
                <w:b/>
                <w:i/>
              </w:rPr>
              <w:t>invites</w:t>
            </w:r>
            <w:r>
              <w:t xml:space="preserve"> Uzbekistan </w:t>
            </w:r>
            <w:r>
              <w:rPr>
                <w:b/>
                <w:i/>
              </w:rPr>
              <w:t>to use its contacts with the Taliban to seek genuine progress, which would pave the way for increased engagement by the international community;</w:t>
            </w:r>
          </w:p>
        </w:tc>
        <w:tc>
          <w:tcPr>
            <w:tcW w:w="4876" w:type="dxa"/>
            <w:tcBorders>
              <w:top w:val="nil"/>
              <w:left w:val="nil"/>
              <w:bottom w:val="nil"/>
              <w:right w:val="nil"/>
            </w:tcBorders>
          </w:tcPr>
          <w:p>
            <w:pPr>
              <w:pStyle w:val="Normal6a"/>
            </w:pPr>
            <w:r>
              <w:t>10.</w:t>
            </w:r>
            <w:r>
              <w:tab/>
            </w:r>
            <w:r>
              <w:t xml:space="preserve">Recognises the important role that Uzbekistan plays in Afghanistan, in particular regarding humanitarian aid, energy supply and the development of transport connectivity, while the humanitarian and human rights situation in Afghanistan remains grave; </w:t>
            </w:r>
            <w:r>
              <w:rPr>
                <w:b/>
                <w:i/>
              </w:rPr>
              <w:t>reiterates its outrage at the Taliban’s treatment of women as less than secondary citizens and calls on the European External Action Service to cooperate with</w:t>
            </w:r>
            <w:r>
              <w:t xml:space="preserve"> Uzbekistan </w:t>
            </w:r>
            <w:r>
              <w:rPr>
                <w:b/>
                <w:i/>
              </w:rPr>
              <w:t>in assisting women who try to flee Afghanistan;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Petras Auštrevičius, Marie-Agnes Strack-Zimmermann,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Recognises the important role that Uzbekistan plays in Afghanistan, in particular regarding humanitarian aid, energy supply and the development of transport connectivity, while the humanitarian and human rights situation in Afghanistan remains grave; invites Uzbekistan to use its contacts with the Taliban to seek genuine progress, which would pave the way for increased engagement by the international community;</w:t>
            </w:r>
          </w:p>
        </w:tc>
        <w:tc>
          <w:tcPr>
            <w:tcW w:w="4876" w:type="dxa"/>
            <w:tcBorders>
              <w:top w:val="nil"/>
              <w:left w:val="nil"/>
              <w:bottom w:val="nil"/>
              <w:right w:val="nil"/>
            </w:tcBorders>
          </w:tcPr>
          <w:p>
            <w:pPr>
              <w:pStyle w:val="Normal6a"/>
            </w:pPr>
            <w:r>
              <w:t>10.</w:t>
            </w:r>
            <w:r>
              <w:tab/>
            </w:r>
            <w:r>
              <w:t>Recognises the important role that Uzbekistan plays in Afghanistan, in particular regarding humanitarian aid, energy supply and the development of transport connectivity, while the humanitarian and human rights situation</w:t>
            </w:r>
            <w:r>
              <w:rPr>
                <w:b/>
                <w:i/>
              </w:rPr>
              <w:t>, in particular rights of women and girls,</w:t>
            </w:r>
            <w:r>
              <w:t xml:space="preserve"> in Afghanistan remains grave; invites Uzbekistan to use its contacts with the Taliban to seek genuine progress, which would pave the way for increased engagement by the international community;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Marie-Agnes Strack-Zimmermann,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Calls for the full implementation of the essential elements of the EPCA, such as the respect for democratic principles, human rights and fundamental freedoms, and the principle of rule of law; underlines the importance of Parliament’s close involvement in monitoring the implementation of all parts of the EPCA; calls for an effective evaluation by both Parties to the agreement within three years of the implementation of its essential elements, with clear human rights benchmarks and timeframes; calls on the Commission to present to the Parliament the outcome of such evaluations;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Acknowledges the positive steps taken by Uzbekistan to promote gender equality, while also noting the serious issues still to be addressed in this 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Notes that the report of the Special Commission established by the Senate and the Legislative Chamber of the Uzbek Parliament (Oliy Majlis) following the 2022 events in Karakalpakstan has been presented to the Uzbek Parliament, but has not been published; maintains its call to ensure accountability for the deaths and injuries resulting from the use of force by police; reiterates its concern about the allegations of torture and ill treatment of activist and lawyer Dauletmurat Tazhimuratov; calls on the Uzbek authorities to ensure that detainees and prisoners are held in conditions consistent with respect for their human dignity;</w:t>
            </w:r>
          </w:p>
        </w:tc>
        <w:tc>
          <w:tcPr>
            <w:tcW w:w="4876" w:type="dxa"/>
            <w:tcBorders>
              <w:top w:val="nil"/>
              <w:left w:val="nil"/>
              <w:bottom w:val="nil"/>
              <w:right w:val="nil"/>
            </w:tcBorders>
          </w:tcPr>
          <w:p>
            <w:pPr>
              <w:pStyle w:val="Normal6a"/>
            </w:pPr>
            <w:r>
              <w:t>11.</w:t>
            </w:r>
            <w:r>
              <w:tab/>
            </w:r>
            <w:r>
              <w:t xml:space="preserve">Notes that the report of the Special Commission established by the Senate and the Legislative Chamber of the Uzbek Parliament (Oliy Majlis) following the </w:t>
            </w:r>
            <w:r>
              <w:rPr>
                <w:b/>
                <w:i/>
              </w:rPr>
              <w:t>July</w:t>
            </w:r>
            <w:r>
              <w:t xml:space="preserve"> 2022 events in Karakalpakstan has been presented to the Uzbek Parliament, but has not been published; maintains its call to ensure accountability for the deaths and injuries resulting from the use of force by police; </w:t>
            </w:r>
            <w:r>
              <w:rPr>
                <w:b/>
                <w:i/>
              </w:rPr>
              <w:t>urges Uzbekistan to establish an independent and effective national mechanism to investigate allegations of excessive use of force, torture and ill-treatment, with the authority to initiate prosecutions and ensure accountability for perpetrators at all levels;</w:t>
            </w:r>
            <w:r>
              <w:t xml:space="preserve"> reiterates its concern about the allegations of torture and ill treatment of activist and lawyer Dauletmurat Tazhimuratov</w:t>
            </w:r>
            <w:r>
              <w:rPr>
                <w:b/>
                <w:i/>
              </w:rPr>
              <w:t>, including the most recent allegations confirmed by his lawyer during a visit to the prison in January 2026</w:t>
            </w:r>
            <w:r>
              <w:t>; calls on the Uzbek authorities to ensure that detainees and prisoners are held in conditions consistent with respect for their human dignity</w:t>
            </w:r>
            <w:r>
              <w:rPr>
                <w:b/>
                <w:i/>
              </w:rPr>
              <w:t>, Uzbekistan law and international human rights law</w:t>
            </w:r>
            <w:r>
              <w:t xml:space="preserve">; </w:t>
            </w:r>
            <w:r>
              <w:rPr>
                <w:b/>
                <w:i/>
              </w:rPr>
              <w:t>notes the March 2025 decision of the UN Working Group on Arbitrary Detention (WGAD) finding that Dauletmurat Tazhimuratov was arbitrarily detained and suffered violations of his rights, calls on Uzbekistan to fulfil the decision of the WGAD and release him immediately;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Notes that the report of the Special Commission established by the Senate and the Legislative Chamber of the Uzbek Parliament (Oliy Majlis) following the 2022 events in Karakalpakstan has been presented to the Uzbek Parliament, but has not been published; maintains its call to ensure accountability for the deaths and injuries resulting from the use of force by police; reiterates its concern about the allegations of torture and ill treatment of activist and lawyer Dauletmurat Tazhimuratov; calls on the Uzbek authorities to ensure that detainees and prisoners are held in conditions consistent with respect for their human dignity;</w:t>
            </w:r>
          </w:p>
        </w:tc>
        <w:tc>
          <w:tcPr>
            <w:tcW w:w="4876" w:type="dxa"/>
            <w:tcBorders>
              <w:top w:val="nil"/>
              <w:left w:val="nil"/>
              <w:bottom w:val="nil"/>
              <w:right w:val="nil"/>
            </w:tcBorders>
          </w:tcPr>
          <w:p>
            <w:pPr>
              <w:pStyle w:val="Normal6a"/>
            </w:pPr>
            <w:r>
              <w:t>11.</w:t>
            </w:r>
            <w:r>
              <w:tab/>
            </w:r>
            <w:r>
              <w:t xml:space="preserve">Notes that the report of the Special Commission established by the Senate and the Legislative Chamber of the Uzbek Parliament (Oliy Majlis) following the 2022 events in Karakalpakstan has been presented to the Uzbek Parliament, but has not been published; maintains its call to ensure accountability for the deaths and injuries resulting from the </w:t>
            </w:r>
            <w:r>
              <w:rPr>
                <w:b/>
                <w:i/>
              </w:rPr>
              <w:t>unjustified</w:t>
            </w:r>
            <w:r>
              <w:t xml:space="preserve"> use of force by police </w:t>
            </w:r>
            <w:r>
              <w:rPr>
                <w:b/>
                <w:i/>
              </w:rPr>
              <w:t>against peaceful protesters in July 2022 and to publish the list of names of those killed and missing, as well as the victims of mass arbitrary detentions</w:t>
            </w:r>
            <w:r>
              <w:t>; reiterates its concern about the allegations of torture and ill treatment of activist and lawyer Dauletmurat Tazhimuratov</w:t>
            </w:r>
            <w:r>
              <w:rPr>
                <w:b/>
                <w:i/>
              </w:rPr>
              <w:t>, including the most recent allegations confirmed by his lawyer during a prison visit earlier this month</w:t>
            </w:r>
            <w:r>
              <w:t>; calls on the Uzbek authorities to ensure that detainees and prisoners are held in conditions consistent with respect for their human dignity</w:t>
            </w:r>
            <w:r>
              <w:rPr>
                <w:b/>
                <w:i/>
              </w:rPr>
              <w:t>, Uzbek law and international human law</w:t>
            </w:r>
            <w:r>
              <w:t xml:space="preserve">; </w:t>
            </w:r>
            <w:r>
              <w:rPr>
                <w:b/>
                <w:i/>
              </w:rPr>
              <w:t>notes the March 2025 decision of the Working group on Arbitrary Detention (WGAD) which found that Dauletmurat Tazhimuratov was arbitrarily detained and suffered violations of his rights, calls on Uzbekistan to fulfil the decision of the WGAD and release him immediately;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Notes that the report of the Special Commission established by the </w:t>
            </w:r>
            <w:r>
              <w:rPr>
                <w:b/>
                <w:i/>
              </w:rPr>
              <w:t>Senate and the Legislative Chamber of the</w:t>
            </w:r>
            <w:r>
              <w:t xml:space="preserve"> Uzbek Parliament </w:t>
            </w:r>
            <w:r>
              <w:rPr>
                <w:b/>
                <w:i/>
              </w:rPr>
              <w:t>(Oliy Majlis)</w:t>
            </w:r>
            <w:r>
              <w:t xml:space="preserve"> following the 2022 events in Karakalpakstan has been presented </w:t>
            </w:r>
            <w:r>
              <w:rPr>
                <w:b/>
                <w:i/>
              </w:rPr>
              <w:t>to the Uzbek Parliament, but has not been published; maintains its call to ensure</w:t>
            </w:r>
            <w:r>
              <w:t xml:space="preserve"> accountability </w:t>
            </w:r>
            <w:r>
              <w:rPr>
                <w:b/>
                <w:i/>
              </w:rPr>
              <w:t>for the deaths and injuries resulting from the use of force by police; reiterates its concern about the allegations of torture and ill treatment of activist and lawyer Dauletmurat Tazhimuratov; calls on the Uzbek authorities to ensure that detainees and prisoners are held in conditions consistent with respect for their human dignity</w:t>
            </w:r>
            <w:r>
              <w:t>;</w:t>
            </w:r>
          </w:p>
        </w:tc>
        <w:tc>
          <w:tcPr>
            <w:tcW w:w="4876" w:type="dxa"/>
            <w:tcBorders>
              <w:top w:val="nil"/>
              <w:left w:val="nil"/>
              <w:bottom w:val="nil"/>
              <w:right w:val="nil"/>
            </w:tcBorders>
          </w:tcPr>
          <w:p>
            <w:pPr>
              <w:pStyle w:val="Normal6a"/>
            </w:pPr>
            <w:r>
              <w:t>11.</w:t>
            </w:r>
            <w:r>
              <w:tab/>
            </w:r>
            <w:r>
              <w:t>Notes that the report of the Special Commission established by the Uzbek Parliament following the 2022 events in Karakalpakstan has been presented</w:t>
            </w:r>
            <w:r>
              <w:rPr>
                <w:b/>
                <w:i/>
              </w:rPr>
              <w:t>; encourages the continuation of efforts aimed at transparency,</w:t>
            </w:r>
            <w:r>
              <w:t xml:space="preserve"> accountability </w:t>
            </w:r>
            <w:r>
              <w:rPr>
                <w:b/>
                <w:i/>
              </w:rPr>
              <w:t>and reconciliation, including through dialogue with international partners and relevant institutions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Petras Auštrevičius, Marie-Agnes Strack-Zimmermann,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Notes that the report of the Special Commission established by the Senate and the Legislative Chamber of the Uzbek Parliament (Oliy Majlis) following the 2022 events in Karakalpakstan has been presented to the Uzbek Parliament, but has not been published; maintains its call to ensure accountability for the deaths and injuries resulting from the use of force by police; reiterates its concern about the allegations of torture and ill treatment of activist and lawyer Dauletmurat Tazhimuratov; calls on the Uzbek authorities to ensure that detainees and prisoners are held in conditions consistent with respect for their human dignity;</w:t>
            </w:r>
          </w:p>
        </w:tc>
        <w:tc>
          <w:tcPr>
            <w:tcW w:w="4876" w:type="dxa"/>
            <w:tcBorders>
              <w:top w:val="nil"/>
              <w:left w:val="nil"/>
              <w:bottom w:val="nil"/>
              <w:right w:val="nil"/>
            </w:tcBorders>
          </w:tcPr>
          <w:p>
            <w:pPr>
              <w:pStyle w:val="Normal6a"/>
            </w:pPr>
            <w:r>
              <w:t>11.</w:t>
            </w:r>
            <w:r>
              <w:tab/>
            </w:r>
            <w:r>
              <w:t xml:space="preserve">Notes that the report of the Special Commission established by the Senate and the Legislative Chamber of the Uzbek Parliament (Oliy Majlis) following the 2022 events in Karakalpakstan has been presented to the Uzbek Parliament, but has not been published; maintains its call to ensure accountability for the deaths and injuries resulting from the use of force by police; reiterates its concern about the allegations of torture and ill treatment of activist and lawyer Dauletmurat Tazhimuratov </w:t>
            </w:r>
            <w:r>
              <w:rPr>
                <w:b/>
                <w:i/>
              </w:rPr>
              <w:t>and joins the call of UN Working Group on Arbitrary Detention for his immediate release; urges to cease any further persecution of Karakalpak activists and to also release activists Rinat Utambetov and Zetkerbay Abdramanov</w:t>
            </w:r>
            <w:r>
              <w:t>; calls on the Uzbek authorities to ensure that detainees and prisoners are held in conditions consistent with respect for their human dignity;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Notes that the report of the Special Commission established by the Senate and the Legislative Chamber of the Uzbek Parliament (Oliy Majlis) following the 2022 events in Karakalpakstan has been presented to the Uzbek Parliament, but has not been published; maintains its call to ensure accountability for the deaths and injuries resulting from the use of force by police; reiterates its concern about the allegations of torture and ill treatment of activist and lawyer Dauletmurat Tazhimuratov; calls on the Uzbek authorities to ensure that detainees and prisoners are held in conditions consistent with respect for their human dignity;</w:t>
            </w:r>
          </w:p>
        </w:tc>
        <w:tc>
          <w:tcPr>
            <w:tcW w:w="4876" w:type="dxa"/>
            <w:tcBorders>
              <w:top w:val="nil"/>
              <w:left w:val="nil"/>
              <w:bottom w:val="nil"/>
              <w:right w:val="nil"/>
            </w:tcBorders>
          </w:tcPr>
          <w:p>
            <w:pPr>
              <w:pStyle w:val="Normal6a"/>
            </w:pPr>
            <w:r>
              <w:t>11.</w:t>
            </w:r>
            <w:r>
              <w:tab/>
            </w:r>
            <w:r>
              <w:t xml:space="preserve">Notes that the report of the Special Commission established by the Senate and the Legislative Chamber of the Uzbek Parliament (Oliy Majlis) following the 2022 events in Karakalpakstan has been presented to the Uzbek Parliament, but has not been published; maintains its call to ensure accountability for the deaths and injuries resulting from the use of force by police; reiterates its concern about the allegations of torture and ill treatment of activist and lawyer Dauletmurat Tazhimuratov; calls on the Uzbek authorities to </w:t>
            </w:r>
            <w:r>
              <w:rPr>
                <w:b/>
                <w:i/>
              </w:rPr>
              <w:t>look into the allegations and publish a report on the matter;</w:t>
            </w:r>
            <w:r>
              <w:t xml:space="preserve"> </w:t>
            </w:r>
            <w:r>
              <w:rPr>
                <w:b/>
                <w:i/>
              </w:rPr>
              <w:t>calls on the Uzbek authorities to</w:t>
            </w:r>
            <w:r>
              <w:t xml:space="preserve"> ensure that detainees and prisoners are held in conditions consistent with respect for their human dignity;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Notes that the report of the Special Commission established by the Senate and the Legislative Chamber of the Uzbek Parliament (Oliy Majlis) following the 2022 events in Karakalpakstan has been presented to the Uzbek Parliament, but has not been published; maintains its call to ensure accountability for the deaths and injuries resulting from the use of force by police; reiterates its concern about the allegations of torture and ill treatment of activist and lawyer Dauletmurat Tazhimuratov; calls on the Uzbek authorities to ensure that detainees and prisoners are held in conditions consistent with respect for their human dignity;</w:t>
            </w:r>
          </w:p>
        </w:tc>
        <w:tc>
          <w:tcPr>
            <w:tcW w:w="4876" w:type="dxa"/>
            <w:tcBorders>
              <w:top w:val="nil"/>
              <w:left w:val="nil"/>
              <w:bottom w:val="nil"/>
              <w:right w:val="nil"/>
            </w:tcBorders>
          </w:tcPr>
          <w:p>
            <w:pPr>
              <w:pStyle w:val="Normal6a"/>
            </w:pPr>
            <w:r>
              <w:t>11.</w:t>
            </w:r>
            <w:r>
              <w:tab/>
            </w:r>
            <w:r>
              <w:t>Notes that the report of the Special Commission established by the Senate and the Legislative Chamber of the Uzbek Parliament (Oliy Majlis) following the 2022 events in Karakalpakstan has been presented to the Uzbek Parliament, but has not been published; maintains its call to ensure accountability for the deaths and injuries resulting from the use of force by police; reiterates its concern about the allegations of torture and ill treatment of activist and lawyer Dauletmurat Tazhimuratov; calls on the Uzbek authorities to ensure that detainees and prisoners are held in conditions consistent with respect for their human dignity</w:t>
            </w:r>
            <w:r>
              <w:rPr>
                <w:b/>
                <w:i/>
              </w:rPr>
              <w:t>, Uzbekistan law and international human rights law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Calls on Uzbekistan to end the persecution of human rights defenders, journalists, and activists and immediately and unconditionally release all those imprisoned for the peaceful exercise of their fundamental rights, and to establish a formal rehabilitation mechanism providing access to justice, expungement of criminal records and adequate compensation;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Calls on Uzbekistan to immediately and unconditionally release all human rights defenders, journalists, activists and others imprisoned for the peaceful exercise of their fundamental rights and to establish a formal rehabilitation mechanism providing access to justice, expungement of criminal records and adequate compensation;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Marie-Agnes Strack-Zimmermann,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Notes that challenges persist with regard to the effective consolidation of judicial independence and the full establishment of a genuinely open, pluralistic, and competitive political environment, despite the notable progress achieved in advancing market-oriented reforms;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Petras Auštrevičius, Marie-Agnes Strack-Zimmermann,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Strongly regrets the use of punitive psychiatric detention to repress human rights activists and silence critical voices, and urges an end to this practice in the Uzbek legal system;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Petras Auštrevičius, Marie-Agnes Strack-Zimmermann,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Calls to put an end to the harassment and persecution of human rights activists; notes with concern that Sharifa Madrakhimova has been prevented from travelling abroad to accept an award in recognition of her human rights work in Uzbekistan by having her passport destroyed;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Urges the Uzbek authorities to guarantee the rehabilitation, protection and social reintegration of former political prisoners, including effective remedies for past abuses, and safeguards against harassment and 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w:t>
            </w:r>
            <w:r>
              <w:tab/>
            </w:r>
            <w:r>
              <w:rPr>
                <w:b/>
                <w:i/>
              </w:rPr>
              <w:t>Urges the Uzbekistani authorities to guarantee the rehabilitation, protection and social reintegration of former political prisoners, including effective remedies for past abuses, and safeguards against harassment and 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c.</w:t>
            </w:r>
            <w:r>
              <w:tab/>
            </w:r>
            <w:r>
              <w:rPr>
                <w:b/>
                <w:i/>
              </w:rPr>
              <w:t>Expresses deep concern that the use of torture by the authorities in Uzbekistan is widespread and therefore urges the Uzbek authorities to enforce legal safeguards against torture, establish an independent mechanism to investigate complaints, and take effective measures to ensure accountability for perpetrators;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Regrets that significant barriers remain to the</w:t>
            </w:r>
            <w:r>
              <w:t xml:space="preserve"> registration and </w:t>
            </w:r>
            <w:r>
              <w:rPr>
                <w:b/>
                <w:i/>
              </w:rPr>
              <w:t>operation of non-governmental organisations (NGOs) in Uzbekistan, such as excessive registration</w:t>
            </w:r>
            <w:r>
              <w:t xml:space="preserve"> requirements </w:t>
            </w:r>
            <w:r>
              <w:rPr>
                <w:b/>
                <w:i/>
              </w:rPr>
              <w:t>and a lack of transparency and clarity in decision-making by the Uzbek Ministry of Justice; reiterates its call on the Government of Uzbekistan to allow independent human rights organisations, including international human rights groups, to register in the country and to carry out their activities without undue state interference, and calls for the development and adoption of an NGO Code, in line with international standards; notes that restrictions placed on local NGOs from receiving funding from abroad hinder the implementation of EU-funded projects in Uzbekistan</w:t>
            </w:r>
            <w:r>
              <w:t>;</w:t>
            </w:r>
          </w:p>
        </w:tc>
        <w:tc>
          <w:tcPr>
            <w:tcW w:w="4876" w:type="dxa"/>
            <w:tcBorders>
              <w:top w:val="nil"/>
              <w:left w:val="nil"/>
              <w:bottom w:val="nil"/>
              <w:right w:val="nil"/>
            </w:tcBorders>
          </w:tcPr>
          <w:p>
            <w:pPr>
              <w:pStyle w:val="Normal6a"/>
            </w:pPr>
            <w:r>
              <w:t>12.</w:t>
            </w:r>
            <w:r>
              <w:tab/>
            </w:r>
            <w:r>
              <w:rPr>
                <w:b/>
                <w:i/>
              </w:rPr>
              <w:t>Notes that Uzbekistan, like any sovereign state, has the right to regulate NGOs, including foreign funding,</w:t>
            </w:r>
            <w:r>
              <w:t xml:space="preserve"> registration and </w:t>
            </w:r>
            <w:r>
              <w:rPr>
                <w:b/>
                <w:i/>
              </w:rPr>
              <w:t>transparency</w:t>
            </w:r>
            <w:r>
              <w:t xml:space="preserve"> requirements</w:t>
            </w:r>
            <w:r>
              <w:rPr>
                <w:b/>
                <w:i/>
              </w:rPr>
              <w:t>, in accordance with its domestic law</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Regrets that </w:t>
            </w:r>
            <w:r>
              <w:rPr>
                <w:b/>
                <w:i/>
              </w:rPr>
              <w:t>significant</w:t>
            </w:r>
            <w:r>
              <w:t xml:space="preserve"> barriers remain to the registration and operation of </w:t>
            </w:r>
            <w:r>
              <w:rPr>
                <w:b/>
                <w:i/>
              </w:rPr>
              <w:t>non-governmental organisations (NGOs)</w:t>
            </w:r>
            <w:r>
              <w:t xml:space="preserve"> in Uzbekistan</w:t>
            </w:r>
            <w:r>
              <w:rPr>
                <w:b/>
                <w:i/>
              </w:rPr>
              <w:t>, such as excessive registration requirements and a lack of transparency and clarity in decision-making by</w:t>
            </w:r>
            <w:r>
              <w:t xml:space="preserve"> the Uzbek </w:t>
            </w:r>
            <w:r>
              <w:rPr>
                <w:b/>
                <w:i/>
              </w:rPr>
              <w:t>Ministry of Justice; reiterates its call on the Government of Uzbekistan to allow independent human rights organisations, including</w:t>
            </w:r>
            <w:r>
              <w:t xml:space="preserve"> international </w:t>
            </w:r>
            <w:r>
              <w:rPr>
                <w:b/>
                <w:i/>
              </w:rPr>
              <w:t>human rights groups, to register in the country and to carry out their activities without undue state interference, and calls for the development and adoption of an NGO Code</w:t>
            </w:r>
            <w:r>
              <w:t xml:space="preserve">, in line with international standards; </w:t>
            </w:r>
            <w:r>
              <w:rPr>
                <w:b/>
                <w:i/>
              </w:rPr>
              <w:t>notes that restrictions placed on local NGOs from receiving funding from abroad hinder the implementation of EU-funded projects in Uzbekistan;</w:t>
            </w:r>
          </w:p>
        </w:tc>
        <w:tc>
          <w:tcPr>
            <w:tcW w:w="4876" w:type="dxa"/>
            <w:tcBorders>
              <w:top w:val="nil"/>
              <w:left w:val="nil"/>
              <w:bottom w:val="nil"/>
              <w:right w:val="nil"/>
            </w:tcBorders>
          </w:tcPr>
          <w:p>
            <w:pPr>
              <w:pStyle w:val="Normal6a"/>
            </w:pPr>
            <w:r>
              <w:t>12.</w:t>
            </w:r>
            <w:r>
              <w:tab/>
            </w:r>
            <w:r>
              <w:t xml:space="preserve">Regrets that barriers remain to the registration and operation of </w:t>
            </w:r>
            <w:r>
              <w:rPr>
                <w:b/>
                <w:i/>
              </w:rPr>
              <w:t>NGOs</w:t>
            </w:r>
            <w:r>
              <w:t xml:space="preserve"> in Uzbekistan</w:t>
            </w:r>
            <w:r>
              <w:rPr>
                <w:b/>
                <w:i/>
              </w:rPr>
              <w:t>; encourages</w:t>
            </w:r>
            <w:r>
              <w:t xml:space="preserve"> the Uzbek </w:t>
            </w:r>
            <w:r>
              <w:rPr>
                <w:b/>
                <w:i/>
              </w:rPr>
              <w:t>authorities to continue engaging with the EU and</w:t>
            </w:r>
            <w:r>
              <w:t xml:space="preserve"> international </w:t>
            </w:r>
            <w:r>
              <w:rPr>
                <w:b/>
                <w:i/>
              </w:rPr>
              <w:t>partners to progressively improve the legal and administrative framework for civil society</w:t>
            </w:r>
            <w:r>
              <w:t>, in line with international standards;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Regrets that significant barriers remain to the registration and operation of non-governmental organisations (NGOs) in Uzbekistan, such as excessive registration requirements and a lack of transparency and clarity in decision-making by the Uzbek Ministry of Justice; reiterates its call on the Government of Uzbekistan to allow independent human rights organisations, including international human rights groups, to register in the country and to carry out their activities without undue state interference, and calls for the development and adoption of an NGO Code, in line with international standards; notes that restrictions placed on local NGOs from receiving funding from abroad hinder the implementation of EU-funded projects in Uzbekistan;</w:t>
            </w:r>
          </w:p>
        </w:tc>
        <w:tc>
          <w:tcPr>
            <w:tcW w:w="4876" w:type="dxa"/>
            <w:tcBorders>
              <w:top w:val="nil"/>
              <w:left w:val="nil"/>
              <w:bottom w:val="nil"/>
              <w:right w:val="nil"/>
            </w:tcBorders>
          </w:tcPr>
          <w:p>
            <w:pPr>
              <w:pStyle w:val="Normal6a"/>
            </w:pPr>
            <w:r>
              <w:t>12.</w:t>
            </w:r>
            <w:r>
              <w:tab/>
            </w:r>
            <w:r>
              <w:t xml:space="preserve">Regrets that significant barriers remain to the registration and operation of non-governmental organisations (NGOs) </w:t>
            </w:r>
            <w:r>
              <w:rPr>
                <w:b/>
                <w:i/>
              </w:rPr>
              <w:t>and Civil Society Organisations (CSOs)</w:t>
            </w:r>
            <w:r>
              <w:t xml:space="preserve"> in Uzbekistan, such as excessive registration requirements</w:t>
            </w:r>
            <w:r>
              <w:rPr>
                <w:b/>
                <w:i/>
              </w:rPr>
              <w:t>, administrative barriers</w:t>
            </w:r>
            <w:r>
              <w:t xml:space="preserve"> and a lack of transparency and clarity in decision-making by the Uzbek Ministry of Justice; reiterates its call on the Government of Uzbekistan to allow independent human rights organisations, including international human rights groups, to register in the country and to carry out their activities without undue state interference, and calls for the development and adoption of an NGO Code, in line with international standards; notes that restrictions placed on local NGOs from receiving funding from abroad hinder the implementation of EU-funded projects in Uzbekistan;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Regrets that significant barriers remain to the registration and operation of non-governmental organisations (NGOs) in Uzbekistan, such as excessive registration requirements and a lack of transparency and clarity in decision-making by the Uzbek Ministry of Justice; </w:t>
            </w:r>
            <w:r>
              <w:rPr>
                <w:b/>
                <w:i/>
              </w:rPr>
              <w:t>reiterates its call on</w:t>
            </w:r>
            <w:r>
              <w:t xml:space="preserve"> the Government of Uzbekistan </w:t>
            </w:r>
            <w:r>
              <w:rPr>
                <w:b/>
                <w:i/>
              </w:rPr>
              <w:t>to</w:t>
            </w:r>
            <w:r>
              <w:t xml:space="preserve"> allow independent human rights organisations, including international human rights groups, to register in the country and to carry out their activities without undue state interference, and calls for the development and adoption of an NGO Code, in line with international standards; notes that restrictions placed on local NGOs from receiving funding from abroad hinder the implementation of EU-funded projects in Uzbekistan;</w:t>
            </w:r>
          </w:p>
        </w:tc>
        <w:tc>
          <w:tcPr>
            <w:tcW w:w="4876" w:type="dxa"/>
            <w:tcBorders>
              <w:top w:val="nil"/>
              <w:left w:val="nil"/>
              <w:bottom w:val="nil"/>
              <w:right w:val="nil"/>
            </w:tcBorders>
          </w:tcPr>
          <w:p>
            <w:pPr>
              <w:pStyle w:val="Normal6a"/>
            </w:pPr>
            <w:r>
              <w:t>12.</w:t>
            </w:r>
            <w:r>
              <w:tab/>
            </w:r>
            <w:r>
              <w:t xml:space="preserve">Regrets that significant barriers remain to the registration and operation of non-governmental organisations (NGOs) in Uzbekistan, such as excessive registration requirements and a lack of transparency and clarity in decision-making by the Uzbek Ministry of Justice; </w:t>
            </w:r>
            <w:r>
              <w:rPr>
                <w:b/>
                <w:i/>
              </w:rPr>
              <w:t>demands that</w:t>
            </w:r>
            <w:r>
              <w:t xml:space="preserve"> the Government of Uzbekistan allow independent human rights organisations, including international human rights groups, to register in the country and to carry out their activities without undue state interference, and calls for the development and adoption of an NGO Code, in line with international standards; notes that restrictions placed on local NGOs from receiving funding from abroad hinder the implementation of EU-funded projects in Uzbekistan;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Recalls the imprisonment of Dildora Khakimova and Nargiz Keldiyorova, human rights activists from Kashkadarya region in Uzbekistan, who on July 18, 2024 were sentenced to six years and one month and six-and-a-half years in prison, respectively, on dubious extortion charges after they criticised corruption in the education system in Kashkadarya; calls on the Uzbekistan government to release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Urges Uzbekistan to respect and protect media freedom and pluralism; calls for reforms of the legal framework governing media to incorporate international standards;</w:t>
            </w:r>
          </w:p>
        </w:tc>
        <w:tc>
          <w:tcPr>
            <w:tcW w:w="4876" w:type="dxa"/>
            <w:tcBorders>
              <w:top w:val="nil"/>
              <w:left w:val="nil"/>
              <w:bottom w:val="nil"/>
              <w:right w:val="nil"/>
            </w:tcBorders>
          </w:tcPr>
          <w:p>
            <w:pPr>
              <w:pStyle w:val="Normal6a"/>
            </w:pPr>
            <w:r>
              <w:t>13.</w:t>
            </w:r>
            <w:r>
              <w:tab/>
            </w:r>
            <w:r>
              <w:t>Urges Uzbekistan to respect and protect media freedom and pluralism; calls for reforms of the legal framework governing media to incorporate international standards;</w:t>
            </w:r>
            <w:r>
              <w:rPr>
                <w:b/>
                <w:i/>
              </w:rPr>
              <w:t> stresses the need to guarantee the safety and independence of journalists and media workers, to prevent harassment, censorship, or arbitrary detention, and to promote a diverse and pluralistic media environment that allows for open public debate and access to accurate information; encourages the alignment of national media regulations with international human rights obligations;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Urges Uzbekistan to respect and protect media freedom and pluralism; calls for reforms of the legal framework governing media to incorporate international standards;</w:t>
            </w:r>
          </w:p>
        </w:tc>
        <w:tc>
          <w:tcPr>
            <w:tcW w:w="4876" w:type="dxa"/>
            <w:tcBorders>
              <w:top w:val="nil"/>
              <w:left w:val="nil"/>
              <w:bottom w:val="nil"/>
              <w:right w:val="nil"/>
            </w:tcBorders>
          </w:tcPr>
          <w:p>
            <w:pPr>
              <w:pStyle w:val="Normal6a"/>
            </w:pPr>
            <w:r>
              <w:t>13.</w:t>
            </w:r>
            <w:r>
              <w:tab/>
            </w:r>
            <w:r>
              <w:t xml:space="preserve">Urges Uzbekistan to respect and protect media freedom and pluralism; calls for reforms of the legal framework governing media to incorporate international standards; </w:t>
            </w:r>
            <w:r>
              <w:rPr>
                <w:b/>
                <w:i/>
              </w:rPr>
              <w:t>notes with concern the classification of Uzbekistan as “non-free” in the 2024 and 2025 editions of the Reporters Without Borders Press Freedom Index; notes with concern reported restrictions on freedom of expression, including targeted measures affecting online content;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Urges Uzbekistan to respect and protect media freedom and pluralism; calls for reforms of the legal framework governing media to incorporate international standards;</w:t>
            </w:r>
          </w:p>
        </w:tc>
        <w:tc>
          <w:tcPr>
            <w:tcW w:w="4876" w:type="dxa"/>
            <w:tcBorders>
              <w:top w:val="nil"/>
              <w:left w:val="nil"/>
              <w:bottom w:val="nil"/>
              <w:right w:val="nil"/>
            </w:tcBorders>
          </w:tcPr>
          <w:p>
            <w:pPr>
              <w:pStyle w:val="Normal6a"/>
            </w:pPr>
            <w:r>
              <w:t>13.</w:t>
            </w:r>
            <w:r>
              <w:tab/>
            </w:r>
            <w:r>
              <w:t xml:space="preserve">Urges Uzbekistan to respect and protect media freedom and pluralism </w:t>
            </w:r>
            <w:r>
              <w:rPr>
                <w:b/>
                <w:i/>
              </w:rPr>
              <w:t>which are basic requirements for a functioning democracy</w:t>
            </w:r>
            <w:r>
              <w:t>; calls for reforms of the legal framework governing media to incorporate international standards;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Urges Uzbekistan to respect and protect media freedom and pluralism; </w:t>
            </w:r>
            <w:r>
              <w:rPr>
                <w:b/>
                <w:i/>
              </w:rPr>
              <w:t>calls for reforms of the legal framework governing media to incorporate international standards</w:t>
            </w:r>
            <w:r>
              <w:t>;</w:t>
            </w:r>
          </w:p>
        </w:tc>
        <w:tc>
          <w:tcPr>
            <w:tcW w:w="4876" w:type="dxa"/>
            <w:tcBorders>
              <w:top w:val="nil"/>
              <w:left w:val="nil"/>
              <w:bottom w:val="nil"/>
              <w:right w:val="nil"/>
            </w:tcBorders>
          </w:tcPr>
          <w:p>
            <w:pPr>
              <w:pStyle w:val="Normal6a"/>
            </w:pPr>
            <w:r>
              <w:t>13.</w:t>
            </w:r>
            <w:r>
              <w:tab/>
            </w:r>
            <w:r>
              <w:t xml:space="preserve">Urges Uzbekistan to respect and protect media freedom and pluralism; </w:t>
            </w:r>
            <w:r>
              <w:rPr>
                <w:b/>
                <w:i/>
              </w:rPr>
              <w:t>recalls that the EPCA should not be turned into a vehicle for exporting ideological agendas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Is concerned about the growing evidence that Uzbekistan has weaponised international legal cooperation for transnational repression by using politically motivated criminal charges, in absentia prison sentences, and "new" security lists established through recent amendments to the Law "On the legal status of foreign citizens and stateless persons in the Republic of Uzbekistan", including the creation of a register of "undesirable/unacceptable" foreign nationals, against activists, journalists, human rights defenders and trial monitors, thereby facilitating the potential misuse of INTERPOL notices and diffusions, mutual legal assistance requests, and cooperation on Anti-Money Laundering and Countering the Financing of Terrorism (AML/CFT) to pursue them aboard, resulting in cross-border surveillance, financial exclusion, and the chilling effect of legitimate civic activity;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Regrets the extended, forced psychiatric detention of the blogger Valijon Kalonov, about whom the United Nations Working Group on Arbitrary Detention (WGAD) in February 2025 issued a decision finding that he had been “arbitrarily detained” and urging the government “to release him immediately and accord him an enforceable right to compensation and other reparations”; notes that another blogger, Shahida Salomova, is also being held in extended forced psychiatric detention on dubious legal grounds; calls on the Uzbekistan government to release Kalonov and Salomova;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Regrets the fact that Foreign Information and Manipulation Interference (FIMI) represents a growing risk for Uzbekistan, driven by its geopolitical relevance, rising social media usage, lacking media literacy, a large migrant population, and a foreign-influenced information space;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Recognises some progress has been made with legislative reforms and reduction of parts of the bureaucratic burdens, somewhat easing the work of NGOs; calls for further easing of restrictions and bureaucratic and legislative burdens to enable a wider range of NGO activities;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concerned that the Uzbek Criminal Code contains articles pertaining to insult or slander of the President, and pertaining to defamation and insult, which have led to the prosecution and imprisonment of bloggers for their online comments; calls for these articles to be repealed, and for the Uzbek Criminal Code to be reviewed and aligned to international norms;</w:t>
            </w:r>
          </w:p>
        </w:tc>
        <w:tc>
          <w:tcPr>
            <w:tcW w:w="4876" w:type="dxa"/>
            <w:tcBorders>
              <w:top w:val="nil"/>
              <w:left w:val="nil"/>
              <w:bottom w:val="nil"/>
              <w:right w:val="nil"/>
            </w:tcBorders>
          </w:tcPr>
          <w:p>
            <w:pPr>
              <w:pStyle w:val="Normal6a"/>
            </w:pPr>
            <w:r>
              <w:t>14.</w:t>
            </w:r>
            <w:r>
              <w:tab/>
            </w:r>
            <w:r>
              <w:t>Is concerned that the Uzbek Criminal Code contains articles pertaining to insult or slander of the President</w:t>
            </w:r>
            <w:r>
              <w:rPr>
                <w:b/>
                <w:i/>
              </w:rPr>
              <w:t>, including the offense of insulting the President online</w:t>
            </w:r>
            <w:r>
              <w:t xml:space="preserve">, and pertaining to defamation and insult, which have led to the prosecution and imprisonment of bloggers for their online comments; calls for these articles to be repealed, </w:t>
            </w:r>
            <w:r>
              <w:rPr>
                <w:b/>
                <w:i/>
              </w:rPr>
              <w:t>fulfilling the President Mirziyoyev’s pledge in 2020 to decriminalise both charges,</w:t>
            </w:r>
            <w:r>
              <w:t xml:space="preserve"> and for the Uzbek Criminal Code to be reviewed and aligned to international norms; </w:t>
            </w:r>
            <w:r>
              <w:rPr>
                <w:b/>
                <w:i/>
              </w:rPr>
              <w:t>calls on the Uzbekistan government to uphold freedom of expression and media freedom;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concerned that the Uzbek Criminal Code contains articles pertaining to insult or slander of the President, and pertaining to defamation and insult, which have led to the prosecution and imprisonment of bloggers for their online comments; calls for these articles to be repealed, and for the Uzbek Criminal Code to be reviewed and aligned to international norms;</w:t>
            </w:r>
          </w:p>
        </w:tc>
        <w:tc>
          <w:tcPr>
            <w:tcW w:w="4876" w:type="dxa"/>
            <w:tcBorders>
              <w:top w:val="nil"/>
              <w:left w:val="nil"/>
              <w:bottom w:val="nil"/>
              <w:right w:val="nil"/>
            </w:tcBorders>
          </w:tcPr>
          <w:p>
            <w:pPr>
              <w:pStyle w:val="Normal6a"/>
            </w:pPr>
            <w:r>
              <w:t>14.</w:t>
            </w:r>
            <w:r>
              <w:tab/>
            </w:r>
            <w:r>
              <w:t>Is concerned that the Uzbek Criminal Code contains articles pertaining to insult or slander of the President</w:t>
            </w:r>
            <w:r>
              <w:rPr>
                <w:b/>
                <w:i/>
              </w:rPr>
              <w:t>, including the offense of insulting the President online</w:t>
            </w:r>
            <w:r>
              <w:t xml:space="preserve">, and pertaining to defamation and insult, which have led to the prosecution and imprisonment of bloggers for their online comments; calls for these articles to be repealed, </w:t>
            </w:r>
            <w:r>
              <w:rPr>
                <w:b/>
                <w:i/>
              </w:rPr>
              <w:t>fulfilling President Mirziyoyev's pledge in 2020 to decriminalize both charges,</w:t>
            </w:r>
            <w:r>
              <w:t xml:space="preserve"> and for the Uzbek Criminal Code to be reviewed and aligned to international norms; </w:t>
            </w:r>
            <w:r>
              <w:rPr>
                <w:b/>
                <w:i/>
              </w:rPr>
              <w:t>calls on the Uzbek Government to uphold freedom of expression and media freedom;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Petras Auštrevičius, Marie-Agnes Strack-Zimmermann,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concerned that the Uzbek Criminal Code contains articles pertaining to insult or slander of the President, and pertaining to defamation and insult, which have led to the prosecution and imprisonment of bloggers for their online comments; calls for these articles to be repealed, and for the Uzbek Criminal Code to be reviewed and aligned to international norms;</w:t>
            </w:r>
          </w:p>
        </w:tc>
        <w:tc>
          <w:tcPr>
            <w:tcW w:w="4876" w:type="dxa"/>
            <w:tcBorders>
              <w:top w:val="nil"/>
              <w:left w:val="nil"/>
              <w:bottom w:val="nil"/>
              <w:right w:val="nil"/>
            </w:tcBorders>
          </w:tcPr>
          <w:p>
            <w:pPr>
              <w:pStyle w:val="Normal6a"/>
            </w:pPr>
            <w:r>
              <w:t>14.</w:t>
            </w:r>
            <w:r>
              <w:tab/>
            </w:r>
            <w:r>
              <w:t xml:space="preserve">Is concerned that the Uzbek Criminal Code contains articles pertaining to insult or slander of the President, and pertaining to defamation and insult, which have led to the prosecution and imprisonment of bloggers for their online comments; calls for these articles to be repealed, and for the Uzbek Criminal Code to be reviewed and aligned to international norms </w:t>
            </w:r>
            <w:r>
              <w:rPr>
                <w:b/>
                <w:i/>
              </w:rPr>
              <w:t>and any persons imprisoned on these charges to be released immediately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concerned that the Uzbek Criminal Code contains articles pertaining to insult or slander of the President, and pertaining to defamation and insult, which have led to the prosecution and imprisonment of bloggers for their online comments; calls for these articles to be repealed, and for the Uzbek Criminal Code to be reviewed and aligned to international norms;</w:t>
            </w:r>
          </w:p>
        </w:tc>
        <w:tc>
          <w:tcPr>
            <w:tcW w:w="4876" w:type="dxa"/>
            <w:tcBorders>
              <w:top w:val="nil"/>
              <w:left w:val="nil"/>
              <w:bottom w:val="nil"/>
              <w:right w:val="nil"/>
            </w:tcBorders>
          </w:tcPr>
          <w:p>
            <w:pPr>
              <w:pStyle w:val="Normal6a"/>
            </w:pPr>
            <w:r>
              <w:t>14.</w:t>
            </w:r>
            <w:r>
              <w:tab/>
            </w:r>
            <w:r>
              <w:t xml:space="preserve">Is concerned that the Uzbek Criminal Code contains articles pertaining to insult or slander of the President, and pertaining to defamation and insult, which have led to the prosecution and imprisonment of bloggers for their online comments; </w:t>
            </w:r>
            <w:r>
              <w:rPr>
                <w:b/>
                <w:i/>
              </w:rPr>
              <w:t>takes the view that this is a completely unjustified restriction on the freedom of speech;</w:t>
            </w:r>
            <w:r>
              <w:t xml:space="preserve"> calls for these articles to be repealed, and for the Uzbek Criminal Code to be reviewed and aligned to international norms;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 concerned </w:t>
            </w:r>
            <w:r>
              <w:rPr>
                <w:b/>
                <w:i/>
              </w:rPr>
              <w:t>that</w:t>
            </w:r>
            <w:r>
              <w:t xml:space="preserve"> the Uzbek Criminal Code </w:t>
            </w:r>
            <w:r>
              <w:rPr>
                <w:b/>
                <w:i/>
              </w:rPr>
              <w:t>contains articles pertaining to insult or slander of the President, and pertaining</w:t>
            </w:r>
            <w:r>
              <w:t xml:space="preserve"> to defamation and insult</w:t>
            </w:r>
            <w:r>
              <w:rPr>
                <w:b/>
                <w:i/>
              </w:rPr>
              <w:t>, which have led to the prosecution and imprisonment of bloggers for their online comments; calls for these articles to be repealed, and for the Uzbek Criminal Code to be reviewed and aligned to</w:t>
            </w:r>
            <w:r>
              <w:t xml:space="preserve"> international </w:t>
            </w:r>
            <w:r>
              <w:rPr>
                <w:b/>
                <w:i/>
              </w:rPr>
              <w:t>norms</w:t>
            </w:r>
            <w:r>
              <w:t>;</w:t>
            </w:r>
          </w:p>
        </w:tc>
        <w:tc>
          <w:tcPr>
            <w:tcW w:w="4876" w:type="dxa"/>
            <w:tcBorders>
              <w:top w:val="nil"/>
              <w:left w:val="nil"/>
              <w:bottom w:val="nil"/>
              <w:right w:val="nil"/>
            </w:tcBorders>
          </w:tcPr>
          <w:p>
            <w:pPr>
              <w:pStyle w:val="Normal6a"/>
            </w:pPr>
            <w:r>
              <w:t>14.</w:t>
            </w:r>
            <w:r>
              <w:tab/>
            </w:r>
            <w:r>
              <w:t xml:space="preserve">Is concerned </w:t>
            </w:r>
            <w:r>
              <w:rPr>
                <w:b/>
                <w:i/>
              </w:rPr>
              <w:t>about certain provisions of</w:t>
            </w:r>
            <w:r>
              <w:t xml:space="preserve"> the Uzbek Criminal Code </w:t>
            </w:r>
            <w:r>
              <w:rPr>
                <w:b/>
                <w:i/>
              </w:rPr>
              <w:t>relating</w:t>
            </w:r>
            <w:r>
              <w:t xml:space="preserve"> to defamation and insult</w:t>
            </w:r>
            <w:r>
              <w:rPr>
                <w:b/>
                <w:i/>
              </w:rPr>
              <w:t>; encourages continued dialogue on legal reforms aimed at aligning national legislation with</w:t>
            </w:r>
            <w:r>
              <w:t xml:space="preserve"> international </w:t>
            </w:r>
            <w:r>
              <w:rPr>
                <w:b/>
                <w:i/>
              </w:rPr>
              <w:t>standards on freedom of expression, including through expert and technical exchanges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Welcomes the adoption in April 2023 of a new law amending Uzbekistan’s criminal and administrative codes that offer better protections for women and girls from abuse as well as strengthened measures to address child abuse; notes however the lacking enforcement of the law and calls on the government of Uzbekistan to implement the law effectively and tackle the widespread problem of domestic and gender-based violence in Uzbekistan, as well as impunity for perpetrators of violence; welcomes the opening of the Uzbekistan UN Women office in 2025 and calls on the Uzbek government to leverage this investment of the international community for the rights and wellbeing of women in Uzbekistan;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Robert Biedroń,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Regrets that there is persistent and widespread persecution and imprisonment of LGBTQ people based solely on their orientation; urges Uzbekistan to comply with international human rights standards, including the right to non-discrimination; with concern observes legislative changes adopted in August 2025 concerning HIV testing for people returning from abroad that may lead to the reinforcing of stigma and contravening international standards in employment;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Calls to ensure the operational independence of anti - corruption bodies including the establishment of public and accessible registers of beneficial ownership; stresses that major economic and state - owned enterprise reforms should be subject to transparency requirements and social impact assessments;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Marie-Agnes Strack-Zimmermann,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Acknowledges the adoption in April 2023 of a new law amending Uzbekistan’s criminal and administrative codes that offers better protections for women and girls from abuse as well as strengthened measures to address child abuse; calls on the government of Uzbekistan to implement the law effectively;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Petras Auštrevičius, Marie-Agnes Strack-Zimmermann,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Is alarmed about the continuous restriction of religious freedom, notably the prosecution of Muslim communities; calls to repeal the law passed on 20 February 2025, which introduced fines or jail time for parents and guardians who allow their children to receive “illegal” religious education;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Reiterates its concern about blogger and activist Valijon Kalonov forcibly detained in a psychiatric hospital; notes that another blogger, Shahida Salomova, is also held in extended forced psychiatric detention on dubious legal grounds; calls on the Uzbek Government to release them;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w:t>
            </w:r>
            <w:r>
              <w:tab/>
            </w:r>
            <w:r>
              <w:rPr>
                <w:b/>
                <w:i/>
              </w:rPr>
              <w:t>Acknowledges the adoption in April of the new law amending Uzbekistan's criminal and administrative codes that offer better protections for women and girls from abuse, as well as strengthened measures to address child abuse; calls on the government of Uzbekistan to implement the law effectively and tackle the widespread problem of domestic and gender-based violence in Uzbekistan, as well as impunity for perpetrators of violence;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w:t>
            </w:r>
            <w:r>
              <w:tab/>
            </w:r>
            <w:r>
              <w:rPr>
                <w:b/>
                <w:i/>
              </w:rPr>
              <w:t>Acknowledges the Uzbekistan government’s success in ending systematic state-sponsored forced labour in recent years; notes that according to independent monitors, the risk of forced labour persists, with continued state control over the cotton harvest; urges the Uzbekistan government to recommit to reforming the agricultural sector, and upholding agricultural workers’ and farmers’ right to organise;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w:t>
            </w:r>
            <w:r>
              <w:tab/>
            </w:r>
            <w:r>
              <w:rPr>
                <w:b/>
                <w:i/>
              </w:rPr>
              <w:t>Reiterates the need to ensure transparent governance and anti-corruption safeguards, which are essential for democratic accountability and sustainable economic cooperation;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Petras Auštrevičius, Marie-Agnes Strack-Zimmermann,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w:t>
            </w:r>
            <w:r>
              <w:tab/>
            </w:r>
            <w:r>
              <w:rPr>
                <w:b/>
                <w:i/>
              </w:rPr>
              <w:t>Encourages to decriminalise consensual same-sex conduct and put a stop to a continuous state and non-state actors’ harassment against LGBTIQ+;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w:t>
            </w:r>
            <w:r>
              <w:tab/>
            </w:r>
            <w:r>
              <w:rPr>
                <w:b/>
                <w:i/>
              </w:rPr>
              <w:t>Acknowledges the Uzbekistan government’s success in ending systematic state-sponsored forced labour in recent years;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c.</w:t>
            </w:r>
            <w:r>
              <w:tab/>
            </w:r>
            <w:r>
              <w:rPr>
                <w:b/>
                <w:i/>
              </w:rPr>
              <w:t>Welcomes the important political reform process undergone by the government of Uzbekistan since 2017, which has included the banning of extrajudicial courts and the installation of a more transparent system of checks and balances; recognises the positive developments regarding Uzbekistan’s rule of law, noting that the 2025 World Justice Project's Rule of Law Index ranks Uzbekistan as among the minority of countries that saw its rule of law score increase;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c.</w:t>
            </w:r>
            <w:r>
              <w:tab/>
            </w:r>
            <w:r>
              <w:rPr>
                <w:b/>
                <w:i/>
              </w:rPr>
              <w:t>Acknowledges the Uzbek Government's success in ending systematic state-sponsored forced labour in recent years; notes that according to independent monitors, the risk of forced labour persists, with continued state control over the cotton harvest; urges the Uzbek Government to recommit to reforming the agriculture sector, and upholding agriculture workers' and farmers' rights to organise;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c.</w:t>
            </w:r>
            <w:r>
              <w:tab/>
            </w:r>
            <w:r>
              <w:rPr>
                <w:b/>
                <w:i/>
              </w:rPr>
              <w:t>Calls on Uzbekistan to protect lawyers from harassment, intimidation and criminal or disciplinary sanctions linked to their professional duties, and to ensure full respect for judicial independence and fair trial standards in line with international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d.</w:t>
            </w:r>
            <w:r>
              <w:tab/>
            </w:r>
            <w:r>
              <w:rPr>
                <w:b/>
                <w:i/>
              </w:rPr>
              <w:t>Calls upon the government to improve transparency and remove barriers to on-the-ground research regarding the status of Karakalpakstan and religious minorities; calls for increased international cooperation and oversight to ensure inclusive decision-making while addressing concerns regarding radicalisation and stigmatisation;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d.</w:t>
            </w:r>
            <w:r>
              <w:tab/>
            </w:r>
            <w:r>
              <w:rPr>
                <w:b/>
                <w:i/>
              </w:rPr>
              <w:t>Stresses that tangible and measurable progress on human rights must be a prerequisite for the full implementation of the EPCA and continued access to EU trade preferences and that these instruments should serve as leverage for reform rather that rewards for unfulfilled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14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d.</w:t>
            </w:r>
            <w:r>
              <w:tab/>
            </w:r>
            <w:r>
              <w:rPr>
                <w:b/>
                <w:i/>
              </w:rPr>
              <w:t>Urges Uzbekistan to decriminalise consensual same-sex relations and to adopt effective legal and policy measures to protect LGBT people from harassment, violence and discrimination, including by law enforcement authorities;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Notes the positive impact of Uzbekistan’s membership of GSP+ on increasing trade with the EU; reiterates the need for the full and effective implementation of the 27 UN and International Labour Organization conventions and compliance with reporting obligations, in line with Uzbekistan’s commitments under the GSP+ scheme; calls on Uzbekistan to follow up on the recommendations made by the second GSP+ monitoring mission to Uzbekistan;</w:t>
            </w:r>
          </w:p>
        </w:tc>
        <w:tc>
          <w:tcPr>
            <w:tcW w:w="4876" w:type="dxa"/>
            <w:tcBorders>
              <w:top w:val="nil"/>
              <w:left w:val="nil"/>
              <w:bottom w:val="nil"/>
              <w:right w:val="nil"/>
            </w:tcBorders>
          </w:tcPr>
          <w:p>
            <w:pPr>
              <w:pStyle w:val="Normal6a"/>
            </w:pPr>
            <w:r>
              <w:t>15.</w:t>
            </w:r>
            <w:r>
              <w:tab/>
            </w:r>
            <w:r>
              <w:t xml:space="preserve">Notes the positive impact of Uzbekistan’s membership of GSP+ on increasing trade with the EU; reiterates the need for the full and effective implementation of the 27 UN and International Labour Organization conventions and compliance with reporting obligations, in line with Uzbekistan’s commitments under the GSP+ scheme; calls on Uzbekistan to follow up on the recommendations made by the second GSP+ monitoring mission to Uzbekistan; </w:t>
            </w:r>
            <w:r>
              <w:rPr>
                <w:b/>
                <w:i/>
              </w:rPr>
              <w:t>stresses that this second GSP+ monitoring mission mostly took note of plans to combat corruption, to allow the right to strike, and to step up progress towards the full elimination of forced and child labour in the cotton harvest, amongst other remaining challenges; reiterates therefore that tangible and measurable progress on democratic reform and human rights must be a prerequisite for the continued access to EU trade preferences, and that such instruments should serve as leverage for reform rather than rewards for unfulfilled commitments;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Petras Auštrevičius, Marie-Agnes Strack-Zimmermann, Lucia Yar,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Notes the positive impact of Uzbekistan’s membership of GSP+ on increasing trade with the EU; reiterates the need for the full and effective implementation of the 27 UN and International Labour Organization conventions and compliance with reporting obligations, in line with Uzbekistan’s commitments under the GSP+ scheme; calls on Uzbekistan to follow up on the recommendations made by the second GSP+ monitoring mission to Uzbekistan;</w:t>
            </w:r>
          </w:p>
        </w:tc>
        <w:tc>
          <w:tcPr>
            <w:tcW w:w="4876" w:type="dxa"/>
            <w:tcBorders>
              <w:top w:val="nil"/>
              <w:left w:val="nil"/>
              <w:bottom w:val="nil"/>
              <w:right w:val="nil"/>
            </w:tcBorders>
          </w:tcPr>
          <w:p>
            <w:pPr>
              <w:pStyle w:val="Normal6a"/>
            </w:pPr>
            <w:r>
              <w:t>15.</w:t>
            </w:r>
            <w:r>
              <w:tab/>
            </w:r>
            <w:r>
              <w:t>Notes the positive impact of Uzbekistan’s membership of GSP+ on increasing trade with the EU</w:t>
            </w:r>
            <w:r>
              <w:rPr>
                <w:b/>
                <w:i/>
              </w:rPr>
              <w:t>; notes with serious concern the continued presence of forced labour in Uzbekistan’s cotton sector, which remains harmful to the farm workers given the continued state oversight of annual production</w:t>
            </w:r>
            <w:r>
              <w:t>; reiterates the need for the full and effective implementation of the 27 UN and International Labour Organization conventions and compliance with reporting obligations, in line with Uzbekistan’s commitments under the GSP+ scheme; calls on Uzbekistan to follow up on the recommendations made by the second GSP+ monitoring mission to Uzbekistan;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Notes </w:t>
            </w:r>
            <w:r>
              <w:rPr>
                <w:b/>
                <w:i/>
              </w:rPr>
              <w:t>the positive impact of Uzbekistan’s membership of GSP+ on increasing trade with the EU; reiterates the need for the full and effective implementation of the 27 UN and International Labour Organization conventions and compliance with reporting obligations, in line with Uzbekistan’s commitments under the GSP+ scheme; calls on</w:t>
            </w:r>
            <w:r>
              <w:t xml:space="preserve"> Uzbekistan to </w:t>
            </w:r>
            <w:r>
              <w:rPr>
                <w:b/>
                <w:i/>
              </w:rPr>
              <w:t>follow up on the recommendations made by the second GSP+ monitoring mission to Uzbekistan</w:t>
            </w:r>
            <w:r>
              <w:t>;</w:t>
            </w:r>
          </w:p>
        </w:tc>
        <w:tc>
          <w:tcPr>
            <w:tcW w:w="4876" w:type="dxa"/>
            <w:tcBorders>
              <w:top w:val="nil"/>
              <w:left w:val="nil"/>
              <w:bottom w:val="nil"/>
              <w:right w:val="nil"/>
            </w:tcBorders>
          </w:tcPr>
          <w:p>
            <w:pPr>
              <w:pStyle w:val="Normal6a"/>
            </w:pPr>
            <w:r>
              <w:t>15.</w:t>
            </w:r>
            <w:r>
              <w:tab/>
            </w:r>
            <w:r>
              <w:t xml:space="preserve">Notes </w:t>
            </w:r>
            <w:r>
              <w:rPr>
                <w:b/>
                <w:i/>
              </w:rPr>
              <w:t>that GSP+ provides</w:t>
            </w:r>
            <w:r>
              <w:t xml:space="preserve"> Uzbekistan </w:t>
            </w:r>
            <w:r>
              <w:rPr>
                <w:b/>
                <w:i/>
              </w:rPr>
              <w:t>with substantial preferential access</w:t>
            </w:r>
            <w:r>
              <w:t xml:space="preserve"> to </w:t>
            </w:r>
            <w:r>
              <w:rPr>
                <w:b/>
                <w:i/>
              </w:rPr>
              <w:t>the EU market, while equivalent access for EU operators is not ensured; calls for a comprehensive cost-benefit assessment for EU citizens and taxpayers before any continuation, upgrading or political endorsement of GSP+</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Underlines the participation of Uzbekistan at a number of EU regional programmes and its benefits from investments under the European Fund for Sustainable Development Plus (EFSD+);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Welcomes</w:t>
            </w:r>
            <w:r>
              <w:t xml:space="preserve"> the signing, on 5 April 2024, of the EU-Uzbekistan memorandum of understanding launching a strategic partnership on critical raw materials; welcomes the EU-Central Asia declaration of intent on critical raw materials, endorsed at the first EU-Central Asia summit, which reflects the mutual interest in boosting cooperation on energy and the green transition;</w:t>
            </w:r>
          </w:p>
        </w:tc>
        <w:tc>
          <w:tcPr>
            <w:tcW w:w="4876" w:type="dxa"/>
            <w:tcBorders>
              <w:top w:val="nil"/>
              <w:left w:val="nil"/>
              <w:bottom w:val="nil"/>
              <w:right w:val="nil"/>
            </w:tcBorders>
          </w:tcPr>
          <w:p>
            <w:pPr>
              <w:pStyle w:val="Normal6a"/>
            </w:pPr>
            <w:r>
              <w:t>16.</w:t>
            </w:r>
            <w:r>
              <w:tab/>
            </w:r>
            <w:r>
              <w:rPr>
                <w:b/>
                <w:i/>
              </w:rPr>
              <w:t>Notes</w:t>
            </w:r>
            <w:r>
              <w:t xml:space="preserve"> the signing, on 5 April 2024, of the EU-Uzbekistan memorandum of understanding launching a strategic partnership on critical raw materials; welcomes the EU-Central Asia declaration of intent on critical raw materials, endorsed at the first EU-Central Asia summit, which reflects the mutual interest in boosting cooperation on energy and the green transition; </w:t>
            </w:r>
            <w:r>
              <w:rPr>
                <w:b/>
                <w:i/>
              </w:rPr>
              <w:t>expresses concern however that the Uzbek mining sector still relies on coal-powered energy and that the extraction of critical raw materials using fossil fuels will undermine Uzbekistan’s own sustainability goals; stresses the need for a just green transition globally and calls on the Commission to strictly enforce the "Do No Significant Harm" principle in this regard;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Giorgos Georgiou</w:t>
      </w:r>
      <w:r>
        <w:rPr>
          <w:rStyle w:val="HideTWBExt"/>
          <w:b w:val="0"/>
        </w:rPr>
        <w:t>&lt;/Members&gt;</w:t>
      </w:r>
    </w:p>
    <w:p>
      <w:r>
        <w:rPr>
          <w:rStyle w:val="HideTWBExt"/>
          <w:b w:val="0"/>
        </w:rPr>
        <w:t>&lt;AuNomDe&gt;</w:t>
      </w:r>
      <w:r>
        <w:rPr>
          <w:rStyle w:val="HideTWBInt"/>
        </w:rPr>
        <w:t>{The Left}</w:t>
      </w:r>
      <w:r>
        <w:t>on behalf of The Left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Welcomes the signing, on 5 April 2024, of the EU-Uzbekistan memorandum of understanding launching a strategic partnership on critical raw materials; welcomes the EU-Central Asia declaration of intent on critical raw materials, endorsed at the first EU-Central Asia summit, which reflects the mutual interest in boosting cooperation on energy and the green transition;</w:t>
            </w:r>
          </w:p>
        </w:tc>
        <w:tc>
          <w:tcPr>
            <w:tcW w:w="4876" w:type="dxa"/>
            <w:tcBorders>
              <w:top w:val="nil"/>
              <w:left w:val="nil"/>
              <w:bottom w:val="nil"/>
              <w:right w:val="nil"/>
            </w:tcBorders>
          </w:tcPr>
          <w:p>
            <w:pPr>
              <w:pStyle w:val="Normal6a"/>
            </w:pPr>
            <w:r>
              <w:t>16.</w:t>
            </w:r>
            <w:r>
              <w:tab/>
            </w:r>
            <w:r>
              <w:t xml:space="preserve">Welcomes the signing, on 5 April 2024, of the EU-Uzbekistan memorandum of understanding launching a strategic partnership on critical raw materials; welcomes the EU-Central Asia declaration of intent on critical raw materials, endorsed at the first EU-Central Asia summit, which reflects the mutual interest in boosting cooperation on energy and the green transition; </w:t>
            </w:r>
            <w:r>
              <w:rPr>
                <w:b/>
                <w:i/>
              </w:rPr>
              <w:t>reaffirms its commitment for the effective implementation of the Paris Agreement; ensure that climate cooperation must support a just transition and protect workers affected by decarbonisation; ensure that any investment in green and extractive sectors shall respect environmental standards and local community rights;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Welcomes the signing, on 5 April 2024, of the EU-Uzbekistan memorandum of understanding launching a strategic partnership on critical raw materials; welcomes the EU-Central Asia declaration of intent on critical raw materials, endorsed at the first EU-Central Asia summit, which reflects the mutual interest in boosting cooperation on energy and the green transition;</w:t>
            </w:r>
          </w:p>
        </w:tc>
        <w:tc>
          <w:tcPr>
            <w:tcW w:w="4876" w:type="dxa"/>
            <w:tcBorders>
              <w:top w:val="nil"/>
              <w:left w:val="nil"/>
              <w:bottom w:val="nil"/>
              <w:right w:val="nil"/>
            </w:tcBorders>
          </w:tcPr>
          <w:p>
            <w:pPr>
              <w:pStyle w:val="Normal6a"/>
            </w:pPr>
            <w:r>
              <w:t>16.</w:t>
            </w:r>
            <w:r>
              <w:tab/>
            </w:r>
            <w:r>
              <w:t xml:space="preserve">Welcomes the signing, on 5 April 2024, of the EU-Uzbekistan memorandum of understanding launching a strategic partnership on critical raw materials; welcomes the EU-Central Asia declaration of intent on critical raw materials, endorsed at the first EU-Central Asia summit, which reflects the mutual interest in boosting cooperation on energy and the green transition; </w:t>
            </w:r>
            <w:r>
              <w:rPr>
                <w:b/>
                <w:i/>
              </w:rPr>
              <w:t>welcomes the introduction of an additional EUR 12 billion investment package during the EU-Central Asia Summit in Samarkand in 2025, with EUR 2.5 billion specifically earmarked for Critical Raw Materials (CRMs);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Welcomes the signing, on 5 April 2024, of the EU-Uzbekistan memorandum of understanding launching a strategic partnership on critical raw materials; welcomes the EU-Central Asia declaration of intent on critical raw materials, endorsed at the first EU-Central Asia summit, which reflects the mutual interest in boosting cooperation on energy and the </w:t>
            </w:r>
            <w:r>
              <w:rPr>
                <w:b/>
                <w:i/>
              </w:rPr>
              <w:t>green</w:t>
            </w:r>
            <w:r>
              <w:t xml:space="preserve"> transition;</w:t>
            </w:r>
          </w:p>
        </w:tc>
        <w:tc>
          <w:tcPr>
            <w:tcW w:w="4876" w:type="dxa"/>
            <w:tcBorders>
              <w:top w:val="nil"/>
              <w:left w:val="nil"/>
              <w:bottom w:val="nil"/>
              <w:right w:val="nil"/>
            </w:tcBorders>
          </w:tcPr>
          <w:p>
            <w:pPr>
              <w:pStyle w:val="Normal6a"/>
            </w:pPr>
            <w:r>
              <w:t>16.</w:t>
            </w:r>
            <w:r>
              <w:tab/>
            </w:r>
            <w:r>
              <w:t xml:space="preserve">Welcomes the signing, on 5 April 2024, of the EU-Uzbekistan memorandum of understanding launching a strategic partnership on critical raw materials; welcomes the EU-Central Asia declaration of intent on critical raw materials, endorsed at the first EU-Central Asia summit, which reflects the mutual interest in boosting cooperation on energy and the </w:t>
            </w:r>
            <w:r>
              <w:rPr>
                <w:b/>
                <w:i/>
              </w:rPr>
              <w:t>clean</w:t>
            </w:r>
            <w:r>
              <w:t xml:space="preserve"> transition;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Claudiu Manda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Welcomes the fact that Uzbekistan is in the final stages of its World Trade Organisation (WTO) accession process and underscores the EU's support for Uzbekistan's WTO accession and the underlying economic reform process, as well as for a rules-based multilateral trading system with WTO at its core;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Stresses the importance of integrating Uzbekistan more deeply into the EU’s flagship connectivity initiatives, notably the Global Gateway and the extension of the Trans-European Transport Network (TEN-T) toward Central Asia;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Marie-Agnes Strack-Zimmermann,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Welcomes Uzbekistan's significant investments in renewable energy, focusing particularly on solar and wind power, thereby reducing the country's reliance on fossil-dependent energy 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Ilhan Kyuchyuk, Marjan Šarec, Dan Barna,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Supports the strengthening of people-to-people contacts and mobility, notably in the fields of education, business and tourism; notes that the EPCA includes the possibility of negotiating a readmission agreement and an agreement on visa facilitation; invites both sides to take the steps necessary to meet the conditions for the launch of the negotiations;</w:t>
            </w:r>
          </w:p>
        </w:tc>
        <w:tc>
          <w:tcPr>
            <w:tcW w:w="4876" w:type="dxa"/>
            <w:tcBorders>
              <w:top w:val="nil"/>
              <w:left w:val="nil"/>
              <w:bottom w:val="nil"/>
              <w:right w:val="nil"/>
            </w:tcBorders>
          </w:tcPr>
          <w:p>
            <w:pPr>
              <w:pStyle w:val="Normal6a"/>
            </w:pPr>
            <w:r>
              <w:t>17.</w:t>
            </w:r>
            <w:r>
              <w:tab/>
            </w:r>
            <w:r>
              <w:t xml:space="preserve">Supports the strengthening of people-to-people contacts and mobility, notably in the fields of education, business and tourism; notes that the EPCA includes the possibility of negotiating a readmission agreement and an agreement on visa facilitation; invites both sides to take the steps necessary to meet the conditions for the launch of the negotiations; </w:t>
            </w:r>
            <w:r>
              <w:rPr>
                <w:b/>
                <w:i/>
              </w:rPr>
              <w:t>notes that there are still challenges in regulatory frameworks and business environment to ensure the legal protection of companies; calls on the government to guarantee transparency and reliability regarding timely developments, resource estimations, reliable export routes, and payments;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Supports the strengthening of people-to-people contacts and mobility, notably in the fields of education, business and tourism;</w:t>
            </w:r>
            <w:r>
              <w:t xml:space="preserve"> notes that the EPCA includes the possibility of negotiating a readmission agreement </w:t>
            </w:r>
            <w:r>
              <w:rPr>
                <w:b/>
                <w:i/>
              </w:rPr>
              <w:t>and an agreement on visa facilitation</w:t>
            </w:r>
            <w:r>
              <w:t>; invites both sides to take the steps necessary to meet the conditions for the launch of the negotiations;</w:t>
            </w:r>
          </w:p>
        </w:tc>
        <w:tc>
          <w:tcPr>
            <w:tcW w:w="4876" w:type="dxa"/>
            <w:tcBorders>
              <w:top w:val="nil"/>
              <w:left w:val="nil"/>
              <w:bottom w:val="nil"/>
              <w:right w:val="nil"/>
            </w:tcBorders>
          </w:tcPr>
          <w:p>
            <w:pPr>
              <w:pStyle w:val="Normal6a"/>
            </w:pPr>
            <w:r>
              <w:t>17.</w:t>
            </w:r>
            <w:r>
              <w:tab/>
            </w:r>
            <w:r>
              <w:t xml:space="preserve">Notes </w:t>
            </w:r>
            <w:r>
              <w:rPr>
                <w:b/>
                <w:i/>
              </w:rPr>
              <w:t>with satisfaction</w:t>
            </w:r>
            <w:r>
              <w:t xml:space="preserve"> that the EPCA includes the possibility of negotiating a readmission agreement; invites both sides to take the steps necessary to meet the conditions for the launch of the negotiations </w:t>
            </w:r>
            <w:r>
              <w:rPr>
                <w:b/>
                <w:i/>
              </w:rPr>
              <w:t>so that the agreement can be concluded and enter into force as soon as possible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Supports the strengthening of people-to-people contacts and mobility, notably in the fields of education, business and tourism; notes that the EPCA includes the possibility of negotiating a readmission agreement and an agreement on visa facilitation; invites both sides to take the steps necessary to meet the conditions for the launch of the negotiations;</w:t>
            </w:r>
          </w:p>
        </w:tc>
        <w:tc>
          <w:tcPr>
            <w:tcW w:w="4876" w:type="dxa"/>
            <w:tcBorders>
              <w:top w:val="nil"/>
              <w:left w:val="nil"/>
              <w:bottom w:val="nil"/>
              <w:right w:val="nil"/>
            </w:tcBorders>
          </w:tcPr>
          <w:p>
            <w:pPr>
              <w:pStyle w:val="Normal6a"/>
            </w:pPr>
            <w:r>
              <w:t>17.</w:t>
            </w:r>
            <w:r>
              <w:tab/>
            </w:r>
            <w:r>
              <w:t>Supports the strengthening of people-to-people contacts</w:t>
            </w:r>
            <w:r>
              <w:rPr>
                <w:b/>
                <w:i/>
              </w:rPr>
              <w:t>, student, academic, scientific, cultural and other professional exchanges</w:t>
            </w:r>
            <w:r>
              <w:t xml:space="preserve"> and mobility, notably in the fields of education, business and tourism; notes that the EPCA includes the possibility of negotiating a readmission agreement and an agreement on visa facilitation; invites both sides to take the steps necessary to meet the conditions for the launch of the negotiations;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Supports the strengthening of people-to-people contacts and mobility, notably in the fields of education, business and tourism; notes that the EPCA includes the possibility of negotiating a readmission agreement and an agreement</w:t>
            </w:r>
            <w:r>
              <w:t xml:space="preserve"> on visa facilitation</w:t>
            </w:r>
            <w:r>
              <w:rPr>
                <w:b/>
                <w:i/>
              </w:rPr>
              <w:t>; invites both sides to take the steps necessary to meet the conditions for the launch of the negotiations</w:t>
            </w:r>
            <w:r>
              <w:t>;</w:t>
            </w:r>
          </w:p>
        </w:tc>
        <w:tc>
          <w:tcPr>
            <w:tcW w:w="4876" w:type="dxa"/>
            <w:tcBorders>
              <w:top w:val="nil"/>
              <w:left w:val="nil"/>
              <w:bottom w:val="nil"/>
              <w:right w:val="nil"/>
            </w:tcBorders>
          </w:tcPr>
          <w:p>
            <w:pPr>
              <w:pStyle w:val="Normal6a"/>
            </w:pPr>
            <w:r>
              <w:t>17.</w:t>
            </w:r>
            <w:r>
              <w:tab/>
            </w:r>
            <w:r>
              <w:rPr>
                <w:b/>
                <w:i/>
              </w:rPr>
              <w:t>Opposes launching negotiations</w:t>
            </w:r>
            <w:r>
              <w:t xml:space="preserve"> on visa facilitation </w:t>
            </w:r>
            <w:r>
              <w:rPr>
                <w:b/>
                <w:i/>
              </w:rPr>
              <w:t>and warns against lowering entry barriers without robust risk assessment, effective return mechanisms; stresses that any mobility-related talks must be strictly conditional on Member State consent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r>
        <w:rPr>
          <w:rStyle w:val="HideTWBExt"/>
          <w:b w:val="0"/>
        </w:rPr>
        <w:t>&lt;AuNomDe&gt;</w:t>
      </w:r>
      <w:r>
        <w:rPr>
          <w:rStyle w:val="HideTWBInt"/>
        </w:rPr>
        <w:t>{ESN}</w:t>
      </w:r>
      <w:r>
        <w:t>on behalf of the ESN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Invites for strategic and pragmatic relations with Uzbekistan that fully tap on the economic potential of the country; invites the Commission to fully use the available tools under the agreement as to maximise the economic benefit for the citizens of the EU Member States and create even more preferential terms for the European companies to access the Uzbekistan’s market of 38.2 million consumers; supports collaborations on connectivity and on critical raw materials that are of interest of the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Stresses that the European Parliament’s consent to the EPCA constitutes a strategic investment in the EU-Uzbekistan partnership and should be understood as a tool to foster long-term engagement, stability and cooperation, contributing to the EU’s broader strategy in Central Asia and to balanced international alignment;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Instructs its President to forward this resolution to the Council </w:t>
            </w:r>
            <w:r>
              <w:rPr>
                <w:b/>
                <w:i/>
              </w:rPr>
              <w:t>and</w:t>
            </w:r>
            <w:r>
              <w:t xml:space="preserve"> the Commission, and the governments and parliaments of the Member States </w:t>
            </w:r>
            <w:r>
              <w:rPr>
                <w:b/>
                <w:i/>
              </w:rPr>
              <w:t>and of</w:t>
            </w:r>
            <w:r>
              <w:t xml:space="preserve"> the Republic of Uzbekistan.</w:t>
            </w:r>
          </w:p>
        </w:tc>
        <w:tc>
          <w:tcPr>
            <w:tcW w:w="4876" w:type="dxa"/>
            <w:tcBorders>
              <w:top w:val="nil"/>
              <w:left w:val="nil"/>
              <w:bottom w:val="nil"/>
              <w:right w:val="nil"/>
            </w:tcBorders>
          </w:tcPr>
          <w:p>
            <w:pPr>
              <w:pStyle w:val="Normal6a"/>
            </w:pPr>
            <w:r>
              <w:t>18.</w:t>
            </w:r>
            <w:r>
              <w:tab/>
            </w:r>
            <w:r>
              <w:t>Instructs its President to forward this resolution to the Council</w:t>
            </w:r>
            <w:r>
              <w:rPr>
                <w:b/>
                <w:i/>
              </w:rPr>
              <w:t>,</w:t>
            </w:r>
            <w:r>
              <w:t xml:space="preserve"> the Commission</w:t>
            </w:r>
            <w:r>
              <w:rPr>
                <w:b/>
                <w:i/>
              </w:rPr>
              <w:t>, the European External Action Service</w:t>
            </w:r>
            <w:r>
              <w:t>, and the governments and parliaments of the Member States</w:t>
            </w:r>
            <w:r>
              <w:rPr>
                <w:b/>
                <w:i/>
              </w:rPr>
              <w:t>, as well as to translate this resolution to Uzbek and forward it to</w:t>
            </w:r>
            <w:r>
              <w:t> the Republic of Uzbekistan.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784.409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82</w:t>
    </w:r>
    <w:r>
      <w:fldChar w:fldCharType="end"/>
    </w:r>
    <w:r>
      <w:t>/</w:t>
    </w:r>
    <w:r>
      <w:fldChar w:fldCharType="begin"/>
    </w:r>
    <w:r>
      <w:instrText xml:space="preserve"> NUMPAGES </w:instrText>
    </w:r>
    <w:r>
      <w:fldChar w:fldCharType="separate"/>
    </w:r>
    <w:r>
      <w:t>83</w:t>
    </w:r>
    <w:r>
      <w:fldChar w:fldCharType="end"/>
    </w:r>
    <w:r>
      <w:tab/>
    </w:r>
    <w:r>
      <w:rPr>
        <w:rStyle w:val="HideTWBExt"/>
      </w:rPr>
      <w:t>&lt;PathFdR&gt;</w:t>
    </w:r>
    <w:r>
      <w:t>AM\1337442EN.docx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AM\1337442EN.docx</w:t>
    </w:r>
    <w:r>
      <w:rPr>
        <w:rStyle w:val="HideTWBExt"/>
      </w:rPr>
      <w:t>&lt;/PathFdR&gt;</w:t>
    </w:r>
    <w:r>
      <w:tab/>
    </w:r>
    <w:r>
      <w:fldChar w:fldCharType="begin"/>
    </w:r>
    <w:r>
      <w:instrText xml:space="preserve"> PAGE </w:instrText>
    </w:r>
    <w:r>
      <w:fldChar w:fldCharType="separate"/>
    </w:r>
    <w:r>
      <w:t>83</w:t>
    </w:r>
    <w:r>
      <w:fldChar w:fldCharType="end"/>
    </w:r>
    <w:r>
      <w:t>/</w:t>
    </w:r>
    <w:r>
      <w:fldChar w:fldCharType="begin"/>
    </w:r>
    <w:r>
      <w:instrText xml:space="preserve"> NUMPAGES </w:instrText>
    </w:r>
    <w:r>
      <w:fldChar w:fldCharType="separate"/>
    </w:r>
    <w:r>
      <w:t>83</w:t>
    </w:r>
    <w:r>
      <w:fldChar w:fldCharType="end"/>
    </w:r>
    <w:r>
      <w:tab/>
    </w:r>
    <w:r>
      <w:t>PE</w:t>
    </w:r>
    <w:r>
      <w:rPr>
        <w:rStyle w:val="HideTWBExt"/>
      </w:rPr>
      <w:t>&lt;NoPE&gt;</w:t>
    </w:r>
    <w:r>
      <w:t>784.409</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AM\1337442EN.docx</w:t>
    </w:r>
    <w:r>
      <w:rPr>
        <w:rStyle w:val="HideTWBExt"/>
      </w:rPr>
      <w:t>&lt;/PathFdR&gt;</w:t>
    </w:r>
    <w:r>
      <w:tab/>
    </w:r>
    <w:r>
      <w:tab/>
    </w:r>
    <w:r>
      <w:t>PE</w:t>
    </w:r>
    <w:r>
      <w:rPr>
        <w:rStyle w:val="HideTWBExt"/>
      </w:rPr>
      <w:t>&lt;NoPE&gt;</w:t>
    </w:r>
    <w:r>
      <w:t>784.409</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83</Pages>
  <Words>17215</Words>
  <Characters>97764</Characters>
  <Application>Microsoft Office Word</Application>
  <DocSecurity>0</DocSecurity>
  <Lines>1</Lines>
  <Paragraphs>1451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1337442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384117</vt:lpwstr>
  </property>
  <property fmtid="{D5CDD505-2E9C-101B-9397-08002B2CF9AE}" pid="7" name="dmxml.render.traceId">
    <vt:lpwstr>69947248cace2a9f3538ddd8e144110b</vt:lpwstr>
  </property>
  <property fmtid="{D5CDD505-2E9C-101B-9397-08002B2CF9AE}" pid="8" name="FooterPath">
    <vt:lpwstr>AM\1337442EN.docx</vt:lpwstr>
  </property>
  <property fmtid="{D5CDD505-2E9C-101B-9397-08002B2CF9AE}" pid="9" name="PE Number">
    <vt:lpwstr>784.409</vt:lpwstr>
  </property>
  <property fmtid="{D5CDD505-2E9C-101B-9397-08002B2CF9AE}" pid="10" name="UID">
    <vt:lpwstr>eu.europa.europarl-DIN1-2026-0000033537_01.00-en-01.00_text-xml</vt:lpwstr>
  </property>
</Properties>
</file>