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Ausschuss für auswärtige Angelegenheiten</w:t>
      </w:r>
      <w:r>
        <w:rPr>
          <w:rStyle w:val="HideTWBExt"/>
        </w:rPr>
        <w:t>&lt;/Commission&gt;</w:t>
      </w:r>
    </w:p>
    <w:p>
      <w:pPr>
        <w:pStyle w:val="LineBottom"/>
      </w:pPr>
      <w:r>
        <w:t xml:space="preserve"> </w:t>
      </w:r>
    </w:p>
    <w:p>
      <w:pPr>
        <w:pStyle w:val="CoverReference"/>
      </w:pPr>
      <w:r>
        <w:rPr>
          <w:rStyle w:val="HideTWBExt"/>
        </w:rPr>
        <w:t>&lt;RefProc&gt;</w:t>
      </w:r>
      <w:r>
        <w:t>2025/2252</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{13/04/2026}</w:t>
      </w:r>
      <w:r>
        <w:t>13.4.2026</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290</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Riho Terras</w:t>
      </w:r>
      <w:r>
        <w:rPr>
          <w:rStyle w:val="HideTWBExt"/>
        </w:rPr>
        <w:t>&lt;/Rapporteur&gt;</w:t>
      </w:r>
    </w:p>
    <w:p>
      <w:pPr>
        <w:pStyle w:val="CoverNormal24a"/>
      </w:pPr>
      <w:r>
        <w:rPr>
          <w:rStyle w:val="HideTWBExt"/>
        </w:rPr>
        <w:t>&lt;DocRefPE&gt;</w:t>
      </w:r>
      <w:r>
        <w:t>(PE784.231v01-00)</w:t>
      </w:r>
      <w:r>
        <w:rPr>
          <w:rStyle w:val="HideTWBExt"/>
        </w:rPr>
        <w:t>&lt;/DocRefPE&gt;</w:t>
      </w:r>
    </w:p>
    <w:p>
      <w:pPr>
        <w:pStyle w:val="CoverNormal"/>
      </w:pPr>
      <w:r>
        <w:rPr>
          <w:rStyle w:val="HideTWBExt"/>
        </w:rPr>
        <w:t>&lt;Titre&gt;</w:t>
      </w:r>
      <w:r>
        <w:t>Bericht 2025 der Kommission über das Kosovo</w:t>
      </w:r>
      <w:r>
        <w:rPr>
          <w:rStyle w:val="HideTWBExt"/>
        </w:rPr>
        <w:t>&lt;/Titre&gt;</w:t>
      </w:r>
    </w:p>
    <w:p>
      <w:pPr>
        <w:pStyle w:val="CoverNormal24a"/>
      </w:pPr>
      <w:r>
        <w:rPr>
          <w:rStyle w:val="HideTWBExt"/>
        </w:rPr>
        <w:t>&lt;DocRef&gt;</w:t>
      </w:r>
      <w:r>
        <w:t>(2025/2252(INI))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Francisco José Millán Mon, Antonio López-Istúriz White, Gabriel Mato, 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unter Hinweis auf das Stabilisierungs- und Assoziierungsabkommen zwischen der Europäischen Union und der Europäischen Atomgemeinschaft einerseits und dem Kosovo andererseits</w:t>
            </w:r>
            <w:r>
              <w:rPr>
                <w:vertAlign w:val="superscript"/>
              </w:rPr>
              <w:t>1</w:t>
            </w:r>
            <w:r>
              <w:t>, das seit dem 1. April 2016 in Kraft ist,</w:t>
            </w:r>
          </w:p>
        </w:tc>
        <w:tc>
          <w:tcPr>
            <w:tcW w:w="4876" w:type="dxa"/>
            <w:tcBorders>
              <w:top w:val="nil"/>
              <w:left w:val="nil"/>
              <w:bottom w:val="nil"/>
              <w:right w:val="nil"/>
            </w:tcBorders>
          </w:tcPr>
          <w:p>
            <w:pPr>
              <w:pStyle w:val="Normal6a"/>
            </w:pPr>
            <w:r>
              <w:t>—</w:t>
            </w:r>
            <w:r>
              <w:tab/>
            </w:r>
            <w:r>
              <w:t>unter Hinweis auf das Stabilisierungs- und Assoziierungsabkommen zwischen der Europäischen Union und der Europäischen Atomgemeinschaft einerseits und dem Kosovo</w:t>
            </w:r>
            <w:r>
              <w:rPr>
                <w:b/>
                <w:i/>
              </w:rPr>
              <w:t>*</w:t>
            </w:r>
            <w:r>
              <w:t xml:space="preserve"> andererseits</w:t>
            </w:r>
            <w:r>
              <w:rPr>
                <w:vertAlign w:val="superscript"/>
              </w:rPr>
              <w:t>1</w:t>
            </w:r>
            <w:r>
              <w:t>, das seit dem 1. April 2016 in Kraft ist,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Diese Bezeichnung ist nicht als Anerkennung einer Staatlichkeit auszulegen und lässt die Standpunkte der einzelnen Mitgliedstaaten zum Status unberührt.</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ABl. L 71 vom 16.3.2016, S. 3</w:t>
            </w:r>
            <w:r>
              <w:rPr>
                <w:b/>
                <w:i/>
              </w:rPr>
              <w:t>.</w:t>
            </w:r>
            <w:r>
              <w:t xml:space="preserve"> ELI: http://data.europa.eu/eli/agree_internation/2016/342/oj.</w:t>
            </w:r>
          </w:p>
        </w:tc>
        <w:tc>
          <w:tcPr>
            <w:tcW w:w="4876" w:type="dxa"/>
            <w:tcBorders>
              <w:top w:val="nil"/>
              <w:left w:val="nil"/>
              <w:bottom w:val="nil"/>
              <w:right w:val="nil"/>
            </w:tcBorders>
          </w:tcPr>
          <w:p>
            <w:pPr>
              <w:pStyle w:val="Normal6a"/>
            </w:pPr>
            <w:r>
              <w:rPr>
                <w:vertAlign w:val="superscript"/>
              </w:rPr>
              <w:t>1</w:t>
            </w:r>
            <w:r>
              <w:t xml:space="preserve"> </w:t>
            </w:r>
            <w:r>
              <w:t>ABl. L 71 vom 16.3.2016, S. 3</w:t>
            </w:r>
            <w:r>
              <w:rPr>
                <w:b/>
                <w:i/>
              </w:rPr>
              <w:t>,</w:t>
            </w:r>
            <w:r>
              <w:t xml:space="preserve"> ELI: http://data.europa.eu/eli/agree_internation/2016/342/oj.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Diese Anmerkung sollte in den Titel eingefügt werden und auf den gesamten Text Anwendung finden.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Francisco José Millán Mon, Antonio López-Istúriz White, Gabriel Mato, 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Antrag des Kosovo vom 15. Dezember 2022 auf Beitritt zur Europäischen Union,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Francisco José Millán Mon, Antonio López-Istúriz White, Gabriel Mato, 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Antrag des Kosovo vom 12. Mai 2022 auf Aufnahme in den Europarat,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Francisco José Millán Mon, Antonio López-Istúriz White, Gabriel Mato, 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die Verordnung (EU) 2023/850 des Europäischen Parlaments und des Rates vom 19. April 2023 zur Änderung der Verordnung (EU) 2018/1806 zur Aufstellung der Liste der Drittländer, deren Staatsangehörige beim Überschreiten der Außengrenzen im Besitz eines Visums sein müssen, sowie der Liste der Drittländer, deren Staatsangehörige von dieser Visumpflicht befreit sind</w:t>
            </w:r>
            <w:r>
              <w:rPr>
                <w:b/>
                <w:i/>
                <w:vertAlign w:val="superscript"/>
              </w:rPr>
              <w:t>4</w:t>
            </w:r>
            <w:r>
              <w:rPr>
                <w:b/>
                <w:i/>
              </w:rPr>
              <w:t>, in Bezug auf das Kosovo, mit der Inhaber biometrischer Reisepässe des Kosovo ab dem 1. Januar 2024 von der Visumpflicht befreit werden,</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ABl.</w:t>
            </w:r>
            <w:r>
              <w:t xml:space="preserve"> </w:t>
            </w:r>
            <w:r>
              <w:rPr>
                <w:b/>
                <w:i/>
              </w:rPr>
              <w:t>L 110 vom 25.4.2023, S.</w:t>
            </w:r>
            <w:r>
              <w:t xml:space="preserve"> </w:t>
            </w:r>
            <w:r>
              <w:rPr>
                <w:b/>
                <w:i/>
              </w:rPr>
              <w:t>1, ELI:</w:t>
            </w:r>
            <w:r>
              <w:t xml:space="preserve"> </w:t>
            </w:r>
            <w:r>
              <w:rPr>
                <w:b/>
                <w:i/>
              </w:rPr>
              <w:t>http://data.europa.eu/eli/reg/2023/850/oj.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Francisco José Millán Mon, Antonio López-Istúriz White, Gabriel Mato, 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unter Hinweis auf die Resolution 1244 vom 10. Juni 1999 des Sicherheitsrates der Vereinten Nationen, das Gutachten des Internationalen Gerichtshofs (IGH) vom 22. Juli 2010 </w:t>
            </w:r>
            <w:r>
              <w:rPr>
                <w:b/>
                <w:i/>
              </w:rPr>
              <w:t>über die Vereinbarkeit der einseitigen Unabhängigkeitserklärung des Kosovo mit dem Völkerrecht</w:t>
            </w:r>
            <w:r>
              <w:t xml:space="preserve"> und die Resolution 64/298 der Generalversammlung der Vereinten Nationen vom 9. September 2010, </w:t>
            </w:r>
            <w:r>
              <w:rPr>
                <w:b/>
                <w:i/>
              </w:rPr>
              <w:t>in der der Inhalt des Gutachtens des IGH zur Kenntnis genommen und die Bereitschaft der Europäischen Union begrüßt wurde, den Dialog zwischen Serbien und dem Kosovo zu fördern,</w:t>
            </w:r>
          </w:p>
        </w:tc>
        <w:tc>
          <w:tcPr>
            <w:tcW w:w="4876" w:type="dxa"/>
            <w:tcBorders>
              <w:top w:val="nil"/>
              <w:left w:val="nil"/>
              <w:bottom w:val="nil"/>
              <w:right w:val="nil"/>
            </w:tcBorders>
          </w:tcPr>
          <w:p>
            <w:pPr>
              <w:pStyle w:val="Normal6a"/>
            </w:pPr>
            <w:r>
              <w:t>—</w:t>
            </w:r>
            <w:r>
              <w:tab/>
            </w:r>
            <w:r>
              <w:t>unter Hinweis auf die Resolution 1244 vom 10. Juni 1999 des Sicherheitsrates der Vereinten Nationen, das Gutachten des Internationalen Gerichtshofs (IGH) vom 22. Juli 2010 und die Resolution 64/298 der Generalversammlung der Vereinten Nationen vom 9. September 2010,</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unter Hinweis auf </w:t>
            </w:r>
            <w:r>
              <w:rPr>
                <w:b/>
                <w:i/>
              </w:rPr>
              <w:t>die Resolution 1244 vom 10. Juni 1999 des Sicherheitsrates</w:t>
            </w:r>
            <w:r>
              <w:t xml:space="preserve"> der Vereinten Nationen, das Gutachten des Internationalen Gerichtshofs (IGH) vom 22. Juli 2010 über die Vereinbarkeit der einseitigen Unabhängigkeitserklärung des Kosovo mit dem Völkerrecht und die Resolution 64/298 der Generalversammlung der Vereinten Nationen vom 9. September 2010, in der der Inhalt des Gutachtens des IGH zur Kenntnis genommen und die Bereitschaft der Europäischen Union begrüßt wurde, den Dialog zwischen Serbien und dem Kosovo zu fördern,</w:t>
            </w:r>
          </w:p>
        </w:tc>
        <w:tc>
          <w:tcPr>
            <w:tcW w:w="4876" w:type="dxa"/>
            <w:tcBorders>
              <w:top w:val="nil"/>
              <w:left w:val="nil"/>
              <w:bottom w:val="nil"/>
              <w:right w:val="nil"/>
            </w:tcBorders>
          </w:tcPr>
          <w:p>
            <w:pPr>
              <w:pStyle w:val="Normal6a"/>
            </w:pPr>
            <w:r>
              <w:t>—</w:t>
            </w:r>
            <w:r>
              <w:tab/>
            </w:r>
            <w:r>
              <w:t xml:space="preserve">unter Hinweis auf </w:t>
            </w:r>
            <w:r>
              <w:rPr>
                <w:b/>
                <w:i/>
              </w:rPr>
              <w:t>den Bericht des Sondergesandten</w:t>
            </w:r>
            <w:r>
              <w:t xml:space="preserve"> der Vereinten Nationen </w:t>
            </w:r>
            <w:r>
              <w:rPr>
                <w:b/>
                <w:i/>
              </w:rPr>
              <w:t>für den Kosovo-Status sowie auf den umfassenden Vorschlag zur Regelung des Status des Kosovo</w:t>
            </w:r>
            <w:r>
              <w:t xml:space="preserve">, das Gutachten des Internationalen Gerichtshofs (IGH) vom 22. Juli 2010 über die Vereinbarkeit der einseitigen Unabhängigkeitserklärung des Kosovo mit dem Völkerrecht und die Resolution 64/298 der Generalversammlung der Vereinten Nationen vom 9. September 2010, in der der Inhalt des Gutachtens des IGH zur Kenntnis genommen und die Bereitschaft der Europäischen Union begrüßt wurde, den Dialog zwischen Serbien und dem Kosovo zu fördern,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Silvia Sardone, Susanna Ceccardi,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darauf, dass das Kosovo weiterhin die Gemeinsame Außen- und Sicherheitspolitik der EU übernimmt,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von Transparency International erstellten Korruptionswahrnehmungsindex 2025 (Corruption Perception Index),</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unter Hinweis auf </w:t>
            </w:r>
            <w:r>
              <w:rPr>
                <w:b/>
                <w:i/>
              </w:rPr>
              <w:t>den von Transparency International erstellten Korruptionswahrnehmungsindex 2025 (Corruption Perception Index)</w:t>
            </w:r>
            <w:r>
              <w:t>,</w:t>
            </w:r>
          </w:p>
        </w:tc>
        <w:tc>
          <w:tcPr>
            <w:tcW w:w="4876" w:type="dxa"/>
            <w:tcBorders>
              <w:top w:val="nil"/>
              <w:left w:val="nil"/>
              <w:bottom w:val="nil"/>
              <w:right w:val="nil"/>
            </w:tcBorders>
          </w:tcPr>
          <w:p>
            <w:pPr>
              <w:pStyle w:val="Normal6a"/>
            </w:pPr>
            <w:r>
              <w:t>—</w:t>
            </w:r>
            <w:r>
              <w:tab/>
            </w:r>
            <w:r>
              <w:t xml:space="preserve">unter Hinweis auf </w:t>
            </w:r>
            <w:r>
              <w:rPr>
                <w:b/>
                <w:i/>
              </w:rPr>
              <w:t>die Indikatoren für die Integrität der öffentlichen Verwaltung 2025 der Organisation für wirtschaftliche Zusammenarbeit und Entwicklung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die Rangliste der Pressefreiheit 2025 von Reporter ohne Grenzen,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Informationsreise der Plattform des Europarates zur Förderung des Schutzes journalistischer Tätigkeiten und der Sicherheit von Journalisten vom 24. bis 26. März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Silvia Sardone, Susanna Ceccardi,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in der Erwägung, dass die Erweiterungspolitik eines der wirksamsten außenpolitischen Instrumente der EU ist und eine strategische geopolitische Investition in langfristigen Frieden, Stabilität und Sicherheit auf dem gesamten Kontinent darstellt;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Elio Di Rupo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Erweiterungspolitik eines der wirksamsten außenpolitischen Instrumente der EU ist und eine strategische geopolitische Investition in langfristigen Frieden, Stabilität und Sicherheit auf dem gesamten Kontinent darstellt;</w:t>
            </w:r>
          </w:p>
        </w:tc>
        <w:tc>
          <w:tcPr>
            <w:tcW w:w="4876" w:type="dxa"/>
            <w:tcBorders>
              <w:top w:val="nil"/>
              <w:left w:val="nil"/>
              <w:bottom w:val="nil"/>
              <w:right w:val="nil"/>
            </w:tcBorders>
          </w:tcPr>
          <w:p>
            <w:pPr>
              <w:pStyle w:val="Normal6a"/>
            </w:pPr>
            <w:r>
              <w:t>A.</w:t>
            </w:r>
            <w:r>
              <w:tab/>
            </w:r>
            <w:r>
              <w:t xml:space="preserve">in der Erwägung, dass die Erweiterungspolitik eines der wirksamsten außenpolitischen Instrumente der EU </w:t>
            </w:r>
            <w:r>
              <w:rPr>
                <w:b/>
                <w:i/>
              </w:rPr>
              <w:t>und eine der erfolgreichsten Maßnahmen zur Förderung und Unterstützung von grundlegenden Reformen in Bewerberländern</w:t>
            </w:r>
            <w:r>
              <w:t xml:space="preserve"> ist und eine strategische geopolitische Investition in langfristigen Frieden, Stabilität und Sicherheit auf dem gesamten Kontinent darstellt;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Erweiterungspolitik eines der wirksamsten außenpolitischen Instrumente der EU ist </w:t>
            </w:r>
            <w:r>
              <w:rPr>
                <w:b/>
                <w:i/>
              </w:rPr>
              <w:t>und</w:t>
            </w:r>
            <w:r>
              <w:t xml:space="preserve"> eine strategische geopolitische Investition in langfristigen Frieden, Stabilität und Sicherheit auf dem gesamten Kontinent darstellt;</w:t>
            </w:r>
          </w:p>
        </w:tc>
        <w:tc>
          <w:tcPr>
            <w:tcW w:w="4876" w:type="dxa"/>
            <w:tcBorders>
              <w:top w:val="nil"/>
              <w:left w:val="nil"/>
              <w:bottom w:val="nil"/>
              <w:right w:val="nil"/>
            </w:tcBorders>
          </w:tcPr>
          <w:p>
            <w:pPr>
              <w:pStyle w:val="Normal6a"/>
            </w:pPr>
            <w:r>
              <w:t>A.</w:t>
            </w:r>
            <w:r>
              <w:tab/>
            </w:r>
            <w:r>
              <w:t>in der Erwägung, dass die Erweiterungspolitik eines der wirksamsten außenpolitischen Instrumente der EU ist</w:t>
            </w:r>
            <w:r>
              <w:rPr>
                <w:b/>
                <w:i/>
              </w:rPr>
              <w:t>,</w:t>
            </w:r>
            <w:r>
              <w:t xml:space="preserve"> eine strategische geopolitische Investition in langfristigen Frieden, Stabilität und Sicherheit auf dem gesamten Kontinent darstellt </w:t>
            </w:r>
            <w:r>
              <w:rPr>
                <w:b/>
                <w:i/>
              </w:rPr>
              <w:t>und zu den erfolgreichsten Politikbereichen gehört, wenn es darum geht, grundlegende Reformen anzustoßen und voranzutreiben</w:t>
            </w:r>
            <w:r>
              <w:t>;</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Erweiterungspolitik eines der wirksamsten außenpolitischen Instrumente der EU ist und eine strategische geopolitische Investition in langfristigen Frieden, Stabilität und Sicherheit </w:t>
            </w:r>
            <w:r>
              <w:rPr>
                <w:b/>
                <w:i/>
              </w:rPr>
              <w:t>auf dem gesamten Kontinent</w:t>
            </w:r>
            <w:r>
              <w:t xml:space="preserve"> darstellt;</w:t>
            </w:r>
          </w:p>
        </w:tc>
        <w:tc>
          <w:tcPr>
            <w:tcW w:w="4876" w:type="dxa"/>
            <w:tcBorders>
              <w:top w:val="nil"/>
              <w:left w:val="nil"/>
              <w:bottom w:val="nil"/>
              <w:right w:val="nil"/>
            </w:tcBorders>
          </w:tcPr>
          <w:p>
            <w:pPr>
              <w:pStyle w:val="Normal6a"/>
            </w:pPr>
            <w:r>
              <w:t>A.</w:t>
            </w:r>
            <w:r>
              <w:tab/>
            </w:r>
            <w:r>
              <w:t xml:space="preserve">in der Erwägung, dass die Erweiterungspolitik eines der wirksamsten außenpolitischen Instrumente der EU ist und eine strategische geopolitische Investition in langfristigen Frieden, Stabilität und Sicherheit </w:t>
            </w:r>
            <w:r>
              <w:rPr>
                <w:b/>
                <w:i/>
              </w:rPr>
              <w:t>in Europa und in die Eindämmung des Einflusses Russlands im westlichen Balkan</w:t>
            </w:r>
            <w:r>
              <w:t xml:space="preserve"> darstellt;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Matthieu Valet, António Tânger Corrêa, Silvia Sardone, 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w:t>
            </w:r>
            <w:r>
              <w:rPr>
                <w:b/>
                <w:i/>
              </w:rPr>
              <w:t>Erweiterungspolitik eines der wirksamsten außenpolitischen Instrumente</w:t>
            </w:r>
            <w:r>
              <w:t xml:space="preserve"> der EU </w:t>
            </w:r>
            <w:r>
              <w:rPr>
                <w:b/>
                <w:i/>
              </w:rPr>
              <w:t>ist und eine strategische geopolitische Investition in langfristigen Frieden,</w:t>
            </w:r>
            <w:r>
              <w:t xml:space="preserve"> Stabilität </w:t>
            </w:r>
            <w:r>
              <w:rPr>
                <w:b/>
                <w:i/>
              </w:rPr>
              <w:t>und Sicherheit auf dem gesamten Kontinent darstellt</w:t>
            </w:r>
            <w:r>
              <w:t>;</w:t>
            </w:r>
          </w:p>
        </w:tc>
        <w:tc>
          <w:tcPr>
            <w:tcW w:w="4876" w:type="dxa"/>
            <w:tcBorders>
              <w:top w:val="nil"/>
              <w:left w:val="nil"/>
              <w:bottom w:val="nil"/>
              <w:right w:val="nil"/>
            </w:tcBorders>
          </w:tcPr>
          <w:p>
            <w:pPr>
              <w:pStyle w:val="Normal6a"/>
            </w:pPr>
            <w:r>
              <w:t>A.</w:t>
            </w:r>
            <w:r>
              <w:tab/>
            </w:r>
            <w:r>
              <w:t xml:space="preserve">in der Erwägung, dass die </w:t>
            </w:r>
            <w:r>
              <w:rPr>
                <w:b/>
                <w:i/>
              </w:rPr>
              <w:t>Erweiterung vonseiten</w:t>
            </w:r>
            <w:r>
              <w:t xml:space="preserve"> der EU </w:t>
            </w:r>
            <w:r>
              <w:rPr>
                <w:b/>
                <w:i/>
              </w:rPr>
              <w:t>einem Sprung ins kalte Wasser gleichkommt, in dessen Zuge die Kriterien der wirtschaftlichen Stringenz und der politischen</w:t>
            </w:r>
            <w:r>
              <w:t xml:space="preserve"> Stabilität </w:t>
            </w:r>
            <w:r>
              <w:rPr>
                <w:b/>
                <w:i/>
              </w:rPr>
              <w:t>nicht länger berücksichtigt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Erweiterungspolitik </w:t>
            </w:r>
            <w:r>
              <w:rPr>
                <w:b/>
                <w:i/>
              </w:rPr>
              <w:t>eines der wirksamsten außenpolitischen Instrumente der EU ist und</w:t>
            </w:r>
            <w:r>
              <w:t xml:space="preserve"> eine strategische geopolitische Investition in langfristigen Frieden, Stabilität und Sicherheit auf dem gesamten Kontinent darstellt;</w:t>
            </w:r>
          </w:p>
        </w:tc>
        <w:tc>
          <w:tcPr>
            <w:tcW w:w="4876" w:type="dxa"/>
            <w:tcBorders>
              <w:top w:val="nil"/>
              <w:left w:val="nil"/>
              <w:bottom w:val="nil"/>
              <w:right w:val="nil"/>
            </w:tcBorders>
          </w:tcPr>
          <w:p>
            <w:pPr>
              <w:pStyle w:val="Normal6a"/>
            </w:pPr>
            <w:r>
              <w:t>A.</w:t>
            </w:r>
            <w:r>
              <w:tab/>
            </w:r>
            <w:r>
              <w:t>in der Erwägung, dass die Erweiterungspolitik eine strategische geopolitische Investition in langfristigen Frieden, Stabilität und Sicherheit auf dem gesamten Kontinent darstellt;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Silvia Sardone, Susanna Ceccardi, Jaroslav Bžoch,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das Kosovo jährlich über 64 Mio. EUR an IPA-Mitteln für Reformen, Demokratie, Energie und Umwelt erhalten hat, das Land zwischen 2007 und 2022 insgesamt über 1,21 Mrd. EUR erhalten hat und die EU seine größte Finanz- und Handelspartnerin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Matthieu Valet, António Tânger Corrêa, Silvia Sardone, 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fünf Mitgliedstaaten – Griechenland, Rumänien, die Slowakei, Spanien und Zypern – die Souveränität des Kosovo nicht anerkennen;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Demokratie, Menschenrechte und Rechtsstaatlichkeit die Grundwerte sind, auf die sich die EU gründet;</w:t>
            </w:r>
          </w:p>
        </w:tc>
        <w:tc>
          <w:tcPr>
            <w:tcW w:w="4876" w:type="dxa"/>
            <w:tcBorders>
              <w:top w:val="nil"/>
              <w:left w:val="nil"/>
              <w:bottom w:val="nil"/>
              <w:right w:val="nil"/>
            </w:tcBorders>
          </w:tcPr>
          <w:p>
            <w:pPr>
              <w:pStyle w:val="Normal6a"/>
            </w:pPr>
            <w:r>
              <w:t>B.</w:t>
            </w:r>
            <w:r>
              <w:tab/>
            </w:r>
            <w:r>
              <w:t xml:space="preserve">in der Erwägung, dass Demokratie, Menschenrechte und Rechtsstaatlichkeit die Grundwerte sind, auf die sich die EU gründet; </w:t>
            </w:r>
            <w:r>
              <w:rPr>
                <w:b/>
                <w:i/>
              </w:rPr>
              <w:t>in der Erwägung, dass diese Grundwerte im Rahmen des Erweiterungsprozesses nicht aufgeweicht werden dürfen;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Matthieu Valet, Silvia Sardone, 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Demokratie, Menschenrechte und Rechtsstaatlichkeit die Grundwerte sind, auf die sich die EU gründet;</w:t>
            </w:r>
          </w:p>
        </w:tc>
        <w:tc>
          <w:tcPr>
            <w:tcW w:w="4876" w:type="dxa"/>
            <w:tcBorders>
              <w:top w:val="nil"/>
              <w:left w:val="nil"/>
              <w:bottom w:val="nil"/>
              <w:right w:val="nil"/>
            </w:tcBorders>
          </w:tcPr>
          <w:p>
            <w:pPr>
              <w:pStyle w:val="Normal6a"/>
            </w:pPr>
            <w:r>
              <w:t>B.</w:t>
            </w:r>
            <w:r>
              <w:tab/>
            </w:r>
            <w:r>
              <w:t xml:space="preserve">in der Erwägung, dass Demokratie, Menschenrechte und Rechtsstaatlichkeit die Grundwerte sind, auf die sich die EU gründet; </w:t>
            </w:r>
            <w:r>
              <w:rPr>
                <w:b/>
                <w:i/>
              </w:rPr>
              <w:t>in der Erwägung, dass das Kosovo diese Werte nicht achtet und die Normen der EU nicht einhält;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Silvia Sardone, Susanna Ceccardi,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Demokratie, Menschenrechte und Rechtsstaatlichkeit die Grundwerte sind, auf die sich die EU gründet;</w:t>
            </w:r>
          </w:p>
        </w:tc>
        <w:tc>
          <w:tcPr>
            <w:tcW w:w="4876" w:type="dxa"/>
            <w:tcBorders>
              <w:top w:val="nil"/>
              <w:left w:val="nil"/>
              <w:bottom w:val="nil"/>
              <w:right w:val="nil"/>
            </w:tcBorders>
          </w:tcPr>
          <w:p>
            <w:pPr>
              <w:pStyle w:val="Normal6a"/>
            </w:pPr>
            <w:r>
              <w:t>B.</w:t>
            </w:r>
            <w:r>
              <w:tab/>
            </w:r>
            <w:r>
              <w:t xml:space="preserve">in der Erwägung, dass Demokratie, Menschenrechte und Rechtsstaatlichkeit die Grundwerte sind, auf die sich die EU gründet; </w:t>
            </w:r>
            <w:r>
              <w:rPr>
                <w:b/>
                <w:i/>
              </w:rPr>
              <w:t>in der Erwägung, dass das Kosovo diese Werte nach wie vor nicht achtet;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in den Jahren 2018 und 2023 Petitionen von mehr als 500 Personen unterzeichnet wurden, die sich aus historischen Gründen als Bulgaren identifizieren;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jedes Bewerberland nach seinen eigenen Leistungen beurteilt wird; in der Erwägung, dass </w:t>
            </w:r>
            <w:r>
              <w:rPr>
                <w:b/>
                <w:i/>
              </w:rPr>
              <w:t>es von der Umsetzung der erforderlichen Reformen</w:t>
            </w:r>
            <w:r>
              <w:t xml:space="preserve">, </w:t>
            </w:r>
            <w:r>
              <w:rPr>
                <w:b/>
                <w:i/>
              </w:rPr>
              <w:t>der Einhaltung der</w:t>
            </w:r>
            <w:r>
              <w:t xml:space="preserve"> Kriterien </w:t>
            </w:r>
            <w:r>
              <w:rPr>
                <w:b/>
                <w:i/>
              </w:rPr>
              <w:t>und der Wahrung der gemeinsamen europäischen Werte abhängt, wie schnell und in welchem Umfang der Beitritt voranschreitet</w:t>
            </w:r>
            <w:r>
              <w:t>;</w:t>
            </w:r>
          </w:p>
        </w:tc>
        <w:tc>
          <w:tcPr>
            <w:tcW w:w="4876" w:type="dxa"/>
            <w:tcBorders>
              <w:top w:val="nil"/>
              <w:left w:val="nil"/>
              <w:bottom w:val="nil"/>
              <w:right w:val="nil"/>
            </w:tcBorders>
          </w:tcPr>
          <w:p>
            <w:pPr>
              <w:pStyle w:val="Normal6a"/>
            </w:pPr>
            <w:r>
              <w:t>C.</w:t>
            </w:r>
            <w:r>
              <w:tab/>
            </w:r>
            <w:r>
              <w:t xml:space="preserve">in der Erwägung, dass jedes Bewerberland </w:t>
            </w:r>
            <w:r>
              <w:rPr>
                <w:b/>
                <w:i/>
              </w:rPr>
              <w:t>strikt</w:t>
            </w:r>
            <w:r>
              <w:t xml:space="preserve"> nach seinen eigenen Leistungen beurteilt wird</w:t>
            </w:r>
            <w:r>
              <w:rPr>
                <w:b/>
                <w:i/>
              </w:rPr>
              <w:t>, und zwar im Einklang mit Artikel 49 des Vertrags über die Europäische Union und den in Artikel 2 des Vertrags über die Europäische Union verankerten Werten</w:t>
            </w:r>
            <w:r>
              <w:t xml:space="preserve">; in der Erwägung, dass </w:t>
            </w:r>
            <w:r>
              <w:rPr>
                <w:b/>
                <w:i/>
              </w:rPr>
              <w:t>echte, nachhaltige und unumkehrbare Fortschritte in den Bereichen Rechtsstaatlichkeit</w:t>
            </w:r>
            <w:r>
              <w:t xml:space="preserve">, </w:t>
            </w:r>
            <w:r>
              <w:rPr>
                <w:b/>
                <w:i/>
              </w:rPr>
              <w:t>territoriale Unversehrtheit der Staaten, Funktionsweise der demokratischen Institutionen, Grundrechte, Reform der öffentlichen Verwaltung und wirtschaftliche</w:t>
            </w:r>
            <w:r>
              <w:t xml:space="preserve"> Kriterien </w:t>
            </w:r>
            <w:r>
              <w:rPr>
                <w:b/>
                <w:i/>
              </w:rPr>
              <w:t>auch künftig der entscheidende Faktor für das Tempo des Beitrittsverfahrens sein müssen</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jedes Bewerberland nach seinen eigenen Leistungen beurteilt wird; in der Erwägung, dass es von der Umsetzung der erforderlichen Reformen, der Einhaltung der Kriterien und der Wahrung der gemeinsamen europäischen Werte abhängt, wie schnell und in welchem Umfang der Beitritt voranschreitet;</w:t>
            </w:r>
          </w:p>
        </w:tc>
        <w:tc>
          <w:tcPr>
            <w:tcW w:w="4876" w:type="dxa"/>
            <w:tcBorders>
              <w:top w:val="nil"/>
              <w:left w:val="nil"/>
              <w:bottom w:val="nil"/>
              <w:right w:val="nil"/>
            </w:tcBorders>
          </w:tcPr>
          <w:p>
            <w:pPr>
              <w:pStyle w:val="Normal6a"/>
            </w:pPr>
            <w:r>
              <w:t>C.</w:t>
            </w:r>
            <w:r>
              <w:tab/>
            </w:r>
            <w:r>
              <w:t>in der Erwägung, dass jedes Bewerberland nach seinen eigenen Leistungen beurteilt wird; in der Erwägung, dass es von der Umsetzung der erforderlichen Reformen, der Einhaltung der Kriterien und der Wahrung der gemeinsamen europäischen Werte abhängt, wie schnell und in welchem Umfang der Beitritt voranschreitet</w:t>
            </w:r>
            <w:r>
              <w:rPr>
                <w:b/>
                <w:i/>
              </w:rPr>
              <w:t>, und dass der Beitrittsprozess ohne die Umsetzung der notwendigen Reformen nicht weiter vorankommen kann</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jedes Bewerberland nach seinen eigenen Leistungen beurteilt wird; in der Erwägung, dass es von der Umsetzung der erforderlichen Reformen, der Einhaltung der Kriterien und der Wahrung der gemeinsamen europäischen Werte abhängt, wie schnell und in welchem Umfang der Beitritt voranschreitet;</w:t>
            </w:r>
          </w:p>
        </w:tc>
        <w:tc>
          <w:tcPr>
            <w:tcW w:w="4876" w:type="dxa"/>
            <w:tcBorders>
              <w:top w:val="nil"/>
              <w:left w:val="nil"/>
              <w:bottom w:val="nil"/>
              <w:right w:val="nil"/>
            </w:tcBorders>
          </w:tcPr>
          <w:p>
            <w:pPr>
              <w:pStyle w:val="Normal6a"/>
            </w:pPr>
            <w:r>
              <w:rPr>
                <w:i/>
              </w:rPr>
              <w:t>(Betrifft nicht die deutsche Fassung.)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jedes Bewerberland nach seinen eigenen Leistungen beurteilt wird; in der Erwägung, dass es von der Umsetzung der erforderlichen Reformen, der Einhaltung der Kriterien und der Wahrung der gemeinsamen europäischen Werte abhängt, wie schnell und in welchem Umfang der Beitritt voranschreitet;</w:t>
            </w:r>
          </w:p>
        </w:tc>
        <w:tc>
          <w:tcPr>
            <w:tcW w:w="4876" w:type="dxa"/>
            <w:tcBorders>
              <w:top w:val="nil"/>
              <w:left w:val="nil"/>
              <w:bottom w:val="nil"/>
              <w:right w:val="nil"/>
            </w:tcBorders>
          </w:tcPr>
          <w:p>
            <w:pPr>
              <w:pStyle w:val="Normal6a"/>
            </w:pPr>
            <w:r>
              <w:rPr>
                <w:i/>
              </w:rPr>
              <w:t>(Betrifft nicht die deutsche Fassung.)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jedes Bewerberland nach seinen eigenen Leistungen beurteilt wird</w:t>
            </w:r>
            <w:r>
              <w:rPr>
                <w:b/>
                <w:i/>
              </w:rPr>
              <w:t>;</w:t>
            </w:r>
            <w:r>
              <w:t xml:space="preserve"> </w:t>
            </w:r>
            <w:r>
              <w:rPr>
                <w:b/>
                <w:i/>
              </w:rPr>
              <w:t>in der Erwägung, dass</w:t>
            </w:r>
            <w:r>
              <w:t xml:space="preserve"> es von </w:t>
            </w:r>
            <w:r>
              <w:rPr>
                <w:b/>
                <w:i/>
              </w:rPr>
              <w:t>der Umsetzung der erforderlichen Reformen, der Einhaltung der Kriterien und der Wahrung der gemeinsamen europäischen Werte</w:t>
            </w:r>
            <w:r>
              <w:t xml:space="preserve"> abhängt, wie </w:t>
            </w:r>
            <w:r>
              <w:rPr>
                <w:b/>
                <w:i/>
              </w:rPr>
              <w:t>schnell und in welchem Umfang der Beitritt voranschreitet</w:t>
            </w:r>
            <w:r>
              <w:t>;</w:t>
            </w:r>
          </w:p>
        </w:tc>
        <w:tc>
          <w:tcPr>
            <w:tcW w:w="4876" w:type="dxa"/>
            <w:tcBorders>
              <w:top w:val="nil"/>
              <w:left w:val="nil"/>
              <w:bottom w:val="nil"/>
              <w:right w:val="nil"/>
            </w:tcBorders>
          </w:tcPr>
          <w:p>
            <w:pPr>
              <w:pStyle w:val="Normal6a"/>
            </w:pPr>
            <w:r>
              <w:t>C.</w:t>
            </w:r>
            <w:r>
              <w:tab/>
            </w:r>
            <w:r>
              <w:t xml:space="preserve">in der Erwägung, dass jedes Bewerberland nach seinen eigenen Leistungen beurteilt wird </w:t>
            </w:r>
            <w:r>
              <w:rPr>
                <w:b/>
                <w:i/>
              </w:rPr>
              <w:t>und</w:t>
            </w:r>
            <w:r>
              <w:t xml:space="preserve"> es von </w:t>
            </w:r>
            <w:r>
              <w:rPr>
                <w:b/>
                <w:i/>
              </w:rPr>
              <w:t>den Fortschritten bei der Erfüllung der Beitrittskriterien sowie beim Cluster „Wesentliche Elemente“</w:t>
            </w:r>
            <w:r>
              <w:t xml:space="preserve"> abhängt, wie </w:t>
            </w:r>
            <w:r>
              <w:rPr>
                <w:b/>
                <w:i/>
              </w:rPr>
              <w:t>zügig die Verhandlungen voranschreiten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die Verfassung des Kosovo im Hinblick auf Minderheitenrechte eine der fortschrittlichsten ist;</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in der Erwägung, dass das Kosovo zudem die Beziehungen zu Serbien normalisieren muss, damit es der EU beitreten kann;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w:t>
            </w:r>
            <w:r>
              <w:rPr>
                <w:b/>
                <w:i/>
              </w:rPr>
              <w:t>das Kosovo zudem</w:t>
            </w:r>
            <w:r>
              <w:t xml:space="preserve"> die Beziehungen zu Serbien </w:t>
            </w:r>
            <w:r>
              <w:rPr>
                <w:b/>
                <w:i/>
              </w:rPr>
              <w:t>normalisieren muss, damit es der EU beitreten</w:t>
            </w:r>
            <w:r>
              <w:t xml:space="preserve"> kann;</w:t>
            </w:r>
          </w:p>
        </w:tc>
        <w:tc>
          <w:tcPr>
            <w:tcW w:w="4876" w:type="dxa"/>
            <w:tcBorders>
              <w:top w:val="nil"/>
              <w:left w:val="nil"/>
              <w:bottom w:val="nil"/>
              <w:right w:val="nil"/>
            </w:tcBorders>
          </w:tcPr>
          <w:p>
            <w:pPr>
              <w:pStyle w:val="Normal6a"/>
            </w:pPr>
            <w:r>
              <w:t>D.</w:t>
            </w:r>
            <w:r>
              <w:tab/>
            </w:r>
            <w:r>
              <w:t xml:space="preserve">in der Erwägung, dass die </w:t>
            </w:r>
            <w:r>
              <w:rPr>
                <w:b/>
                <w:i/>
              </w:rPr>
              <w:t>Normalisierung der</w:t>
            </w:r>
            <w:r>
              <w:t xml:space="preserve"> Beziehungen zu Serbien </w:t>
            </w:r>
            <w:r>
              <w:rPr>
                <w:b/>
                <w:i/>
              </w:rPr>
              <w:t>nicht formell als zusätzliches Kriterium für den Beitritt des Kosovo zur EU angesehen werden</w:t>
            </w:r>
            <w:r>
              <w:t xml:space="preserve">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Francisco José Millán Mon, Antonio López-Istúriz White, Gabriel Mato, 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das Kosovo zudem die Beziehungen zu Serbien normalisieren muss, damit es der EU beitreten kann;</w:t>
            </w:r>
          </w:p>
        </w:tc>
        <w:tc>
          <w:tcPr>
            <w:tcW w:w="4876" w:type="dxa"/>
            <w:tcBorders>
              <w:top w:val="nil"/>
              <w:left w:val="nil"/>
              <w:bottom w:val="nil"/>
              <w:right w:val="nil"/>
            </w:tcBorders>
          </w:tcPr>
          <w:p>
            <w:pPr>
              <w:pStyle w:val="Normal6a"/>
            </w:pPr>
            <w:r>
              <w:t>D.</w:t>
            </w:r>
            <w:r>
              <w:tab/>
            </w:r>
            <w:r>
              <w:t xml:space="preserve">in der Erwägung, dass das Kosovo zudem die Beziehungen zu Serbien </w:t>
            </w:r>
            <w:r>
              <w:rPr>
                <w:b/>
                <w:i/>
              </w:rPr>
              <w:t>in einer für beide Seiten akzeptablen Weise</w:t>
            </w:r>
            <w:r>
              <w:t xml:space="preserve"> normalisieren muss, damit es der EU beitreten kann;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das Kosovo </w:t>
            </w:r>
            <w:r>
              <w:rPr>
                <w:b/>
                <w:i/>
              </w:rPr>
              <w:t>zudem</w:t>
            </w:r>
            <w:r>
              <w:t xml:space="preserve"> die Beziehungen </w:t>
            </w:r>
            <w:r>
              <w:rPr>
                <w:b/>
                <w:i/>
              </w:rPr>
              <w:t>zu Serbien normalisieren</w:t>
            </w:r>
            <w:r>
              <w:t xml:space="preserve"> muss, damit es der EU beitreten kann;</w:t>
            </w:r>
          </w:p>
        </w:tc>
        <w:tc>
          <w:tcPr>
            <w:tcW w:w="4876" w:type="dxa"/>
            <w:tcBorders>
              <w:top w:val="nil"/>
              <w:left w:val="nil"/>
              <w:bottom w:val="nil"/>
              <w:right w:val="nil"/>
            </w:tcBorders>
          </w:tcPr>
          <w:p>
            <w:pPr>
              <w:pStyle w:val="Normal6a"/>
            </w:pPr>
            <w:r>
              <w:t>D.</w:t>
            </w:r>
            <w:r>
              <w:tab/>
            </w:r>
            <w:r>
              <w:t xml:space="preserve">in der Erwägung, dass das Kosovo die </w:t>
            </w:r>
            <w:r>
              <w:rPr>
                <w:b/>
                <w:i/>
              </w:rPr>
              <w:t>Kopenhagener Kriterien, zu denen auch gutnachbarschaftliche</w:t>
            </w:r>
            <w:r>
              <w:t xml:space="preserve"> Beziehungen </w:t>
            </w:r>
            <w:r>
              <w:rPr>
                <w:b/>
                <w:i/>
              </w:rPr>
              <w:t>gehören, einhalten</w:t>
            </w:r>
            <w:r>
              <w:t xml:space="preserve"> muss, damit es der EU beitreten kann;</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Silvia Sardone, Susanna Ceccardi, Jaroslav Bžoch,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das Kosovo zudem die Beziehungen zu Serbien normalisieren muss, damit es der EU beitreten kann;</w:t>
            </w:r>
          </w:p>
        </w:tc>
        <w:tc>
          <w:tcPr>
            <w:tcW w:w="4876" w:type="dxa"/>
            <w:tcBorders>
              <w:top w:val="nil"/>
              <w:left w:val="nil"/>
              <w:bottom w:val="nil"/>
              <w:right w:val="nil"/>
            </w:tcBorders>
          </w:tcPr>
          <w:p>
            <w:pPr>
              <w:pStyle w:val="Normal6a"/>
            </w:pPr>
            <w:r>
              <w:t>D.</w:t>
            </w:r>
            <w:r>
              <w:tab/>
            </w:r>
            <w:r>
              <w:t xml:space="preserve">in der Erwägung, dass das Kosovo zudem </w:t>
            </w:r>
            <w:r>
              <w:rPr>
                <w:b/>
                <w:i/>
              </w:rPr>
              <w:t>unbedingt</w:t>
            </w:r>
            <w:r>
              <w:t xml:space="preserve"> die Beziehungen zu Serbien normalisieren muss, damit es der EU beitreten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die Sicherstellung der Integrität demokratischer Prozesse zu einem zentralen Element der Erweiterungspolitik der Union geworden ist;</w:t>
            </w:r>
            <w:r>
              <w:t xml:space="preserve"> </w:t>
            </w:r>
            <w:r>
              <w:rPr>
                <w:b/>
                <w:i/>
              </w:rPr>
              <w:t>in der Erwägung, dass das Kosovo gerade nach dem am 23. September 2023 verübten Anschlag in Banjska zur Zielscheibe für ausländische Einflussnahme und Desinformationskampagnen geworden ist, die darauf ausgerichtet waren, demokratische Institutionen zu destabilisieren und den ethnischen Konflikt anzuheizen;</w:t>
            </w:r>
            <w:r>
              <w:t xml:space="preserve"> </w:t>
            </w:r>
            <w:r>
              <w:rPr>
                <w:b/>
                <w:i/>
              </w:rPr>
              <w:t>in der Erwägung, dass die Stärkung der demokratischen Widerstandsfähigkeit ein wesentlicher Bestandteil ist, um die politischen Beitrittskriterien zu erfüllen;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das Kosovo insbesondere seitens Russlands und über nationalistische serbische Medien anhaltend der Einflussnahme aus dem Ausland und Desinformationskampagnen ausgesetzt ist, mit denen das Ziel verfolgt wird, die demokratischen Institutionen zu destabilisieren, den gesellschaftlichen Zusammenhalt zu schwächen und die europäische Integration des Kosovo zu behindern;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Matthieu Valet, António Tânger Corrêa, Silvia Sardone, Jaroslav Bžoch, 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im Rahmen von IPA III, dem Instrument für Heranführungshilfe für den Zeitraum 2021-2027, 14,2 Mrd. EUR zur Unterstützung von Reformen und der sozioökonomischen Entwicklung im Westbalkanraum und in der Türkei bereitgestellt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Griechenland, Rumänien, die Slowakei, Spanien und Zypern die Unabhängigkeit des Kosovo — abweichend von der allgemeinen in Europa verfolgten Linie — noch nicht anerkannt haben;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Silvia Sardone, Susanna Ceccardi,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würdigt, dass das Kosovo den Beitritt zur EU weiter anstrebt, dass es mit dieser Entscheidung seine strategische geopolitische Ausrichtung unmissverständlich zum Ausdruck gebracht hat und dass die Bevölkerung den vom Kosovo eingeschlagenen Weg in die EU in großen Teilen unterstützt;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Matthieu Valet, António Tânger Corrêa, Silvia Sardone, 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würdigt, dass das Kosovo</w:t>
            </w:r>
            <w:r>
              <w:t xml:space="preserve"> den Beitritt zur EU </w:t>
            </w:r>
            <w:r>
              <w:rPr>
                <w:b/>
                <w:i/>
              </w:rPr>
              <w:t>weiter anstrebt, dass es mit dieser Entscheidung seine strategische geopolitische Ausrichtung unmissverständlich zum Ausdruck gebracht hat und</w:t>
            </w:r>
            <w:r>
              <w:t xml:space="preserve"> dass die </w:t>
            </w:r>
            <w:r>
              <w:rPr>
                <w:b/>
                <w:i/>
              </w:rPr>
              <w:t>Bevölkerung den vom</w:t>
            </w:r>
            <w:r>
              <w:t xml:space="preserve"> Kosovo </w:t>
            </w:r>
            <w:r>
              <w:rPr>
                <w:b/>
                <w:i/>
              </w:rPr>
              <w:t>eingeschlagenen Weg</w:t>
            </w:r>
            <w:r>
              <w:t xml:space="preserve"> in die </w:t>
            </w:r>
            <w:r>
              <w:rPr>
                <w:b/>
                <w:i/>
              </w:rPr>
              <w:t>EU in großen Teilen unterstützt</w:t>
            </w:r>
            <w:r>
              <w:t>;</w:t>
            </w:r>
          </w:p>
        </w:tc>
        <w:tc>
          <w:tcPr>
            <w:tcW w:w="4876" w:type="dxa"/>
            <w:tcBorders>
              <w:top w:val="nil"/>
              <w:left w:val="nil"/>
              <w:bottom w:val="nil"/>
              <w:right w:val="nil"/>
            </w:tcBorders>
          </w:tcPr>
          <w:p>
            <w:pPr>
              <w:pStyle w:val="Normal6a"/>
            </w:pPr>
            <w:r>
              <w:t>1.</w:t>
            </w:r>
            <w:r>
              <w:tab/>
            </w:r>
            <w:r>
              <w:rPr>
                <w:b/>
                <w:i/>
              </w:rPr>
              <w:t>spricht sich entschieden gegen</w:t>
            </w:r>
            <w:r>
              <w:t xml:space="preserve"> den Beitritt </w:t>
            </w:r>
            <w:r>
              <w:rPr>
                <w:b/>
                <w:i/>
              </w:rPr>
              <w:t>des Kosovo</w:t>
            </w:r>
            <w:r>
              <w:t xml:space="preserve"> zur EU </w:t>
            </w:r>
            <w:r>
              <w:rPr>
                <w:b/>
                <w:i/>
              </w:rPr>
              <w:t>aus und weist darauf hin, dass fünf Mitgliedstaaten dessen Souveränität weiterhin nicht anerkennen;</w:t>
            </w:r>
            <w:r>
              <w:t xml:space="preserve"> </w:t>
            </w:r>
            <w:r>
              <w:rPr>
                <w:b/>
                <w:i/>
              </w:rPr>
              <w:t>hebt hervor,</w:t>
            </w:r>
            <w:r>
              <w:t xml:space="preserve"> dass die </w:t>
            </w:r>
            <w:r>
              <w:rPr>
                <w:b/>
                <w:i/>
              </w:rPr>
              <w:t>Nichtanerkennung des</w:t>
            </w:r>
            <w:r>
              <w:t xml:space="preserve"> Kosovo </w:t>
            </w:r>
            <w:r>
              <w:rPr>
                <w:b/>
                <w:i/>
              </w:rPr>
              <w:t>durch fünf EU-Mitgliedstaaten – Spanien, Griechenland, Rumänien, die Slowakei und Zypern – ein großes Hindernis für den Beitrittsprozess des Landes</w:t>
            </w:r>
            <w:r>
              <w:t xml:space="preserve"> in die </w:t>
            </w:r>
            <w:r>
              <w:rPr>
                <w:b/>
                <w:i/>
              </w:rPr>
              <w:t>Europäische Union darstellt;</w:t>
            </w:r>
            <w:r>
              <w:t xml:space="preserve"> </w:t>
            </w:r>
            <w:r>
              <w:rPr>
                <w:b/>
                <w:i/>
              </w:rPr>
              <w:t>unterstreicht, dass das Recht, eine Entität als Staat im Sinne des Völkerrechts anzuerkennen, ein grundlegendes Element der staatlichen Souveränität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Elio Di Rupo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würdigt, dass das Kosovo den Beitritt zur EU weiter anstrebt, dass es mit dieser Entscheidung seine strategische geopolitische Ausrichtung unmissverständlich zum Ausdruck gebracht hat und dass die Bevölkerung den vom Kosovo eingeschlagenen Weg in die EU in großen Teilen unterstützt;</w:t>
            </w:r>
          </w:p>
        </w:tc>
        <w:tc>
          <w:tcPr>
            <w:tcW w:w="4876" w:type="dxa"/>
            <w:tcBorders>
              <w:top w:val="nil"/>
              <w:left w:val="nil"/>
              <w:bottom w:val="nil"/>
              <w:right w:val="nil"/>
            </w:tcBorders>
          </w:tcPr>
          <w:p>
            <w:pPr>
              <w:pStyle w:val="Normal6a"/>
            </w:pPr>
            <w:r>
              <w:t>1.</w:t>
            </w:r>
            <w:r>
              <w:tab/>
            </w:r>
            <w:r>
              <w:t xml:space="preserve">würdigt, dass das Kosovo den Beitritt zur EU weiter anstrebt, dass es mit dieser Entscheidung seine strategische geopolitische Ausrichtung </w:t>
            </w:r>
            <w:r>
              <w:rPr>
                <w:b/>
                <w:i/>
              </w:rPr>
              <w:t>zugunsten einer starken Verbundenheit mit Europa und einen allgemeinen Konsens zwischen den Parteien im Hinblick auf die europäische Integration</w:t>
            </w:r>
            <w:r>
              <w:t xml:space="preserve"> unmissverständlich zum Ausdruck gebracht hat und dass die Bevölkerung den vom Kosovo eingeschlagenen Weg in die EU </w:t>
            </w:r>
            <w:r>
              <w:rPr>
                <w:b/>
                <w:i/>
              </w:rPr>
              <w:t>– insbesondere durch die Entwicklung enger und konkreter Beziehungen zur Europäischen Union –</w:t>
            </w:r>
            <w:r>
              <w:t xml:space="preserve"> in großen Teilen unterstützt;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würdigt, dass das Kosovo den Beitritt zur EU weiter anstrebt, dass es mit dieser Entscheidung seine strategische geopolitische Ausrichtung unmissverständlich zum Ausdruck gebracht hat und dass die Bevölkerung den vom Kosovo eingeschlagenen Weg in die EU in großen Teilen unterstützt;</w:t>
            </w:r>
          </w:p>
        </w:tc>
        <w:tc>
          <w:tcPr>
            <w:tcW w:w="4876" w:type="dxa"/>
            <w:tcBorders>
              <w:top w:val="nil"/>
              <w:left w:val="nil"/>
              <w:bottom w:val="nil"/>
              <w:right w:val="nil"/>
            </w:tcBorders>
          </w:tcPr>
          <w:p>
            <w:pPr>
              <w:pStyle w:val="Normal6a"/>
            </w:pPr>
            <w:r>
              <w:t>1.</w:t>
            </w:r>
            <w:r>
              <w:tab/>
            </w:r>
            <w:r>
              <w:t>würdigt, dass das Kosovo den Beitritt zur EU weiter anstrebt, dass es mit dieser Entscheidung seine strategische</w:t>
            </w:r>
            <w:r>
              <w:rPr>
                <w:b/>
                <w:i/>
              </w:rPr>
              <w:t> und sicherheitsorientierte</w:t>
            </w:r>
            <w:r>
              <w:t> geopolitische Ausrichtung unmissverständlich zum Ausdruck gebracht hat und dass die Bevölkerung den vom Kosovo eingeschlagenen Weg in die EU in großen Teilen unterstützt;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Francisco José Millán Mon, Antonio López-Istúriz White, Gabriel Mato, 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würdigt</w:t>
            </w:r>
            <w:r>
              <w:rPr>
                <w:b/>
                <w:i/>
              </w:rPr>
              <w:t>, dass das Kosovo den Beitritt zur EU weiter anstrebt, dass es mit dieser Entscheidung seine strategische geopolitische Ausrichtung unmissverständlich zum Ausdruck gebracht hat und</w:t>
            </w:r>
            <w:r>
              <w:t xml:space="preserve"> dass die </w:t>
            </w:r>
            <w:r>
              <w:rPr>
                <w:b/>
                <w:i/>
              </w:rPr>
              <w:t>Bevölkerung</w:t>
            </w:r>
            <w:r>
              <w:t xml:space="preserve"> den vom Kosovo eingeschlagenen Weg in die EU </w:t>
            </w:r>
            <w:r>
              <w:rPr>
                <w:b/>
                <w:i/>
              </w:rPr>
              <w:t>in großen Teilen unterstützt</w:t>
            </w:r>
            <w:r>
              <w:t>;</w:t>
            </w:r>
          </w:p>
        </w:tc>
        <w:tc>
          <w:tcPr>
            <w:tcW w:w="4876" w:type="dxa"/>
            <w:tcBorders>
              <w:top w:val="nil"/>
              <w:left w:val="nil"/>
              <w:bottom w:val="nil"/>
              <w:right w:val="nil"/>
            </w:tcBorders>
          </w:tcPr>
          <w:p>
            <w:pPr>
              <w:pStyle w:val="Normal6a"/>
            </w:pPr>
            <w:r>
              <w:t>1.</w:t>
            </w:r>
            <w:r>
              <w:tab/>
            </w:r>
            <w:r>
              <w:t xml:space="preserve">würdigt </w:t>
            </w:r>
            <w:r>
              <w:rPr>
                <w:b/>
                <w:i/>
              </w:rPr>
              <w:t>unbeschadet der Standpunkte der einzelnen Mitgliedstaaten zum Status des Landes,</w:t>
            </w:r>
            <w:r>
              <w:t xml:space="preserve"> dass die </w:t>
            </w:r>
            <w:r>
              <w:rPr>
                <w:b/>
                <w:i/>
              </w:rPr>
              <w:t>Kosovaren</w:t>
            </w:r>
            <w:r>
              <w:t xml:space="preserve"> den vom Kosovo eingeschlagenen Weg in die EU </w:t>
            </w:r>
            <w:r>
              <w:rPr>
                <w:b/>
                <w:i/>
              </w:rPr>
              <w:t>weiter unterstützen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Elio Di Rupo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bekräftigt seine feste Überzeugung, dass insbesondere angesichts der derzeitigen geopolitischen Entwicklungen in der Region, des raschen Wandels in der Weltpolitik und der sich verschärfenden Konkurrenzsituation mit autoritären Regimen die Zukunft des Kosovo in der EU liegt;</w:t>
            </w:r>
          </w:p>
        </w:tc>
        <w:tc>
          <w:tcPr>
            <w:tcW w:w="4876" w:type="dxa"/>
            <w:tcBorders>
              <w:top w:val="nil"/>
              <w:left w:val="nil"/>
              <w:bottom w:val="nil"/>
              <w:right w:val="nil"/>
            </w:tcBorders>
          </w:tcPr>
          <w:p>
            <w:pPr>
              <w:pStyle w:val="Normal6a"/>
            </w:pPr>
            <w:r>
              <w:t>2.</w:t>
            </w:r>
            <w:r>
              <w:tab/>
            </w:r>
            <w:r>
              <w:t>bekräftigt seine feste Überzeugung, dass insbesondere angesichts der derzeitigen geopolitischen Entwicklungen in der Region, des raschen Wandels in der Weltpolitik und der sich verschärfenden Konkurrenzsituation mit autoritären Regimen die Zukunft des Kosovo in der EU liegt</w:t>
            </w:r>
            <w:r>
              <w:rPr>
                <w:b/>
                <w:i/>
              </w:rPr>
              <w:t>, wobei darauf hinzuweisen ist, dass die Annäherung zwischen dem Kosovo und der EU Teil eines Prozesses der allmählichen Integration ist, der über den rein formellen Beitritt hinausgeht</w:t>
            </w:r>
            <w:r>
              <w:t xml:space="preserve">; </w:t>
            </w:r>
            <w:r>
              <w:rPr>
                <w:b/>
                <w:i/>
              </w:rPr>
              <w:t>betont, dass konkrete Formen der Zusammenarbeit und der schrittweisen Integration, insbesondere sektorale Partnerschaften, die Teilnahme an EU-Programmen wie Erasmus+ und die Einbeziehung in bestimmte Maßnahmen der EU, entscheidende Hebel für die Stärkung der Beziehungen zum Kosovo sind;</w:t>
            </w:r>
            <w:r>
              <w:t xml:space="preserve"> </w:t>
            </w:r>
            <w:r>
              <w:rPr>
                <w:b/>
                <w:i/>
              </w:rPr>
              <w:t>betont, dass diese Instrumente dazu beitragen, die Verbundenheit des Kosovo mit Europa zu festigen und die geostrategischen Herausforderungen in der Region anzugehen, unter anderem indem dem Einfluss Dritter entgegengewirkt wird, ohne dem Tempo oder dem Ergebnis des Erweiterungsprozesses vorzugreifen;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bekräftigt seine feste Überzeugung, dass insbesondere angesichts der derzeitigen geopolitischen Entwicklungen in der Region, des raschen Wandels in der Weltpolitik und der sich verschärfenden Konkurrenzsituation mit autoritären Regimen die Zukunft des Kosovo in der EU liegt;</w:t>
            </w:r>
          </w:p>
        </w:tc>
        <w:tc>
          <w:tcPr>
            <w:tcW w:w="4876" w:type="dxa"/>
            <w:tcBorders>
              <w:top w:val="nil"/>
              <w:left w:val="nil"/>
              <w:bottom w:val="nil"/>
              <w:right w:val="nil"/>
            </w:tcBorders>
          </w:tcPr>
          <w:p>
            <w:pPr>
              <w:pStyle w:val="Normal6a"/>
            </w:pPr>
            <w:r>
              <w:t>2.</w:t>
            </w:r>
            <w:r>
              <w:tab/>
            </w:r>
            <w:r>
              <w:t xml:space="preserve">bekräftigt seine feste Überzeugung, dass insbesondere angesichts der derzeitigen geopolitischen Entwicklungen in der Region, des raschen Wandels in der Weltpolitik und der sich verschärfenden Konkurrenzsituation mit autoritären Regimen die Zukunft des Kosovo in der EU liegt; </w:t>
            </w:r>
            <w:r>
              <w:rPr>
                <w:b/>
                <w:i/>
              </w:rPr>
              <w:t>weist darauf hin, dass Fortschritte auf dem Weg zur Verwirklichung dieses Ziels umfangreiche Reformen erfordern, damit das Land die Voraussetzungen für einen EU-Beitritt erfüllen kann;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Silvia Sardone, Susanna Ceccardi, 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bekräftigt seine feste Überzeugung, dass </w:t>
            </w:r>
            <w:r>
              <w:rPr>
                <w:b/>
                <w:i/>
              </w:rPr>
              <w:t>insbesondere angesichts der derzeitigen geopolitischen Entwicklungen in der Region, des raschen Wandels in der Weltpolitik und der sich verschärfenden Konkurrenzsituation mit autoritären Regimen die</w:t>
            </w:r>
            <w:r>
              <w:t xml:space="preserve"> Zukunft </w:t>
            </w:r>
            <w:r>
              <w:rPr>
                <w:b/>
                <w:i/>
              </w:rPr>
              <w:t>des Kosovo in der EU liegt</w:t>
            </w:r>
            <w:r>
              <w:t>;</w:t>
            </w:r>
          </w:p>
        </w:tc>
        <w:tc>
          <w:tcPr>
            <w:tcW w:w="4876" w:type="dxa"/>
            <w:tcBorders>
              <w:top w:val="nil"/>
              <w:left w:val="nil"/>
              <w:bottom w:val="nil"/>
              <w:right w:val="nil"/>
            </w:tcBorders>
          </w:tcPr>
          <w:p>
            <w:pPr>
              <w:pStyle w:val="Normal6a"/>
            </w:pPr>
            <w:r>
              <w:t>2.</w:t>
            </w:r>
            <w:r>
              <w:tab/>
            </w:r>
            <w:r>
              <w:t xml:space="preserve">bekräftigt seine feste Überzeugung, dass </w:t>
            </w:r>
            <w:r>
              <w:rPr>
                <w:b/>
                <w:i/>
              </w:rPr>
              <w:t>das Kosovo die Freiheit haben muss, selbst zu entscheiden, wie seine</w:t>
            </w:r>
            <w:r>
              <w:t xml:space="preserve"> Zukunft </w:t>
            </w:r>
            <w:r>
              <w:rPr>
                <w:b/>
                <w:i/>
              </w:rPr>
              <w:t>am besten gestaltet werden kann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Matthieu Valet, António Tânger Corrêa, Silvia Sardone, Jaroslav Bžoch, 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bekräftigt seine feste Überzeugung, dass </w:t>
            </w:r>
            <w:r>
              <w:rPr>
                <w:b/>
                <w:i/>
              </w:rPr>
              <w:t>insbesondere angesichts der derzeitigen geopolitischen Entwicklungen in der Region, des raschen Wandels in der Weltpolitik und der sich verschärfenden Konkurrenzsituation mit autoritären Regimen die</w:t>
            </w:r>
            <w:r>
              <w:t xml:space="preserve"> Zukunft </w:t>
            </w:r>
            <w:r>
              <w:rPr>
                <w:b/>
                <w:i/>
              </w:rPr>
              <w:t>des Kosovo in der EU liegt</w:t>
            </w:r>
            <w:r>
              <w:t>;</w:t>
            </w:r>
          </w:p>
        </w:tc>
        <w:tc>
          <w:tcPr>
            <w:tcW w:w="4876" w:type="dxa"/>
            <w:tcBorders>
              <w:top w:val="nil"/>
              <w:left w:val="nil"/>
              <w:bottom w:val="nil"/>
              <w:right w:val="nil"/>
            </w:tcBorders>
          </w:tcPr>
          <w:p>
            <w:pPr>
              <w:pStyle w:val="Normal6a"/>
            </w:pPr>
            <w:r>
              <w:t>2.</w:t>
            </w:r>
            <w:r>
              <w:tab/>
            </w:r>
            <w:r>
              <w:t xml:space="preserve">bekräftigt seine feste Überzeugung, dass </w:t>
            </w:r>
            <w:r>
              <w:rPr>
                <w:b/>
                <w:i/>
              </w:rPr>
              <w:t>das Kosovo als auch die übrigen Westbalkanländer selbst entscheiden können, welcher Weg für ihre</w:t>
            </w:r>
            <w:r>
              <w:t xml:space="preserve"> Zukunft </w:t>
            </w:r>
            <w:r>
              <w:rPr>
                <w:b/>
                <w:i/>
              </w:rPr>
              <w:t>der beste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Francisco José Millán Mon, Antonio López-Istúriz White, Gabriel Mato, 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bekräftigt</w:t>
            </w:r>
            <w:r>
              <w:t xml:space="preserve"> seine </w:t>
            </w:r>
            <w:r>
              <w:rPr>
                <w:b/>
                <w:i/>
              </w:rPr>
              <w:t>feste</w:t>
            </w:r>
            <w:r>
              <w:t xml:space="preserve"> Überzeugung, dass insbesondere angesichts der derzeitigen geopolitischen Entwicklungen in der Region, des raschen Wandels in der Weltpolitik und der sich verschärfenden Konkurrenzsituation mit autoritären Regimen die Zukunft </w:t>
            </w:r>
            <w:r>
              <w:rPr>
                <w:b/>
                <w:i/>
              </w:rPr>
              <w:t>des Kosovo</w:t>
            </w:r>
            <w:r>
              <w:t xml:space="preserve"> in der EU liegt;</w:t>
            </w:r>
          </w:p>
        </w:tc>
        <w:tc>
          <w:tcPr>
            <w:tcW w:w="4876" w:type="dxa"/>
            <w:tcBorders>
              <w:top w:val="nil"/>
              <w:left w:val="nil"/>
              <w:bottom w:val="nil"/>
              <w:right w:val="nil"/>
            </w:tcBorders>
          </w:tcPr>
          <w:p>
            <w:pPr>
              <w:pStyle w:val="Normal6a"/>
            </w:pPr>
            <w:r>
              <w:t>2.</w:t>
            </w:r>
            <w:r>
              <w:tab/>
            </w:r>
            <w:r>
              <w:rPr>
                <w:b/>
                <w:i/>
              </w:rPr>
              <w:t>bekundet</w:t>
            </w:r>
            <w:r>
              <w:t xml:space="preserve"> seine Überzeugung, dass insbesondere angesichts der derzeitigen geopolitischen Entwicklungen in der Region, des raschen Wandels in der Weltpolitik und der sich verschärfenden Konkurrenzsituation mit autoritären Regimen die Zukunft </w:t>
            </w:r>
            <w:r>
              <w:rPr>
                <w:b/>
                <w:i/>
              </w:rPr>
              <w:t>der Kosovaren</w:t>
            </w:r>
            <w:r>
              <w:t xml:space="preserve"> in der EU liegt;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hebt hervor, dass die Europäische Union das Kosovo nicht als Staat anerkennen kann, da die Anerkennung der Eigenstaatlichkeit eines Staates ein hoheitliches Vorrecht der einzelnen Mitgliedstaaten darstellt;</w:t>
            </w:r>
            <w:r>
              <w:t xml:space="preserve"> </w:t>
            </w:r>
            <w:r>
              <w:rPr>
                <w:b/>
                <w:i/>
              </w:rPr>
              <w:t>stellt fest, dass nur souveräne Staaten für einen Beitritt zur Europäischen Union infrage kommen und dass Beschlüsse über den Beitritt neuer Mitgliedstaaten gemäß den EU-Verträgen, dem Völkerrecht und den geltenden diplomatischen Protokollen einstimmig von allen EU-Mitgliedstaaten gefasst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betont, dass die Zukunft des Kosovo in der Europäischen Union durch einen glaubhaften, leistungsorientierten Erweiterungsprozess vorangetrieben werden sollte, bei dem politische Blockaden, die nicht mit der Umsetzung von Reformen zusammenhängen, die objektive Bewertung der erzielten Fortschritte nicht trüben dürfen;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Silvia Sardone, Susanna Ceccardi, Jaroslav Bžoch,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bekräftigt, dass der Antrag des Kosovo auf EU-Mitgliedschaft erst dann geprüft werden kann, wenn alle EU-Mitgliedstaaten seine Unabhängigkeit anerkennen;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begrüßt, dass nach der vorgezogenen Parlamentswahl im Dezember 2025 und nach mehr als einem Jahr des politischen Stillstands am 12. Februar 2026 im Kosovo eine neue Nationalversammlung und eine neue Regierung konstituiert wurden; bedauert jedoch, dass der politische Prozess im Jahr 2025 zum Erliegen kam, was dazu führte, dass dem Kosovo ein Jahr „verloren ging“; bedauert ferner, dass es der Nationalversammlung nicht gelungen ist, innerhalb der verfassungsmäßigen Frist einen neuen Präsidenten zu wählen, wodurch das Land zu Neuwahlen gedrängt wurde; nimmt zur Kenntnis, dass die Nationalversammlung am 6. März 2026 per Präsidialerlass aufgelöst wurde;</w:t>
            </w:r>
          </w:p>
        </w:tc>
        <w:tc>
          <w:tcPr>
            <w:tcW w:w="4876" w:type="dxa"/>
            <w:tcBorders>
              <w:top w:val="nil"/>
              <w:left w:val="nil"/>
              <w:bottom w:val="nil"/>
              <w:right w:val="nil"/>
            </w:tcBorders>
          </w:tcPr>
          <w:p>
            <w:pPr>
              <w:pStyle w:val="Normal6a"/>
            </w:pPr>
            <w:r>
              <w:t>3.</w:t>
            </w:r>
            <w:r>
              <w:tab/>
            </w:r>
            <w:r>
              <w:t xml:space="preserve">begrüßt, dass nach der vorgezogenen Parlamentswahl im Dezember 2025 und nach mehr als einem Jahr des politischen Stillstands am 12. Februar 2026 im Kosovo eine neue Nationalversammlung und eine neue Regierung konstituiert wurden; bedauert jedoch, dass der politische Prozess im Jahr 2025 zum Erliegen kam, was dazu führte, dass dem Kosovo ein Jahr „verloren ging“; bedauert ferner, dass es der Nationalversammlung nicht gelungen ist, innerhalb der verfassungsmäßigen Frist einen neuen Präsidenten zu wählen, wodurch das Land zu Neuwahlen gedrängt wurde; nimmt zur Kenntnis, dass die Nationalversammlung am 6. März 2026 per Präsidialerlass aufgelöst wurde; </w:t>
            </w:r>
            <w:r>
              <w:rPr>
                <w:b/>
                <w:i/>
              </w:rPr>
              <w:t>nimmt zur Kenntnis, dass die Nationalversammlung am 6. März 2026 per Präsidialerlass aufgelöst wurde und dass das Verfassungsgericht diesen Erlass mit Urteil vom 25. März 2026 aufgehoben hat;</w:t>
            </w:r>
            <w:r>
              <w:t xml:space="preserve"> </w:t>
            </w:r>
            <w:r>
              <w:rPr>
                <w:b/>
                <w:i/>
              </w:rPr>
              <w:t>fordert alle einschlägigen politischen Akteure auf, konstruktiv zusammenzuarbeiten, um innerhalb der Frist von 34 Tagen einen neuen Staatschef zu wählen und vorgezogene Neuwahlen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Davor Ivo Stier,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begrüßt, dass nach der vorgezogenen Parlamentswahl im Dezember 2025 und nach mehr als einem Jahr des politischen Stillstands am 12. Februar 2026 im Kosovo eine neue Nationalversammlung und eine neue Regierung konstituiert wurden; bedauert jedoch, dass der politische Prozess im Jahr 2025 zum Erliegen kam, was dazu führte, dass dem Kosovo ein Jahr „verloren ging“; bedauert ferner, dass es der Nationalversammlung nicht gelungen ist, innerhalb der verfassungsmäßigen Frist einen neuen Präsidenten zu wählen, wodurch das Land zu Neuwahlen gedrängt wurde; nimmt zur Kenntnis, dass die Nationalversammlung am 6. März 2026 per Präsidialerlass aufgelöst wurde;</w:t>
            </w:r>
          </w:p>
        </w:tc>
        <w:tc>
          <w:tcPr>
            <w:tcW w:w="4876" w:type="dxa"/>
            <w:tcBorders>
              <w:top w:val="nil"/>
              <w:left w:val="nil"/>
              <w:bottom w:val="nil"/>
              <w:right w:val="nil"/>
            </w:tcBorders>
          </w:tcPr>
          <w:p>
            <w:pPr>
              <w:pStyle w:val="Normal6a"/>
            </w:pPr>
            <w:r>
              <w:t>3.</w:t>
            </w:r>
            <w:r>
              <w:tab/>
            </w:r>
            <w:r>
              <w:t xml:space="preserve">begrüßt, dass nach der vorgezogenen Parlamentswahl im Dezember 2025 und nach mehr als einem Jahr des politischen Stillstands am 12. Februar 2026 im Kosovo eine neue Nationalversammlung und eine neue Regierung konstituiert wurden; bedauert jedoch, dass der politische Prozess im Jahr 2025 zum Erliegen kam, was dazu führte, dass dem Kosovo ein Jahr „verloren ging“; bedauert ferner, dass es der Nationalversammlung nicht gelungen ist, innerhalb der verfassungsmäßigen Frist einen neuen Präsidenten zu wählen, wodurch das Land zu Neuwahlen gedrängt wurde; nimmt zur Kenntnis, dass die Nationalversammlung am 6. März 2026 per Präsidialerlass aufgelöst wurde; </w:t>
            </w:r>
            <w:r>
              <w:rPr>
                <w:b/>
                <w:i/>
              </w:rPr>
              <w:t>nimmt die weiteren Entwicklungen im Zusammenhang mit der verfassungsrechtlichen Überprüfung des Beschlusses zur Auflösung zur Kenntnis und fordert alle politischen Akteure auf, verantwortungsbewusst zu handeln, den verfassungsrechtlichen Rahmen zu achten und rasch eine Lösung zu finden, mit der die institutionelle Stabilität gewahrt bleibt;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begrüßt, dass nach der vorgezogenen Parlamentswahl im Dezember 2025 und nach mehr als einem Jahr des politischen Stillstands am 12. Februar 2026 im Kosovo eine neue Nationalversammlung und eine neue Regierung konstituiert wurden; bedauert jedoch, dass der politische Prozess im Jahr 2025 zum Erliegen kam, was dazu führte, dass dem Kosovo ein Jahr „verloren ging“; bedauert ferner, dass es der Nationalversammlung nicht gelungen ist, innerhalb der verfassungsmäßigen Frist einen neuen Präsidenten zu wählen, wodurch das Land zu Neuwahlen gedrängt wurde; nimmt zur Kenntnis, dass die Nationalversammlung am 6. März 2026 per Präsidialerlass aufgelöst wurde;</w:t>
            </w:r>
          </w:p>
        </w:tc>
        <w:tc>
          <w:tcPr>
            <w:tcW w:w="4876" w:type="dxa"/>
            <w:tcBorders>
              <w:top w:val="nil"/>
              <w:left w:val="nil"/>
              <w:bottom w:val="nil"/>
              <w:right w:val="nil"/>
            </w:tcBorders>
          </w:tcPr>
          <w:p>
            <w:pPr>
              <w:pStyle w:val="Normal6a"/>
            </w:pPr>
            <w:r>
              <w:t>3.</w:t>
            </w:r>
            <w:r>
              <w:tab/>
            </w:r>
            <w:r>
              <w:t xml:space="preserve">begrüßt, dass nach der vorgezogenen Parlamentswahl im Dezember 2025 und nach mehr als einem Jahr des politischen Stillstands am 12. Februar 2026 im Kosovo eine neue Nationalversammlung und eine neue Regierung konstituiert wurden; bedauert jedoch, dass der politische Prozess im Jahr 2025 zum Erliegen kam, was dazu führte, dass dem Kosovo ein Jahr „verloren ging“; bedauert ferner, dass es der Nationalversammlung nicht gelungen ist, innerhalb der verfassungsmäßigen Frist einen neuen Präsidenten zu wählen, wodurch das Land zu Neuwahlen gedrängt wurde; nimmt zur Kenntnis, dass die Nationalversammlung am 6. März 2026 per Präsidialerlass aufgelöst wurde; </w:t>
            </w:r>
            <w:r>
              <w:rPr>
                <w:b/>
                <w:i/>
              </w:rPr>
              <w:t>nimmt die einstweilige Verfügung des Verfassungsgerichts zur Kenntnis, mit der die Umsetzung des Präsidialerlasses so lange ausgesetzt wird, bis dessen Verfassungsmäßigkeit geprüft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begrüßt, dass nach der vorgezogenen Parlamentswahl im Dezember 2025 und nach mehr als einem Jahr des politischen Stillstands am 12. Februar 2026 im Kosovo eine neue Nationalversammlung und eine neue Regierung konstituiert wurden; bedauert jedoch, dass der politische Prozess im Jahr 2025 zum Erliegen kam, was dazu führte, dass dem Kosovo ein Jahr „verloren ging“; bedauert ferner, dass es der Nationalversammlung nicht gelungen ist, innerhalb der verfassungsmäßigen Frist einen neuen Präsidenten zu wählen, wodurch das Land zu Neuwahlen gedrängt wurde; nimmt zur Kenntnis, dass die Nationalversammlung am 6. März 2026 per Präsidialerlass aufgelöst wurde;</w:t>
            </w:r>
          </w:p>
        </w:tc>
        <w:tc>
          <w:tcPr>
            <w:tcW w:w="4876" w:type="dxa"/>
            <w:tcBorders>
              <w:top w:val="nil"/>
              <w:left w:val="nil"/>
              <w:bottom w:val="nil"/>
              <w:right w:val="nil"/>
            </w:tcBorders>
          </w:tcPr>
          <w:p>
            <w:pPr>
              <w:pStyle w:val="Normal6a"/>
            </w:pPr>
            <w:r>
              <w:t>3.</w:t>
            </w:r>
            <w:r>
              <w:tab/>
            </w:r>
            <w:r>
              <w:t xml:space="preserve">begrüßt, dass nach der vorgezogenen Parlamentswahl im Dezember 2025 und nach mehr als einem Jahr des politischen Stillstands am 12. Februar 2026 im Kosovo eine neue Nationalversammlung und eine neue Regierung konstituiert wurden; bedauert jedoch, dass der politische Prozess im Jahr 2025 zum Erliegen kam, was dazu führte, dass dem Kosovo ein Jahr „verloren ging“; bedauert ferner, dass es der Nationalversammlung nicht gelungen ist, innerhalb der verfassungsmäßigen Frist einen neuen Präsidenten zu wählen, wodurch das Land zu Neuwahlen gedrängt wurde; nimmt zur Kenntnis, dass die Nationalversammlung am 6. März 2026 per Präsidialerlass aufgelöst wurde; </w:t>
            </w:r>
            <w:r>
              <w:rPr>
                <w:b/>
                <w:i/>
              </w:rPr>
              <w:t>nimmt die einstweilige Verfügung des Verfassungsgerichts zur Kenntnis, mit der die Umsetzung des Präsidialerlasses so lange ausgesetzt wird, bis dessen Verfassungsmäßigkeit geprüft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begrüßt, dass nach der vorgezogenen Parlamentswahl im Dezember 2025 und nach mehr als einem Jahr des politischen Stillstands am 12. Februar 2026 im Kosovo eine neue Nationalversammlung und eine neue Regierung konstituiert wurden; bedauert jedoch, dass der politische Prozess im Jahr 2025 zum Erliegen kam, was dazu führte, dass dem Kosovo ein Jahr „verloren ging“; bedauert ferner, dass es der Nationalversammlung nicht gelungen ist, innerhalb der verfassungsmäßigen Frist einen neuen Präsidenten zu wählen</w:t>
            </w:r>
            <w:r>
              <w:rPr>
                <w:b/>
                <w:i/>
              </w:rPr>
              <w:t>, wodurch das Land zu Neuwahlen gedrängt wurde</w:t>
            </w:r>
            <w:r>
              <w:t>; nimmt zur Kenntnis, dass die Nationalversammlung am 6. März 2026 per Präsidialerlass aufgelöst wurde;</w:t>
            </w:r>
          </w:p>
        </w:tc>
        <w:tc>
          <w:tcPr>
            <w:tcW w:w="4876" w:type="dxa"/>
            <w:tcBorders>
              <w:top w:val="nil"/>
              <w:left w:val="nil"/>
              <w:bottom w:val="nil"/>
              <w:right w:val="nil"/>
            </w:tcBorders>
          </w:tcPr>
          <w:p>
            <w:pPr>
              <w:pStyle w:val="Normal6a"/>
            </w:pPr>
            <w:r>
              <w:t>3.</w:t>
            </w:r>
            <w:r>
              <w:tab/>
            </w:r>
            <w:r>
              <w:t xml:space="preserve">begrüßt, dass nach der vorgezogenen Parlamentswahl im Dezember 2025 und nach mehr als einem Jahr des politischen Stillstands am 12. Februar 2026 im Kosovo eine neue Nationalversammlung und eine neue Regierung konstituiert wurden; bedauert jedoch, dass der politische Prozess im Jahr 2025 zum Erliegen kam, was dazu führte, dass dem Kosovo ein Jahr „verloren ging“; bedauert ferner, dass es der Nationalversammlung nicht gelungen ist, innerhalb der verfassungsmäßigen Frist einen neuen Präsidenten zu wählen; nimmt zur Kenntnis, dass die Nationalversammlung am 6. März 2026 per Präsidialerlass aufgelöst wurde </w:t>
            </w:r>
            <w:r>
              <w:rPr>
                <w:b/>
                <w:i/>
              </w:rPr>
              <w:t>und dass das Verfassungsgericht des Kosovo diesen Erlass aufgehoben und den Mitgliedern der Versammlung eine Frist von 34 Tagen eingeräumt hat, um einen neuen Präsidenten zu wählen, da andernfalls Neuwahlen stattfinden würden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begrüßt, dass nach der vorgezogenen Parlamentswahl im Dezember 2025 und nach mehr als einem Jahr des politischen Stillstands am 12. Februar 2026 im Kosovo eine neue Nationalversammlung und eine neue Regierung konstituiert wurden; bedauert jedoch, dass der politische Prozess im Jahr 2025 zum Erliegen kam, was dazu führte, dass dem Kosovo ein Jahr „verloren ging“; bedauert ferner, dass es der Nationalversammlung nicht gelungen ist, innerhalb der verfassungsmäßigen Frist einen neuen Präsidenten zu wählen, wodurch das Land zu Neuwahlen gedrängt wurde; nimmt zur Kenntnis, dass die Nationalversammlung am 6. März 2026 per Präsidialerlass aufgelöst wurde;</w:t>
            </w:r>
          </w:p>
        </w:tc>
        <w:tc>
          <w:tcPr>
            <w:tcW w:w="4876" w:type="dxa"/>
            <w:tcBorders>
              <w:top w:val="nil"/>
              <w:left w:val="nil"/>
              <w:bottom w:val="nil"/>
              <w:right w:val="nil"/>
            </w:tcBorders>
          </w:tcPr>
          <w:p>
            <w:pPr>
              <w:pStyle w:val="Normal6a"/>
            </w:pPr>
            <w:r>
              <w:t>3.</w:t>
            </w:r>
            <w:r>
              <w:tab/>
            </w:r>
            <w:r>
              <w:t>begrüßt, dass nach der vorgezogenen Parlamentswahl im Dezember 2025 und nach mehr als einem Jahr des politischen Stillstands am 12. Februar 2026 im Kosovo eine neue Nationalversammlung und eine neue Regierung konstituiert wurden; bedauert jedoch, dass der politische Prozess im Jahr 2025 zum Erliegen kam, was dazu führte, dass dem Kosovo ein Jahr „verloren ging“</w:t>
            </w:r>
            <w:r>
              <w:rPr>
                <w:b/>
                <w:i/>
              </w:rPr>
              <w:t>, was sich unweigerlich negativ auf das Reformtempo auswirken wird</w:t>
            </w:r>
            <w:r>
              <w:t>; bedauert ferner, dass es der Nationalversammlung nicht gelungen ist, innerhalb der verfassungsmäßigen Frist einen neuen Präsidenten zu wählen, wodurch das Land zu Neuwahlen gedrängt wurde; nimmt zur Kenntnis, dass die Nationalversammlung am 6. März 2026 per Präsidialerlass aufgelöst wurde;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begrüßt, dass nach der vorgezogenen Parlamentswahl im Dezember 2025 und nach mehr als einem Jahr des politischen Stillstands am 12. Februar 2026 im Kosovo eine neue Nationalversammlung und eine neue Regierung konstituiert wurden; bedauert jedoch, dass der politische Prozess im Jahr 2025 zum Erliegen kam, was dazu führte, dass dem Kosovo ein Jahr „verloren ging“; bedauert ferner, dass es der Nationalversammlung nicht gelungen ist, innerhalb der verfassungsmäßigen Frist einen neuen Präsidenten zu wählen, wodurch das Land zu Neuwahlen gedrängt wurde; nimmt zur Kenntnis, dass die Nationalversammlung am 6. März 2026 per Präsidialerlass aufgelöst wurde;</w:t>
            </w:r>
          </w:p>
        </w:tc>
        <w:tc>
          <w:tcPr>
            <w:tcW w:w="4876" w:type="dxa"/>
            <w:tcBorders>
              <w:top w:val="nil"/>
              <w:left w:val="nil"/>
              <w:bottom w:val="nil"/>
              <w:right w:val="nil"/>
            </w:tcBorders>
          </w:tcPr>
          <w:p>
            <w:pPr>
              <w:pStyle w:val="Normal6a"/>
            </w:pPr>
            <w:r>
              <w:t>3.</w:t>
            </w:r>
            <w:r>
              <w:tab/>
            </w:r>
            <w:r>
              <w:t>begrüßt, dass nach der vorgezogenen</w:t>
            </w:r>
            <w:r>
              <w:rPr>
                <w:b/>
                <w:i/>
              </w:rPr>
              <w:t>, demokratischen</w:t>
            </w:r>
            <w:r>
              <w:t xml:space="preserve"> Parlamentswahl im Dezember 2025 und nach mehr als einem Jahr des politischen Stillstands </w:t>
            </w:r>
            <w:r>
              <w:rPr>
                <w:b/>
                <w:i/>
              </w:rPr>
              <w:t>und der tiefen politischen Polarisierung</w:t>
            </w:r>
            <w:r>
              <w:t xml:space="preserve"> am 12. Februar 2026 im Kosovo eine neue Nationalversammlung und eine neue Regierung konstituiert wurden; bedauert jedoch, dass der politische Prozess im Jahr 2025 zum Erliegen kam, was dazu führte, dass dem Kosovo ein Jahr „verloren ging“; bedauert ferner, dass es der Nationalversammlung nicht gelungen ist, innerhalb der verfassungsmäßigen Frist einen neuen Präsidenten zu wählen, wodurch das Land zu Neuwahlen gedrängt wurde; nimmt zur Kenntnis, dass die Nationalversammlung am 6. März 2026 per Präsidialerlass aufgelöst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begrüßt, dass nach der vorgezogenen Parlamentswahl im Dezember 2025 und nach mehr als einem Jahr des politischen Stillstands am 12. Februar 2026 im Kosovo eine neue Nationalversammlung und eine neue Regierung konstituiert wurden; bedauert jedoch, dass der politische Prozess im Jahr 2025 zum Erliegen kam</w:t>
            </w:r>
            <w:r>
              <w:rPr>
                <w:b/>
                <w:i/>
              </w:rPr>
              <w:t>, was dazu führte, dass dem Kosovo ein Jahr „verloren ging“</w:t>
            </w:r>
            <w:r>
              <w:t>; bedauert ferner, dass es der Nationalversammlung nicht gelungen ist, innerhalb der verfassungsmäßigen Frist einen neuen Präsidenten zu wählen, wodurch das Land zu Neuwahlen gedrängt wurde; nimmt zur Kenntnis, dass die Nationalversammlung am 6. März 2026 per Präsidialerlass aufgelöst wurde;</w:t>
            </w:r>
          </w:p>
        </w:tc>
        <w:tc>
          <w:tcPr>
            <w:tcW w:w="4876" w:type="dxa"/>
            <w:tcBorders>
              <w:top w:val="nil"/>
              <w:left w:val="nil"/>
              <w:bottom w:val="nil"/>
              <w:right w:val="nil"/>
            </w:tcBorders>
          </w:tcPr>
          <w:p>
            <w:pPr>
              <w:pStyle w:val="Normal6a"/>
            </w:pPr>
            <w:r>
              <w:t>3.</w:t>
            </w:r>
            <w:r>
              <w:tab/>
            </w:r>
            <w:r>
              <w:t>begrüßt, dass nach der vorgezogenen Parlamentswahl im Dezember 2025 und nach mehr als einem Jahr des politischen Stillstands am 12. Februar 2026 im Kosovo eine neue Nationalversammlung und eine neue Regierung konstituiert wurden; bedauert jedoch, dass der politische Prozess im Jahr 2025 zum Erliegen kam; bedauert ferner, dass es der Nationalversammlung nicht gelungen ist, innerhalb der verfassungsmäßigen Frist einen neuen Präsidenten zu wählen, wodurch das Land zu Neuwahlen gedrängt wurde; nimmt zur Kenntnis, dass die Nationalversammlung am 6. März 2026 per Präsidialerlass aufgelöst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Silvia Sardone, Susanna Ceccardi, Jaroslav Bžoch,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begrüßt</w:t>
            </w:r>
            <w:r>
              <w:t>, dass nach der vorgezogenen Parlamentswahl im Dezember 2025 und nach mehr als einem Jahr des politischen Stillstands am 12. Februar 2026 im Kosovo eine neue Nationalversammlung und eine neue Regierung konstituiert wurden; bedauert jedoch, dass der politische Prozess im Jahr 2025 zum Erliegen kam, was dazu führte, dass dem Kosovo ein Jahr „verloren ging“; bedauert ferner, dass es der Nationalversammlung nicht gelungen ist, innerhalb der verfassungsmäßigen Frist einen neuen Präsidenten zu wählen, wodurch das Land zu Neuwahlen gedrängt wurde; nimmt zur Kenntnis, dass die Nationalversammlung am 6. März 2026 per Präsidialerlass aufgelöst wurde;</w:t>
            </w:r>
          </w:p>
        </w:tc>
        <w:tc>
          <w:tcPr>
            <w:tcW w:w="4876" w:type="dxa"/>
            <w:tcBorders>
              <w:top w:val="nil"/>
              <w:left w:val="nil"/>
              <w:bottom w:val="nil"/>
              <w:right w:val="nil"/>
            </w:tcBorders>
          </w:tcPr>
          <w:p>
            <w:pPr>
              <w:pStyle w:val="Normal6a"/>
            </w:pPr>
            <w:r>
              <w:t>3.</w:t>
            </w:r>
            <w:r>
              <w:tab/>
            </w:r>
            <w:r>
              <w:rPr>
                <w:b/>
                <w:i/>
              </w:rPr>
              <w:t>stellt fest</w:t>
            </w:r>
            <w:r>
              <w:t>, dass nach der vorgezogenen Parlamentswahl im Dezember 2025 und nach mehr als einem Jahr des politischen Stillstands am 12. Februar 2026 im Kosovo eine neue Nationalversammlung und eine neue Regierung konstituiert wurden; bedauert jedoch, dass der politische Prozess im Jahr 2025 zum Erliegen kam, was dazu führte, dass dem Kosovo ein Jahr „verloren ging“; bedauert ferner, dass es der Nationalversammlung nicht gelungen ist, innerhalb der verfassungsmäßigen Frist einen neuen Präsidenten zu wählen, wodurch das Land zu Neuwahlen gedrängt wurde; nimmt zur Kenntnis, dass die Nationalversammlung am 6. März 2026 per Präsidialerlass aufgelöst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Francisco José Millán Mon, Antonio López-Istúriz White, Gabriel Mato, 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begrüßt, dass nach der vorgezogenen Parlamentswahl im Dezember 2025 und nach mehr als einem Jahr des politischen Stillstands am 12. Februar 2026 im Kosovo eine neue Nationalversammlung und eine neue Regierung konstituiert wurden; bedauert jedoch, dass der politische Prozess im Jahr 2025 zum Erliegen kam, was dazu führte, dass dem Kosovo ein Jahr „verloren ging“; bedauert ferner, dass es der Nationalversammlung nicht gelungen ist, innerhalb der verfassungsmäßigen Frist einen neuen Präsidenten zu wählen, wodurch das </w:t>
            </w:r>
            <w:r>
              <w:rPr>
                <w:b/>
                <w:i/>
              </w:rPr>
              <w:t>Land zu Neuwahlen</w:t>
            </w:r>
            <w:r>
              <w:t xml:space="preserve"> gedrängt wurde; nimmt zur Kenntnis, dass die Nationalversammlung am 6. März 2026 per Präsidialerlass aufgelöst wurde;</w:t>
            </w:r>
          </w:p>
        </w:tc>
        <w:tc>
          <w:tcPr>
            <w:tcW w:w="4876" w:type="dxa"/>
            <w:tcBorders>
              <w:top w:val="nil"/>
              <w:left w:val="nil"/>
              <w:bottom w:val="nil"/>
              <w:right w:val="nil"/>
            </w:tcBorders>
          </w:tcPr>
          <w:p>
            <w:pPr>
              <w:pStyle w:val="Normal6a"/>
            </w:pPr>
            <w:r>
              <w:t>3.</w:t>
            </w:r>
            <w:r>
              <w:tab/>
            </w:r>
            <w:r>
              <w:t xml:space="preserve">begrüßt, dass nach der vorgezogenen Parlamentswahl im Dezember 2025 und nach mehr als einem Jahr des politischen Stillstands am 12. Februar 2026 im Kosovo eine neue Nationalversammlung und eine neue Regierung konstituiert wurden; bedauert jedoch, dass der politische Prozess im Jahr 2025 zum Erliegen kam, was dazu führte, dass dem Kosovo ein Jahr „verloren ging“; bedauert ferner, dass es der Nationalversammlung nicht gelungen ist, innerhalb der verfassungsmäßigen Frist einen neuen Präsidenten zu wählen, wodurch das </w:t>
            </w:r>
            <w:r>
              <w:rPr>
                <w:b/>
                <w:i/>
              </w:rPr>
              <w:t>Kosovo zu einer Neuwahl</w:t>
            </w:r>
            <w:r>
              <w:t xml:space="preserve"> gedrängt wurde; nimmt zur Kenntnis, dass die Nationalversammlung am 6. März 2026 per Präsidialerlass aufgelöst wurde;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begrüßt zudem, dass die Nationalversammlung des Kosovo am 13. Februar 2026 die Abkommen im Rahmen der Reform- und Wachstumsfazilität ratifiziert hat;</w:t>
            </w:r>
          </w:p>
        </w:tc>
        <w:tc>
          <w:tcPr>
            <w:tcW w:w="4876" w:type="dxa"/>
            <w:tcBorders>
              <w:top w:val="nil"/>
              <w:left w:val="nil"/>
              <w:bottom w:val="nil"/>
              <w:right w:val="nil"/>
            </w:tcBorders>
          </w:tcPr>
          <w:p>
            <w:pPr>
              <w:pStyle w:val="Normal6a"/>
            </w:pPr>
            <w:r>
              <w:t>4.</w:t>
            </w:r>
            <w:r>
              <w:tab/>
            </w:r>
            <w:r>
              <w:t xml:space="preserve">begrüßt zudem, dass die Nationalversammlung des Kosovo am 13. Februar 2026 die Abkommen im Rahmen der Reform- und Wachstumsfazilität ratifiziert hat; </w:t>
            </w:r>
            <w:r>
              <w:rPr>
                <w:b/>
                <w:i/>
              </w:rPr>
              <w:t>bedauert zutiefst, dass das Land aufgrund des „verloren gegangenen Jahres“ und angesichts der Gefahr, ein weiteres Jahr durch einen Wahlkampf zu verlieren, nicht in der Lage sein wird, alle notwendigen Reformen fristgerecht umzusetzen, und damit riskiert, erhebliche finanzielle Unterstützung im Rahmen der Reform- und Wachstumsfazilität zu verlieren;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Silvia Sardone, Susanna Ceccardi,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begrüßt</w:t>
            </w:r>
            <w:r>
              <w:t xml:space="preserve"> zudem, dass die Nationalversammlung des Kosovo am 13. Februar 2026 die Abkommen im Rahmen der Reform- und Wachstumsfazilität ratifiziert hat;</w:t>
            </w:r>
          </w:p>
        </w:tc>
        <w:tc>
          <w:tcPr>
            <w:tcW w:w="4876" w:type="dxa"/>
            <w:tcBorders>
              <w:top w:val="nil"/>
              <w:left w:val="nil"/>
              <w:bottom w:val="nil"/>
              <w:right w:val="nil"/>
            </w:tcBorders>
          </w:tcPr>
          <w:p>
            <w:pPr>
              <w:pStyle w:val="Normal6a"/>
            </w:pPr>
            <w:r>
              <w:t>4.</w:t>
            </w:r>
            <w:r>
              <w:tab/>
            </w:r>
            <w:r>
              <w:rPr>
                <w:b/>
                <w:i/>
              </w:rPr>
              <w:t>nimmt</w:t>
            </w:r>
            <w:r>
              <w:t xml:space="preserve"> zudem </w:t>
            </w:r>
            <w:r>
              <w:rPr>
                <w:b/>
                <w:i/>
              </w:rPr>
              <w:t>zur Kenntnis</w:t>
            </w:r>
            <w:r>
              <w:t xml:space="preserve">, dass die Nationalversammlung des Kosovo am 13. Februar 2026 die Abkommen im Rahmen der Reform- und Wachstumsfazilität ratifiziert hat; </w:t>
            </w:r>
            <w:r>
              <w:rPr>
                <w:b/>
                <w:i/>
              </w:rPr>
              <w:t>stellt fest, dass das Kosovo durch dieses Abkommen die Möglichkeit erhält, auf ein für den Zeitraum 2024-2027 vorgesehenes Finanzpaket in Höhe von insgesamt rund 882 Mio. EUR (einschließlich Zuschüssen und Darlehen zu günstigen Konditionen) zuzugreifen;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Elio Di Rupo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betont, dass der Erweiterungsprozess nur dann glaubhaft ist, wenn die Reformdynamik aufrechterhalten </w:t>
            </w:r>
            <w:r>
              <w:rPr>
                <w:b/>
                <w:i/>
              </w:rPr>
              <w:t>wird, und</w:t>
            </w:r>
            <w:r>
              <w:t xml:space="preserve"> fordert das Kosovo auf, insbesondere in den Bereichen Rechtsstaatlichkeit und Grundfreiheiten größere Fortschritte bei der Umsetzung der EU-bezogenen Reformen zu erzielen; betont, dass das Kosovo diesen Reformen erneut Vorrang einräumen muss, damit es in Bezug auf den Beitritt zur EU </w:t>
            </w:r>
            <w:r>
              <w:rPr>
                <w:b/>
                <w:i/>
              </w:rPr>
              <w:t>wieder auf Kurs kommen</w:t>
            </w:r>
            <w:r>
              <w:t xml:space="preserve"> kann;</w:t>
            </w:r>
          </w:p>
        </w:tc>
        <w:tc>
          <w:tcPr>
            <w:tcW w:w="4876" w:type="dxa"/>
            <w:tcBorders>
              <w:top w:val="nil"/>
              <w:left w:val="nil"/>
              <w:bottom w:val="nil"/>
              <w:right w:val="nil"/>
            </w:tcBorders>
          </w:tcPr>
          <w:p>
            <w:pPr>
              <w:pStyle w:val="Normal6a"/>
            </w:pPr>
            <w:r>
              <w:t>5.</w:t>
            </w:r>
            <w:r>
              <w:tab/>
            </w:r>
            <w:r>
              <w:t xml:space="preserve">betont, dass der Erweiterungsprozess nur dann glaubhaft ist, wenn </w:t>
            </w:r>
            <w:r>
              <w:rPr>
                <w:b/>
                <w:i/>
              </w:rPr>
              <w:t>er auf einem leistungsbasierten Prozess beruht, für den</w:t>
            </w:r>
            <w:r>
              <w:t xml:space="preserve"> die Reformdynamik aufrechterhalten </w:t>
            </w:r>
            <w:r>
              <w:rPr>
                <w:b/>
                <w:i/>
              </w:rPr>
              <w:t>werden muss und Reformen im Einklang mit den höchsten EU-Standards – insbesondere den Kopenhagener Kriterien – streng umgesetzt werden müssen;</w:t>
            </w:r>
            <w:r>
              <w:t xml:space="preserve"> fordert das Kosovo auf, insbesondere in den Bereichen Rechtsstaatlichkeit und Grundfreiheiten größere Fortschritte bei der Umsetzung der EU-bezogenen Reformen zu erzielen </w:t>
            </w:r>
            <w:r>
              <w:rPr>
                <w:b/>
                <w:i/>
              </w:rPr>
              <w:t>und seine Bemühungen fortzusetzen, indem es sich stärker für die Werte und Standards der Union einsetzt;</w:t>
            </w:r>
            <w:r>
              <w:t xml:space="preserve"> </w:t>
            </w:r>
            <w:r>
              <w:rPr>
                <w:b/>
                <w:i/>
              </w:rPr>
              <w:t>weist in diesem Zusammenhang auf die Bedeutung der Rechtsstaatlichkeit hin, mit der die Achtung der Meinungen aller, egal ob religiöser, politischer oder sexueller Natur, und die wirksame Anwendung von Gesetzen in der Praxis sichergestellt werden</w:t>
            </w:r>
            <w:r>
              <w:t xml:space="preserve">; betont, dass das Kosovo diesen Reformen erneut Vorrang einräumen muss, damit es </w:t>
            </w:r>
            <w:r>
              <w:rPr>
                <w:b/>
                <w:i/>
              </w:rPr>
              <w:t>seine Verbundenheit zu Europa stärken und</w:t>
            </w:r>
            <w:r>
              <w:t xml:space="preserve"> in Bezug auf den Beitritt zur EU </w:t>
            </w:r>
            <w:r>
              <w:rPr>
                <w:b/>
                <w:i/>
              </w:rPr>
              <w:t>vorankommen</w:t>
            </w:r>
            <w:r>
              <w:t xml:space="preserve"> kann; </w:t>
            </w:r>
            <w:r>
              <w:rPr>
                <w:b/>
                <w:i/>
              </w:rPr>
              <w:t>betont ferner, dass jede Erweiterungsperspektive auch eine gründliche Vorbereitung der EU-Organe und der Mitgliedstaaten erfordert, um die erfolgreiche Integration potenzieller neuer Mitgliedstaaten unter Wahrung der wirtschaftlichen Stabilität des Binnenmarkts, der Sozial- und Umweltstandards und des ordnungsgemäßen Funktionierens der EU-Organe sicherzustellen;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betont, dass der Erweiterungsprozess nur dann glaubhaft ist, wenn die Reformdynamik aufrechterhalten wird, und fordert das Kosovo auf, insbesondere in den Bereichen Rechtsstaatlichkeit und Grundfreiheiten größere Fortschritte bei der Umsetzung der EU-bezogenen Reformen zu erzielen; betont, dass das Kosovo diesen Reformen erneut Vorrang einräumen muss, damit es in Bezug auf den Beitritt zur EU wieder auf Kurs kommen kann;</w:t>
            </w:r>
          </w:p>
        </w:tc>
        <w:tc>
          <w:tcPr>
            <w:tcW w:w="4876" w:type="dxa"/>
            <w:tcBorders>
              <w:top w:val="nil"/>
              <w:left w:val="nil"/>
              <w:bottom w:val="nil"/>
              <w:right w:val="nil"/>
            </w:tcBorders>
          </w:tcPr>
          <w:p>
            <w:pPr>
              <w:pStyle w:val="Normal6a"/>
            </w:pPr>
            <w:r>
              <w:t>5.</w:t>
            </w:r>
            <w:r>
              <w:tab/>
            </w:r>
            <w:r>
              <w:t xml:space="preserve">betont, dass der Erweiterungsprozess nur dann glaubhaft ist, wenn die Reformdynamik aufrechterhalten wird, und fordert das Kosovo auf, insbesondere in den Bereichen Rechtsstaatlichkeit und Grundfreiheiten größere Fortschritte bei der Umsetzung der EU-bezogenen Reformen zu erzielen; betont, dass das Kosovo diesen Reformen erneut Vorrang einräumen muss, damit es in Bezug auf den Beitritt zur EU wieder auf Kurs kommen kann; </w:t>
            </w:r>
            <w:r>
              <w:rPr>
                <w:b/>
                <w:i/>
              </w:rPr>
              <w:t>betont, dass messbare Ergebnisse, einschließlich einer Erfolgsbilanz bei rechtskräftigen Verurteilungen in Fällen von Korruption auf hoher Ebene, notwendig sind, damit das Kosovo in Bezug auf den Beitritt zur EU wieder auf Kurs kommen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betont, dass </w:t>
            </w:r>
            <w:r>
              <w:rPr>
                <w:b/>
                <w:i/>
              </w:rPr>
              <w:t>der</w:t>
            </w:r>
            <w:r>
              <w:t xml:space="preserve"> Erweiterungsprozess </w:t>
            </w:r>
            <w:r>
              <w:rPr>
                <w:b/>
                <w:i/>
              </w:rPr>
              <w:t>nur dann glaubhaft ist, wenn die</w:t>
            </w:r>
            <w:r>
              <w:t xml:space="preserve"> Reformdynamik </w:t>
            </w:r>
            <w:r>
              <w:rPr>
                <w:b/>
                <w:i/>
              </w:rPr>
              <w:t>aufrechterhalten wird</w:t>
            </w:r>
            <w:r>
              <w:t xml:space="preserve">, und fordert das Kosovo auf, insbesondere in den Bereichen Rechtsstaatlichkeit </w:t>
            </w:r>
            <w:r>
              <w:rPr>
                <w:b/>
                <w:i/>
              </w:rPr>
              <w:t>und Grundfreiheiten größere Fortschritte bei der Umsetzung der EU-bezogenen Reformen zu erzielen</w:t>
            </w:r>
            <w:r>
              <w:t xml:space="preserve">; betont, dass </w:t>
            </w:r>
            <w:r>
              <w:rPr>
                <w:b/>
                <w:i/>
              </w:rPr>
              <w:t>das Kosovo</w:t>
            </w:r>
            <w:r>
              <w:t xml:space="preserve"> diesen </w:t>
            </w:r>
            <w:r>
              <w:rPr>
                <w:b/>
                <w:i/>
              </w:rPr>
              <w:t>Reformen erneut Vorrang einräumen muss, damit es in Bezug auf den Beitritt zur EU wieder auf Kurs kommen kann</w:t>
            </w:r>
            <w:r>
              <w:t>;</w:t>
            </w:r>
          </w:p>
        </w:tc>
        <w:tc>
          <w:tcPr>
            <w:tcW w:w="4876" w:type="dxa"/>
            <w:tcBorders>
              <w:top w:val="nil"/>
              <w:left w:val="nil"/>
              <w:bottom w:val="nil"/>
              <w:right w:val="nil"/>
            </w:tcBorders>
          </w:tcPr>
          <w:p>
            <w:pPr>
              <w:pStyle w:val="Normal6a"/>
            </w:pPr>
            <w:r>
              <w:t>5.</w:t>
            </w:r>
            <w:r>
              <w:tab/>
            </w:r>
            <w:r>
              <w:t xml:space="preserve">betont, dass </w:t>
            </w:r>
            <w:r>
              <w:rPr>
                <w:b/>
                <w:i/>
              </w:rPr>
              <w:t>ein glaubwürdiger</w:t>
            </w:r>
            <w:r>
              <w:t xml:space="preserve"> Erweiterungsprozess </w:t>
            </w:r>
            <w:r>
              <w:rPr>
                <w:b/>
                <w:i/>
              </w:rPr>
              <w:t>eine nachhaltige, kohärente und unumkehrbare</w:t>
            </w:r>
            <w:r>
              <w:t xml:space="preserve"> Reformdynamik </w:t>
            </w:r>
            <w:r>
              <w:rPr>
                <w:b/>
                <w:i/>
              </w:rPr>
              <w:t>erfordert </w:t>
            </w:r>
            <w:r>
              <w:t>, und fordert das Kosovo auf</w:t>
            </w:r>
            <w:r>
              <w:rPr>
                <w:b/>
                <w:i/>
              </w:rPr>
              <w:t>, die Umsetzung der EU-bezogenen Reformen zu beschleunigen</w:t>
            </w:r>
            <w:r>
              <w:t>, insbesondere in den Bereichen Rechtsstaatlichkeit</w:t>
            </w:r>
            <w:r>
              <w:rPr>
                <w:b/>
                <w:i/>
              </w:rPr>
              <w:t>, Reform der öffentlichen Verwaltung, Unabhängigkeit und Effizienz der Justiz, Meinungsfreiheit und Korruptionsbekämpfung</w:t>
            </w:r>
            <w:r>
              <w:t xml:space="preserve">; betont, dass </w:t>
            </w:r>
            <w:r>
              <w:rPr>
                <w:b/>
                <w:i/>
              </w:rPr>
              <w:t>die im Rahmen des IPA III und der Reform- und Wachstumsfazilität gewährte Unterstützung strikt an die in</w:t>
            </w:r>
            <w:r>
              <w:t xml:space="preserve"> diesen </w:t>
            </w:r>
            <w:r>
              <w:rPr>
                <w:b/>
                <w:i/>
              </w:rPr>
              <w:t>Bereichen erzielten messbaren und überprüfbaren Ergebnisse geknüpft bleiben muss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Silvia Sardone, Susanna Ceccardi, Jaroslav Bžoch,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betont, dass der Erweiterungsprozess nur dann glaubhaft ist, wenn die Reformdynamik aufrechterhalten wird</w:t>
            </w:r>
            <w:r>
              <w:rPr>
                <w:b/>
                <w:i/>
              </w:rPr>
              <w:t>, und fordert das Kosovo auf,</w:t>
            </w:r>
            <w:r>
              <w:t xml:space="preserve"> insbesondere in den Bereichen Rechtsstaatlichkeit und Grundfreiheiten größere Fortschritte bei der Umsetzung der EU-bezogenen Reformen </w:t>
            </w:r>
            <w:r>
              <w:rPr>
                <w:b/>
                <w:i/>
              </w:rPr>
              <w:t>zu erzielen</w:t>
            </w:r>
            <w:r>
              <w:t xml:space="preserve">; betont, dass das Kosovo diesen </w:t>
            </w:r>
            <w:r>
              <w:rPr>
                <w:b/>
                <w:i/>
              </w:rPr>
              <w:t>Reformen erneut Vorrang einräumen muss, damit es in Bezug auf den Beitritt zur EU wieder auf Kurs kommen kann</w:t>
            </w:r>
            <w:r>
              <w:t>;</w:t>
            </w:r>
          </w:p>
        </w:tc>
        <w:tc>
          <w:tcPr>
            <w:tcW w:w="4876" w:type="dxa"/>
            <w:tcBorders>
              <w:top w:val="nil"/>
              <w:left w:val="nil"/>
              <w:bottom w:val="nil"/>
              <w:right w:val="nil"/>
            </w:tcBorders>
          </w:tcPr>
          <w:p>
            <w:pPr>
              <w:pStyle w:val="Normal6a"/>
            </w:pPr>
            <w:r>
              <w:t>5.</w:t>
            </w:r>
            <w:r>
              <w:tab/>
            </w:r>
            <w:r>
              <w:t xml:space="preserve">betont, dass der Erweiterungsprozess nur dann glaubhaft ist, wenn die Reformdynamik aufrechterhalten wird </w:t>
            </w:r>
            <w:r>
              <w:rPr>
                <w:b/>
                <w:i/>
              </w:rPr>
              <w:t>und</w:t>
            </w:r>
            <w:r>
              <w:t xml:space="preserve"> insbesondere in den Bereichen Rechtsstaatlichkeit und Grundfreiheiten größere Fortschritte bei der Umsetzung der EU-bezogenen Reformen </w:t>
            </w:r>
            <w:r>
              <w:rPr>
                <w:b/>
                <w:i/>
              </w:rPr>
              <w:t>erzielt werden</w:t>
            </w:r>
            <w:r>
              <w:t xml:space="preserve">; betont, dass das Kosovo diesen </w:t>
            </w:r>
            <w:r>
              <w:rPr>
                <w:b/>
                <w:i/>
              </w:rPr>
              <w:t>Verpflichtungen noch nicht nachgekommen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betont, dass der Erweiterungsprozess nur dann glaubhaft ist, wenn die Reformdynamik aufrechterhalten wird, und fordert das Kosovo auf, insbesondere in den Bereichen Rechtsstaatlichkeit und Grundfreiheiten größere Fortschritte bei der Umsetzung der EU-bezogenen Reformen zu erzielen; betont, dass das Kosovo diesen Reformen erneut Vorrang einräumen muss, damit es in Bezug auf den Beitritt zur EU wieder auf Kurs kommen kann;</w:t>
            </w:r>
          </w:p>
        </w:tc>
        <w:tc>
          <w:tcPr>
            <w:tcW w:w="4876" w:type="dxa"/>
            <w:tcBorders>
              <w:top w:val="nil"/>
              <w:left w:val="nil"/>
              <w:bottom w:val="nil"/>
              <w:right w:val="nil"/>
            </w:tcBorders>
          </w:tcPr>
          <w:p>
            <w:pPr>
              <w:pStyle w:val="Normal6a"/>
            </w:pPr>
            <w:r>
              <w:t>5.</w:t>
            </w:r>
            <w:r>
              <w:tab/>
            </w:r>
            <w:r>
              <w:t xml:space="preserve">betont, dass der Erweiterungsprozess nur dann glaubhaft ist, wenn die Reformdynamik aufrechterhalten wird, und fordert das Kosovo auf, insbesondere in den Bereichen Rechtsstaatlichkeit und Grundfreiheiten größere Fortschritte bei der Umsetzung der EU-bezogenen Reformen zu erzielen; betont, dass das Kosovo diesen Reformen erneut Vorrang einräumen </w:t>
            </w:r>
            <w:r>
              <w:rPr>
                <w:b/>
                <w:i/>
              </w:rPr>
              <w:t>und konkrete Fortschritte bei diesen Reformen erzielen</w:t>
            </w:r>
            <w:r>
              <w:t xml:space="preserve"> muss, damit es in Bezug auf den Beitritt zur EU wieder auf Kurs kommen kann;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betont, dass der Erweiterungsprozess nur dann glaubhaft ist, wenn die Reformdynamik aufrechterhalten wird, und fordert das Kosovo auf, insbesondere in den Bereichen Rechtsstaatlichkeit und Grundfreiheiten größere Fortschritte bei der Umsetzung der EU-bezogenen Reformen zu erzielen; betont, dass das Kosovo diesen Reformen erneut Vorrang einräumen muss, damit es </w:t>
            </w:r>
            <w:r>
              <w:rPr>
                <w:b/>
                <w:i/>
              </w:rPr>
              <w:t>in Bezug auf den Beitritt zur EU</w:t>
            </w:r>
            <w:r>
              <w:t xml:space="preserve"> wieder auf Kurs kommen kann;</w:t>
            </w:r>
          </w:p>
        </w:tc>
        <w:tc>
          <w:tcPr>
            <w:tcW w:w="4876" w:type="dxa"/>
            <w:tcBorders>
              <w:top w:val="nil"/>
              <w:left w:val="nil"/>
              <w:bottom w:val="nil"/>
              <w:right w:val="nil"/>
            </w:tcBorders>
          </w:tcPr>
          <w:p>
            <w:pPr>
              <w:pStyle w:val="Normal6a"/>
            </w:pPr>
            <w:r>
              <w:t>5.</w:t>
            </w:r>
            <w:r>
              <w:tab/>
            </w:r>
            <w:r>
              <w:t>betont, dass der Erweiterungsprozess nur dann glaubhaft ist, wenn die Reformdynamik aufrechterhalten wird, und fordert das Kosovo auf, insbesondere in den Bereichen Rechtsstaatlichkeit und Grundfreiheiten größere Fortschritte bei der Umsetzung der EU-bezogenen Reformen zu erzielen; betont, dass das Kosovo diesen Reformen erneut Vorrang einräumen muss, damit es wieder auf Kurs kommen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Francisco José Millán Mon, Antonio López-Istúriz White, Gabriel Mato, 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befürwortet, dass das Kosovo im Dezember 2022 einen Antrag auf Beitritt zur EU eingereicht hat;</w:t>
            </w:r>
            <w:r>
              <w:t xml:space="preserve"> </w:t>
            </w:r>
            <w:r>
              <w:rPr>
                <w:b/>
                <w:i/>
              </w:rPr>
              <w:t>fordert die fünf Mitgliedstaaten, die das Kosovo noch nicht anerkannt haben, auf, darauf hinzuarbeiten, das Land anzuerkennen, damit es mit den anderen Kandidaten gleichberechtigt voranschreiten kann;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Silvia Sardone, Susanna Ceccardi,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befürwortet, dass das Kosovo im Dezember 2022 einen Antrag auf Beitritt zur EU eingereicht hat;</w:t>
            </w:r>
            <w:r>
              <w:t xml:space="preserve"> </w:t>
            </w:r>
            <w:r>
              <w:rPr>
                <w:b/>
                <w:i/>
              </w:rPr>
              <w:t>fordert die fünf Mitgliedstaaten, die das Kosovo noch nicht anerkannt haben, auf, darauf hinzuarbeiten, das Land anzuerkennen, damit es mit den anderen Kandidaten gleichberechtigt voranschreiten kann;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befürwortet, dass das Kosovo im Dezember 2022 einen Antrag auf Beitritt zur EU eingereicht hat;</w:t>
            </w:r>
            <w:r>
              <w:t xml:space="preserve"> </w:t>
            </w:r>
            <w:r>
              <w:rPr>
                <w:b/>
                <w:i/>
              </w:rPr>
              <w:t>fordert die fünf Mitgliedstaaten, die das Kosovo noch nicht anerkannt haben, auf, darauf hinzuarbeiten, das Land anzuerkennen, damit es mit den anderen Kandidaten gleichberechtigt voranschreiten kann;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befürwortet, dass das Kosovo im Dezember 2022 einen Antrag auf Beitritt zur EU eingereicht hat;</w:t>
            </w:r>
            <w:r>
              <w:t xml:space="preserve"> </w:t>
            </w:r>
            <w:r>
              <w:rPr>
                <w:b/>
                <w:i/>
              </w:rPr>
              <w:t>fordert die fünf Mitgliedstaaten, die das Kosovo noch nicht anerkannt haben, auf, darauf hinzuarbeiten, das Land anzuerkennen, damit es mit den anderen Kandidaten gleichberechtigt voranschreiten kann;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befürwortet, dass das Kosovo im Dezember 2022 einen Antrag auf Beitritt zur EU eingereicht hat; fordert die fünf Mitgliedstaaten, die das Kosovo noch nicht anerkannt haben, auf, darauf hinzuarbeiten, das Land anzuerkennen, damit es mit den anderen Kandidaten gleichberechtigt voranschreiten kann;</w:t>
            </w:r>
          </w:p>
        </w:tc>
        <w:tc>
          <w:tcPr>
            <w:tcW w:w="4876" w:type="dxa"/>
            <w:tcBorders>
              <w:top w:val="nil"/>
              <w:left w:val="nil"/>
              <w:bottom w:val="nil"/>
              <w:right w:val="nil"/>
            </w:tcBorders>
          </w:tcPr>
          <w:p>
            <w:pPr>
              <w:pStyle w:val="Normal6a"/>
            </w:pPr>
            <w:r>
              <w:t>6.</w:t>
            </w:r>
            <w:r>
              <w:tab/>
            </w:r>
            <w:r>
              <w:t xml:space="preserve">befürwortet, dass das Kosovo im Dezember 2022 einen Antrag auf Beitritt zur EU eingereicht hat; fordert die fünf Mitgliedstaaten, die das Kosovo noch nicht anerkannt haben, auf, darauf hinzuarbeiten, das Land anzuerkennen, damit es mit den anderen Kandidaten gleichberechtigt voranschreiten kann; </w:t>
            </w:r>
            <w:r>
              <w:rPr>
                <w:b/>
                <w:i/>
              </w:rPr>
              <w:t>fordert alle EU-Mitgliedstaaten auf, sich für dafür einzusetzen, dass das Kosovo in den Europarat aufgenommen wird;</w:t>
            </w:r>
            <w:r>
              <w:t xml:space="preserve"> </w:t>
            </w:r>
            <w:r>
              <w:rPr>
                <w:b/>
                <w:i/>
              </w:rPr>
              <w:t>weist darauf hin, dass die Kommission und der Rat in offiziellen Mitteilungen zur Erweiterung, etwa Berichten und Schlussfolgerungen, durchweg von den „sechs Westbalkanpartnern“ sprechen und damit auch das Kosovo einschließen;</w:t>
            </w:r>
            <w:r>
              <w:t xml:space="preserve"> </w:t>
            </w:r>
            <w:r>
              <w:rPr>
                <w:b/>
                <w:i/>
              </w:rPr>
              <w:t>kommt daher zu dem Schluss, dass sowohl der Rat als auch die Kommission übereinstimmend davon ausgehen, dass das Kosovo Aussicht auf einen Beitritt hat;</w:t>
            </w:r>
            <w:r>
              <w:t xml:space="preserve"> </w:t>
            </w:r>
            <w:r>
              <w:rPr>
                <w:b/>
                <w:i/>
              </w:rPr>
              <w:t>fordert die Mitgliedstaaten ebenfalls nachdrücklich auf, den Antrag des Kosovo auf Mitgliedschaft unverzüglich anzunehmen und die Kommission zu ersuchen, ihre Stellungnahme abzugeben;</w:t>
            </w:r>
            <w:r>
              <w:t xml:space="preserve"> </w:t>
            </w:r>
            <w:r>
              <w:rPr>
                <w:b/>
                <w:i/>
              </w:rPr>
              <w:t>weist darauf hin, dass die Kommission als Reaktion auf die Blockaden durch die Regierung Ungarns alle sechs Verhandlungskapitel für den EU-Beitritt mit der Ukraine und Moldau „informell eröffnet“ hat;</w:t>
            </w:r>
            <w:r>
              <w:t xml:space="preserve"> </w:t>
            </w:r>
            <w:r>
              <w:rPr>
                <w:b/>
                <w:i/>
              </w:rPr>
              <w:t>fordert die Kommission nachdrücklich auf, statt auf ein Ersuchen des Rates um eine Stellungnahme zu warten, gleichwertige innovative Ansätze anzuwenden und informell mit den Vorbereitungen für ihre Stellungnahme zum Beitrittsantrag des Kosovo zu beginnen und zu diesem Zweck unter anderem den Fragebogen zu versenden, damit die technischen Arbeiten voranschreiten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Elio Di Rupo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befürwortet, dass das Kosovo im Dezember 2022 einen Antrag auf Beitritt zur EU eingereicht hat; fordert die fünf Mitgliedstaaten, die </w:t>
            </w:r>
            <w:r>
              <w:rPr>
                <w:b/>
                <w:i/>
              </w:rPr>
              <w:t>das</w:t>
            </w:r>
            <w:r>
              <w:t xml:space="preserve"> Kosovo noch nicht anerkannt haben, auf, </w:t>
            </w:r>
            <w:r>
              <w:rPr>
                <w:b/>
                <w:i/>
              </w:rPr>
              <w:t>darauf hinzuarbeiten, das Land anzuerkennen</w:t>
            </w:r>
            <w:r>
              <w:t>, damit es mit den anderen Kandidaten gleichberechtigt voranschreiten kann;</w:t>
            </w:r>
          </w:p>
        </w:tc>
        <w:tc>
          <w:tcPr>
            <w:tcW w:w="4876" w:type="dxa"/>
            <w:tcBorders>
              <w:top w:val="nil"/>
              <w:left w:val="nil"/>
              <w:bottom w:val="nil"/>
              <w:right w:val="nil"/>
            </w:tcBorders>
          </w:tcPr>
          <w:p>
            <w:pPr>
              <w:pStyle w:val="Normal6a"/>
            </w:pPr>
            <w:r>
              <w:t>6.</w:t>
            </w:r>
            <w:r>
              <w:tab/>
            </w:r>
            <w:r>
              <w:t xml:space="preserve">befürwortet, dass das Kosovo im Dezember 2022 einen Antrag auf Beitritt zur EU eingereicht hat; </w:t>
            </w:r>
            <w:r>
              <w:rPr>
                <w:b/>
                <w:i/>
              </w:rPr>
              <w:t>bekräftigt erneut seine Forderung an die Mitgliedstaaten im Rat, die Kommission zu beauftragen, ihren Fragebogen und eine Stellungnahme zur Begründetheit des Antrags des Landes auf Beitritt zur EU vorzulegen;</w:t>
            </w:r>
            <w:r>
              <w:t xml:space="preserve"> fordert die fünf Mitgliedstaaten, die </w:t>
            </w:r>
            <w:r>
              <w:rPr>
                <w:b/>
                <w:i/>
              </w:rPr>
              <w:t>die Unabhängigkeit des</w:t>
            </w:r>
            <w:r>
              <w:t xml:space="preserve"> Kosovo noch nicht anerkannt haben, auf, </w:t>
            </w:r>
            <w:r>
              <w:rPr>
                <w:b/>
                <w:i/>
              </w:rPr>
              <w:t>dies unverzüglich zu tun</w:t>
            </w:r>
            <w:r>
              <w:t xml:space="preserve">, damit es mit den anderen Kandidaten gleichberechtigt voranschreiten kann; </w:t>
            </w:r>
            <w:r>
              <w:rPr>
                <w:b/>
                <w:i/>
              </w:rPr>
              <w:t>weist auf das Gutachten des Internationalen Gerichtshofs (IGH) vom 22. Juli 2010 hin, in dem festgestellt wird, dass das Kosovo mit seiner einseitigen Unabhängigkeitserklärung nicht gegen das allgemeine Völkerrecht verstoßen hat;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befürwortet, dass das Kosovo im Dezember 2022 einen Antrag auf Beitritt zur EU eingereicht hat; fordert die fünf Mitgliedstaaten, die das Kosovo noch nicht anerkannt haben, auf, </w:t>
            </w:r>
            <w:r>
              <w:rPr>
                <w:b/>
                <w:i/>
              </w:rPr>
              <w:t>darauf hinzuarbeiten</w:t>
            </w:r>
            <w:r>
              <w:t xml:space="preserve">, </w:t>
            </w:r>
            <w:r>
              <w:rPr>
                <w:b/>
                <w:i/>
              </w:rPr>
              <w:t>das Land anzuerkennen, damit es</w:t>
            </w:r>
            <w:r>
              <w:t xml:space="preserve"> mit den anderen Kandidaten gleichberechtigt </w:t>
            </w:r>
            <w:r>
              <w:rPr>
                <w:b/>
                <w:i/>
              </w:rPr>
              <w:t>voranschreiten kann</w:t>
            </w:r>
            <w:r>
              <w:t>;</w:t>
            </w:r>
          </w:p>
        </w:tc>
        <w:tc>
          <w:tcPr>
            <w:tcW w:w="4876" w:type="dxa"/>
            <w:tcBorders>
              <w:top w:val="nil"/>
              <w:left w:val="nil"/>
              <w:bottom w:val="nil"/>
              <w:right w:val="nil"/>
            </w:tcBorders>
          </w:tcPr>
          <w:p>
            <w:pPr>
              <w:pStyle w:val="Normal6a"/>
            </w:pPr>
            <w:r>
              <w:t>6.</w:t>
            </w:r>
            <w:r>
              <w:tab/>
            </w:r>
            <w:r>
              <w:t xml:space="preserve">befürwortet, dass das Kosovo im Dezember 2022 einen Antrag auf Beitritt zur EU eingereicht hat; fordert die fünf Mitgliedstaaten, die das Kosovo noch nicht anerkannt haben, auf, </w:t>
            </w:r>
            <w:r>
              <w:rPr>
                <w:b/>
                <w:i/>
              </w:rPr>
              <w:t>ihren Standpunkt zu überdenken</w:t>
            </w:r>
            <w:r>
              <w:t xml:space="preserve">, </w:t>
            </w:r>
            <w:r>
              <w:rPr>
                <w:b/>
                <w:i/>
              </w:rPr>
              <w:t>und ersucht die Europäische Kommission nachdrücklich, in Bezug auf den Antrag des Kosovo auf EU-Mitgliedschaft einen proaktiveren und aufgeschlosseneren Ansatz zu verfolgen;</w:t>
            </w:r>
            <w:r>
              <w:t xml:space="preserve"> </w:t>
            </w:r>
            <w:r>
              <w:rPr>
                <w:b/>
                <w:i/>
              </w:rPr>
              <w:t>betont, dass technische Lösungen, die auf Präzedenzfällen wie der Fußnotenregelung aufbauen, geprüft werden sollten, um Hindernisse zu umgehen, die sich daraus ergeben, dass das Kosovo nicht anerkannt wird, und um Fortschritte bei der Prüfung des EU-Beitrittsantrags des Kosovo zu ermöglichen sowie dem Land die Möglichkeit zu geben,</w:t>
            </w:r>
            <w:r>
              <w:t xml:space="preserve"> mit den anderen Kandidaten gleichberechtigt </w:t>
            </w:r>
            <w:r>
              <w:rPr>
                <w:b/>
                <w:i/>
              </w:rPr>
              <w:t>voranzuschreiten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befürwortet, dass das Kosovo im Dezember 2022 einen Antrag auf Beitritt zur EU eingereicht hat; fordert die fünf Mitgliedstaaten, die das Kosovo noch nicht anerkannt haben, auf, darauf hinzuarbeiten, das Land anzuerkennen, damit es mit den anderen Kandidaten gleichberechtigt voranschreiten kann;</w:t>
            </w:r>
          </w:p>
        </w:tc>
        <w:tc>
          <w:tcPr>
            <w:tcW w:w="4876" w:type="dxa"/>
            <w:tcBorders>
              <w:top w:val="nil"/>
              <w:left w:val="nil"/>
              <w:bottom w:val="nil"/>
              <w:right w:val="nil"/>
            </w:tcBorders>
          </w:tcPr>
          <w:p>
            <w:pPr>
              <w:pStyle w:val="Normal6a"/>
            </w:pPr>
            <w:r>
              <w:t>6.</w:t>
            </w:r>
            <w:r>
              <w:tab/>
            </w:r>
            <w:r>
              <w:t xml:space="preserve">befürwortet, dass das Kosovo im Dezember 2022 einen Antrag auf Beitritt zur EU eingereicht hat; fordert die fünf Mitgliedstaaten, die das Kosovo noch nicht anerkannt haben, auf, darauf hinzuarbeiten, das Land anzuerkennen, damit es mit den anderen Kandidaten gleichberechtigt voranschreiten kann; </w:t>
            </w:r>
            <w:r>
              <w:rPr>
                <w:b/>
                <w:i/>
              </w:rPr>
              <w:t>begrüßt, dass eine überwältigende Mehrheit der Bevölkerung die europäische Integration unterstützt;</w:t>
            </w:r>
            <w:r>
              <w:t xml:space="preserve"> </w:t>
            </w:r>
            <w:r>
              <w:rPr>
                <w:b/>
                <w:i/>
              </w:rPr>
              <w:t>fordert die Kommission auf, die weiteren erforderlichen Schritte zu unternehmen, um das Antragsverfahren unverzüglich einzuleiten;</w:t>
            </w:r>
            <w:r>
              <w:t xml:space="preserve"> </w:t>
            </w:r>
            <w:r>
              <w:rPr>
                <w:b/>
                <w:i/>
              </w:rPr>
              <w:t>fordert die Mitgliedstaaten auf, die Kommission zu ersuchen, den Fragebogen unverzüglich vorzulegen, damit geprüft werden kann, ob das Kosovo für den Status eines EU-Beitrittskandidaten bereit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befürwortet</w:t>
            </w:r>
            <w:r>
              <w:rPr>
                <w:b/>
                <w:i/>
              </w:rPr>
              <w:t>, dass das Kosovo im Dezember 2022 einen Antrag auf Beitritt zur EU eingereicht hat</w:t>
            </w:r>
            <w:r>
              <w:t xml:space="preserve">; fordert die </w:t>
            </w:r>
            <w:r>
              <w:rPr>
                <w:b/>
                <w:i/>
              </w:rPr>
              <w:t>fünf</w:t>
            </w:r>
            <w:r>
              <w:t xml:space="preserve"> Mitgliedstaaten</w:t>
            </w:r>
            <w:r>
              <w:rPr>
                <w:b/>
                <w:i/>
              </w:rPr>
              <w:t>, die das Kosovo noch nicht anerkannt haben, auf, darauf hinzuarbeiten, das Land anzuerkennen, damit es mit den anderen Kandidaten gleichberechtigt voranschreiten kann</w:t>
            </w:r>
            <w:r>
              <w:t>;</w:t>
            </w:r>
          </w:p>
        </w:tc>
        <w:tc>
          <w:tcPr>
            <w:tcW w:w="4876" w:type="dxa"/>
            <w:tcBorders>
              <w:top w:val="nil"/>
              <w:left w:val="nil"/>
              <w:bottom w:val="nil"/>
              <w:right w:val="nil"/>
            </w:tcBorders>
          </w:tcPr>
          <w:p>
            <w:pPr>
              <w:pStyle w:val="Normal6a"/>
            </w:pPr>
            <w:r>
              <w:t>6.</w:t>
            </w:r>
            <w:r>
              <w:tab/>
            </w:r>
            <w:r>
              <w:t xml:space="preserve">befürwortet </w:t>
            </w:r>
            <w:r>
              <w:rPr>
                <w:b/>
                <w:i/>
              </w:rPr>
              <w:t>die europäische Perspektive des Kosovos und die Fortsetzung seines Weges in Richtung einer Aufnahme in die Europäische Union im Einklang mit seinen eigenen Verdiensten und unter uneingeschränkter Achtung des Völkerrechts;</w:t>
            </w:r>
            <w:r>
              <w:t xml:space="preserve"> </w:t>
            </w:r>
            <w:r>
              <w:rPr>
                <w:b/>
                <w:i/>
              </w:rPr>
              <w:t>betont, wie wichtig es ist, dass der von der EU moderierten Dialog zwischen Belgrad und Pristina fortgesetzt wird</w:t>
            </w:r>
            <w:r>
              <w:t xml:space="preserve">; fordert die Mitgliedstaaten </w:t>
            </w:r>
            <w:r>
              <w:rPr>
                <w:b/>
                <w:i/>
              </w:rPr>
              <w:t>auf, konstruktiv zur Stärkung eines kohärenten und inklusiven Rahmens beizutragen, um den europäischen Weg des Kosovos voranzubringen, und zwar unbeschadet ihrer nationalen Standpunkte zum Status des Landes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Matthieu Valet, António Tânger Corrêa, Silvia Sardone, 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befürwortet, dass das Kosovo</w:t>
            </w:r>
            <w:r>
              <w:t xml:space="preserve"> im Dezember 2022 </w:t>
            </w:r>
            <w:r>
              <w:rPr>
                <w:b/>
                <w:i/>
              </w:rPr>
              <w:t>einen</w:t>
            </w:r>
            <w:r>
              <w:t xml:space="preserve"> Antrag </w:t>
            </w:r>
            <w:r>
              <w:rPr>
                <w:b/>
                <w:i/>
              </w:rPr>
              <w:t>auf</w:t>
            </w:r>
            <w:r>
              <w:t xml:space="preserve"> Beitritt </w:t>
            </w:r>
            <w:r>
              <w:rPr>
                <w:b/>
                <w:i/>
              </w:rPr>
              <w:t>zur EU eingereicht hat;</w:t>
            </w:r>
            <w:r>
              <w:t xml:space="preserve"> </w:t>
            </w:r>
            <w:r>
              <w:rPr>
                <w:b/>
                <w:i/>
              </w:rPr>
              <w:t>fordert die</w:t>
            </w:r>
            <w:r>
              <w:t xml:space="preserve"> fünf Mitgliedstaaten, </w:t>
            </w:r>
            <w:r>
              <w:rPr>
                <w:b/>
                <w:i/>
              </w:rPr>
              <w:t>die das Kosovo noch nicht anerkannt haben, auf, darauf hinzuarbeiten, das Land anzuerkennen, damit es mit den anderen Kandidaten gleichberechtigt voranschreiten kann</w:t>
            </w:r>
            <w:r>
              <w:t>;</w:t>
            </w:r>
          </w:p>
        </w:tc>
        <w:tc>
          <w:tcPr>
            <w:tcW w:w="4876" w:type="dxa"/>
            <w:tcBorders>
              <w:top w:val="nil"/>
              <w:left w:val="nil"/>
              <w:bottom w:val="nil"/>
              <w:right w:val="nil"/>
            </w:tcBorders>
          </w:tcPr>
          <w:p>
            <w:pPr>
              <w:pStyle w:val="Normal6a"/>
            </w:pPr>
            <w:r>
              <w:t>6.</w:t>
            </w:r>
            <w:r>
              <w:tab/>
            </w:r>
            <w:r>
              <w:rPr>
                <w:b/>
                <w:i/>
              </w:rPr>
              <w:t>lehnt den</w:t>
            </w:r>
            <w:r>
              <w:t xml:space="preserve"> im Dezember 2022 </w:t>
            </w:r>
            <w:r>
              <w:rPr>
                <w:b/>
                <w:i/>
              </w:rPr>
              <w:t>eingereichten</w:t>
            </w:r>
            <w:r>
              <w:t xml:space="preserve"> Antrag </w:t>
            </w:r>
            <w:r>
              <w:rPr>
                <w:b/>
                <w:i/>
              </w:rPr>
              <w:t>des Kosovo auf Mitgliedschaft in der EU entschieden ab;</w:t>
            </w:r>
            <w:r>
              <w:t xml:space="preserve"> </w:t>
            </w:r>
            <w:r>
              <w:rPr>
                <w:b/>
                <w:i/>
              </w:rPr>
              <w:t>hebt hervor, dass die Nichtanerkennung des Kosovo durch fünf EU-Mitgliedstaaten ein großes Hindernis für den</w:t>
            </w:r>
            <w:r>
              <w:t xml:space="preserve"> Beitritt </w:t>
            </w:r>
            <w:r>
              <w:rPr>
                <w:b/>
                <w:i/>
              </w:rPr>
              <w:t>des Landes in die Europäische Union darstellt;</w:t>
            </w:r>
            <w:r>
              <w:t xml:space="preserve"> </w:t>
            </w:r>
            <w:r>
              <w:rPr>
                <w:b/>
                <w:i/>
              </w:rPr>
              <w:t>unterstreicht, dass das Recht, eine Entität als Staat im Sinne des Völkerrechts anzuerkennen, ein grundlegendes Element der staatlichen Souveränität ist;</w:t>
            </w:r>
            <w:r>
              <w:t xml:space="preserve"> </w:t>
            </w:r>
            <w:r>
              <w:rPr>
                <w:b/>
                <w:i/>
              </w:rPr>
              <w:t>lehnt es entschieden ab, dass die EU Druck auf diese</w:t>
            </w:r>
            <w:r>
              <w:t xml:space="preserve"> fünf Mitgliedstaaten </w:t>
            </w:r>
            <w:r>
              <w:rPr>
                <w:b/>
                <w:i/>
              </w:rPr>
              <w:t>ausübt</w:t>
            </w:r>
            <w:r>
              <w:t xml:space="preserve">, </w:t>
            </w:r>
            <w:r>
              <w:rPr>
                <w:b/>
                <w:i/>
              </w:rPr>
              <w:t>um die Ausübung ihrer Hoheitsrechte zu beeinträchtigen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befürwortet, dass das Kosovo im Dezember 2022 einen Antrag auf Beitritt zur EU eingereicht hat; fordert die fünf Mitgliedstaaten, die das Kosovo noch nicht anerkannt haben, auf, darauf hinzuarbeiten, das Land anzuerkennen, damit es mit den anderen Kandidaten gleichberechtigt voranschreiten kann;</w:t>
            </w:r>
          </w:p>
        </w:tc>
        <w:tc>
          <w:tcPr>
            <w:tcW w:w="4876" w:type="dxa"/>
            <w:tcBorders>
              <w:top w:val="nil"/>
              <w:left w:val="nil"/>
              <w:bottom w:val="nil"/>
              <w:right w:val="nil"/>
            </w:tcBorders>
          </w:tcPr>
          <w:p>
            <w:pPr>
              <w:pStyle w:val="Normal6a"/>
            </w:pPr>
            <w:r>
              <w:t>6.</w:t>
            </w:r>
            <w:r>
              <w:tab/>
            </w:r>
            <w:r>
              <w:t xml:space="preserve">befürwortet, dass das Kosovo im Dezember 2022 einen Antrag auf Beitritt zur EU eingereicht hat; fordert die fünf Mitgliedstaaten, die das Kosovo noch nicht anerkannt haben, auf, darauf hinzuarbeiten, das Land anzuerkennen, damit es mit den anderen Kandidaten gleichberechtigt voranschreiten kann; </w:t>
            </w:r>
            <w:r>
              <w:rPr>
                <w:b/>
                <w:i/>
              </w:rPr>
              <w:t>weist auf das Gutachten des Internationalen Gerichtshofs vom 22. Juli 2010 hin, in dem festgestellt wird, dass das Kosovo mit seiner einseitigen Unabhängigkeitserklärung nicht gegen das allgemeine Völkerrecht verstoßen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befürwortet</w:t>
            </w:r>
            <w:r>
              <w:t xml:space="preserve">, dass das Kosovo im Dezember 2022 einen Antrag auf Beitritt zur EU eingereicht hat; </w:t>
            </w:r>
            <w:r>
              <w:rPr>
                <w:b/>
                <w:i/>
              </w:rPr>
              <w:t>fordert die fünf Mitgliedstaaten, die das Kosovo noch nicht anerkannt haben, auf, darauf hinzuarbeiten, das Land anzuerkennen, damit es mit den anderen Kandidaten gleichberechtigt voranschreiten kann;</w:t>
            </w:r>
          </w:p>
        </w:tc>
        <w:tc>
          <w:tcPr>
            <w:tcW w:w="4876" w:type="dxa"/>
            <w:tcBorders>
              <w:top w:val="nil"/>
              <w:left w:val="nil"/>
              <w:bottom w:val="nil"/>
              <w:right w:val="nil"/>
            </w:tcBorders>
          </w:tcPr>
          <w:p>
            <w:pPr>
              <w:pStyle w:val="Normal6a"/>
            </w:pPr>
            <w:r>
              <w:t>6.</w:t>
            </w:r>
            <w:r>
              <w:tab/>
            </w:r>
            <w:r>
              <w:rPr>
                <w:b/>
                <w:i/>
              </w:rPr>
              <w:t>nimmt wohlwollend zur Kenntnis</w:t>
            </w:r>
            <w:r>
              <w:t>, dass das Kosovo im Dezember 2022 einen Antrag auf Beitritt zur EU eingereicht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befürwortet, dass das Kosovo im Dezember 2022 einen Antrag auf Beitritt zur EU eingereicht hat; fordert die fünf Mitgliedstaaten, die das Kosovo noch nicht anerkannt haben, auf, darauf hinzuarbeiten, das Land anzuerkennen, damit es mit den anderen Kandidaten gleichberechtigt voranschreiten kann;</w:t>
            </w:r>
          </w:p>
        </w:tc>
        <w:tc>
          <w:tcPr>
            <w:tcW w:w="4876" w:type="dxa"/>
            <w:tcBorders>
              <w:top w:val="nil"/>
              <w:left w:val="nil"/>
              <w:bottom w:val="nil"/>
              <w:right w:val="nil"/>
            </w:tcBorders>
          </w:tcPr>
          <w:p>
            <w:pPr>
              <w:pStyle w:val="Normal6a"/>
            </w:pPr>
            <w:r>
              <w:t>6.</w:t>
            </w:r>
            <w:r>
              <w:tab/>
            </w:r>
            <w:r>
              <w:t xml:space="preserve">befürwortet, dass das Kosovo im Dezember 2022 einen Antrag auf Beitritt zur EU eingereicht hat; fordert die fünf Mitgliedstaaten, die das Kosovo noch nicht anerkannt haben, auf, </w:t>
            </w:r>
            <w:r>
              <w:rPr>
                <w:b/>
                <w:i/>
              </w:rPr>
              <w:t>rasch</w:t>
            </w:r>
            <w:r>
              <w:t xml:space="preserve"> darauf hinzuarbeiten, das Land anzuerkennen, damit es mit den anderen Kandidaten gleichberechtigt voranschreiten kann;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begrüßt den Antrag des Kosovo auf Beitritt zur Europäischen Union;</w:t>
            </w:r>
            <w:r>
              <w:t xml:space="preserve"> </w:t>
            </w:r>
            <w:r>
              <w:rPr>
                <w:b/>
                <w:i/>
              </w:rPr>
              <w:t>fordert den Rat auf, die Kommission zu ersuchen, unverzüglich ihre Stellungnahme zu dem Antrag abzugeben und anschließend Eile walten zu lassen und in diesem Sinne unter anderem den Kandidatenstatus zu verleihen, sobald die einschlägigen Kriterien erfüllt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Silvia Sardone, Susanna Ceccardi,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weist darauf hin, dass fünf Mitgliedstaaten (Spanien, Rumänien, Griechenland, die Slowakei und Zypern) die Unabhängigkeit des Kosovo nicht anerkennen;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Matthieu Valet, António Tânger Corrêa, Silvia Sardone, 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bekräftigt, dass es den Antrag des Kosovo auf Beitritt zum Europarat und seine strategisch ausgerichtete Absicht, sich am NATO-Programm „Partnerschaft für den Frieden“ zu beteiligen, voll und ganz befürwortet;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Francisco José Millán Mon, Antonio López-Istúriz White, Gabriel Mato, 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bekräftigt, dass es den Antrag des Kosovo auf Beitritt zum Europarat und seine strategisch ausgerichtete Absicht, sich am NATO-Programm „Partnerschaft für den Frieden“ zu beteiligen, voll und ganz befürwortet;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Elio Di Rupo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bekräftigt, dass es den Antrag des Kosovo auf Beitritt zum Europarat und seine strategisch ausgerichtete Absicht, sich am NATO-Programm „Partnerschaft für den Frieden“ zu beteiligen, voll und ganz befürwortet;</w:t>
            </w:r>
          </w:p>
        </w:tc>
        <w:tc>
          <w:tcPr>
            <w:tcW w:w="4876" w:type="dxa"/>
            <w:tcBorders>
              <w:top w:val="nil"/>
              <w:left w:val="nil"/>
              <w:bottom w:val="nil"/>
              <w:right w:val="nil"/>
            </w:tcBorders>
          </w:tcPr>
          <w:p>
            <w:pPr>
              <w:pStyle w:val="Normal6a"/>
            </w:pPr>
            <w:r>
              <w:t>7.</w:t>
            </w:r>
            <w:r>
              <w:tab/>
            </w:r>
            <w:r>
              <w:t xml:space="preserve">bekräftigt, dass es den Antrag des Kosovo auf Beitritt zum Europarat und seine strategisch ausgerichtete Absicht, sich am NATO-Programm „Partnerschaft für den Frieden“ zu beteiligen, </w:t>
            </w:r>
            <w:r>
              <w:rPr>
                <w:b/>
                <w:i/>
              </w:rPr>
              <w:t>sowie seine Anträge auf Beitritt zu anderen internationalen Organisationen</w:t>
            </w:r>
            <w:r>
              <w:t xml:space="preserve"> voll und ganz befürwortet; </w:t>
            </w:r>
            <w:r>
              <w:rPr>
                <w:b/>
                <w:i/>
              </w:rPr>
              <w:t>fordert die betreffenden Organisationen und die Mitgliedstaaten auf, diese Anträge aktiv zu unterstützen;</w:t>
            </w:r>
            <w:r>
              <w:t xml:space="preserve"> </w:t>
            </w:r>
            <w:r>
              <w:rPr>
                <w:b/>
                <w:i/>
              </w:rPr>
              <w:t>fordert die Kommission und das EU-Büro im Kosovo auf, ihre Bemühungen zu intensivieren, um die Sichtbarkeit und das Verständnis der Rolle der Union sowie der konkreten Vorteile einer engeren Partnerschaft zwischen der EU und dem Kosovo zu verbessern;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bekräftigt, dass es den Antrag</w:t>
            </w:r>
            <w:r>
              <w:t xml:space="preserve"> des Kosovo </w:t>
            </w:r>
            <w:r>
              <w:rPr>
                <w:b/>
                <w:i/>
              </w:rPr>
              <w:t>auf Beitritt zum</w:t>
            </w:r>
            <w:r>
              <w:t xml:space="preserve"> Europarat </w:t>
            </w:r>
            <w:r>
              <w:rPr>
                <w:b/>
                <w:i/>
              </w:rPr>
              <w:t>und seine strategisch ausgerichtete Absicht, sich am</w:t>
            </w:r>
            <w:r>
              <w:t xml:space="preserve"> NATO-Programm „Partnerschaft für den Frieden“ </w:t>
            </w:r>
            <w:r>
              <w:rPr>
                <w:b/>
                <w:i/>
              </w:rPr>
              <w:t>zu beteiligen, voll und ganz befürwortet</w:t>
            </w:r>
            <w:r>
              <w:t>;</w:t>
            </w:r>
          </w:p>
        </w:tc>
        <w:tc>
          <w:tcPr>
            <w:tcW w:w="4876" w:type="dxa"/>
            <w:tcBorders>
              <w:top w:val="nil"/>
              <w:left w:val="nil"/>
              <w:bottom w:val="nil"/>
              <w:right w:val="nil"/>
            </w:tcBorders>
          </w:tcPr>
          <w:p>
            <w:pPr>
              <w:pStyle w:val="Normal6a"/>
            </w:pPr>
            <w:r>
              <w:t>7.</w:t>
            </w:r>
            <w:r>
              <w:tab/>
            </w:r>
            <w:r>
              <w:rPr>
                <w:b/>
                <w:i/>
              </w:rPr>
              <w:t>nimmt die Bestrebungen des Kosovo, der EU und dem Europarat beizutreten, wohlwollend zur Kenntnis;</w:t>
            </w:r>
            <w:r>
              <w:t xml:space="preserve"> </w:t>
            </w:r>
            <w:r>
              <w:rPr>
                <w:b/>
                <w:i/>
              </w:rPr>
              <w:t>fordert die staatlichen Stellen</w:t>
            </w:r>
            <w:r>
              <w:t xml:space="preserve"> des Kosovo </w:t>
            </w:r>
            <w:r>
              <w:rPr>
                <w:b/>
                <w:i/>
              </w:rPr>
              <w:t>nachdrücklich auf, sich ernsthaft am Dialog zwischen Belgrad und Prishtina/Priština sowie an der Förderung EU-bezogener Reformen zu beteiligen, mit denen weitere Fortschritte auf dem Weg des Kosovo zur Mitgliedschaft in der EU und im</w:t>
            </w:r>
            <w:r>
              <w:t xml:space="preserve"> Europarat </w:t>
            </w:r>
            <w:r>
              <w:rPr>
                <w:b/>
                <w:i/>
              </w:rPr>
              <w:t>erzielt werden könnten;</w:t>
            </w:r>
            <w:r>
              <w:t xml:space="preserve"> </w:t>
            </w:r>
            <w:r>
              <w:rPr>
                <w:b/>
                <w:i/>
              </w:rPr>
              <w:t>ist der Ansicht, dass der Verweis auf das Ziel des Kosovo, dem</w:t>
            </w:r>
            <w:r>
              <w:t xml:space="preserve"> NATO-Programm „Partnerschaft für den Frieden“ </w:t>
            </w:r>
            <w:r>
              <w:rPr>
                <w:b/>
                <w:i/>
              </w:rPr>
              <w:t>beizutreten, gestrichen werden sollte;</w:t>
            </w:r>
            <w:r>
              <w:t xml:space="preserve"> </w:t>
            </w:r>
            <w:r>
              <w:rPr>
                <w:b/>
                <w:i/>
              </w:rPr>
              <w:t>stellt fest, dass das Vorhaben des Kosovo, eigene Streitkräfte aufzubauen, nach wie vor unter den EU-Mitgliedstaaten und NATO-Verbündeten sehr umstritten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bekräftigt, dass es den Antrag des Kosovo auf Beitritt zum Europarat und seine strategisch ausgerichtete Absicht, sich am NATO-Programm „Partnerschaft für den Frieden“ zu beteiligen, voll und ganz befürwortet;</w:t>
            </w:r>
          </w:p>
        </w:tc>
        <w:tc>
          <w:tcPr>
            <w:tcW w:w="4876" w:type="dxa"/>
            <w:tcBorders>
              <w:top w:val="nil"/>
              <w:left w:val="nil"/>
              <w:bottom w:val="nil"/>
              <w:right w:val="nil"/>
            </w:tcBorders>
          </w:tcPr>
          <w:p>
            <w:pPr>
              <w:pStyle w:val="Normal6a"/>
            </w:pPr>
            <w:r>
              <w:t>7.</w:t>
            </w:r>
            <w:r>
              <w:tab/>
            </w:r>
            <w:r>
              <w:t xml:space="preserve">bekräftigt, dass es den Antrag des Kosovo auf Beitritt zum Europarat und seine strategisch ausgerichtete Absicht, sich am NATO-Programm „Partnerschaft für den Frieden“ zu beteiligen, voll und ganz befürwortet; </w:t>
            </w:r>
            <w:r>
              <w:rPr>
                <w:b/>
                <w:i/>
              </w:rPr>
              <w:t>fordert Serbien mit Nachdruck auf, seine Blockade aufzuheben, mit der es die Mitgliedschaft des Kosovo im Europarat und anderen internationalen Organisationen verhindert, da diese Haltung im Widerspruch zu dem Abkommen zwischen dem Kosovo und Serbien von 2013 über die Normalisierung der Beziehungen 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bekräftigt</w:t>
            </w:r>
            <w:r>
              <w:rPr>
                <w:b/>
                <w:i/>
              </w:rPr>
              <w:t>, dass es</w:t>
            </w:r>
            <w:r>
              <w:t xml:space="preserve"> den Antrag des Kosovo auf Beitritt zum Europarat </w:t>
            </w:r>
            <w:r>
              <w:rPr>
                <w:b/>
                <w:i/>
              </w:rPr>
              <w:t>und seine strategisch ausgerichtete</w:t>
            </w:r>
            <w:r>
              <w:t xml:space="preserve"> Absicht, sich am NATO-Programm „Partnerschaft für den Frieden“ zu beteiligen, </w:t>
            </w:r>
            <w:r>
              <w:rPr>
                <w:b/>
                <w:i/>
              </w:rPr>
              <w:t>voll und ganz befürwortet</w:t>
            </w:r>
            <w:r>
              <w:t>;</w:t>
            </w:r>
          </w:p>
        </w:tc>
        <w:tc>
          <w:tcPr>
            <w:tcW w:w="4876" w:type="dxa"/>
            <w:tcBorders>
              <w:top w:val="nil"/>
              <w:left w:val="nil"/>
              <w:bottom w:val="nil"/>
              <w:right w:val="nil"/>
            </w:tcBorders>
          </w:tcPr>
          <w:p>
            <w:pPr>
              <w:pStyle w:val="Normal6a"/>
            </w:pPr>
            <w:r>
              <w:t>7.</w:t>
            </w:r>
            <w:r>
              <w:tab/>
            </w:r>
            <w:r>
              <w:t xml:space="preserve">bekräftigt </w:t>
            </w:r>
            <w:r>
              <w:rPr>
                <w:b/>
                <w:i/>
              </w:rPr>
              <w:t>seine uneingeschränkte Unterstützung für</w:t>
            </w:r>
            <w:r>
              <w:t xml:space="preserve"> den Antrag des Kosovo auf Beitritt zum Europarat</w:t>
            </w:r>
            <w:r>
              <w:rPr>
                <w:b/>
                <w:i/>
              </w:rPr>
              <w:t>, für die</w:t>
            </w:r>
            <w:r>
              <w:t xml:space="preserve"> Absicht </w:t>
            </w:r>
            <w:r>
              <w:rPr>
                <w:b/>
                <w:i/>
              </w:rPr>
              <w:t>des Landes</w:t>
            </w:r>
            <w:r>
              <w:t xml:space="preserve">, sich am NATO-Programm „Partnerschaft für den Frieden“ zu beteiligen, </w:t>
            </w:r>
            <w:r>
              <w:rPr>
                <w:b/>
                <w:i/>
              </w:rPr>
              <w:t>sowie für die Ambitionen des Landes, anderen internationalen Organisationen beizutreten;</w:t>
            </w:r>
            <w:r>
              <w:t xml:space="preserve"> </w:t>
            </w:r>
            <w:r>
              <w:rPr>
                <w:b/>
                <w:i/>
              </w:rPr>
              <w:t>fordert die Organisationen und Mitgliedstaaten auf, die jeweiligen Anträge des Kosovo proaktiv zu unterstützen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bekräftigt, dass es den Antrag</w:t>
            </w:r>
            <w:r>
              <w:t xml:space="preserve"> des Kosovo auf </w:t>
            </w:r>
            <w:r>
              <w:rPr>
                <w:b/>
                <w:i/>
              </w:rPr>
              <w:t>Beitritt zum Europarat und seine strategisch ausgerichtete Absicht</w:t>
            </w:r>
            <w:r>
              <w:t xml:space="preserve">, sich </w:t>
            </w:r>
            <w:r>
              <w:rPr>
                <w:b/>
                <w:i/>
              </w:rPr>
              <w:t>am NATO-Programm „Partnerschaft für den Frieden“</w:t>
            </w:r>
            <w:r>
              <w:t xml:space="preserve"> zu beteiligen, </w:t>
            </w:r>
            <w:r>
              <w:rPr>
                <w:b/>
                <w:i/>
              </w:rPr>
              <w:t>voll und ganz befürwortet</w:t>
            </w:r>
            <w:r>
              <w:t>;</w:t>
            </w:r>
          </w:p>
        </w:tc>
        <w:tc>
          <w:tcPr>
            <w:tcW w:w="4876" w:type="dxa"/>
            <w:tcBorders>
              <w:top w:val="nil"/>
              <w:left w:val="nil"/>
              <w:bottom w:val="nil"/>
              <w:right w:val="nil"/>
            </w:tcBorders>
          </w:tcPr>
          <w:p>
            <w:pPr>
              <w:pStyle w:val="Normal6a"/>
            </w:pPr>
            <w:r>
              <w:t>7.</w:t>
            </w:r>
            <w:r>
              <w:tab/>
            </w:r>
            <w:r>
              <w:rPr>
                <w:b/>
                <w:i/>
              </w:rPr>
              <w:t>nimmt die Bestrebungen des Kosovo, der EU und dem Europarat beizutreten, wohlwollend zur Kenntnis;</w:t>
            </w:r>
            <w:r>
              <w:t xml:space="preserve"> </w:t>
            </w:r>
            <w:r>
              <w:rPr>
                <w:b/>
                <w:i/>
              </w:rPr>
              <w:t>fordert die staatlichen Stellen</w:t>
            </w:r>
            <w:r>
              <w:t xml:space="preserve"> des Kosovo </w:t>
            </w:r>
            <w:r>
              <w:rPr>
                <w:b/>
                <w:i/>
              </w:rPr>
              <w:t>nachdrücklich</w:t>
            </w:r>
            <w:r>
              <w:t xml:space="preserve"> auf, sich </w:t>
            </w:r>
            <w:r>
              <w:rPr>
                <w:b/>
                <w:i/>
              </w:rPr>
              <w:t>ernsthaft am Dialog zwischen Belgrad und Prishtina/Priština sowie an der Förderung EU-bezogener Reformen</w:t>
            </w:r>
            <w:r>
              <w:t xml:space="preserve"> zu beteiligen, </w:t>
            </w:r>
            <w:r>
              <w:rPr>
                <w:b/>
                <w:i/>
              </w:rPr>
              <w:t>mit denen weitere Fortschritte auf dem Weg des Kosovo zur Mitgliedschaft in der EU und im Europarat erzielt werden könnten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bekräftigt, dass es den Antrag des Kosovo auf Beitritt zum Europarat und seine strategisch ausgerichtete Absicht, sich am NATO-Programm „Partnerschaft für den Frieden“ zu beteiligen, voll und ganz befürwortet;</w:t>
            </w:r>
          </w:p>
        </w:tc>
        <w:tc>
          <w:tcPr>
            <w:tcW w:w="4876" w:type="dxa"/>
            <w:tcBorders>
              <w:top w:val="nil"/>
              <w:left w:val="nil"/>
              <w:bottom w:val="nil"/>
              <w:right w:val="nil"/>
            </w:tcBorders>
          </w:tcPr>
          <w:p>
            <w:pPr>
              <w:pStyle w:val="Normal6a"/>
            </w:pPr>
            <w:r>
              <w:t>7.</w:t>
            </w:r>
            <w:r>
              <w:tab/>
            </w:r>
            <w:r>
              <w:t xml:space="preserve">bekräftigt, dass es den Antrag des Kosovo auf Beitritt zum Europarat und seine strategisch ausgerichtete Absicht, sich am NATO-Programm „Partnerschaft für den Frieden“ zu beteiligen, voll und ganz befürwortet; </w:t>
            </w:r>
            <w:r>
              <w:rPr>
                <w:b/>
                <w:i/>
              </w:rPr>
              <w:t>stellt fest, dass die Annäherung des Kosovo an die NATO die Sicherheit Europas stärkt;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Silvia Sardone, Susanna Ceccardi,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bekräftigt</w:t>
            </w:r>
            <w:r>
              <w:rPr>
                <w:b/>
                <w:i/>
              </w:rPr>
              <w:t>, dass es</w:t>
            </w:r>
            <w:r>
              <w:t xml:space="preserve"> den Antrag des Kosovo auf </w:t>
            </w:r>
            <w:r>
              <w:rPr>
                <w:b/>
                <w:i/>
              </w:rPr>
              <w:t>Beitritt zum</w:t>
            </w:r>
            <w:r>
              <w:t xml:space="preserve"> Europarat </w:t>
            </w:r>
            <w:r>
              <w:rPr>
                <w:b/>
                <w:i/>
              </w:rPr>
              <w:t>und seine strategisch ausgerichtete Absicht, sich am NATO-Programm „Partnerschaft für den Frieden“ zu beteiligen, voll und ganz befürwortet</w:t>
            </w:r>
            <w:r>
              <w:t>;</w:t>
            </w:r>
          </w:p>
        </w:tc>
        <w:tc>
          <w:tcPr>
            <w:tcW w:w="4876" w:type="dxa"/>
            <w:tcBorders>
              <w:top w:val="nil"/>
              <w:left w:val="nil"/>
              <w:bottom w:val="nil"/>
              <w:right w:val="nil"/>
            </w:tcBorders>
          </w:tcPr>
          <w:p>
            <w:pPr>
              <w:pStyle w:val="Normal6a"/>
            </w:pPr>
            <w:r>
              <w:t>7.</w:t>
            </w:r>
            <w:r>
              <w:tab/>
            </w:r>
            <w:r>
              <w:t xml:space="preserve">bekräftigt </w:t>
            </w:r>
            <w:r>
              <w:rPr>
                <w:b/>
                <w:i/>
              </w:rPr>
              <w:t>die Stellungnahme vom 24. September 2024, in der Italien und Frankreich ihre Unterstützung für</w:t>
            </w:r>
            <w:r>
              <w:t xml:space="preserve"> den Antrag des Kosovo auf </w:t>
            </w:r>
            <w:r>
              <w:rPr>
                <w:b/>
                <w:i/>
              </w:rPr>
              <w:t>Mitgliedschaft im</w:t>
            </w:r>
            <w:r>
              <w:t xml:space="preserve"> Europarat </w:t>
            </w:r>
            <w:r>
              <w:rPr>
                <w:b/>
                <w:i/>
              </w:rPr>
              <w:t>davon abhängig machten, dass das Land den Schutz von Minderheiten, insbesondere der serbischen, gewährleistet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würdigt, dass das Kosovo weiterhin uneingeschränkt die Gemeinsame Außen- und Sicherheitspolitik der EU übernimmt, die restriktiven Maßnahmen der EU gegen Russland und Belarus nach wie vor umsetzt und Russlands Angriffskrieg gegen die Ukraine entschieden verurteilt;</w:t>
            </w:r>
          </w:p>
        </w:tc>
        <w:tc>
          <w:tcPr>
            <w:tcW w:w="4876" w:type="dxa"/>
            <w:tcBorders>
              <w:top w:val="nil"/>
              <w:left w:val="nil"/>
              <w:bottom w:val="nil"/>
              <w:right w:val="nil"/>
            </w:tcBorders>
          </w:tcPr>
          <w:p>
            <w:pPr>
              <w:pStyle w:val="Normal6a"/>
            </w:pPr>
            <w:r>
              <w:t>8.</w:t>
            </w:r>
            <w:r>
              <w:tab/>
            </w:r>
            <w:r>
              <w:t xml:space="preserve">würdigt, dass das Kosovo weiterhin uneingeschränkt die Gemeinsame Außen- und Sicherheitspolitik der EU übernimmt, die restriktiven Maßnahmen der EU gegen Russland und Belarus nach wie vor umsetzt und Russlands </w:t>
            </w:r>
            <w:r>
              <w:rPr>
                <w:b/>
                <w:i/>
              </w:rPr>
              <w:t>rechtswidrigen</w:t>
            </w:r>
            <w:r>
              <w:t xml:space="preserve"> Angriffskrieg gegen die Ukraine entschieden verurteilt; </w:t>
            </w:r>
            <w:r>
              <w:rPr>
                <w:b/>
                <w:i/>
              </w:rPr>
              <w:t>erwartet, dass das Kosovo weiterhin Schritte unternimmt, um sich stärker an die Gemeinsame Außen- und Sicherheitspolitik der EU anzugleichen, und Anstrengungen unternimmt, um der Bedrohung durch Russland entgegenzuwirken;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Silvia Sardone, Susanna Ceccardi, Jaroslav Bžoch,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würdigt</w:t>
            </w:r>
            <w:r>
              <w:t>, dass das Kosovo weiterhin uneingeschränkt die Gemeinsame Außen- und Sicherheitspolitik der EU übernimmt, die restriktiven Maßnahmen der EU gegen Russland und Belarus nach wie vor umsetzt und Russlands Angriffskrieg gegen die Ukraine entschieden verurteilt;</w:t>
            </w:r>
          </w:p>
        </w:tc>
        <w:tc>
          <w:tcPr>
            <w:tcW w:w="4876" w:type="dxa"/>
            <w:tcBorders>
              <w:top w:val="nil"/>
              <w:left w:val="nil"/>
              <w:bottom w:val="nil"/>
              <w:right w:val="nil"/>
            </w:tcBorders>
          </w:tcPr>
          <w:p>
            <w:pPr>
              <w:pStyle w:val="Normal6a"/>
            </w:pPr>
            <w:r>
              <w:t>8.</w:t>
            </w:r>
            <w:r>
              <w:tab/>
            </w:r>
            <w:r>
              <w:rPr>
                <w:b/>
                <w:i/>
              </w:rPr>
              <w:t>nimmt zur Kenntnis</w:t>
            </w:r>
            <w:r>
              <w:t>, dass das Kosovo weiterhin uneingeschränkt die Gemeinsame Außen- und Sicherheitspolitik der EU übernimmt, die restriktiven Maßnahmen der EU gegen Russland und Belarus nach wie vor umsetzt und Russlands Angriffskrieg gegen die Ukraine entschieden verurteilt;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begrüßt, dass am 18. März 2025 die trilaterale Erklärung zur Verteidigungszusammenarbeit zwischen dem Kosovo, Albanien und Kroatien unterzeichnet wurde, mit der die Verteidigungsfähigkeiten gestärkt werden sollen und die Zusammenarbeit bei der Bekämpfung hybrider Bedrohungen verbessert werden soll;</w:t>
            </w:r>
            <w:r>
              <w:t xml:space="preserve"> </w:t>
            </w:r>
            <w:r>
              <w:rPr>
                <w:b/>
                <w:i/>
              </w:rPr>
              <w:t>betrachtet diese Initiative als einen wichtigen Beitrag zur regionalen Stabilität, Widerstandsfähigkeit und Sicherheit im Westbalkanraum sowie zu einer engeren Angleichung an die Gemeinsame Sicherheits- und Verteidigungspolitik der EU;</w:t>
            </w:r>
            <w:r>
              <w:t xml:space="preserve"> </w:t>
            </w:r>
            <w:r>
              <w:rPr>
                <w:b/>
                <w:i/>
              </w:rPr>
              <w:t>fordert eine weitere praktische Zusammenarbeit, unter anderem in den Bereichen Kapazitätsaufbau, Interoperabilität und Informationsaustausch;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Davor Ivo Stier,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sieht das Kosovo als zuverlässigen Partner der EU an, was sich darin zeigt, dass es die Gemeinsame Außen- und Sicherheitspolitik der EU vollständig übernommen hat und die Bevölkerung die EU-Integration nach wie vor mit großer Mehrheit unterstützt;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Silvia Sardone, Susanna Ceccardi, 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begrüßt</w:t>
            </w:r>
            <w:r>
              <w:t>, dass die EU ihre Maßnahmen gegen das Kosovo seit Mai 2025 schrittweise aufhebt, und fordert, dass die verbleibenden Maßnahmen umgehend aufgehoben werden</w:t>
            </w:r>
            <w:r>
              <w:rPr>
                <w:b/>
                <w:i/>
              </w:rPr>
              <w:t>, da sie nicht mehr gerechtfertigt sind und sich weiterhin nachteilig auf die Gesellschaft des Kosovo auswirken</w:t>
            </w:r>
            <w:r>
              <w:t xml:space="preserve">; </w:t>
            </w:r>
            <w:r>
              <w:rPr>
                <w:b/>
                <w:i/>
              </w:rPr>
              <w:t>stellt fest, dass sich diese Auswirkungen in der gesamten Gesellschaft bemerkbar machen und insbesondere lokale Gemeinschaften, Organisationen der Zivilgesellschaft sowie kleine und mittlere Unternehmen (KMU) darunter leiden;</w:t>
            </w:r>
          </w:p>
        </w:tc>
        <w:tc>
          <w:tcPr>
            <w:tcW w:w="4876" w:type="dxa"/>
            <w:tcBorders>
              <w:top w:val="nil"/>
              <w:left w:val="nil"/>
              <w:bottom w:val="nil"/>
              <w:right w:val="nil"/>
            </w:tcBorders>
          </w:tcPr>
          <w:p>
            <w:pPr>
              <w:pStyle w:val="Normal6a"/>
            </w:pPr>
            <w:r>
              <w:t>9.</w:t>
            </w:r>
            <w:r>
              <w:tab/>
            </w:r>
            <w:r>
              <w:rPr>
                <w:b/>
                <w:i/>
              </w:rPr>
              <w:t>stellt fest</w:t>
            </w:r>
            <w:r>
              <w:t>, dass die EU ihre Maßnahmen gegen das Kosovo seit Mai 2025 schrittweise aufhebt, und fordert, dass die verbleibenden Maßnahmen umgehend aufgehoben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Elio Di Rupo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begrüßt</w:t>
            </w:r>
            <w:r>
              <w:rPr>
                <w:b/>
                <w:i/>
              </w:rPr>
              <w:t>, dass die EU ihre</w:t>
            </w:r>
            <w:r>
              <w:t xml:space="preserve"> Maßnahmen gegen das Kosovo </w:t>
            </w:r>
            <w:r>
              <w:rPr>
                <w:b/>
                <w:i/>
              </w:rPr>
              <w:t>seit Mai 2025 schrittweise aufhebt</w:t>
            </w:r>
            <w:r>
              <w:t xml:space="preserve">, </w:t>
            </w:r>
            <w:r>
              <w:rPr>
                <w:b/>
                <w:i/>
              </w:rPr>
              <w:t>und fordert, dass die verbleibenden Maßnahmen umgehend aufgehoben werden, da sie</w:t>
            </w:r>
            <w:r>
              <w:t xml:space="preserve"> nicht mehr gerechtfertigt </w:t>
            </w:r>
            <w:r>
              <w:rPr>
                <w:b/>
                <w:i/>
              </w:rPr>
              <w:t>sind</w:t>
            </w:r>
            <w:r>
              <w:t xml:space="preserve"> und sich </w:t>
            </w:r>
            <w:r>
              <w:rPr>
                <w:b/>
                <w:i/>
              </w:rPr>
              <w:t>weiterhin</w:t>
            </w:r>
            <w:r>
              <w:t xml:space="preserve"> nachteilig auf die Gesellschaft des Kosovo </w:t>
            </w:r>
            <w:r>
              <w:rPr>
                <w:b/>
                <w:i/>
              </w:rPr>
              <w:t>auswirken</w:t>
            </w:r>
            <w:r>
              <w:t>; stellt fest, dass sich diese Auswirkungen in der gesamten Gesellschaft bemerkbar machen und insbesondere lokale Gemeinschaften, Organisationen der Zivilgesellschaft sowie kleine und mittlere Unternehmen (KMU) darunter leiden;</w:t>
            </w:r>
          </w:p>
        </w:tc>
        <w:tc>
          <w:tcPr>
            <w:tcW w:w="4876" w:type="dxa"/>
            <w:tcBorders>
              <w:top w:val="nil"/>
              <w:left w:val="nil"/>
              <w:bottom w:val="nil"/>
              <w:right w:val="nil"/>
            </w:tcBorders>
          </w:tcPr>
          <w:p>
            <w:pPr>
              <w:pStyle w:val="Normal6a"/>
            </w:pPr>
            <w:r>
              <w:t>9.</w:t>
            </w:r>
            <w:r>
              <w:tab/>
            </w:r>
            <w:r>
              <w:t xml:space="preserve">begrüßt </w:t>
            </w:r>
            <w:r>
              <w:rPr>
                <w:b/>
                <w:i/>
              </w:rPr>
              <w:t>die Bestätigung der Aufhebung der</w:t>
            </w:r>
            <w:r>
              <w:t xml:space="preserve"> Maßnahmen </w:t>
            </w:r>
            <w:r>
              <w:rPr>
                <w:b/>
                <w:i/>
              </w:rPr>
              <w:t>der EU</w:t>
            </w:r>
            <w:r>
              <w:t xml:space="preserve"> gegen das Kosovo, </w:t>
            </w:r>
            <w:r>
              <w:rPr>
                <w:b/>
                <w:i/>
              </w:rPr>
              <w:t>die</w:t>
            </w:r>
            <w:r>
              <w:t xml:space="preserve"> nicht mehr gerechtfertigt </w:t>
            </w:r>
            <w:r>
              <w:rPr>
                <w:b/>
                <w:i/>
              </w:rPr>
              <w:t>waren</w:t>
            </w:r>
            <w:r>
              <w:t xml:space="preserve"> und sich nachteilig auf die Gesellschaft des Kosovo </w:t>
            </w:r>
            <w:r>
              <w:rPr>
                <w:b/>
                <w:i/>
              </w:rPr>
              <w:t>auswirkten</w:t>
            </w:r>
            <w:r>
              <w:t xml:space="preserve">; stellt fest, dass sich diese Auswirkungen in der gesamten Gesellschaft bemerkbar machen und insbesondere lokale Gemeinschaften, Organisationen der Zivilgesellschaft sowie kleine und mittlere Unternehmen (KMU) darunter leiden; </w:t>
            </w:r>
            <w:r>
              <w:rPr>
                <w:b/>
                <w:i/>
              </w:rPr>
              <w:t>macht sich Gedanken über die mangelnde Transparenz und Berechenbarkeit, die unzureichende Information der Öffentlichkeit und die lange Dauer der Maßnahmen, obwohl das Kosovo die von der EU festgelegten Anforderungen erfüllt hat;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begrüßt, dass die EU ihre Maßnahmen gegen das Kosovo seit Mai 2025 schrittweise aufhebt, und fordert, dass die verbleibenden Maßnahmen umgehend aufgehoben werden, da sie nicht mehr gerechtfertigt sind </w:t>
            </w:r>
            <w:r>
              <w:rPr>
                <w:b/>
                <w:i/>
              </w:rPr>
              <w:t>und</w:t>
            </w:r>
            <w:r>
              <w:t xml:space="preserve"> sich weiterhin nachteilig auf die Gesellschaft des Kosovo auswirken; stellt fest, dass sich diese Auswirkungen in der gesamten Gesellschaft bemerkbar machen und insbesondere lokale Gemeinschaften, Organisationen der Zivilgesellschaft sowie kleine und mittlere Unternehmen (KMU) darunter leiden;</w:t>
            </w:r>
          </w:p>
        </w:tc>
        <w:tc>
          <w:tcPr>
            <w:tcW w:w="4876" w:type="dxa"/>
            <w:tcBorders>
              <w:top w:val="nil"/>
              <w:left w:val="nil"/>
              <w:bottom w:val="nil"/>
              <w:right w:val="nil"/>
            </w:tcBorders>
          </w:tcPr>
          <w:p>
            <w:pPr>
              <w:pStyle w:val="Normal6a"/>
            </w:pPr>
            <w:r>
              <w:t>9.</w:t>
            </w:r>
            <w:r>
              <w:tab/>
            </w:r>
            <w:r>
              <w:t xml:space="preserve">begrüßt, dass die EU ihre Maßnahmen gegen das Kosovo seit Mai 2025 schrittweise aufhebt, und fordert, dass die verbleibenden Maßnahmen umgehend aufgehoben werden, da sie </w:t>
            </w:r>
            <w:r>
              <w:rPr>
                <w:b/>
                <w:i/>
              </w:rPr>
              <w:t>angesichts der Erfüllung aller notwendigen Voraussetzungen</w:t>
            </w:r>
            <w:r>
              <w:t xml:space="preserve"> nicht mehr gerechtfertigt sind</w:t>
            </w:r>
            <w:r>
              <w:rPr>
                <w:b/>
                <w:i/>
              </w:rPr>
              <w:t>,</w:t>
            </w:r>
            <w:r>
              <w:t xml:space="preserve"> sich weiterhin nachteilig auf die Gesellschaft des Kosovo auswirken </w:t>
            </w:r>
            <w:r>
              <w:rPr>
                <w:b/>
                <w:i/>
              </w:rPr>
              <w:t>und die Wiederaufnahme des Dialogs zwischen Belgrad und Prishtina/Priština nach Treu und Glauben behindern</w:t>
            </w:r>
            <w:r>
              <w:t>; stellt fest, dass sich diese Auswirkungen in der gesamten Gesellschaft bemerkbar machen und insbesondere lokale Gemeinschaften, Organisationen der Zivilgesellschaft sowie kleine und mittlere Unternehmen (KMU) darunter leiden;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begrüßt, dass die EU ihre Maßnahmen gegen das Kosovo seit Mai 2025 schrittweise aufhebt, und fordert, dass die verbleibenden Maßnahmen umgehend aufgehoben werden, </w:t>
            </w:r>
            <w:r>
              <w:rPr>
                <w:b/>
                <w:i/>
              </w:rPr>
              <w:t>da sie nicht mehr gerechtfertigt sind und</w:t>
            </w:r>
            <w:r>
              <w:t xml:space="preserve"> sich weiterhin </w:t>
            </w:r>
            <w:r>
              <w:rPr>
                <w:b/>
                <w:i/>
              </w:rPr>
              <w:t>nachteilig auf die Gesellschaft des Kosovo auswirken;</w:t>
            </w:r>
            <w:r>
              <w:t xml:space="preserve"> </w:t>
            </w:r>
            <w:r>
              <w:rPr>
                <w:b/>
                <w:i/>
              </w:rPr>
              <w:t>stellt fest, dass sich diese Auswirkungen in der gesamten Gesellschaft bemerkbar machen und insbesondere lokale Gemeinschaften, Organisationen der Zivilgesellschaft sowie kleine und mittlere Unternehmen (KMU) darunter leiden</w:t>
            </w:r>
            <w:r>
              <w:t>;</w:t>
            </w:r>
          </w:p>
        </w:tc>
        <w:tc>
          <w:tcPr>
            <w:tcW w:w="4876" w:type="dxa"/>
            <w:tcBorders>
              <w:top w:val="nil"/>
              <w:left w:val="nil"/>
              <w:bottom w:val="nil"/>
              <w:right w:val="nil"/>
            </w:tcBorders>
          </w:tcPr>
          <w:p>
            <w:pPr>
              <w:pStyle w:val="Normal6a"/>
            </w:pPr>
            <w:r>
              <w:t>9.</w:t>
            </w:r>
            <w:r>
              <w:tab/>
            </w:r>
            <w:r>
              <w:t xml:space="preserve">begrüßt, dass die EU ihre Maßnahmen gegen das Kosovo seit Mai 2025 schrittweise aufhebt, und fordert, dass die verbleibenden Maßnahmen umgehend aufgehoben werden, </w:t>
            </w:r>
            <w:r>
              <w:rPr>
                <w:b/>
                <w:i/>
              </w:rPr>
              <w:t>hält das Kosovo jedoch nachdrücklich dazu an,</w:t>
            </w:r>
            <w:r>
              <w:t xml:space="preserve"> sich weiterhin </w:t>
            </w:r>
            <w:r>
              <w:rPr>
                <w:b/>
                <w:i/>
              </w:rPr>
              <w:t>für Deeskalation einzusetzen und von einseitigen, gegen Minderheiten gerichtete Maßnahmen abzusehen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begrüßt, dass die EU ihre Maßnahmen gegen das Kosovo </w:t>
            </w:r>
            <w:r>
              <w:rPr>
                <w:b/>
                <w:i/>
              </w:rPr>
              <w:t>seit Mai 2025 schrittweise aufhebt, und fordert, dass die verbleibenden</w:t>
            </w:r>
            <w:r>
              <w:t xml:space="preserve"> Maßnahmen </w:t>
            </w:r>
            <w:r>
              <w:rPr>
                <w:b/>
                <w:i/>
              </w:rPr>
              <w:t>umgehend aufgehoben werden, da sie nicht mehr</w:t>
            </w:r>
            <w:r>
              <w:t xml:space="preserve"> gerechtfertigt </w:t>
            </w:r>
            <w:r>
              <w:rPr>
                <w:b/>
                <w:i/>
              </w:rPr>
              <w:t>sind</w:t>
            </w:r>
            <w:r>
              <w:t xml:space="preserve"> und sich </w:t>
            </w:r>
            <w:r>
              <w:rPr>
                <w:b/>
                <w:i/>
              </w:rPr>
              <w:t>weiterhin nachteilig</w:t>
            </w:r>
            <w:r>
              <w:t xml:space="preserve"> auf die Gesellschaft des Kosovo </w:t>
            </w:r>
            <w:r>
              <w:rPr>
                <w:b/>
                <w:i/>
              </w:rPr>
              <w:t>auswirken</w:t>
            </w:r>
            <w:r>
              <w:t>; stellt fest, dass sich diese Auswirkungen in der gesamten Gesellschaft bemerkbar machen und insbesondere lokale Gemeinschaften, Organisationen der Zivilgesellschaft sowie kleine und mittlere Unternehmen (KMU) darunter leiden;</w:t>
            </w:r>
          </w:p>
        </w:tc>
        <w:tc>
          <w:tcPr>
            <w:tcW w:w="4876" w:type="dxa"/>
            <w:tcBorders>
              <w:top w:val="nil"/>
              <w:left w:val="nil"/>
              <w:bottom w:val="nil"/>
              <w:right w:val="nil"/>
            </w:tcBorders>
          </w:tcPr>
          <w:p>
            <w:pPr>
              <w:pStyle w:val="Normal6a"/>
            </w:pPr>
            <w:r>
              <w:t>9.</w:t>
            </w:r>
            <w:r>
              <w:tab/>
            </w:r>
            <w:r>
              <w:t xml:space="preserve">begrüßt, dass die EU </w:t>
            </w:r>
            <w:r>
              <w:rPr>
                <w:b/>
                <w:i/>
              </w:rPr>
              <w:t>alle</w:t>
            </w:r>
            <w:r>
              <w:t xml:space="preserve"> ihre Maßnahmen gegen das Kosovo </w:t>
            </w:r>
            <w:r>
              <w:rPr>
                <w:b/>
                <w:i/>
              </w:rPr>
              <w:t>aufgehoben hat, was längst überfällig war, da diese</w:t>
            </w:r>
            <w:r>
              <w:t xml:space="preserve"> Maßnahmen </w:t>
            </w:r>
            <w:r>
              <w:rPr>
                <w:b/>
                <w:i/>
              </w:rPr>
              <w:t>zu keinem Zeitpunkt</w:t>
            </w:r>
            <w:r>
              <w:t xml:space="preserve"> gerechtfertigt </w:t>
            </w:r>
            <w:r>
              <w:rPr>
                <w:b/>
                <w:i/>
              </w:rPr>
              <w:t>waren und zudem in eklatantem Widerspruch zu dem nachweislichen Bekenntnis des Kosovo zu den europäischen Werten und seiner Angleichung an die EU-Politik standen</w:t>
            </w:r>
            <w:r>
              <w:t xml:space="preserve"> und sich </w:t>
            </w:r>
            <w:r>
              <w:rPr>
                <w:b/>
                <w:i/>
              </w:rPr>
              <w:t>ausschließlich</w:t>
            </w:r>
            <w:r>
              <w:t xml:space="preserve"> auf die Gesellschaft des Kosovo </w:t>
            </w:r>
            <w:r>
              <w:rPr>
                <w:b/>
                <w:i/>
              </w:rPr>
              <w:t>sowie das Ansehen der EU nachteilig ausgewirkt haben</w:t>
            </w:r>
            <w:r>
              <w:t>; stellt fest, dass sich diese Auswirkungen in der gesamten Gesellschaft bemerkbar machen und insbesondere lokale Gemeinschaften, Organisationen der Zivilgesellschaft sowie kleine und mittlere Unternehmen (KMU) darunter leiden;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begrüßt, dass die EU ihre Maßnahmen gegen das Kosovo seit Mai 2025 schrittweise aufhebt, und fordert, dass die verbleibenden Maßnahmen umgehend aufgehoben werden, </w:t>
            </w:r>
            <w:r>
              <w:rPr>
                <w:b/>
                <w:i/>
              </w:rPr>
              <w:t>da sie nicht mehr gerechtfertigt sind und</w:t>
            </w:r>
            <w:r>
              <w:t xml:space="preserve"> sich weiterhin </w:t>
            </w:r>
            <w:r>
              <w:rPr>
                <w:b/>
                <w:i/>
              </w:rPr>
              <w:t>nachteilig auf die Gesellschaft des</w:t>
            </w:r>
            <w:r>
              <w:t xml:space="preserve"> Kosovo </w:t>
            </w:r>
            <w:r>
              <w:rPr>
                <w:b/>
                <w:i/>
              </w:rPr>
              <w:t>auswirken;</w:t>
            </w:r>
            <w:r>
              <w:t xml:space="preserve"> </w:t>
            </w:r>
            <w:r>
              <w:rPr>
                <w:b/>
                <w:i/>
              </w:rPr>
              <w:t>stellt fest, dass sich diese Auswirkungen in der gesamten Gesellschaft bemerkbar machen und insbesondere lokale Gemeinschaften, Organisationen der Zivilgesellschaft sowie kleine und mittlere Unternehmen (KMU) darunter leiden</w:t>
            </w:r>
            <w:r>
              <w:t>;</w:t>
            </w:r>
          </w:p>
        </w:tc>
        <w:tc>
          <w:tcPr>
            <w:tcW w:w="4876" w:type="dxa"/>
            <w:tcBorders>
              <w:top w:val="nil"/>
              <w:left w:val="nil"/>
              <w:bottom w:val="nil"/>
              <w:right w:val="nil"/>
            </w:tcBorders>
          </w:tcPr>
          <w:p>
            <w:pPr>
              <w:pStyle w:val="Normal6a"/>
            </w:pPr>
            <w:r>
              <w:t>9.</w:t>
            </w:r>
            <w:r>
              <w:tab/>
            </w:r>
            <w:r>
              <w:t xml:space="preserve">begrüßt, dass die EU ihre Maßnahmen gegen das Kosovo seit Mai 2025 schrittweise aufhebt, und fordert, dass die verbleibenden Maßnahmen umgehend aufgehoben werden, </w:t>
            </w:r>
            <w:r>
              <w:rPr>
                <w:b/>
                <w:i/>
              </w:rPr>
              <w:t>hält das Kosovo jedoch nachdrücklich dazu an,</w:t>
            </w:r>
            <w:r>
              <w:t xml:space="preserve"> sich weiterhin </w:t>
            </w:r>
            <w:r>
              <w:rPr>
                <w:b/>
                <w:i/>
              </w:rPr>
              <w:t>für Deeskalation einzusetzen und von einseitigen, gegen Minderheiten gerichtete Maßnahmen abzusehen;</w:t>
            </w:r>
            <w:r>
              <w:t xml:space="preserve"> </w:t>
            </w:r>
            <w:r>
              <w:rPr>
                <w:b/>
                <w:i/>
              </w:rPr>
              <w:t>betont, dass die EU-Maßnahmen nach wie vor nur dann vollständig aufgehoben werden, wenn das</w:t>
            </w:r>
            <w:r>
              <w:t xml:space="preserve"> Kosovo </w:t>
            </w:r>
            <w:r>
              <w:rPr>
                <w:b/>
                <w:i/>
              </w:rPr>
              <w:t>weiterhin für Deeskalation eintritt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begrüßt, dass die EU ihre Maßnahmen gegen das Kosovo </w:t>
            </w:r>
            <w:r>
              <w:rPr>
                <w:b/>
                <w:i/>
              </w:rPr>
              <w:t>seit Mai 2025 schrittweise aufhebt, und fordert, dass</w:t>
            </w:r>
            <w:r>
              <w:t xml:space="preserve"> die verbleibenden </w:t>
            </w:r>
            <w:r>
              <w:rPr>
                <w:b/>
                <w:i/>
              </w:rPr>
              <w:t>Maßnahmen umgehend aufgehoben werden, da sie nicht mehr gerechtfertigt sind und sich weiterhin nachteilig auf die Gesellschaft des Kosovo auswirken</w:t>
            </w:r>
            <w:r>
              <w:t xml:space="preserve">; stellt fest, dass sich </w:t>
            </w:r>
            <w:r>
              <w:rPr>
                <w:b/>
                <w:i/>
              </w:rPr>
              <w:t>diese</w:t>
            </w:r>
            <w:r>
              <w:t xml:space="preserve"> Auswirkungen in der gesamten Gesellschaft bemerkbar machen und insbesondere lokale Gemeinschaften, Organisationen der Zivilgesellschaft sowie kleine und mittlere Unternehmen (KMU) darunter leiden;</w:t>
            </w:r>
          </w:p>
        </w:tc>
        <w:tc>
          <w:tcPr>
            <w:tcW w:w="4876" w:type="dxa"/>
            <w:tcBorders>
              <w:top w:val="nil"/>
              <w:left w:val="nil"/>
              <w:bottom w:val="nil"/>
              <w:right w:val="nil"/>
            </w:tcBorders>
          </w:tcPr>
          <w:p>
            <w:pPr>
              <w:pStyle w:val="Normal6a"/>
            </w:pPr>
            <w:r>
              <w:t>9.</w:t>
            </w:r>
            <w:r>
              <w:tab/>
            </w:r>
            <w:r>
              <w:t xml:space="preserve">begrüßt, dass die EU ihre Maßnahmen gegen das Kosovo </w:t>
            </w:r>
            <w:r>
              <w:rPr>
                <w:b/>
                <w:i/>
              </w:rPr>
              <w:t>aufgehoben hat und im Dezember Mittel in Höhe von 216 Mio. EUR für vorrangige Verträge und Programme und Anfang 2026</w:t>
            </w:r>
            <w:r>
              <w:t xml:space="preserve"> die verbleibenden </w:t>
            </w:r>
            <w:r>
              <w:rPr>
                <w:b/>
                <w:i/>
              </w:rPr>
              <w:t>205 Mio. EUR freigegeben hat</w:t>
            </w:r>
            <w:r>
              <w:t xml:space="preserve">; stellt fest, dass sich </w:t>
            </w:r>
            <w:r>
              <w:rPr>
                <w:b/>
                <w:i/>
              </w:rPr>
              <w:t>die</w:t>
            </w:r>
            <w:r>
              <w:t xml:space="preserve"> Auswirkungen </w:t>
            </w:r>
            <w:r>
              <w:rPr>
                <w:b/>
                <w:i/>
              </w:rPr>
              <w:t>der ungerechtfertigten Maßnahmen</w:t>
            </w:r>
            <w:r>
              <w:t xml:space="preserve"> in der gesamten Gesellschaft bemerkbar machen und insbesondere lokale Gemeinschaften, Organisationen der Zivilgesellschaft sowie kleine und mittlere Unternehmen (KMU) darunter leiden;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Davor Ivo Stier,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begrüßt den Beschluss des Rates, die EU-Maßnahmen gegen das Kosovo aufzuheben;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Davor Ivo Stier,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fordert, dass im Einklang mit dem übergeordneten Ziel der EU, die Westbalkanregion durch konkrete Vorteile für die Bevölkerung und Unternehmen näher an die Union heranzuführen, das Kosovo schrittweise in zentrale EU-Politikbereiche eingebunden wird und Fortschritte in Bezug auf „Roaming zu Inlandspreisen“ und den einheitlichen Euro-Zahlungsverkehrsraum erzielt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begrüßt, dass die Abhaltung der Parlamentswahl und der Kommunalwahl im Jahr 2025 insgesamt positiv bewertet wurde und stellt fest, dass sie auf friedliche, wettbewerbsfähige und inklusive Weise durchgeführt wurden;</w:t>
            </w:r>
          </w:p>
        </w:tc>
        <w:tc>
          <w:tcPr>
            <w:tcW w:w="4876" w:type="dxa"/>
            <w:tcBorders>
              <w:top w:val="nil"/>
              <w:left w:val="nil"/>
              <w:bottom w:val="nil"/>
              <w:right w:val="nil"/>
            </w:tcBorders>
          </w:tcPr>
          <w:p>
            <w:pPr>
              <w:pStyle w:val="Normal6a"/>
            </w:pPr>
            <w:r>
              <w:t>10.</w:t>
            </w:r>
            <w:r>
              <w:tab/>
            </w:r>
            <w:r>
              <w:t xml:space="preserve">begrüßt, dass die Abhaltung der Parlamentswahl und der Kommunalwahl im Jahr 2025 insgesamt positiv bewertet wurde und stellt fest, dass sie auf friedliche, wettbewerbsfähige und inklusive Weise durchgeführt wurden; </w:t>
            </w:r>
            <w:r>
              <w:rPr>
                <w:b/>
                <w:i/>
              </w:rPr>
              <w:t>weist darauf hin, dass auch bei der Durchführung der Wahlen Mängel festgestellt wurden, und fordert die Behörden des Kosovo nachdrücklich auf, diese bei der Organisation künftiger Wahlen zu berücksichtigen;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begrüßt, dass die Abhaltung der Parlamentswahl und der Kommunalwahl im Jahr 2025 insgesamt positiv bewertet wurde und stellt fest, dass sie auf friedliche, wettbewerbsfähige und inklusive Weise durchgeführt wurden;</w:t>
            </w:r>
          </w:p>
        </w:tc>
        <w:tc>
          <w:tcPr>
            <w:tcW w:w="4876" w:type="dxa"/>
            <w:tcBorders>
              <w:top w:val="nil"/>
              <w:left w:val="nil"/>
              <w:bottom w:val="nil"/>
              <w:right w:val="nil"/>
            </w:tcBorders>
          </w:tcPr>
          <w:p>
            <w:pPr>
              <w:pStyle w:val="Normal6a"/>
            </w:pPr>
            <w:r>
              <w:t>10.</w:t>
            </w:r>
            <w:r>
              <w:tab/>
            </w:r>
            <w:r>
              <w:t xml:space="preserve">begrüßt, dass die Abhaltung der Parlamentswahl und der Kommunalwahl im Jahr 2025 insgesamt positiv bewertet wurde und stellt fest, dass sie auf friedliche, wettbewerbsfähige und inklusive Weise durchgeführt wurden; </w:t>
            </w:r>
            <w:r>
              <w:rPr>
                <w:b/>
                <w:i/>
              </w:rPr>
              <w:t>zollt den staatlichen Stellen Anerkennung dafür, dass sie das elektronische Wahlsystem im Kosovo eingeführt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Silvia Sardone, Susanna Ceccardi, Jaroslav Bžoch,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begrüßt</w:t>
            </w:r>
            <w:r>
              <w:t xml:space="preserve">, dass die Abhaltung der Parlamentswahl und der Kommunalwahl im Jahr 2025 insgesamt positiv bewertet wurde </w:t>
            </w:r>
            <w:r>
              <w:rPr>
                <w:b/>
                <w:i/>
              </w:rPr>
              <w:t>und stellt fest, dass sie auf friedliche, wettbewerbsfähige und inklusive Weise durchgeführt wurden</w:t>
            </w:r>
            <w:r>
              <w:t>;</w:t>
            </w:r>
          </w:p>
        </w:tc>
        <w:tc>
          <w:tcPr>
            <w:tcW w:w="4876" w:type="dxa"/>
            <w:tcBorders>
              <w:top w:val="nil"/>
              <w:left w:val="nil"/>
              <w:bottom w:val="nil"/>
              <w:right w:val="nil"/>
            </w:tcBorders>
          </w:tcPr>
          <w:p>
            <w:pPr>
              <w:pStyle w:val="Normal6a"/>
            </w:pPr>
            <w:r>
              <w:t>10.</w:t>
            </w:r>
            <w:r>
              <w:tab/>
            </w:r>
            <w:r>
              <w:rPr>
                <w:b/>
                <w:i/>
              </w:rPr>
              <w:t>stellt fest</w:t>
            </w:r>
            <w:r>
              <w:t>, dass die Abhaltung der Parlamentswahl und der Kommunalwahl im Jahr 2025 insgesamt positiv bewertet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begrüßt, dass die im Jahr 2025 im Kosovo abgehaltenen Parlamentswahlen nach einem überarbeiteten Wahlrahmen stattfanden, der den früheren Empfehlungen der EU-Wahlbeobachtungsmission entsprach;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begrüßt, dass die Kosovo-Serben an der Parlamentswahl und der Kommunalwahl 2025 teilgenommen haben und dass vier neu ernannte serbische Bürgermeister in den Gemeinden mit serbischer Mehrheit die Nachfolge ihrer albanischen Vorgänger angetreten haben;</w:t>
            </w:r>
          </w:p>
        </w:tc>
        <w:tc>
          <w:tcPr>
            <w:tcW w:w="4876" w:type="dxa"/>
            <w:tcBorders>
              <w:top w:val="nil"/>
              <w:left w:val="nil"/>
              <w:bottom w:val="nil"/>
              <w:right w:val="nil"/>
            </w:tcBorders>
          </w:tcPr>
          <w:p>
            <w:pPr>
              <w:pStyle w:val="Normal6a"/>
            </w:pPr>
            <w:r>
              <w:t>11.</w:t>
            </w:r>
            <w:r>
              <w:tab/>
            </w:r>
            <w:r>
              <w:t xml:space="preserve">begrüßt, dass die Kosovo-Serben an der Parlamentswahl und der Kommunalwahl 2025 teilgenommen haben und dass vier neu ernannte serbische Bürgermeister in den Gemeinden mit serbischer Mehrheit die Nachfolge ihrer albanischen Vorgänger angetreten haben; </w:t>
            </w:r>
            <w:r>
              <w:rPr>
                <w:b/>
                <w:i/>
              </w:rPr>
              <w:t>ist besorgt darüber, dass Wählerinnen und Wähler, die auf von Serbien geleistet Sozialhilfe und Arbeit in Serbien angewiesen sind, unter Druck gesetzt wurden, bei der Parlamentswahl im Februar 2025 für Vertreterinnen und Vertreter der „Srpska Lista“ zu stimmen;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begrüßt, dass die Kosovo-Serben an der Parlamentswahl und der Kommunalwahl 2025 teilgenommen haben </w:t>
            </w:r>
            <w:r>
              <w:rPr>
                <w:b/>
                <w:i/>
              </w:rPr>
              <w:t>und dass vier neu ernannte serbische Bürgermeister in den Gemeinden mit serbischer Mehrheit die Nachfolge ihrer albanischen Vorgänger angetreten haben</w:t>
            </w:r>
            <w:r>
              <w:t>;</w:t>
            </w:r>
          </w:p>
        </w:tc>
        <w:tc>
          <w:tcPr>
            <w:tcW w:w="4876" w:type="dxa"/>
            <w:tcBorders>
              <w:top w:val="nil"/>
              <w:left w:val="nil"/>
              <w:bottom w:val="nil"/>
              <w:right w:val="nil"/>
            </w:tcBorders>
          </w:tcPr>
          <w:p>
            <w:pPr>
              <w:pStyle w:val="Normal6a"/>
            </w:pPr>
            <w:r>
              <w:t>11.</w:t>
            </w:r>
            <w:r>
              <w:tab/>
            </w:r>
            <w:r>
              <w:t>begrüßt, dass die Kosovo-Serben an der Parlamentswahl und der Kommunalwahl 2025 teilgenommen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begrüßt, dass die Kosovo-Serben an der Parlamentswahl und der Kommunalwahl 2025 teilgenommen haben und dass vier neu </w:t>
            </w:r>
            <w:r>
              <w:rPr>
                <w:b/>
                <w:i/>
              </w:rPr>
              <w:t>ernannte</w:t>
            </w:r>
            <w:r>
              <w:t xml:space="preserve"> serbische Bürgermeister in den Gemeinden mit serbischer Mehrheit die Nachfolge ihrer albanischen Vorgänger angetreten haben;</w:t>
            </w:r>
          </w:p>
        </w:tc>
        <w:tc>
          <w:tcPr>
            <w:tcW w:w="4876" w:type="dxa"/>
            <w:tcBorders>
              <w:top w:val="nil"/>
              <w:left w:val="nil"/>
              <w:bottom w:val="nil"/>
              <w:right w:val="nil"/>
            </w:tcBorders>
          </w:tcPr>
          <w:p>
            <w:pPr>
              <w:pStyle w:val="Normal6a"/>
            </w:pPr>
            <w:r>
              <w:t>11.</w:t>
            </w:r>
            <w:r>
              <w:tab/>
            </w:r>
            <w:r>
              <w:t xml:space="preserve">begrüßt, dass die Kosovo-Serben an der Parlamentswahl und der Kommunalwahl 2025 teilgenommen haben und dass vier neu </w:t>
            </w:r>
            <w:r>
              <w:rPr>
                <w:b/>
                <w:i/>
              </w:rPr>
              <w:t>gewählte</w:t>
            </w:r>
            <w:r>
              <w:t xml:space="preserve"> serbische Bürgermeister in den Gemeinden mit serbischer Mehrheit </w:t>
            </w:r>
            <w:r>
              <w:rPr>
                <w:b/>
                <w:i/>
              </w:rPr>
              <w:t>im Norden des Kosovo</w:t>
            </w:r>
            <w:r>
              <w:t xml:space="preserve"> die Nachfolge ihrer albanischen Vorgänger angetreten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bedauert, dass immer wieder versucht wird, unabhängige</w:t>
            </w:r>
            <w:r>
              <w:t xml:space="preserve"> Institutionen </w:t>
            </w:r>
            <w:r>
              <w:rPr>
                <w:b/>
                <w:i/>
              </w:rPr>
              <w:t>zu politisieren, dass die Zentrale Wahlkommission unter Druck gesetzt wird und es bei der Unabhängigen Medienkommission steuerungsbedingte Mängel gibt</w:t>
            </w:r>
            <w:r>
              <w:t>;</w:t>
            </w:r>
          </w:p>
        </w:tc>
        <w:tc>
          <w:tcPr>
            <w:tcW w:w="4876" w:type="dxa"/>
            <w:tcBorders>
              <w:top w:val="nil"/>
              <w:left w:val="nil"/>
              <w:bottom w:val="nil"/>
              <w:right w:val="nil"/>
            </w:tcBorders>
          </w:tcPr>
          <w:p>
            <w:pPr>
              <w:pStyle w:val="Normal6a"/>
            </w:pPr>
            <w:r>
              <w:t>12.</w:t>
            </w:r>
            <w:r>
              <w:tab/>
            </w:r>
            <w:r>
              <w:rPr>
                <w:b/>
                <w:i/>
              </w:rPr>
              <w:t>betont, dass widerstandsfähige demokratische</w:t>
            </w:r>
            <w:r>
              <w:t xml:space="preserve"> Institutionen </w:t>
            </w:r>
            <w:r>
              <w:rPr>
                <w:b/>
                <w:i/>
              </w:rPr>
              <w:t>eine erste Verteidigungslinie gegen Manipulationen des Informationsraums, verdeckte Einflussnahme und politisch motivierte Verzerrung der öffentlichen Debatte darstellen;</w:t>
            </w:r>
            <w:r>
              <w:t xml:space="preserve"> </w:t>
            </w:r>
            <w:r>
              <w:rPr>
                <w:b/>
                <w:i/>
              </w:rPr>
              <w:t>fordert das Kosovo auf, einen institutionalisierten Rahmen für demokratische Resilienz zu schaffen, der die Versammlung, die Regierung, unabhängige Regulierungsstellen und die Wahlverwaltung zusammenführt und klar definierte Zuständigkeiten, regelmäßige Risikobewertungen sowie eine öffentliche Berichterstattung vorsieht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bedauert, dass immer wieder versucht wird, unabhängige Institutionen zu politisieren, dass die Zentrale Wahlkommission unter Druck gesetzt wird und es bei der Unabhängigen Medienkommission steuerungsbedingte Mängel gibt;</w:t>
            </w:r>
          </w:p>
        </w:tc>
        <w:tc>
          <w:tcPr>
            <w:tcW w:w="4876" w:type="dxa"/>
            <w:tcBorders>
              <w:top w:val="nil"/>
              <w:left w:val="nil"/>
              <w:bottom w:val="nil"/>
              <w:right w:val="nil"/>
            </w:tcBorders>
          </w:tcPr>
          <w:p>
            <w:pPr>
              <w:pStyle w:val="Normal6a"/>
            </w:pPr>
            <w:r>
              <w:t>12.</w:t>
            </w:r>
            <w:r>
              <w:tab/>
            </w:r>
            <w:r>
              <w:t xml:space="preserve">bedauert, dass immer wieder versucht wird, unabhängige Institutionen zu politisieren, dass die Zentrale Wahlkommission unter Druck gesetzt wird und es bei der Unabhängigen Medienkommission steuerungsbedingte Mängel gibt; </w:t>
            </w:r>
            <w:r>
              <w:rPr>
                <w:b/>
                <w:i/>
              </w:rPr>
              <w:t>fordert die staatlichen Stellen auf, für nach Leistung ausgerichtete Ernennungsverfahren, Transparenz bei den Einstellungsverfahren und die uneingeschränkte Achtung der Unabhängigkeit dieser Institutionen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bedauert, dass immer wieder versucht wird, unabhängige Institutionen zu politisieren, dass die Zentrale Wahlkommission unter Druck gesetzt wird und es bei der Unabhängigen Medienkommission steuerungsbedingte Mängel gibt;</w:t>
            </w:r>
          </w:p>
        </w:tc>
        <w:tc>
          <w:tcPr>
            <w:tcW w:w="4876" w:type="dxa"/>
            <w:tcBorders>
              <w:top w:val="nil"/>
              <w:left w:val="nil"/>
              <w:bottom w:val="nil"/>
              <w:right w:val="nil"/>
            </w:tcBorders>
          </w:tcPr>
          <w:p>
            <w:pPr>
              <w:pStyle w:val="Normal6a"/>
            </w:pPr>
            <w:r>
              <w:t>12.</w:t>
            </w:r>
            <w:r>
              <w:tab/>
            </w:r>
            <w:r>
              <w:t xml:space="preserve">bedauert, dass immer wieder versucht wird, unabhängige Institutionen zu politisieren, dass die Zentrale Wahlkommission unter Druck gesetzt wird und es bei der Unabhängigen Medienkommission steuerungsbedingte Mängel gibt; </w:t>
            </w:r>
            <w:r>
              <w:rPr>
                <w:b/>
                <w:i/>
              </w:rPr>
              <w:t>ist der Ansicht, dass diese Versuche im Widerspruch zu den Bestrebungen des Landes stehen, Mitglied der EU zu werden, und erwartet diesbezüglich Korrekturmaßnahmen seitens des Kosovo;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begrüßt, dass Organisationen der Zivilgesellschaft im Kosovo weiterhin an der Ausarbeitung und Überwachung von EU-bezogenen Reformen beteiligt sind;</w:t>
            </w:r>
            <w:r>
              <w:t xml:space="preserve"> </w:t>
            </w:r>
            <w:r>
              <w:rPr>
                <w:b/>
                <w:i/>
              </w:rPr>
              <w:t>fordert, dass besser strukturierte Konsultationsmechanismen eingeführt werden, damit die Zivilgesellschaft uneingeschränkt zum Übergang des Landes zur Europäischen Union beitragen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ist</w:t>
            </w:r>
            <w:r>
              <w:t xml:space="preserve"> nach wie vor besorgt darüber, dass die Strategie für Rechtsstaatlichkeit nur teilweise umgesetzt wird, Reformen nicht konsequent durchgesetzt werden, der Justizrat und der Rat der Staatsanwaltschaft des Kosovo noch nicht vollständig besetzt sind und es bei der Umsetzung der Justizreformen zu Verzögerungen kommt;</w:t>
            </w:r>
          </w:p>
        </w:tc>
        <w:tc>
          <w:tcPr>
            <w:tcW w:w="4876" w:type="dxa"/>
            <w:tcBorders>
              <w:top w:val="nil"/>
              <w:left w:val="nil"/>
              <w:bottom w:val="nil"/>
              <w:right w:val="nil"/>
            </w:tcBorders>
          </w:tcPr>
          <w:p>
            <w:pPr>
              <w:pStyle w:val="Normal6a"/>
            </w:pPr>
            <w:r>
              <w:t>13.</w:t>
            </w:r>
            <w:r>
              <w:tab/>
            </w:r>
            <w:r>
              <w:rPr>
                <w:b/>
                <w:i/>
              </w:rPr>
              <w:t>zollt den staatlichen Stellen Anerkennung dafür, dass sie die Venedig-Kommission zu dem Gesetzespaket zur Justiz, einschließlich des Gesetzes über den Rat der Staatsanwaltschaft des Kosovo, konsultiert haben;</w:t>
            </w:r>
            <w:r>
              <w:t xml:space="preserve"> </w:t>
            </w:r>
            <w:r>
              <w:rPr>
                <w:b/>
                <w:i/>
              </w:rPr>
              <w:t>ist jedoch</w:t>
            </w:r>
            <w:r>
              <w:t xml:space="preserve"> nach wie vor besorgt darüber, dass die Strategie für Rechtsstaatlichkeit nur teilweise umgesetzt wird, Reformen nicht konsequent durchgesetzt werden, der Justizrat und der Rat der Staatsanwaltschaft des Kosovo noch nicht vollständig besetzt sind und es bei der Umsetzung der Justizreformen zu Verzögerungen kommt; </w:t>
            </w:r>
            <w:r>
              <w:rPr>
                <w:b/>
                <w:i/>
              </w:rPr>
              <w:t>ist besorgt darüber, dass die Regierung den erforderlichen Durchführungsrechtsakt nicht angenommen hat, in dem die Organisationsstruktur und die Mechanismen der Zusammenarbeit zwischen der Sonderermittlungseinheit der Kosovo-Polizei und der Sonderstaatsanwaltschaft festgelegt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ist nach wie vor besorgt darüber, dass die Strategie für Rechtsstaatlichkeit nur teilweise </w:t>
            </w:r>
            <w:r>
              <w:rPr>
                <w:b/>
                <w:i/>
              </w:rPr>
              <w:t>umgesetzt wird,</w:t>
            </w:r>
            <w:r>
              <w:t xml:space="preserve"> Reformen nicht konsequent </w:t>
            </w:r>
            <w:r>
              <w:rPr>
                <w:b/>
                <w:i/>
              </w:rPr>
              <w:t>durchgesetzt werden,</w:t>
            </w:r>
            <w:r>
              <w:t xml:space="preserve"> der Justizrat und der Rat der Staatsanwaltschaft des Kosovo noch nicht vollständig besetzt sind und es bei der Umsetzung der Justizreformen zu Verzögerungen kommt;</w:t>
            </w:r>
          </w:p>
        </w:tc>
        <w:tc>
          <w:tcPr>
            <w:tcW w:w="4876" w:type="dxa"/>
            <w:tcBorders>
              <w:top w:val="nil"/>
              <w:left w:val="nil"/>
              <w:bottom w:val="nil"/>
              <w:right w:val="nil"/>
            </w:tcBorders>
          </w:tcPr>
          <w:p>
            <w:pPr>
              <w:pStyle w:val="Normal6a"/>
            </w:pPr>
            <w:r>
              <w:t>13.</w:t>
            </w:r>
            <w:r>
              <w:tab/>
            </w:r>
            <w:r>
              <w:t xml:space="preserve">ist nach wie vor besorgt darüber, dass </w:t>
            </w:r>
            <w:r>
              <w:rPr>
                <w:b/>
                <w:i/>
              </w:rPr>
              <w:t>die Regierung</w:t>
            </w:r>
            <w:r>
              <w:t xml:space="preserve"> die Strategie für Rechtsstaatlichkeit nur teilweise </w:t>
            </w:r>
            <w:r>
              <w:rPr>
                <w:b/>
                <w:i/>
              </w:rPr>
              <w:t>umsetzt und</w:t>
            </w:r>
            <w:r>
              <w:t xml:space="preserve"> Reformen nicht konsequent </w:t>
            </w:r>
            <w:r>
              <w:rPr>
                <w:b/>
                <w:i/>
              </w:rPr>
              <w:t>durchsetzt sowie dass</w:t>
            </w:r>
            <w:r>
              <w:t xml:space="preserve"> der Justizrat und der Rat der Staatsanwaltschaft des Kosovo noch nicht vollständig besetzt sind und es bei der Umsetzung der Justizreformen zu Verzögerungen kommt; </w:t>
            </w:r>
            <w:r>
              <w:rPr>
                <w:b/>
                <w:i/>
              </w:rPr>
              <w:t>begrüßt die Fortschritte bei der Ernennung des neuen Vorsitzenden des Rates der Staatsanwaltschaft des Kosovo und geht davon aus, dass die neue Zusammensetzung des Rates nach Wiederaufnahme der parlamentarischen Arbeit endgültig festgelegt wird;</w:t>
            </w:r>
            <w:r>
              <w:t xml:space="preserve"> </w:t>
            </w:r>
            <w:r>
              <w:rPr>
                <w:b/>
                <w:i/>
              </w:rPr>
              <w:t>begrüßt, dass der Justizrat des Kosovo im Rahmen eines transparenten und leistungsorientierten Verfahrens 17 neue Richter eingestellt hat, und fordert die Präsidentin nachdrücklich auf, diese unverzüglich zu bestätigen;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ist nach wie vor besorgt darüber, dass die Strategie für Rechtsstaatlichkeit nur teilweise umgesetzt wird, Reformen nicht konsequent durchgesetzt werden, der Justizrat und der Rat der Staatsanwaltschaft des Kosovo noch nicht vollständig besetzt sind und es bei der Umsetzung der Justizreformen zu Verzögerungen kommt;</w:t>
            </w:r>
          </w:p>
        </w:tc>
        <w:tc>
          <w:tcPr>
            <w:tcW w:w="4876" w:type="dxa"/>
            <w:tcBorders>
              <w:top w:val="nil"/>
              <w:left w:val="nil"/>
              <w:bottom w:val="nil"/>
              <w:right w:val="nil"/>
            </w:tcBorders>
          </w:tcPr>
          <w:p>
            <w:pPr>
              <w:pStyle w:val="Normal6a"/>
            </w:pPr>
            <w:r>
              <w:t>13.</w:t>
            </w:r>
            <w:r>
              <w:tab/>
            </w:r>
            <w:r>
              <w:t xml:space="preserve">ist nach wie vor besorgt darüber, dass die Strategie für Rechtsstaatlichkeit nur teilweise umgesetzt wird, Reformen nicht konsequent durchgesetzt werden, der Justizrat und der Rat der Staatsanwaltschaft des Kosovo noch nicht vollständig besetzt sind und es bei der Umsetzung der Justizreformen zu Verzögerungen kommt; </w:t>
            </w:r>
            <w:r>
              <w:rPr>
                <w:b/>
                <w:i/>
              </w:rPr>
              <w:t>fordert das Kosovo auf, entschlossene Maßnahmen zu ergreifen, um diese Mängel zu beheben;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begrüßt, dass das Kosovo den Verwaltungsaufwand durch die Umsetzung des Programms zur Verhinderung und Verringerung des Verwaltungsaufwands für den Zeitraum 2025-2028 und seines Aktionsplans für 2025-2026 verringert hat;</w:t>
            </w:r>
            <w:r>
              <w:t xml:space="preserve"> </w:t>
            </w:r>
            <w:r>
              <w:rPr>
                <w:b/>
                <w:i/>
              </w:rPr>
              <w:t>begrüßt, dass das Gesetz über öffentliche Bedienstete verbessert und die entsprechenden Änderungen angenommen wurden, und fordert das Kosovo auf, die öffentliche Verwaltung und den leistungsorientierten öffentlichen Dienst weiter zu verbessern;</w:t>
            </w:r>
            <w:r>
              <w:t xml:space="preserve"> </w:t>
            </w:r>
            <w:r>
              <w:rPr>
                <w:b/>
                <w:i/>
              </w:rPr>
              <w:t>stellt fest, dass es zwar einen strategischen Rahmen für die öffentliche Verwaltung gibt, dieser aber nicht wirksam umgesetzt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äußert seine Besorgnis über die minimalen Fortschritte bei der Funktionsweise der Justiz sowie darüber, dass die meisten der im vergangenen Jahr von der Kommission ausgesprochenen Empfehlungen nicht umgesetzt wurden, und weist das Kosovo auf seine Verpflichtung hin, sicherzustellen, dass die Rechtsvorschriften zur Integrität und Rechenschaftspflicht der Justiz an die europäischen Standards und die einschlägigen Empfehlungen der Venedig-Kommission angepasst werden;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Elio Di Rupo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ist besorgt darüber, dass bei der Korruptionsbekämpfung im Großen und Ganzen nur </w:t>
            </w:r>
            <w:r>
              <w:rPr>
                <w:b/>
                <w:i/>
              </w:rPr>
              <w:t>begrenzt</w:t>
            </w:r>
            <w:r>
              <w:t xml:space="preserve"> Fortschritte erzielt wurden; nimmt mit Besorgnis zur Kenntnis, dass sich das Kosovo im Korruptionswahrnehmungsindex 2025 gegenüber 2024 um drei Plätze verschlechtert hat und nunmehr unter 182 Ländern und Gebieten Rang 76 einnimmt, was bedeutet, dass sich der bisherige Trend einer schrittweisen Verbesserung ins Gegenteil verkehrt hat;</w:t>
            </w:r>
          </w:p>
        </w:tc>
        <w:tc>
          <w:tcPr>
            <w:tcW w:w="4876" w:type="dxa"/>
            <w:tcBorders>
              <w:top w:val="nil"/>
              <w:left w:val="nil"/>
              <w:bottom w:val="nil"/>
              <w:right w:val="nil"/>
            </w:tcBorders>
          </w:tcPr>
          <w:p>
            <w:pPr>
              <w:pStyle w:val="Normal6a"/>
            </w:pPr>
            <w:r>
              <w:t>14.</w:t>
            </w:r>
            <w:r>
              <w:tab/>
            </w:r>
            <w:r>
              <w:t xml:space="preserve">ist </w:t>
            </w:r>
            <w:r>
              <w:rPr>
                <w:b/>
                <w:i/>
              </w:rPr>
              <w:t>äußerst</w:t>
            </w:r>
            <w:r>
              <w:t xml:space="preserve"> besorgt darüber, dass bei der Korruptionsbekämpfung im Großen und Ganzen nur </w:t>
            </w:r>
            <w:r>
              <w:rPr>
                <w:b/>
                <w:i/>
              </w:rPr>
              <w:t>sehr begrenzte und unzureichende</w:t>
            </w:r>
            <w:r>
              <w:t xml:space="preserve"> Fortschritte erzielt wurden; </w:t>
            </w:r>
            <w:r>
              <w:rPr>
                <w:b/>
                <w:i/>
              </w:rPr>
              <w:t>bedauert die trotz der eingegangenen Verpflichtungen mangelnden greifbaren strukturellen Fortschritte in diesem Bereich und betont, dass Korruption nach wie vor ein systemisches Problem ist, das das Funktionieren öffentlicher Stellen und das Vertrauen der Bürger untergräbt;</w:t>
            </w:r>
            <w:r>
              <w:t xml:space="preserve"> nimmt mit </w:t>
            </w:r>
            <w:r>
              <w:rPr>
                <w:b/>
                <w:i/>
              </w:rPr>
              <w:t>tiefer</w:t>
            </w:r>
            <w:r>
              <w:t xml:space="preserve"> Besorgnis zur Kenntnis, dass sich das Kosovo im Korruptionswahrnehmungsindex 2025 gegenüber 2024 um drei Plätze verschlechtert hat und nunmehr unter 182 Ländern und Gebieten Rang 76 einnimmt, was </w:t>
            </w:r>
            <w:r>
              <w:rPr>
                <w:b/>
                <w:i/>
              </w:rPr>
              <w:t>eine besorgniserregende Entwicklung darstellt und</w:t>
            </w:r>
            <w:r>
              <w:t xml:space="preserve"> bedeutet, dass sich der bisherige Trend einer schrittweisen Verbesserung ins Gegenteil verkehrt hat; </w:t>
            </w:r>
            <w:r>
              <w:rPr>
                <w:b/>
                <w:i/>
              </w:rPr>
              <w:t>fordert die Behörden auf, unverzüglich konkrete, wirksame und überprüfbare Maßnahmen zur Verbesserung der Prävention, Ermittlung und Strafverfolgung im Bereich der Korruption zu ergreifen und umzusetzen;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ist besorgt darüber, dass bei der Korruptionsbekämpfung im Großen und Ganzen nur begrenzt Fortschritte erzielt wurden; nimmt mit Besorgnis zur Kenntnis, dass sich das Kosovo im Korruptionswahrnehmungsindex 2025 gegenüber 2024 um drei Plätze verschlechtert hat und nunmehr unter 182 Ländern und Gebieten Rang 76 einnimmt, was bedeutet, dass sich der bisherige Trend einer schrittweisen Verbesserung ins Gegenteil verkehrt hat;</w:t>
            </w:r>
          </w:p>
        </w:tc>
        <w:tc>
          <w:tcPr>
            <w:tcW w:w="4876" w:type="dxa"/>
            <w:tcBorders>
              <w:top w:val="nil"/>
              <w:left w:val="nil"/>
              <w:bottom w:val="nil"/>
              <w:right w:val="nil"/>
            </w:tcBorders>
          </w:tcPr>
          <w:p>
            <w:pPr>
              <w:pStyle w:val="Normal6a"/>
            </w:pPr>
            <w:r>
              <w:t>14.</w:t>
            </w:r>
            <w:r>
              <w:tab/>
            </w:r>
            <w:r>
              <w:t xml:space="preserve">ist besorgt darüber, dass bei der Korruptionsbekämpfung im Großen und Ganzen nur begrenzt Fortschritte erzielt wurden; nimmt mit Besorgnis zur Kenntnis, dass sich das Kosovo im Korruptionswahrnehmungsindex 2025 gegenüber 2024 um drei Plätze verschlechtert hat und nunmehr unter 182 Ländern und Gebieten Rang 76 einnimmt, was bedeutet, dass sich der bisherige Trend einer schrittweisen Verbesserung ins Gegenteil verkehrt hat; </w:t>
            </w:r>
            <w:r>
              <w:rPr>
                <w:b/>
                <w:i/>
              </w:rPr>
              <w:t>fordert eine Verbesserung der Bilanz bei Ermittlungen, Anklageerhebungen und rechtskräftigen Urteilen in Fällen von Korruption auf hoher Ebene sowie eine Verschärfung der Integritätsvorschriften in den Bereichen öffentliches Beschaffungswesen, staatliche Unternehmen und Finanzierung der Politik, unter anderem durch wirksame Maßnahmen zur Einziehung von Erträgen aus Straftaten;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ist besorgt darüber, dass bei der Korruptionsbekämpfung im Großen und Ganzen nur begrenzt Fortschritte erzielt wurden; nimmt mit Besorgnis zur Kenntnis, dass sich das Kosovo im Korruptionswahrnehmungsindex 2025 gegenüber 2024 um drei Plätze verschlechtert hat und nunmehr unter 182 Ländern und Gebieten Rang 76 einnimmt, was bedeutet, dass sich der bisherige Trend einer schrittweisen Verbesserung ins Gegenteil verkehrt hat;</w:t>
            </w:r>
          </w:p>
        </w:tc>
        <w:tc>
          <w:tcPr>
            <w:tcW w:w="4876" w:type="dxa"/>
            <w:tcBorders>
              <w:top w:val="nil"/>
              <w:left w:val="nil"/>
              <w:bottom w:val="nil"/>
              <w:right w:val="nil"/>
            </w:tcBorders>
          </w:tcPr>
          <w:p>
            <w:pPr>
              <w:pStyle w:val="Normal6a"/>
            </w:pPr>
            <w:r>
              <w:t>14.</w:t>
            </w:r>
            <w:r>
              <w:tab/>
            </w:r>
            <w:r>
              <w:t xml:space="preserve">ist besorgt darüber, dass bei der Korruptionsbekämpfung im Großen und Ganzen nur begrenzt Fortschritte erzielt wurden; nimmt mit Besorgnis zur Kenntnis, dass sich das Kosovo im Korruptionswahrnehmungsindex 2025 gegenüber 2024 um drei Plätze verschlechtert hat und nunmehr unter 182 Ländern und Gebieten Rang 76 einnimmt, was bedeutet, dass sich der bisherige Trend einer schrittweisen Verbesserung ins Gegenteil verkehrt hat; </w:t>
            </w:r>
            <w:r>
              <w:rPr>
                <w:b/>
                <w:i/>
              </w:rPr>
              <w:t>fordert insbesondere, dass rasch eine nationale Strategie zur Korruptionsbekämpfung und ein Aktionsplan für den Zeitraum 2025-2028 angenommen werden, dass Vermögensangaben und Integritätspläne verstärkt genutzt werden und dass die Instrumente zur Einziehung in Korruptionsfällen wirksamer genutzt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ist besorgt darüber, dass bei der Korruptionsbekämpfung im Großen und Ganzen nur begrenzt Fortschritte erzielt wurden; nimmt mit Besorgnis zur Kenntnis, dass sich das Kosovo im Korruptionswahrnehmungsindex 2025 gegenüber 2024 um drei Plätze verschlechtert hat und nunmehr unter 182 Ländern und Gebieten Rang 76 einnimmt, was bedeutet, dass sich der bisherige Trend einer schrittweisen Verbesserung ins Gegenteil verkehrt hat;</w:t>
            </w:r>
          </w:p>
        </w:tc>
        <w:tc>
          <w:tcPr>
            <w:tcW w:w="4876" w:type="dxa"/>
            <w:tcBorders>
              <w:top w:val="nil"/>
              <w:left w:val="nil"/>
              <w:bottom w:val="nil"/>
              <w:right w:val="nil"/>
            </w:tcBorders>
          </w:tcPr>
          <w:p>
            <w:pPr>
              <w:pStyle w:val="Normal6a"/>
            </w:pPr>
            <w:r>
              <w:t>14.</w:t>
            </w:r>
            <w:r>
              <w:tab/>
            </w:r>
            <w:r>
              <w:t xml:space="preserve">ist besorgt darüber, dass bei der Korruptionsbekämpfung im Großen und Ganzen nur begrenzt Fortschritte erzielt wurden; nimmt mit Besorgnis zur Kenntnis, dass sich das Kosovo im Korruptionswahrnehmungsindex 2025 gegenüber 2024 um drei Plätze verschlechtert hat und nunmehr unter 182 Ländern und Gebieten Rang 76 einnimmt, was bedeutet, dass sich der bisherige Trend einer schrittweisen Verbesserung ins Gegenteil verkehrt hat; </w:t>
            </w:r>
            <w:r>
              <w:rPr>
                <w:b/>
                <w:i/>
              </w:rPr>
              <w:t>betont, dass die Unabhängigkeit und die operativen Kapazitäten der Korruptionsbekämpfungsstellen gestärkt werden müssen und eine wirksame Koordinierung zwischen Staatsanwaltschaft, Polizei und Finanzermittlungsstellen sichergestellt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ist besorgt darüber, dass bei der Korruptionsbekämpfung im Großen und Ganzen nur begrenzt Fortschritte erzielt wurden; nimmt mit Besorgnis zur Kenntnis, dass sich das Kosovo im Korruptionswahrnehmungsindex 2025 gegenüber 2024 um drei Plätze verschlechtert hat und nunmehr unter 182 Ländern und Gebieten Rang 76 einnimmt, was bedeutet, dass sich der bisherige Trend einer schrittweisen Verbesserung ins Gegenteil verkehrt hat;</w:t>
            </w:r>
          </w:p>
        </w:tc>
        <w:tc>
          <w:tcPr>
            <w:tcW w:w="4876" w:type="dxa"/>
            <w:tcBorders>
              <w:top w:val="nil"/>
              <w:left w:val="nil"/>
              <w:bottom w:val="nil"/>
              <w:right w:val="nil"/>
            </w:tcBorders>
          </w:tcPr>
          <w:p>
            <w:pPr>
              <w:pStyle w:val="Normal6a"/>
            </w:pPr>
            <w:r>
              <w:t>14.</w:t>
            </w:r>
            <w:r>
              <w:tab/>
            </w:r>
            <w:r>
              <w:t xml:space="preserve">ist besorgt darüber, dass bei der Korruptionsbekämpfung im Großen und Ganzen nur begrenzt Fortschritte erzielt wurden; nimmt mit Besorgnis zur Kenntnis, dass sich das Kosovo im Korruptionswahrnehmungsindex 2025 gegenüber 2024 um drei Plätze verschlechtert hat und nunmehr unter 182 Ländern und Gebieten Rang 76 einnimmt, was bedeutet, dass sich der bisherige Trend einer schrittweisen Verbesserung ins Gegenteil verkehrt hat; </w:t>
            </w:r>
            <w:r>
              <w:rPr>
                <w:b/>
                <w:i/>
              </w:rPr>
              <w:t>stellt fest, dass die grassierende Korruption ein weit verbreitetes Problem ist, das die gesamte Gesellschaft zermürbt, und ein Problem, das das Kosovo als Land, das eine EU-Mitgliedschaft anstrebt, entschlossen angehen sollte;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Matthieu Valet, António Tânger Corrêa, Silvia Sardone, Jaroslav Bžoch, 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ist besorgt darüber, dass bei der Korruptionsbekämpfung im Großen und Ganzen nur begrenzt Fortschritte erzielt wurden; nimmt mit Besorgnis zur Kenntnis, dass sich das Kosovo im Korruptionswahrnehmungsindex 2025 gegenüber 2024 um drei Plätze verschlechtert hat und nunmehr unter 182 Ländern und Gebieten Rang 76 einnimmt, was bedeutet, dass sich der bisherige Trend einer schrittweisen Verbesserung ins Gegenteil verkehrt hat;</w:t>
            </w:r>
          </w:p>
        </w:tc>
        <w:tc>
          <w:tcPr>
            <w:tcW w:w="4876" w:type="dxa"/>
            <w:tcBorders>
              <w:top w:val="nil"/>
              <w:left w:val="nil"/>
              <w:bottom w:val="nil"/>
              <w:right w:val="nil"/>
            </w:tcBorders>
          </w:tcPr>
          <w:p>
            <w:pPr>
              <w:pStyle w:val="Normal6a"/>
            </w:pPr>
            <w:r>
              <w:t>14.</w:t>
            </w:r>
            <w:r>
              <w:tab/>
            </w:r>
            <w:r>
              <w:t xml:space="preserve">ist besorgt darüber, dass bei der Korruptionsbekämpfung im Großen und Ganzen nur begrenzt Fortschritte erzielt wurden; nimmt mit Besorgnis zur Kenntnis, dass sich das Kosovo im Korruptionswahrnehmungsindex 2025 gegenüber 2024 um drei Plätze verschlechtert hat und nunmehr unter 182 Ländern und Gebieten Rang 76 einnimmt, was bedeutet, dass sich der bisherige Trend einer schrittweisen Verbesserung ins Gegenteil verkehrt hat; </w:t>
            </w:r>
            <w:r>
              <w:rPr>
                <w:b/>
                <w:i/>
              </w:rPr>
              <w:t>betont, dass Korruption ein vorherrschendes Problem in der Westbalkanregion ist und dass das Kosovo die EU-Standards noch lange nicht erfüllt;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ist besorgt darüber, dass bei der Korruptionsbekämpfung im Großen und Ganzen nur begrenzt Fortschritte erzielt wurden; nimmt mit Besorgnis zur Kenntnis, dass sich das Kosovo im Korruptionswahrnehmungsindex 2025 gegenüber 2024 um drei Plätze verschlechtert hat und nunmehr unter 182 Ländern und Gebieten Rang 76 einnimmt, was bedeutet, dass sich der bisherige Trend einer schrittweisen Verbesserung ins Gegenteil verkehrt hat;</w:t>
            </w:r>
          </w:p>
        </w:tc>
        <w:tc>
          <w:tcPr>
            <w:tcW w:w="4876" w:type="dxa"/>
            <w:tcBorders>
              <w:top w:val="nil"/>
              <w:left w:val="nil"/>
              <w:bottom w:val="nil"/>
              <w:right w:val="nil"/>
            </w:tcBorders>
          </w:tcPr>
          <w:p>
            <w:pPr>
              <w:pStyle w:val="Normal6a"/>
            </w:pPr>
            <w:r>
              <w:t>14.</w:t>
            </w:r>
            <w:r>
              <w:tab/>
            </w:r>
            <w:r>
              <w:t xml:space="preserve">ist besorgt darüber, dass bei der Korruptionsbekämpfung im Großen und Ganzen nur begrenzt Fortschritte erzielt wurden; nimmt mit Besorgnis zur Kenntnis, dass sich das Kosovo im Korruptionswahrnehmungsindex 2025 gegenüber 2024 um drei Plätze verschlechtert hat und nunmehr unter 182 Ländern und Gebieten Rang 76 einnimmt, was bedeutet, dass sich der bisherige Trend einer schrittweisen Verbesserung ins Gegenteil verkehrt hat; </w:t>
            </w:r>
            <w:r>
              <w:rPr>
                <w:b/>
                <w:i/>
              </w:rPr>
              <w:t>fordert, dass die Qualität der Ermittlungen von Korruption auf hoher Ebene kontinuierlich verbessert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ist besorgt darüber, dass bei der Korruptionsbekämpfung im Großen und Ganzen nur begrenzt Fortschritte erzielt wurden;</w:t>
            </w:r>
            <w:r>
              <w:t xml:space="preserve"> nimmt </w:t>
            </w:r>
            <w:r>
              <w:rPr>
                <w:b/>
                <w:i/>
              </w:rPr>
              <w:t>mit Besorgnis</w:t>
            </w:r>
            <w:r>
              <w:t xml:space="preserve"> zur Kenntnis, dass sich das Kosovo im Korruptionswahrnehmungsindex 2025 gegenüber 2024 um drei Plätze verschlechtert hat </w:t>
            </w:r>
            <w:r>
              <w:rPr>
                <w:b/>
                <w:i/>
              </w:rPr>
              <w:t>und nunmehr unter 182 Ländern und Gebieten Rang 76 einnimmt</w:t>
            </w:r>
            <w:r>
              <w:t>, was bedeutet, dass sich der bisherige Trend einer schrittweisen Verbesserung ins Gegenteil verkehrt hat;</w:t>
            </w:r>
          </w:p>
        </w:tc>
        <w:tc>
          <w:tcPr>
            <w:tcW w:w="4876" w:type="dxa"/>
            <w:tcBorders>
              <w:top w:val="nil"/>
              <w:left w:val="nil"/>
              <w:bottom w:val="nil"/>
              <w:right w:val="nil"/>
            </w:tcBorders>
          </w:tcPr>
          <w:p>
            <w:pPr>
              <w:pStyle w:val="Normal6a"/>
            </w:pPr>
            <w:r>
              <w:t>14.</w:t>
            </w:r>
            <w:r>
              <w:tab/>
            </w:r>
            <w:r>
              <w:t xml:space="preserve">nimmt zur Kenntnis, dass sich das Kosovo im Korruptionswahrnehmungsindex 2025 gegenüber 2024 um drei Plätze verschlechtert hat, was bedeutet, dass sich der bisherige Trend einer schrittweisen Verbesserung ins Gegenteil verkehrt hat; </w:t>
            </w:r>
            <w:r>
              <w:rPr>
                <w:b/>
                <w:i/>
              </w:rPr>
              <w:t>weist zudem darauf hin, dass das Kosovo im Vergleich zu einigen anderen Ländern der Region im Korruptionswahrnehmungsindex gut abschneidet;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weist das Kosovo darauf hin, dass es bei der Umsetzung früherer Empfehlungen der Kommission zur Stärkung der Kapazitäten der Agentur für Korruptionsprävention – sowohl in Bezug auf Personal als auch auf Fachwissen – noch Nachholbedarf hat, um die wirksame Erfüllung ihres Mandats sowie die Umsetzung der Gesetze zur Bekämpfung der Korruption sicherzustellen;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Silvia Sardone, Susanna Ceccardi,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stellt fest und ist besorgt darüber, dass das Kosovo ein wichtiger Umschlagplatz für Menschenhandel sowie für den illegalen Handel mit Drogen und Schmuggelware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Silvia Sardone, Susanna Ceccardi, Jaroslav Bžoch,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ist besorgt darüber, dass es trotz des Gemeinsamen Aktionsplans zur Terrorismusbekämpfung für den westlichen Balkan weiterhin ausländische Kämpfer aus dem Kosovo gibt und die Gefahr einer länderübergreifenden Radikalisierung besteht;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erinnert daran, dass die Rechtsstaatlichkeit und insbesondere die Bekämpfung der Korruption Grundprinzipien für das Funktionieren der EU sind, und zwar auch im Hinblick auf den Schutz des Haushalts der Union;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Silvia Sardone, Susanna Ceccardi, Jaroslav Bžoch,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stellt fest, dass das Phänomen der ausländischen Kämpfer zwar nach jüngsten Studien nur in begrenztem Umfang auftritt, aber nicht verschwunden ist;</w:t>
            </w:r>
            <w:r>
              <w:t xml:space="preserve"> </w:t>
            </w:r>
            <w:r>
              <w:rPr>
                <w:b/>
                <w:i/>
              </w:rPr>
              <w:t>ist in diesem Zusammenhang besorgt hinsichtlich des Umgangs mit zurückgekehrten Kämpfern, der Deradikalisierungsprogramme sowie der Radikalisierung im Internet oder über Netze, die bereits in Europa bestehen;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begrüßt, dass bei der Bekämpfung der organisierten Kriminalität </w:t>
            </w:r>
            <w:r>
              <w:rPr>
                <w:b/>
                <w:i/>
              </w:rPr>
              <w:t>einige</w:t>
            </w:r>
            <w:r>
              <w:t xml:space="preserve"> Fortschritte erzielt wurden; fordert, dass zeitnah eine nationalen Strategie und ein Aktionsplan zur Bekämpfung der organisierten Kriminalität angenommen wird;</w:t>
            </w:r>
          </w:p>
        </w:tc>
        <w:tc>
          <w:tcPr>
            <w:tcW w:w="4876" w:type="dxa"/>
            <w:tcBorders>
              <w:top w:val="nil"/>
              <w:left w:val="nil"/>
              <w:bottom w:val="nil"/>
              <w:right w:val="nil"/>
            </w:tcBorders>
          </w:tcPr>
          <w:p>
            <w:pPr>
              <w:pStyle w:val="Normal6a"/>
            </w:pPr>
            <w:r>
              <w:t>15.</w:t>
            </w:r>
            <w:r>
              <w:tab/>
            </w:r>
            <w:r>
              <w:t xml:space="preserve">begrüßt, dass bei der Bekämpfung der organisierten Kriminalität Fortschritte erzielt wurden; fordert, dass zeitnah eine nationalen Strategie und ein Aktionsplan zur Bekämpfung der organisierten Kriminalität angenommen wird; </w:t>
            </w:r>
            <w:r>
              <w:rPr>
                <w:b/>
                <w:i/>
              </w:rPr>
              <w:t>betont, dass es wichtig, kriminelle Netze zu bekämpfen, indem die internationale Zusammenarbeit durch den Austausch nachrichtendienstlicher Erkenntnisse sowie die Zusammenarbeit von Akteuren im Bereich der Strafverfolgung gestärkt wird;</w:t>
            </w:r>
            <w:r>
              <w:t xml:space="preserve"> </w:t>
            </w:r>
            <w:r>
              <w:rPr>
                <w:b/>
                <w:i/>
              </w:rPr>
              <w:t>fordert die Nachbarn des Kosovo auf, dem Kosovo die Beteiligung an der internationalen Zusammenarbeit auf allen Ebenen zu ermöglichen, um die Wirkung der Bekämpfung der organisierten Kriminalität zu maximieren;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Matthieu Valet, António Tânger Corrêa, Silvia Sardone, 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begrüßt, dass bei der Bekämpfung der organisierten Kriminalität einige Fortschritte erzielt wurden; fordert, dass zeitnah eine nationalen Strategie und ein Aktionsplan zur Bekämpfung der organisierten Kriminalität angenommen wird;</w:t>
            </w:r>
          </w:p>
        </w:tc>
        <w:tc>
          <w:tcPr>
            <w:tcW w:w="4876" w:type="dxa"/>
            <w:tcBorders>
              <w:top w:val="nil"/>
              <w:left w:val="nil"/>
              <w:bottom w:val="nil"/>
              <w:right w:val="nil"/>
            </w:tcBorders>
          </w:tcPr>
          <w:p>
            <w:pPr>
              <w:pStyle w:val="Normal6a"/>
            </w:pPr>
            <w:r>
              <w:t>15.</w:t>
            </w:r>
            <w:r>
              <w:tab/>
            </w:r>
            <w:r>
              <w:t xml:space="preserve">begrüßt, dass bei der Bekämpfung der organisierten Kriminalität einige Fortschritte erzielt wurden; fordert, dass zeitnah eine nationalen Strategie und ein Aktionsplan zur Bekämpfung der organisierten Kriminalität angenommen wird; </w:t>
            </w:r>
            <w:r>
              <w:rPr>
                <w:b/>
                <w:i/>
              </w:rPr>
              <w:t>betont, dass die organisierte Kriminalität nach wie vor ein vorherrschendes Problem im Westbalkan, insbesondere im Kosovo, darstellt, da sie in großem Umfang an verschiedenen Formen des illegalen Handels mit dem Ziel Europa beteiligt ist und dadurch die Sicherheit der EU-Bürger gefährdet;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begrüßt, dass bei der Bekämpfung der organisierten Kriminalität einige Fortschritte erzielt wurden; fordert, dass zeitnah eine nationalen Strategie und ein Aktionsplan zur Bekämpfung der organisierten Kriminalität angenommen wird;</w:t>
            </w:r>
          </w:p>
        </w:tc>
        <w:tc>
          <w:tcPr>
            <w:tcW w:w="4876" w:type="dxa"/>
            <w:tcBorders>
              <w:top w:val="nil"/>
              <w:left w:val="nil"/>
              <w:bottom w:val="nil"/>
              <w:right w:val="nil"/>
            </w:tcBorders>
          </w:tcPr>
          <w:p>
            <w:pPr>
              <w:pStyle w:val="Normal6a"/>
            </w:pPr>
            <w:r>
              <w:t>15.</w:t>
            </w:r>
            <w:r>
              <w:tab/>
            </w:r>
            <w:r>
              <w:t xml:space="preserve">begrüßt, dass bei der Bekämpfung der organisierten Kriminalität einige Fortschritte erzielt wurden; fordert, dass zeitnah eine nationalen Strategie und ein Aktionsplan zur Bekämpfung der organisierten Kriminalität angenommen wird; </w:t>
            </w:r>
            <w:r>
              <w:rPr>
                <w:b/>
                <w:i/>
              </w:rPr>
              <w:t>hebt hervor, dass die Zusammenarbeit zur Bekämpfung des illegalen Drogenhandels verstärkt werden muss;</w:t>
            </w:r>
            <w:r>
              <w:t xml:space="preserve"> </w:t>
            </w:r>
            <w:r>
              <w:rPr>
                <w:b/>
                <w:i/>
              </w:rPr>
              <w:t>fordert eine weitere Angleichung von Maßnahmen in Bezug auf die Bekämpfung des Terrorismus;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Silvia Sardone, Susanna Ceccardi,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begrüßt</w:t>
            </w:r>
            <w:r>
              <w:t xml:space="preserve">, dass bei der Bekämpfung der organisierten Kriminalität </w:t>
            </w:r>
            <w:r>
              <w:rPr>
                <w:b/>
                <w:i/>
              </w:rPr>
              <w:t>einige</w:t>
            </w:r>
            <w:r>
              <w:t xml:space="preserve"> Fortschritte erzielt wurden; fordert, dass zeitnah eine nationalen Strategie und ein Aktionsplan zur Bekämpfung der organisierten Kriminalität angenommen wird;</w:t>
            </w:r>
          </w:p>
        </w:tc>
        <w:tc>
          <w:tcPr>
            <w:tcW w:w="4876" w:type="dxa"/>
            <w:tcBorders>
              <w:top w:val="nil"/>
              <w:left w:val="nil"/>
              <w:bottom w:val="nil"/>
              <w:right w:val="nil"/>
            </w:tcBorders>
          </w:tcPr>
          <w:p>
            <w:pPr>
              <w:pStyle w:val="Normal6a"/>
            </w:pPr>
            <w:r>
              <w:t>15.</w:t>
            </w:r>
            <w:r>
              <w:tab/>
            </w:r>
            <w:r>
              <w:rPr>
                <w:b/>
                <w:i/>
              </w:rPr>
              <w:t>ist besorgt darüber</w:t>
            </w:r>
            <w:r>
              <w:t xml:space="preserve">, dass bei der Bekämpfung der organisierten Kriminalität </w:t>
            </w:r>
            <w:r>
              <w:rPr>
                <w:b/>
                <w:i/>
              </w:rPr>
              <w:t>keine nennenswerten</w:t>
            </w:r>
            <w:r>
              <w:t xml:space="preserve"> Fortschritte erzielt wurden; fordert, dass zeitnah eine nationalen Strategie und ein Aktionsplan zur Bekämpfung der organisierten Kriminalität angenommen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begrüßt</w:t>
            </w:r>
            <w:r>
              <w:t>, dass bei der Bekämpfung der organisierten Kriminalität einige Fortschritte erzielt wurden; fordert, dass zeitnah eine nationalen Strategie und ein Aktionsplan zur Bekämpfung der organisierten Kriminalität angenommen wird;</w:t>
            </w:r>
          </w:p>
        </w:tc>
        <w:tc>
          <w:tcPr>
            <w:tcW w:w="4876" w:type="dxa"/>
            <w:tcBorders>
              <w:top w:val="nil"/>
              <w:left w:val="nil"/>
              <w:bottom w:val="nil"/>
              <w:right w:val="nil"/>
            </w:tcBorders>
          </w:tcPr>
          <w:p>
            <w:pPr>
              <w:pStyle w:val="Normal6a"/>
            </w:pPr>
            <w:r>
              <w:t>15.</w:t>
            </w:r>
            <w:r>
              <w:tab/>
            </w:r>
            <w:r>
              <w:rPr>
                <w:b/>
                <w:i/>
              </w:rPr>
              <w:t>stellt mit Besorgnis fest</w:t>
            </w:r>
            <w:r>
              <w:t xml:space="preserve">, dass bei der Bekämpfung der organisierten Kriminalität </w:t>
            </w:r>
            <w:r>
              <w:rPr>
                <w:b/>
                <w:i/>
              </w:rPr>
              <w:t>nur</w:t>
            </w:r>
            <w:r>
              <w:t xml:space="preserve"> einige Fortschritte erzielt wurden; fordert, dass zeitnah eine nationalen Strategie und ein Aktionsplan zur Bekämpfung der organisierten Kriminalität angenommen wird;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Nathalie Loiseau,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würdigt, dass</w:t>
            </w:r>
            <w:r>
              <w:t xml:space="preserve"> EULEX </w:t>
            </w:r>
            <w:r>
              <w:rPr>
                <w:b/>
                <w:i/>
              </w:rPr>
              <w:t>eine anhaltende Funktion dabei zukommt</w:t>
            </w:r>
            <w:r>
              <w:t>, die staatlichen Stellen des Kosovo beim Aufbau tragfähiger und unabhängiger rechtsstaatlicher Institutionen zu unterstützen;</w:t>
            </w:r>
          </w:p>
        </w:tc>
        <w:tc>
          <w:tcPr>
            <w:tcW w:w="4876" w:type="dxa"/>
            <w:tcBorders>
              <w:top w:val="nil"/>
              <w:left w:val="nil"/>
              <w:bottom w:val="nil"/>
              <w:right w:val="nil"/>
            </w:tcBorders>
          </w:tcPr>
          <w:p>
            <w:pPr>
              <w:pStyle w:val="Normal6a"/>
            </w:pPr>
            <w:r>
              <w:t>16.</w:t>
            </w:r>
            <w:r>
              <w:tab/>
            </w:r>
            <w:r>
              <w:rPr>
                <w:b/>
                <w:i/>
              </w:rPr>
              <w:t>unterstreicht die anhaltenden Bemühungen der</w:t>
            </w:r>
            <w:r>
              <w:t xml:space="preserve"> EULEX, die staatlichen Stellen des Kosovo beim Aufbau tragfähiger und unabhängiger rechtsstaatlicher Institutionen zu unterstützen; </w:t>
            </w:r>
            <w:r>
              <w:rPr>
                <w:b/>
                <w:i/>
              </w:rPr>
              <w:t>stellt fest, dass anhaltende Herausforderungen, darunter begrenzte Durchsetzungsbefugnisse, ihre Wirksamkeit eingeschränkt haben;</w:t>
            </w:r>
            <w:r>
              <w:t xml:space="preserve"> </w:t>
            </w:r>
            <w:r>
              <w:rPr>
                <w:b/>
                <w:i/>
              </w:rPr>
              <w:t>fordert eine kontinuierliche Neubewertung des Mehrwerts, des Umfangs und der strategischen Ziele der Mission, um ihre Relevanz und Effizienz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würdigt, dass EULEX eine anhaltende Funktion dabei zukommt, die staatlichen Stellen des Kosovo beim Aufbau tragfähiger und unabhängiger rechtsstaatlicher Institutionen zu unterstützen;</w:t>
            </w:r>
          </w:p>
        </w:tc>
        <w:tc>
          <w:tcPr>
            <w:tcW w:w="4876" w:type="dxa"/>
            <w:tcBorders>
              <w:top w:val="nil"/>
              <w:left w:val="nil"/>
              <w:bottom w:val="nil"/>
              <w:right w:val="nil"/>
            </w:tcBorders>
          </w:tcPr>
          <w:p>
            <w:pPr>
              <w:pStyle w:val="Normal6a"/>
            </w:pPr>
            <w:r>
              <w:t>16.</w:t>
            </w:r>
            <w:r>
              <w:tab/>
            </w:r>
            <w:r>
              <w:t xml:space="preserve">würdigt, dass EULEX eine anhaltende Funktion dabei zukommt, die staatlichen Stellen des Kosovo beim Aufbau tragfähiger und unabhängiger rechtsstaatlicher Institutionen zu unterstützen; </w:t>
            </w:r>
            <w:r>
              <w:rPr>
                <w:b/>
                <w:i/>
              </w:rPr>
              <w:t>betont, dass das Engagement der politischen Führung und der Behörden des Kosovo für die Stärkung rechtsstaatlicher Institutionen von entscheidender Bedeutung für künftige Fortschritte ist;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Silvia Sardone, Susanna Ceccardi, Jaroslav Bžoch,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würdigt, dass EULEX eine anhaltende </w:t>
            </w:r>
            <w:r>
              <w:rPr>
                <w:b/>
                <w:i/>
              </w:rPr>
              <w:t>Funktion</w:t>
            </w:r>
            <w:r>
              <w:t xml:space="preserve"> dabei zukommt, die staatlichen Stellen des Kosovo beim Aufbau tragfähiger und unabhängiger </w:t>
            </w:r>
            <w:r>
              <w:rPr>
                <w:b/>
                <w:i/>
              </w:rPr>
              <w:t>rechtsstaatlicher</w:t>
            </w:r>
            <w:r>
              <w:t xml:space="preserve"> Institutionen </w:t>
            </w:r>
            <w:r>
              <w:rPr>
                <w:b/>
                <w:i/>
              </w:rPr>
              <w:t>zu unterstützen</w:t>
            </w:r>
            <w:r>
              <w:t>;</w:t>
            </w:r>
          </w:p>
        </w:tc>
        <w:tc>
          <w:tcPr>
            <w:tcW w:w="4876" w:type="dxa"/>
            <w:tcBorders>
              <w:top w:val="nil"/>
              <w:left w:val="nil"/>
              <w:bottom w:val="nil"/>
              <w:right w:val="nil"/>
            </w:tcBorders>
          </w:tcPr>
          <w:p>
            <w:pPr>
              <w:pStyle w:val="Normal6a"/>
            </w:pPr>
            <w:r>
              <w:t>16.</w:t>
            </w:r>
            <w:r>
              <w:tab/>
            </w:r>
            <w:r>
              <w:t xml:space="preserve">würdigt, dass EULEX eine anhaltende </w:t>
            </w:r>
            <w:r>
              <w:rPr>
                <w:b/>
                <w:i/>
              </w:rPr>
              <w:t>Rolle</w:t>
            </w:r>
            <w:r>
              <w:t xml:space="preserve"> dabei zukommt, die staatlichen Stellen des Kosovo beim Aufbau tragfähiger und unabhängiger Institutionen </w:t>
            </w:r>
            <w:r>
              <w:rPr>
                <w:b/>
                <w:i/>
              </w:rPr>
              <w:t>zur Stärkung der Rechtsstaatlichkeit, des Justizsystems und der Ermittlungskapazitäten gegen organisierte Kriminalität und Terrorismus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ist besorgt über die gemeldeten Fälle von übermäßiger Gewaltanwendung und Fehlverhalten einiger kosovarischer Polizeibeamter im Norden;</w:t>
            </w:r>
            <w:r>
              <w:t xml:space="preserve"> </w:t>
            </w:r>
            <w:r>
              <w:rPr>
                <w:b/>
                <w:i/>
              </w:rPr>
              <w:t>fordert die kosovarische Polizei auf, dafür zu sorgen, dass ihr Personal alle Anforderungen in Bezug auf die Rechtsstaatlichkeit und die Menschenrechte uneingeschränkt einhält;</w:t>
            </w:r>
            <w:r>
              <w:t xml:space="preserve"> </w:t>
            </w:r>
            <w:r>
              <w:rPr>
                <w:b/>
                <w:i/>
              </w:rPr>
              <w:t>weist erneut darauf hin, dass es in der gemeinsamen Verantwortung aller politischen Vertreter und Menschen im Kosovo liegt, den Frieden und die Rechtsstaatlichkeit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äußert sich besorgt über die geringen Fortschritte bei der Reform der öffentlichen Verwaltung, zumal die Empfehlungen der Kommission aus dem vergangenen Jahr nicht umgesetzt wurden;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stellt fest, dass ein rechtlicher und institutioneller Rahmen für Menschenrechte zwar weitgehend vorhanden ist, dieser jedoch nach wie vor nicht ausreichend umgesetzt wird;</w:t>
            </w:r>
          </w:p>
        </w:tc>
        <w:tc>
          <w:tcPr>
            <w:tcW w:w="4876" w:type="dxa"/>
            <w:tcBorders>
              <w:top w:val="nil"/>
              <w:left w:val="nil"/>
              <w:bottom w:val="nil"/>
              <w:right w:val="nil"/>
            </w:tcBorders>
          </w:tcPr>
          <w:p>
            <w:pPr>
              <w:pStyle w:val="Normal6a"/>
            </w:pPr>
            <w:r>
              <w:t>17.</w:t>
            </w:r>
            <w:r>
              <w:tab/>
            </w:r>
            <w:r>
              <w:t xml:space="preserve">stellt fest, dass ein rechtlicher und institutioneller Rahmen für Menschenrechte zwar weitgehend vorhanden ist, dieser jedoch nach wie vor nicht ausreichend umgesetzt wird; </w:t>
            </w:r>
            <w:r>
              <w:rPr>
                <w:b/>
                <w:i/>
              </w:rPr>
              <w:t>begrüßt die Annahme der Strategie zum Schutz und zur Förderung der Rechte der Gemeinschaften;</w:t>
            </w:r>
            <w:r>
              <w:t xml:space="preserve"> </w:t>
            </w:r>
            <w:r>
              <w:rPr>
                <w:b/>
                <w:i/>
              </w:rPr>
              <w:t>begrüßt die Umsetzung des Urteils des Verfassungsgerichts zum Grundbesitz des Klosters Dečani/Deçani;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stellt fest, dass ein rechtlicher und institutioneller Rahmen für Menschenrechte zwar weitgehend vorhanden ist, dieser jedoch nach wie vor nicht ausreichend umgesetzt wird;</w:t>
            </w:r>
          </w:p>
        </w:tc>
        <w:tc>
          <w:tcPr>
            <w:tcW w:w="4876" w:type="dxa"/>
            <w:tcBorders>
              <w:top w:val="nil"/>
              <w:left w:val="nil"/>
              <w:bottom w:val="nil"/>
              <w:right w:val="nil"/>
            </w:tcBorders>
          </w:tcPr>
          <w:p>
            <w:pPr>
              <w:pStyle w:val="Normal6a"/>
            </w:pPr>
            <w:r>
              <w:t>17.</w:t>
            </w:r>
            <w:r>
              <w:tab/>
            </w:r>
            <w:r>
              <w:t xml:space="preserve">stellt fest, dass ein rechtlicher und institutioneller Rahmen für Menschenrechte zwar weitgehend vorhanden ist, dieser jedoch nach wie vor nicht ausreichend umgesetzt wird; </w:t>
            </w:r>
            <w:r>
              <w:rPr>
                <w:b/>
                <w:i/>
              </w:rPr>
              <w:t>fordert das Kosovo auf, sich auf eine wirksamere Umsetzung des Rahmens zu konzentrieren;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begrüßt, dass die staatlichen Stellen die Mittel für spezialisierte Unterstützungsdienste, einschließlich Unterkünften für Opfer von geschlechtsspezifischer Gewalt und Menschenhandel, aufgestockt haben;</w:t>
            </w:r>
            <w:r>
              <w:t xml:space="preserve"> </w:t>
            </w:r>
            <w:r>
              <w:rPr>
                <w:b/>
                <w:i/>
              </w:rPr>
              <w:t>begrüßt, dass die Datenbank, in der Fälle häuslicher Gewalt erfasst werden, uneingeschränkt funktionsfähig ist;</w:t>
            </w:r>
            <w:r>
              <w:t xml:space="preserve"> </w:t>
            </w:r>
            <w:r>
              <w:rPr>
                <w:b/>
                <w:i/>
              </w:rPr>
              <w:t>ist jedoch besorgt darüber, dass geschlechtsspezifische Gewalt im Kosovo nach wie vor an der Tagesordnung ist;</w:t>
            </w:r>
            <w:r>
              <w:t xml:space="preserve"> </w:t>
            </w:r>
            <w:r>
              <w:rPr>
                <w:b/>
                <w:i/>
              </w:rPr>
              <w:t>bedauert, dass das Rechtssystem des Kosovo nach wie vor unzureichend ist, um häusliche Gewalt zu bekämpfen und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erkennt an, dass die Verfassung des Kosovo im Hinblick auf Minderheitenrechte sehr fortschrittlich ist;</w:t>
            </w:r>
            <w:r>
              <w:t xml:space="preserve"> </w:t>
            </w:r>
            <w:r>
              <w:rPr>
                <w:b/>
                <w:i/>
              </w:rPr>
              <w:t>stellt in diesem Zusammenhang mit Bedauern fest, dass die Nationalversammlung des Kosovo die im Januar 2023 eingegangene Petition, die von fast 500 Personen unterzeichnet wurde, die sich aus historischen Gründen als Bulgaren identifizieren, noch immer nicht behandelt hat, und empfiehlt, ihre Rechte gesetzlich zu verankern und in der Praxis zu gewährleisten;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betont, dass die Gleichstellung der Geschlechter und die Rechte der Frau im Kosovo gestärkt werden müssen, einschließlich der Sicherstellung eines gleichberechtigten Zugangs zu Beschäftigung, politischer Teilhabe und Entscheidungspositionen, und fordert eine wirksame Umsetzung der bestehenden Rechtsvorschriften zur Gleichstellung der Geschlechter;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Elio Di Rupo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begrüßt, dass die Organisationen der Zivilgesellschaft in einem insgesamt günstigen Umfeld tätig sind, und fordert die Behörden auf, dafür zu sorgen, dass die Zivilgesellschaft tatsächlich in die Vorbereitung und Umsetzung EU-bezogener Reformen einbezogen wird;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stellt mit Besorgnis fest, dass die Menschenrechte lediglich gesetzlich verankert sind und in der Praxis nicht umgesetzt werden, was eher auf institutionelle Instabilität und Schwäche als auf bloße Rechtslücken hindeutet;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stellt fest, dass das Strafvollzugssystem im Kosovo weitgehend an die Mindestgrundsätze der Vereinten Nationen und des Europarats angeglichen ist;</w:t>
            </w:r>
            <w:r>
              <w:t xml:space="preserve"> </w:t>
            </w:r>
            <w:r>
              <w:rPr>
                <w:b/>
                <w:i/>
              </w:rPr>
              <w:t>fordert einen besseren Schutz der Rechte von Häftlingen, insbesondere von Frauen, Angehörigen von Minderheiten und psychisch kranken Häftlingen;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fordert das Kosovo auf, dafür zu sorgen, dass alle nach dem Gesetz über den Schutz der Minderheitenrechte anerkannten Minderheiten und die Mitglieder ihrer Gemeinschaften vollständig in die Verfassung des Landes aufgenommen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betont, dass die Rechtsvorschriften zum Schutz der Rechte von Angehörigen von Minderheiten besser umgesetzt werden müssen;</w:t>
            </w:r>
          </w:p>
        </w:tc>
        <w:tc>
          <w:tcPr>
            <w:tcW w:w="4876" w:type="dxa"/>
            <w:tcBorders>
              <w:top w:val="nil"/>
              <w:left w:val="nil"/>
              <w:bottom w:val="nil"/>
              <w:right w:val="nil"/>
            </w:tcBorders>
          </w:tcPr>
          <w:p>
            <w:pPr>
              <w:pStyle w:val="Normal6a"/>
            </w:pPr>
            <w:r>
              <w:t>18.</w:t>
            </w:r>
            <w:r>
              <w:tab/>
            </w:r>
            <w:r>
              <w:rPr>
                <w:b/>
                <w:i/>
              </w:rPr>
              <w:t>ist weiterhin besorgt darüber, dass Frauen, LGBTIQ-Personen und Minderheitengemeinschaften nach wie vor diskriminierenden Äußerungen ausgesetzt sind;</w:t>
            </w:r>
            <w:r>
              <w:t xml:space="preserve"> </w:t>
            </w:r>
            <w:r>
              <w:rPr>
                <w:b/>
                <w:i/>
              </w:rPr>
              <w:t>bedauert, dass Frauen aus Minderheitengruppen – insbesondere Roma, Aschkali und Ägypter – zahlreichen Formen der Diskriminierung ausgesetzt sind, vor allem in den Bereichen Bildung, Beschäftigung und Zugang zur Gesundheitsversorgung;</w:t>
            </w:r>
            <w:r>
              <w:t xml:space="preserve"> </w:t>
            </w:r>
            <w:r>
              <w:rPr>
                <w:b/>
                <w:i/>
              </w:rPr>
              <w:t>ist besorgt darüber, dass die Verwaltung im Kosovo Minderheitengruppen nicht angemessen vertritt und dass der Anteil der Frauen in Führungspositionen nach wie vor gering ist;</w:t>
            </w:r>
            <w:r>
              <w:t xml:space="preserve"> betont, dass die Rechtsvorschriften zum Schutz der Rechte von Angehörigen von </w:t>
            </w:r>
            <w:r>
              <w:rPr>
                <w:b/>
                <w:i/>
              </w:rPr>
              <w:t>schutzbedürftigen Gruppen und</w:t>
            </w:r>
            <w:r>
              <w:t xml:space="preserve"> Minderheiten besser umgesetzt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betont, dass die Rechtsvorschriften zum Schutz der Rechte von </w:t>
            </w:r>
            <w:r>
              <w:rPr>
                <w:b/>
                <w:i/>
              </w:rPr>
              <w:t>Angehörigen von</w:t>
            </w:r>
            <w:r>
              <w:t xml:space="preserve"> Minderheiten </w:t>
            </w:r>
            <w:r>
              <w:rPr>
                <w:b/>
                <w:i/>
              </w:rPr>
              <w:t>besser umgesetzt</w:t>
            </w:r>
            <w:r>
              <w:t xml:space="preserve"> werden </w:t>
            </w:r>
            <w:r>
              <w:rPr>
                <w:b/>
                <w:i/>
              </w:rPr>
              <w:t>müssen</w:t>
            </w:r>
            <w:r>
              <w:t>;</w:t>
            </w:r>
          </w:p>
        </w:tc>
        <w:tc>
          <w:tcPr>
            <w:tcW w:w="4876" w:type="dxa"/>
            <w:tcBorders>
              <w:top w:val="nil"/>
              <w:left w:val="nil"/>
              <w:bottom w:val="nil"/>
              <w:right w:val="nil"/>
            </w:tcBorders>
          </w:tcPr>
          <w:p>
            <w:pPr>
              <w:pStyle w:val="Normal6a"/>
            </w:pPr>
            <w:r>
              <w:t>18.</w:t>
            </w:r>
            <w:r>
              <w:tab/>
            </w:r>
            <w:r>
              <w:t xml:space="preserve">betont, dass die </w:t>
            </w:r>
            <w:r>
              <w:rPr>
                <w:b/>
                <w:i/>
              </w:rPr>
              <w:t>Umsetzung der</w:t>
            </w:r>
            <w:r>
              <w:t xml:space="preserve"> Rechtsvorschriften zum Schutz der Rechte von </w:t>
            </w:r>
            <w:r>
              <w:rPr>
                <w:b/>
                <w:i/>
              </w:rPr>
              <w:t>Personen, die</w:t>
            </w:r>
            <w:r>
              <w:t xml:space="preserve"> Minderheiten </w:t>
            </w:r>
            <w:r>
              <w:rPr>
                <w:b/>
                <w:i/>
              </w:rPr>
              <w:t>angehören, gestärkt</w:t>
            </w:r>
            <w:r>
              <w:t xml:space="preserve"> werden </w:t>
            </w:r>
            <w:r>
              <w:rPr>
                <w:b/>
                <w:i/>
              </w:rPr>
              <w:t>muss, unter anderem durch die Gewährleistung eines wirksamen, ungehinderten Zugangs zu Bildung in der Muttersprache, medizinischer Versorgung und öffentlichen Dienstleistungen, durch die Achtung der Sprach- und Eigentumsrechte, durch eine angemessene Vertretung in der zentralen und lokalen Verwaltung sowie durch den Schutz des materiellen und immateriellen, religiösen, traditionellen und kulturellen Erbes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betont, dass die Rechtsvorschriften zum Schutz der Rechte von Angehörigen von Minderheiten besser umgesetzt werden müssen;</w:t>
            </w:r>
          </w:p>
        </w:tc>
        <w:tc>
          <w:tcPr>
            <w:tcW w:w="4876" w:type="dxa"/>
            <w:tcBorders>
              <w:top w:val="nil"/>
              <w:left w:val="nil"/>
              <w:bottom w:val="nil"/>
              <w:right w:val="nil"/>
            </w:tcBorders>
          </w:tcPr>
          <w:p>
            <w:pPr>
              <w:pStyle w:val="Normal6a"/>
            </w:pPr>
            <w:r>
              <w:t>18.</w:t>
            </w:r>
            <w:r>
              <w:tab/>
            </w:r>
            <w:r>
              <w:t xml:space="preserve">betont, dass die Rechtsvorschriften zum Schutz der Rechte von Angehörigen von Minderheiten besser umgesetzt werden müssen; </w:t>
            </w:r>
            <w:r>
              <w:rPr>
                <w:b/>
                <w:i/>
              </w:rPr>
              <w:t>fordert das Kosovo auf, seine Bemühungen zu intensivieren, um Minderheiten Chancengleichheit und eine angemessene Vertretung im politischen und kulturellen Leben, in den öffentlichen Medien, in der Verwaltung und in der Justiz zu bieten;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betont, dass die Rechtsvorschriften zum Schutz der Rechte von Angehörigen von Minderheiten besser umgesetzt werden müssen;</w:t>
            </w:r>
          </w:p>
        </w:tc>
        <w:tc>
          <w:tcPr>
            <w:tcW w:w="4876" w:type="dxa"/>
            <w:tcBorders>
              <w:top w:val="nil"/>
              <w:left w:val="nil"/>
              <w:bottom w:val="nil"/>
              <w:right w:val="nil"/>
            </w:tcBorders>
          </w:tcPr>
          <w:p>
            <w:pPr>
              <w:pStyle w:val="Normal6a"/>
            </w:pPr>
            <w:r>
              <w:t>18.</w:t>
            </w:r>
            <w:r>
              <w:tab/>
            </w:r>
            <w:r>
              <w:t>betont, dass die Rechtsvorschriften zum Schutz der Rechte von Angehörigen von Minderheiten besser umgesetzt werden müssen</w:t>
            </w:r>
            <w:r>
              <w:rPr>
                <w:b/>
                <w:i/>
              </w:rPr>
              <w:t>, insbesondere in Bezug auf ihre Vertretung in öffentlichen Einrichtungen und die Verwendung von Sprachen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Silvia Sardone, Susanna Ceccardi,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betont, dass die Rechtsvorschriften zum Schutz der Rechte von Angehörigen von Minderheiten besser umgesetzt werden müssen;</w:t>
            </w:r>
          </w:p>
        </w:tc>
        <w:tc>
          <w:tcPr>
            <w:tcW w:w="4876" w:type="dxa"/>
            <w:tcBorders>
              <w:top w:val="nil"/>
              <w:left w:val="nil"/>
              <w:bottom w:val="nil"/>
              <w:right w:val="nil"/>
            </w:tcBorders>
          </w:tcPr>
          <w:p>
            <w:pPr>
              <w:pStyle w:val="Normal6a"/>
            </w:pPr>
            <w:r>
              <w:t>18.</w:t>
            </w:r>
            <w:r>
              <w:tab/>
            </w:r>
            <w:r>
              <w:t>betont, dass die Rechtsvorschriften zum Schutz der Rechte von Angehörigen von Minderheiten</w:t>
            </w:r>
            <w:r>
              <w:rPr>
                <w:b/>
                <w:i/>
              </w:rPr>
              <w:t>, wie beispielsweise der serbischen Gemeinschaft,</w:t>
            </w:r>
            <w:r>
              <w:t> besser umgesetzt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betont, dass die Rechtsvorschriften zum Schutz der Rechte von Angehörigen von Minderheiten besser umgesetzt werden müssen;</w:t>
            </w:r>
          </w:p>
        </w:tc>
        <w:tc>
          <w:tcPr>
            <w:tcW w:w="4876" w:type="dxa"/>
            <w:tcBorders>
              <w:top w:val="nil"/>
              <w:left w:val="nil"/>
              <w:bottom w:val="nil"/>
              <w:right w:val="nil"/>
            </w:tcBorders>
          </w:tcPr>
          <w:p>
            <w:pPr>
              <w:pStyle w:val="Normal6a"/>
            </w:pPr>
            <w:r>
              <w:t>18.</w:t>
            </w:r>
            <w:r>
              <w:tab/>
            </w:r>
            <w:r>
              <w:t>betont, dass die Rechtsvorschriften zum Schutz der Rechte von Angehörigen von Minderheiten</w:t>
            </w:r>
            <w:r>
              <w:rPr>
                <w:b/>
                <w:i/>
              </w:rPr>
              <w:t>, insbesondere von Frauen,</w:t>
            </w:r>
            <w:r>
              <w:t xml:space="preserve"> besser umgesetzt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begrüßt, dass die Regierung die Strategie für die Rechte von Menschen mit Behinderungen 2025-2030 sowie den dazugehörigen Aktionsplan für den Zeitraum 2025-2027 verabschiedet hat;</w:t>
            </w:r>
            <w:r>
              <w:t xml:space="preserve"> </w:t>
            </w:r>
            <w:r>
              <w:rPr>
                <w:b/>
                <w:i/>
              </w:rPr>
              <w:t>bedauert jedoch, dass das Übereinkommen der Vereinten Nationen über die Rechte von Menschen mit Behinderungen noch nicht angenommen wurde;</w:t>
            </w:r>
            <w:r>
              <w:t xml:space="preserve"> </w:t>
            </w:r>
            <w:r>
              <w:rPr>
                <w:b/>
                <w:i/>
              </w:rPr>
              <w:t>ist besorgt darüber, dass die Rechtsvorschriften des Kosovo in Bezug auf die Rechte von Menschen mit Behinderungen, die mit Diskriminierung und Hindernissen beim Zugang zu sozialen Dienstleistungen konfrontiert sind, nicht ausreichend auf den Besitzstand der EU abgestimmt sind;</w:t>
            </w:r>
            <w:r>
              <w:t xml:space="preserve"> </w:t>
            </w:r>
            <w:r>
              <w:rPr>
                <w:b/>
                <w:i/>
              </w:rPr>
              <w:t>bedauert, dass Kinder mit Behinderungen beim Zugang zu Bildungseinrichtungen sowie zu Gesundheits- und Sozialdiensten diskriminiert werden;</w:t>
            </w:r>
            <w:r>
              <w:t xml:space="preserve"> </w:t>
            </w:r>
            <w:r>
              <w:rPr>
                <w:b/>
                <w:i/>
              </w:rPr>
              <w:t>fordert die staatlichen Stellen auf, für einen besseren Schutz der Rechte von Menschen mit Behinderungen zu sorgen und das Gesetz über die Anerkennung des Status, Leistungen und Dienste anzunehmen;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Davor Ivo Stier,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begrüßt das von der EU finanzierte Projekt, das vom Entwicklungsprogramm der Vereinten Nationen durchgeführt wird und auf die Erhaltung und Wiederbelebung des kulturellen Erbes von Janjeva abzielt, einschließlich der Restaurierung historischer Gebäude und der Förderung des Kulturtourismus;</w:t>
            </w:r>
            <w:r>
              <w:t xml:space="preserve"> </w:t>
            </w:r>
            <w:r>
              <w:rPr>
                <w:b/>
                <w:i/>
              </w:rPr>
              <w:t>betont, dass es wichtig ist, das multikulturelle Erbe des Kosovo, einschließlich der historischen Präsenz und des kulturellen Erbes der kroatischen Gemeinschaft, zu schützen und zu fördern und gleichzeitig eine nachhaltige lokale wirtschaftliche Entwicklung und das gemeinschaftliche Engagement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stellt mit Bedauern fest, dass die im Januar 2023 bei der Nationalversammlung des Kosovo eingereichte Petition, die von fast 500 Personen unterzeichnet wurde, die sich als Bulgaren identifizieren, immer noch nicht behandelt wurde;</w:t>
            </w:r>
            <w:r>
              <w:t xml:space="preserve"> </w:t>
            </w:r>
            <w:r>
              <w:rPr>
                <w:b/>
                <w:i/>
              </w:rPr>
              <w:t>weist erneut auf seine wiederholte Forderung hin, die verfassungsmäßige Anerkennung von Menschen sicherzustellen, die sich aus historischen Gründen als Bulgaren identifizieren;</w:t>
            </w:r>
            <w:r>
              <w:t xml:space="preserve"> </w:t>
            </w:r>
            <w:r>
              <w:rPr>
                <w:b/>
                <w:i/>
              </w:rPr>
              <w:t>fordert, dass ihre Rechte gesetzlich verankert und in der Praxis wirksam gewährleistet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stellt fest, dass die in den Regionen Gora und Zhupa lebende bulgarische Minderheit dem Parlament wiederholt Unterschriften (Petitionen) vorgelegt hat, in denen sie auf die offizielle Anerkennung der bulgarischen Minderheit drängte, und zwar im Jahr 2018 und im Januar 2023;</w:t>
            </w:r>
            <w:r>
              <w:t xml:space="preserve"> </w:t>
            </w:r>
            <w:r>
              <w:rPr>
                <w:b/>
                <w:i/>
              </w:rPr>
              <w:t>fordert, dass die Petitionen geprüft und Gesetzesänderungen verabschiedet werden, durch die die historische, kulturelle und politische Identität der bulgarischen Minderheit geschützt wird;</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fordert die staatlichen Stellen erneut auf, den internen Dialog zu verbessern und aufrichtig und unmittelbar mit den unabhängigen zivilgesellschaftlichen Organisationen der Kosovo-Serben, insbesondere im Norden, zusammenzuarbeiten, um Vertrauen zu schaffen, das Alltagsleben der Kosovo-Serben zu erleichtern und ihre erfolgreiche Integration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äußert tiefe Besorgnis über die von der Regierung ergriffenen Maßnahmen, mit denen die Rechte von Minderheiten untergraben werden, und fordert das Kosovo auf, diese Abweichungen von den Standards der Union zu beheben, indem das neue Zivilgesetzbuch fertiggestellt wird, dessen Verabschiedung nach wie vor aufgeschoben wird;</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stellt fest, dass die Umsetzung des rechtlichen und institutionellen Rahmens für den Schutz von Personen, die Minderheiten angehören, nach wie vor unzureichend ist;</w:t>
            </w:r>
            <w:r>
              <w:t xml:space="preserve"> </w:t>
            </w:r>
            <w:r>
              <w:rPr>
                <w:b/>
                <w:i/>
              </w:rPr>
              <w:t>fordert die staatlichen Stellen auf, für eine wirksame und nachhaltige Durchsetzung dieses Rahmens zu sorgen, unter anderem durch die Behebung anhaltender Mängel beim Zugang zu Dienstleistungen und durch die Verbesserung der Vertretung dieser Gemeinschaften im politischen und kulturellen Leben, in den öffentlichen Medien, in der Verwaltung und in der Justiz;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nimmt die pluralistische Medienlandschaft des Kosovo zur Kenntnis, bedauert jedoch die mangelnden Fortschritte bei der Gewährleistung der Meinungsfreiheit; bedauert, dass das Kosovo in der Rangliste der Pressefreiheit 2025 um 24 Plätze auf Rang 99 zurückgefallen ist;</w:t>
            </w:r>
          </w:p>
        </w:tc>
        <w:tc>
          <w:tcPr>
            <w:tcW w:w="4876" w:type="dxa"/>
            <w:tcBorders>
              <w:top w:val="nil"/>
              <w:left w:val="nil"/>
              <w:bottom w:val="nil"/>
              <w:right w:val="nil"/>
            </w:tcBorders>
          </w:tcPr>
          <w:p>
            <w:pPr>
              <w:pStyle w:val="Normal6a"/>
            </w:pPr>
            <w:r>
              <w:t>19.</w:t>
            </w:r>
            <w:r>
              <w:tab/>
            </w:r>
            <w:r>
              <w:t xml:space="preserve">nimmt die pluralistische Medienlandschaft des Kosovo zur Kenntnis, bedauert jedoch </w:t>
            </w:r>
            <w:r>
              <w:rPr>
                <w:b/>
                <w:i/>
              </w:rPr>
              <w:t>zutiefst</w:t>
            </w:r>
            <w:r>
              <w:t xml:space="preserve"> die mangelnden Fortschritte bei der Gewährleistung der Meinungsfreiheit </w:t>
            </w:r>
            <w:r>
              <w:rPr>
                <w:b/>
                <w:i/>
              </w:rPr>
              <w:t>und fordert das Kosovo auf, Korrekturmaßnahmen zu ergreifen, um hier Abhilfe zu schaffen</w:t>
            </w:r>
            <w:r>
              <w:t xml:space="preserve">; bedauert </w:t>
            </w:r>
            <w:r>
              <w:rPr>
                <w:b/>
                <w:i/>
              </w:rPr>
              <w:t>zutiefst</w:t>
            </w:r>
            <w:r>
              <w:t xml:space="preserve">, dass das Kosovo in der Rangliste der Pressefreiheit 2025 um 24 Plätze auf Rang 99 zurückgefallen ist; </w:t>
            </w:r>
            <w:r>
              <w:rPr>
                <w:b/>
                <w:i/>
              </w:rPr>
              <w:t>stellt fest, dass die Pressefreiheit zu den wichtigsten europäischen Werten gehört und dass das Kosovo wirksamere Maßnahmen ergreifen muss, um sie zu schützen;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Elio Di Rupo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nimmt die pluralistische Medienlandschaft des Kosovo zur Kenntnis, bedauert jedoch die mangelnden Fortschritte bei der Gewährleistung der Meinungsfreiheit; bedauert, dass das Kosovo in der Rangliste der Pressefreiheit 2025 um 24 Plätze auf Rang 99 zurückgefallen ist;</w:t>
            </w:r>
          </w:p>
        </w:tc>
        <w:tc>
          <w:tcPr>
            <w:tcW w:w="4876" w:type="dxa"/>
            <w:tcBorders>
              <w:top w:val="nil"/>
              <w:left w:val="nil"/>
              <w:bottom w:val="nil"/>
              <w:right w:val="nil"/>
            </w:tcBorders>
          </w:tcPr>
          <w:p>
            <w:pPr>
              <w:pStyle w:val="Normal6a"/>
            </w:pPr>
            <w:r>
              <w:t>19.</w:t>
            </w:r>
            <w:r>
              <w:tab/>
            </w:r>
            <w:r>
              <w:t xml:space="preserve">nimmt die pluralistische Medienlandschaft des Kosovo zur Kenntnis, </w:t>
            </w:r>
            <w:r>
              <w:rPr>
                <w:b/>
                <w:i/>
              </w:rPr>
              <w:t>weist aber darauf hin, dass diese weiterhin zerbrechlich und verschiedenen Formen von Druck ausgesetzt ist;</w:t>
            </w:r>
            <w:r>
              <w:t xml:space="preserve"> bedauert jedoch </w:t>
            </w:r>
            <w:r>
              <w:rPr>
                <w:b/>
                <w:i/>
              </w:rPr>
              <w:t>zutiefst</w:t>
            </w:r>
            <w:r>
              <w:t xml:space="preserve"> die mangelnden Fortschritte bei der Gewährleistung der Meinungsfreiheit </w:t>
            </w:r>
            <w:r>
              <w:rPr>
                <w:b/>
                <w:i/>
              </w:rPr>
              <w:t>und des tatsächlichen Schutzes von Journalisten</w:t>
            </w:r>
            <w:r>
              <w:t>; bedauert, dass das Kosovo in der Rangliste der Pressefreiheit 2025 um 24 Plätze auf Rang 99 zurückgefallen ist</w:t>
            </w:r>
            <w:r>
              <w:rPr>
                <w:b/>
                <w:i/>
              </w:rPr>
              <w:t>, was einen bedeutenden und besorgniserregenden Rückschritt darstellt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nimmt die pluralistische Medienlandschaft des Kosovo zur Kenntnis, bedauert jedoch die mangelnden Fortschritte bei der Gewährleistung der Meinungsfreiheit; </w:t>
            </w:r>
            <w:r>
              <w:rPr>
                <w:b/>
                <w:i/>
              </w:rPr>
              <w:t>bedauert</w:t>
            </w:r>
            <w:r>
              <w:t>, dass das Kosovo in der Rangliste der Pressefreiheit 2025 um 24 Plätze auf Rang 99 zurückgefallen ist;</w:t>
            </w:r>
          </w:p>
        </w:tc>
        <w:tc>
          <w:tcPr>
            <w:tcW w:w="4876" w:type="dxa"/>
            <w:tcBorders>
              <w:top w:val="nil"/>
              <w:left w:val="nil"/>
              <w:bottom w:val="nil"/>
              <w:right w:val="nil"/>
            </w:tcBorders>
          </w:tcPr>
          <w:p>
            <w:pPr>
              <w:pStyle w:val="Normal6a"/>
            </w:pPr>
            <w:r>
              <w:t>19.</w:t>
            </w:r>
            <w:r>
              <w:tab/>
            </w:r>
            <w:r>
              <w:t xml:space="preserve">nimmt die pluralistische Medienlandschaft des Kosovo zur Kenntnis, bedauert jedoch die mangelnden Fortschritte bei der Gewährleistung der Meinungsfreiheit; </w:t>
            </w:r>
            <w:r>
              <w:rPr>
                <w:b/>
                <w:i/>
              </w:rPr>
              <w:t>bringt seine tiefe Besorgnis darüber zum Ausdruck</w:t>
            </w:r>
            <w:r>
              <w:t>, dass das Kosovo in der Rangliste der Pressefreiheit 2025 um 24 Plätze auf Rang 99 zurückgefallen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nimmt die pluralistische Medienlandschaft des Kosovo zur Kenntnis, </w:t>
            </w:r>
            <w:r>
              <w:rPr>
                <w:b/>
                <w:i/>
              </w:rPr>
              <w:t>bedauert</w:t>
            </w:r>
            <w:r>
              <w:t xml:space="preserve"> jedoch </w:t>
            </w:r>
            <w:r>
              <w:rPr>
                <w:b/>
                <w:i/>
              </w:rPr>
              <w:t>die mangelnden Fortschritte bei der Gewährleistung der Meinungsfreiheit;</w:t>
            </w:r>
            <w:r>
              <w:t xml:space="preserve"> </w:t>
            </w:r>
            <w:r>
              <w:rPr>
                <w:b/>
                <w:i/>
              </w:rPr>
              <w:t>bedauert</w:t>
            </w:r>
            <w:r>
              <w:t>, dass das Kosovo in der Rangliste der Pressefreiheit 2025 um 24 Plätze auf Rang 99 zurückgefallen ist;</w:t>
            </w:r>
          </w:p>
        </w:tc>
        <w:tc>
          <w:tcPr>
            <w:tcW w:w="4876" w:type="dxa"/>
            <w:tcBorders>
              <w:top w:val="nil"/>
              <w:left w:val="nil"/>
              <w:bottom w:val="nil"/>
              <w:right w:val="nil"/>
            </w:tcBorders>
          </w:tcPr>
          <w:p>
            <w:pPr>
              <w:pStyle w:val="Normal6a"/>
            </w:pPr>
            <w:r>
              <w:t>19.</w:t>
            </w:r>
            <w:r>
              <w:tab/>
            </w:r>
            <w:r>
              <w:t xml:space="preserve">nimmt die pluralistische Medienlandschaft des Kosovo zur Kenntnis, </w:t>
            </w:r>
            <w:r>
              <w:rPr>
                <w:b/>
                <w:i/>
              </w:rPr>
              <w:t>bringt</w:t>
            </w:r>
            <w:r>
              <w:t xml:space="preserve"> jedoch </w:t>
            </w:r>
            <w:r>
              <w:rPr>
                <w:b/>
                <w:i/>
              </w:rPr>
              <w:t>seine tiefe Besorgnis darüber zum Ausdruck</w:t>
            </w:r>
            <w:r>
              <w:t>, dass das Kosovo in der Rangliste der Pressefreiheit 2025 um 24 Plätze auf Rang 99 zurückgefallen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äußert tiefe Besorgnis über die Versuche der Regierung, Kontrolle über die Medien auszuüben, insbesondere durch die Verabschiedung des neuen Gesetzes über die Medienaufsichtsbehörde, das den meisten Empfehlungen der EU und anderer internationaler Partner nicht Rechnung trägt;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Elio Di Rupo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bekräftigt seine Besorgnis darüber, dass Journalisten und Medienschaffende angegriffen und bedroht werden; fordert, dass die für die Strafverfolgung zuständigen Stellen wirksamer vorgehen und die medienbezogenen Rechtsvorschriften an den EU-Besitzstand sowie an andere einschlägige internationale Standards angepasst werden;</w:t>
            </w:r>
          </w:p>
        </w:tc>
        <w:tc>
          <w:tcPr>
            <w:tcW w:w="4876" w:type="dxa"/>
            <w:tcBorders>
              <w:top w:val="nil"/>
              <w:left w:val="nil"/>
              <w:bottom w:val="nil"/>
              <w:right w:val="nil"/>
            </w:tcBorders>
          </w:tcPr>
          <w:p>
            <w:pPr>
              <w:pStyle w:val="Normal6a"/>
            </w:pPr>
            <w:r>
              <w:t>20.</w:t>
            </w:r>
            <w:r>
              <w:tab/>
            </w:r>
            <w:r>
              <w:t xml:space="preserve">bekräftigt seine </w:t>
            </w:r>
            <w:r>
              <w:rPr>
                <w:b/>
                <w:i/>
              </w:rPr>
              <w:t>große</w:t>
            </w:r>
            <w:r>
              <w:t xml:space="preserve"> Besorgnis darüber, dass </w:t>
            </w:r>
            <w:r>
              <w:rPr>
                <w:b/>
                <w:i/>
              </w:rPr>
              <w:t>sich das Medienumfeld und das Klima, in dem Informationsfachleute tätig sind, verschlechtert hat und dass insbesondere</w:t>
            </w:r>
            <w:r>
              <w:t xml:space="preserve"> Journalisten und Medienschaffende angegriffen und bedroht werden; fordert, dass die für die Strafverfolgung zuständigen Stellen wirksamer vorgehen und die medienbezogenen Rechtsvorschriften an den EU-Besitzstand sowie an andere einschlägige internationale Standards angepasst werden; </w:t>
            </w:r>
            <w:r>
              <w:rPr>
                <w:b/>
                <w:i/>
              </w:rPr>
              <w:t>fordert die Behörden in dieser Hinsicht auf, unverzüglich konkrete Maßnahmen zu ergreifen, um die Unabhängigkeit der Medien zu gewährleisten, Einschüchterung zu bekämpfen und für ein Umfeld zu sorgen, das freien und pluralistischen Journalismus fördert;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bekräftigt seine Besorgnis darüber, dass Journalisten und Medienschaffende angegriffen und bedroht werden; fordert, dass die für die Strafverfolgung zuständigen Stellen wirksamer vorgehen und die medienbezogenen Rechtsvorschriften an den EU-Besitzstand sowie an andere einschlägige internationale Standards angepasst werden;</w:t>
            </w:r>
          </w:p>
        </w:tc>
        <w:tc>
          <w:tcPr>
            <w:tcW w:w="4876" w:type="dxa"/>
            <w:tcBorders>
              <w:top w:val="nil"/>
              <w:left w:val="nil"/>
              <w:bottom w:val="nil"/>
              <w:right w:val="nil"/>
            </w:tcBorders>
          </w:tcPr>
          <w:p>
            <w:pPr>
              <w:pStyle w:val="Normal6a"/>
            </w:pPr>
            <w:r>
              <w:t>20.</w:t>
            </w:r>
            <w:r>
              <w:tab/>
            </w:r>
            <w:r>
              <w:t>bekräftigt seine Besorgnis darüber, dass Journalisten und Medienschaffende angegriffen und bedroht werden</w:t>
            </w:r>
            <w:r>
              <w:rPr>
                <w:b/>
                <w:i/>
              </w:rPr>
              <w:t>, unter anderem über die Verwendung beleidigender Äußerungen gegenüber den Medien während des Wahlkampfs durch hochrangige Beamte des Kosovo</w:t>
            </w:r>
            <w:r>
              <w:t>; fordert, dass die für die Strafverfolgung zuständigen Stellen wirksamer vorgehen und die medienbezogenen Rechtsvorschriften an den EU-Besitzstand</w:t>
            </w:r>
            <w:r>
              <w:rPr>
                <w:b/>
                <w:i/>
              </w:rPr>
              <w:t>, insbesondere an das Europäische Medienfreiheitsgesetz und die EU-Richtlinie zur Bekämpfung von SLAPP-Klagen,</w:t>
            </w:r>
            <w:r>
              <w:t xml:space="preserve"> sowie an andere einschlägige internationale Standards angepasst werden; </w:t>
            </w:r>
            <w:r>
              <w:rPr>
                <w:b/>
                <w:i/>
              </w:rPr>
              <w:t>begrüßt die Priorisierung von Fällen von Journalisten durch den Justizrat des Kosovo im Rahmen seiner Strategie für den Zugang zur Justiz;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bekräftigt seine Besorgnis darüber, dass</w:t>
            </w:r>
            <w:r>
              <w:t xml:space="preserve"> Journalisten und Medienschaffende </w:t>
            </w:r>
            <w:r>
              <w:rPr>
                <w:b/>
                <w:i/>
              </w:rPr>
              <w:t>angegriffen und bedroht werden;</w:t>
            </w:r>
            <w:r>
              <w:t xml:space="preserve"> fordert, dass die </w:t>
            </w:r>
            <w:r>
              <w:rPr>
                <w:b/>
                <w:i/>
              </w:rPr>
              <w:t>für die Strafverfolgung zuständigen Stellen wirksamer vorgehen und die medienbezogenen Rechtsvorschriften an den EU-Besitzstand sowie an andere einschlägige internationale Standards angepasst werden</w:t>
            </w:r>
            <w:r>
              <w:t>;</w:t>
            </w:r>
          </w:p>
        </w:tc>
        <w:tc>
          <w:tcPr>
            <w:tcW w:w="4876" w:type="dxa"/>
            <w:tcBorders>
              <w:top w:val="nil"/>
              <w:left w:val="nil"/>
              <w:bottom w:val="nil"/>
              <w:right w:val="nil"/>
            </w:tcBorders>
          </w:tcPr>
          <w:p>
            <w:pPr>
              <w:pStyle w:val="Normal6a"/>
            </w:pPr>
            <w:r>
              <w:t>20.</w:t>
            </w:r>
            <w:r>
              <w:tab/>
            </w:r>
            <w:r>
              <w:rPr>
                <w:b/>
                <w:i/>
              </w:rPr>
              <w:t>ist besorgt über die anhaltenden Sicherheitsrisiken, Einschüchterungen und Gewalttaten, die sich gegen</w:t>
            </w:r>
            <w:r>
              <w:t xml:space="preserve"> Journalisten und Medienschaffende </w:t>
            </w:r>
            <w:r>
              <w:rPr>
                <w:b/>
                <w:i/>
              </w:rPr>
              <w:t>richten;</w:t>
            </w:r>
            <w:r>
              <w:t xml:space="preserve"> </w:t>
            </w:r>
            <w:r>
              <w:rPr>
                <w:b/>
                <w:i/>
              </w:rPr>
              <w:t>spricht sich für proaktive rechtliche Schritte aus und</w:t>
            </w:r>
            <w:r>
              <w:t xml:space="preserve"> fordert </w:t>
            </w:r>
            <w:r>
              <w:rPr>
                <w:b/>
                <w:i/>
              </w:rPr>
              <w:t>die nationalen Behörden nachdrücklich auf, die Untersuchung und Verfolgung aller Drohungen gegen Medienschaffende zu verstärken;</w:t>
            </w:r>
            <w:r>
              <w:t xml:space="preserve"> </w:t>
            </w:r>
            <w:r>
              <w:rPr>
                <w:b/>
                <w:i/>
              </w:rPr>
              <w:t>betont, dass es wichtig ist, dafür zu sorgen</w:t>
            </w:r>
            <w:r>
              <w:t xml:space="preserve">, dass die </w:t>
            </w:r>
            <w:r>
              <w:rPr>
                <w:b/>
                <w:i/>
              </w:rPr>
              <w:t>nationalen Rechtsrahmen vollständig mit den EU-Medienstandards, dem Europäischen Medienfreiheitsgesetz und den internationalen Menschenrechtsverpflichtungen im Einklang stehen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bekräftigt seine Besorgnis darüber, dass Journalisten und Medienschaffende angegriffen und bedroht werden; fordert, dass die für die Strafverfolgung zuständigen Stellen wirksamer vorgehen und die medienbezogenen Rechtsvorschriften an den EU-Besitzstand sowie an andere einschlägige internationale Standards angepasst werden;</w:t>
            </w:r>
          </w:p>
        </w:tc>
        <w:tc>
          <w:tcPr>
            <w:tcW w:w="4876" w:type="dxa"/>
            <w:tcBorders>
              <w:top w:val="nil"/>
              <w:left w:val="nil"/>
              <w:bottom w:val="nil"/>
              <w:right w:val="nil"/>
            </w:tcBorders>
          </w:tcPr>
          <w:p>
            <w:pPr>
              <w:pStyle w:val="Normal6a"/>
            </w:pPr>
            <w:r>
              <w:t>20.</w:t>
            </w:r>
            <w:r>
              <w:tab/>
            </w:r>
            <w:r>
              <w:t xml:space="preserve">bekräftigt seine Besorgnis darüber, dass Journalisten und Medienschaffende </w:t>
            </w:r>
            <w:r>
              <w:rPr>
                <w:b/>
                <w:i/>
              </w:rPr>
              <w:t>körperlich</w:t>
            </w:r>
            <w:r>
              <w:t xml:space="preserve"> angegriffen und bedroht werden</w:t>
            </w:r>
            <w:r>
              <w:rPr>
                <w:b/>
                <w:i/>
              </w:rPr>
              <w:t>;</w:t>
            </w:r>
            <w:r>
              <w:t xml:space="preserve"> </w:t>
            </w:r>
            <w:r>
              <w:rPr>
                <w:b/>
                <w:i/>
              </w:rPr>
              <w:t>betont die Notwendigkeit einer Null-Toleranz-Politik gegenüber körperlichen Angriffen auf Journalisten und einer entschlossenen Reaktion auf solche Vorfälle</w:t>
            </w:r>
            <w:r>
              <w:t>; fordert, dass die für die Strafverfolgung zuständigen Stellen wirksamer vorgehen und die medienbezogenen Rechtsvorschriften an den EU-Besitzstand sowie an andere einschlägige internationale Standards angepasst werden;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bekräftigt seine Besorgnis darüber, dass Journalisten und Medienschaffende angegriffen und bedroht werden; fordert, dass die für die Strafverfolgung zuständigen Stellen wirksamer vorgehen und die medienbezogenen Rechtsvorschriften an den EU-Besitzstand sowie an andere einschlägige internationale Standards angepasst werden;</w:t>
            </w:r>
          </w:p>
        </w:tc>
        <w:tc>
          <w:tcPr>
            <w:tcW w:w="4876" w:type="dxa"/>
            <w:tcBorders>
              <w:top w:val="nil"/>
              <w:left w:val="nil"/>
              <w:bottom w:val="nil"/>
              <w:right w:val="nil"/>
            </w:tcBorders>
          </w:tcPr>
          <w:p>
            <w:pPr>
              <w:pStyle w:val="Normal6a"/>
            </w:pPr>
            <w:r>
              <w:t>20.</w:t>
            </w:r>
            <w:r>
              <w:tab/>
            </w:r>
            <w:r>
              <w:t>bekräftigt seine Besorgnis darüber, dass Journalisten und Medienschaffende angegriffen und bedroht werden</w:t>
            </w:r>
            <w:r>
              <w:rPr>
                <w:b/>
                <w:i/>
              </w:rPr>
              <w:t>;</w:t>
            </w:r>
            <w:r>
              <w:t xml:space="preserve"> </w:t>
            </w:r>
            <w:r>
              <w:rPr>
                <w:b/>
                <w:i/>
              </w:rPr>
              <w:t>bedauert, dass die Verabschiedung des Gesetzes über den Schutz journalistischer Quellen noch aussteht, wodurch Journalisten ohne angemessenen Rechtsschutz bleiben</w:t>
            </w:r>
            <w:r>
              <w:t>; fordert, dass die für die Strafverfolgung zuständigen Stellen wirksamer vorgehen und die medienbezogenen Rechtsvorschriften an den EU-Besitzstand sowie an andere einschlägige internationale Standards angepasst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Silvia Sardone, Susanna Ceccardi, Jaroslav Bžoch,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bekräftigt seine Besorgnis darüber, dass Journalisten und Medienschaffende angegriffen und bedroht werden; </w:t>
            </w:r>
            <w:r>
              <w:rPr>
                <w:b/>
                <w:i/>
              </w:rPr>
              <w:t>fordert, dass die für die Strafverfolgung zuständigen Stellen wirksamer vorgehen und die medienbezogenen Rechtsvorschriften an den EU-Besitzstand sowie an andere einschlägige internationale Standards angepasst werden;</w:t>
            </w:r>
          </w:p>
        </w:tc>
        <w:tc>
          <w:tcPr>
            <w:tcW w:w="4876" w:type="dxa"/>
            <w:tcBorders>
              <w:top w:val="nil"/>
              <w:left w:val="nil"/>
              <w:bottom w:val="nil"/>
              <w:right w:val="nil"/>
            </w:tcBorders>
          </w:tcPr>
          <w:p>
            <w:pPr>
              <w:pStyle w:val="Normal6a"/>
            </w:pPr>
            <w:r>
              <w:t>20.</w:t>
            </w:r>
            <w:r>
              <w:tab/>
            </w:r>
            <w:r>
              <w:t>bekräftigt seine Besorgnis darüber, dass Journalisten und Medienschaffende angegriffen und bedroht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ist zutiefst besorgt über Berichte, wonach Journalisten von politischen Akteuren und organisierten kriminellen Gruppen unter Druck gesetzt werden, was zu Fällen von Selbstzensur geführt hat;</w:t>
            </w:r>
            <w:r>
              <w:t xml:space="preserve"> </w:t>
            </w:r>
            <w:r>
              <w:rPr>
                <w:b/>
                <w:i/>
              </w:rPr>
              <w:t>stellt fest, dass Journalisten aus Sorge um ihre körperliche Unversehrtheit oder ihren Arbeitsplatz möglicherweise davon absehen, kritische investigative Berichterstattung zu betreiben;</w:t>
            </w:r>
            <w:r>
              <w:t xml:space="preserve"> </w:t>
            </w:r>
            <w:r>
              <w:rPr>
                <w:b/>
                <w:i/>
              </w:rPr>
              <w:t>hebt ferner Berichte hervor, wonach staatliche Stellen und private Einrichtungen Werbung von Medien, die kritische Inhalte veröffentlichen, zurückziehen können, wodurch indirekter wirtschaftlicher Druck ausgeübt wird;</w:t>
            </w:r>
            <w:r>
              <w:t xml:space="preserve"> </w:t>
            </w:r>
            <w:r>
              <w:rPr>
                <w:b/>
                <w:i/>
              </w:rPr>
              <w:t>fordert die zuständigen staatlichen Stellen auf, für den Schutz von Journalisten zu sorgen, die Unabhängigkeit und den Pluralismus der Medien zu wahren und alle Formen von Einschüchterung, unzulässiger Einflussnahme und wirtschaftlichem Zwang im Mediensektor zu verhindern</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https://www.state.gov/reports/2024-country-reports-on-human-rights-practices/kosovo.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zeigt sich ernsthaft besorgt angesichts von Angriffen auf Journalisten und Medienschaffende sowie angesichts strategischer Klagen gegen öffentliche Beteiligung (SLAPP-Klagen);</w:t>
            </w:r>
            <w:r>
              <w:t xml:space="preserve"> </w:t>
            </w:r>
            <w:r>
              <w:rPr>
                <w:b/>
                <w:i/>
              </w:rPr>
              <w:t>fordert die staatlichen Stellen auf, Maßnahmen zum Schutz vor SLAPP-Klagen im Einklang mit den einschlägigen EU-Normen voranzubringen und für einen wirksamen Schutz der Quellen von Journalisten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weist darauf hin, dass ein Staat, der die Meinungsfreiheit und die körperliche Unversehrtheit von Journalisten nicht gewährleistet, sich in besorgniserregender Weise von den demokratischen Standards der Union entfernt;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betont, dass dafür gesorgt werden muss, dass der öffentlich-rechtliche Rundfunk nachhaltig finanziert wird und seine Unabhängigkeit gewahrt bleibt; </w:t>
            </w:r>
            <w:r>
              <w:rPr>
                <w:b/>
                <w:i/>
              </w:rPr>
              <w:t>fordert</w:t>
            </w:r>
            <w:r>
              <w:t xml:space="preserve">, dass die öffentlich-rechtliche Rundfunkanstalt </w:t>
            </w:r>
            <w:r>
              <w:rPr>
                <w:b/>
                <w:i/>
              </w:rPr>
              <w:t>des Kosovo</w:t>
            </w:r>
            <w:r>
              <w:t xml:space="preserve"> „Radiotelevizioni i Kosovës / Radio-televizija Kosova“ einer ausgewogenen und repräsentativen Aufsicht unterliegt;</w:t>
            </w:r>
          </w:p>
        </w:tc>
        <w:tc>
          <w:tcPr>
            <w:tcW w:w="4876" w:type="dxa"/>
            <w:tcBorders>
              <w:top w:val="nil"/>
              <w:left w:val="nil"/>
              <w:bottom w:val="nil"/>
              <w:right w:val="nil"/>
            </w:tcBorders>
          </w:tcPr>
          <w:p>
            <w:pPr>
              <w:pStyle w:val="Normal6a"/>
            </w:pPr>
            <w:r>
              <w:t>21.</w:t>
            </w:r>
            <w:r>
              <w:tab/>
            </w:r>
            <w:r>
              <w:rPr>
                <w:b/>
                <w:i/>
              </w:rPr>
              <w:t>bringt seine Besorgnis darüber zum Ausdruck, dass die Annahme des Gesetzes über die öffentlich-rechtliche Rundfunkanstalt des Kosovo „Radiotelevizioni i Kosovës / Radio-televizija Kosova“ (RTK) noch aussteht;</w:t>
            </w:r>
            <w:r>
              <w:t xml:space="preserve"> betont, dass dafür gesorgt werden muss, dass der öffentlich-rechtliche Rundfunk nachhaltig finanziert wird und seine Unabhängigkeit gewahrt bleibt; </w:t>
            </w:r>
            <w:r>
              <w:rPr>
                <w:b/>
                <w:i/>
              </w:rPr>
              <w:t>bedauert, dass die Stelle des Generaldirektors der RTK seit September 2024 unbesetzt ist und dass der Vorstand der RTK seit Dezember 2024 nicht beschlussfähig ist, was dazu führt</w:t>
            </w:r>
            <w:r>
              <w:t xml:space="preserve">, dass die öffentlich-rechtliche Rundfunkanstalt </w:t>
            </w:r>
            <w:r>
              <w:rPr>
                <w:b/>
                <w:i/>
              </w:rPr>
              <w:t>faktisch handlungsunfähig ist und ihre Aufgabe nicht erfüllen kann;</w:t>
            </w:r>
            <w:r>
              <w:t xml:space="preserve"> </w:t>
            </w:r>
            <w:r>
              <w:rPr>
                <w:b/>
                <w:i/>
              </w:rPr>
              <w:t>fordert, dass</w:t>
            </w:r>
            <w:r>
              <w:t xml:space="preserve"> „Radiotelevizioni i Kosovës / Radio-televizija Kosova“ einer ausgewogenen und repräsentativen Aufsicht unterliegt; </w:t>
            </w:r>
            <w:r>
              <w:rPr>
                <w:b/>
                <w:i/>
              </w:rPr>
              <w:t>fordert die staatlichen Stellen des Kosovo auf, die Mitglieder des RTK-Vorstands und den Generaldirektor der RTK in einem transparenten und leistungsorientierten Verfahren zu ernennen, um das wirksame Funktionieren des öffentlich-rechtlichen Rundfunks im Kosovo zu gewährleisten;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betont, dass dafür gesorgt werden muss, dass der öffentlich-rechtliche Rundfunk nachhaltig finanziert wird und seine Unabhängigkeit gewahrt bleibt; fordert, dass die öffentlich-rechtliche Rundfunkanstalt des Kosovo „Radiotelevizioni i Kosovës / Radio-televizija Kosova“ einer ausgewogenen und repräsentativen Aufsicht unterliegt;</w:t>
            </w:r>
          </w:p>
        </w:tc>
        <w:tc>
          <w:tcPr>
            <w:tcW w:w="4876" w:type="dxa"/>
            <w:tcBorders>
              <w:top w:val="nil"/>
              <w:left w:val="nil"/>
              <w:bottom w:val="nil"/>
              <w:right w:val="nil"/>
            </w:tcBorders>
          </w:tcPr>
          <w:p>
            <w:pPr>
              <w:pStyle w:val="Normal6a"/>
            </w:pPr>
            <w:r>
              <w:t>21.</w:t>
            </w:r>
            <w:r>
              <w:tab/>
            </w:r>
            <w:r>
              <w:t>betont, dass dafür gesorgt werden muss, dass der öffentlich-rechtliche Rundfunk nachhaltig finanziert wird und seine Unabhängigkeit gewahrt bleibt</w:t>
            </w:r>
            <w:r>
              <w:rPr>
                <w:b/>
                <w:i/>
              </w:rPr>
              <w:t>;</w:t>
            </w:r>
            <w:r>
              <w:t xml:space="preserve"> </w:t>
            </w:r>
            <w:r>
              <w:rPr>
                <w:b/>
                <w:i/>
              </w:rPr>
              <w:t>betont, dass eine zu große Rolle der öffentlich-rechtlichen Rundfunkanstalt zu einer übermäßigen Medienkonzentration und damit zu einer Einschränkung der pluralistischen Medienlandschaft führen könnte, die für die Demokratie von wesentlicher Bedeutung ist;</w:t>
            </w:r>
            <w:r>
              <w:t xml:space="preserve"> </w:t>
            </w:r>
            <w:r>
              <w:rPr>
                <w:b/>
                <w:i/>
              </w:rPr>
              <w:t>fordert das Kosovo daher auf, sich auf die Schaffung von Bedingungen zu konzentrieren, unter denen pluralistische Medien arbeiten können</w:t>
            </w:r>
            <w:r>
              <w:t>; fordert, dass die öffentlich-rechtliche Rundfunkanstalt des Kosovo „Radiotelevizioni i Kosovës / Radio-televizija Kosova“ einer ausgewogenen und repräsentativen Aufsicht unterliegt;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betont, dass dafür gesorgt werden muss, dass der öffentlich-rechtliche Rundfunk nachhaltig finanziert wird und seine Unabhängigkeit gewahrt bleibt; fordert, dass die öffentlich-rechtliche Rundfunkanstalt des Kosovo „Radiotelevizioni i Kosovës / Radio-televizija Kosova“ einer ausgewogenen und repräsentativen Aufsicht unterliegt;</w:t>
            </w:r>
          </w:p>
        </w:tc>
        <w:tc>
          <w:tcPr>
            <w:tcW w:w="4876" w:type="dxa"/>
            <w:tcBorders>
              <w:top w:val="nil"/>
              <w:left w:val="nil"/>
              <w:bottom w:val="nil"/>
              <w:right w:val="nil"/>
            </w:tcBorders>
          </w:tcPr>
          <w:p>
            <w:pPr>
              <w:pStyle w:val="Normal6a"/>
            </w:pPr>
            <w:r>
              <w:t>21.</w:t>
            </w:r>
            <w:r>
              <w:tab/>
            </w:r>
            <w:r>
              <w:t xml:space="preserve">betont, dass dafür gesorgt werden muss, dass der öffentlich-rechtliche Rundfunk nachhaltig finanziert wird und seine Unabhängigkeit gewahrt bleibt; fordert, dass die öffentlich-rechtliche Rundfunkanstalt des Kosovo „Radiotelevizioni i Kosovës / Radio-televizija Kosova“ einer ausgewogenen und repräsentativen Aufsicht unterliegt; </w:t>
            </w:r>
            <w:r>
              <w:rPr>
                <w:b/>
                <w:i/>
              </w:rPr>
              <w:t>betont, dass bei jeder Reform der öffentlich-rechtlichen Rundfunkanstalt die redaktionelle Unabhängigkeit gewahrt, politische Einflussnahme vermieden und eine nachhaltige und transparente Finanzierung sichergestellt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betont, dass dafür gesorgt werden muss, dass der öffentlich-rechtliche Rundfunk nachhaltig finanziert wird und seine Unabhängigkeit gewahrt bleibt; fordert, dass die öffentlich-rechtliche Rundfunkanstalt des Kosovo „Radiotelevizioni i Kosovës / Radio-televizija Kosova“ einer ausgewogenen </w:t>
            </w:r>
            <w:r>
              <w:rPr>
                <w:b/>
                <w:i/>
              </w:rPr>
              <w:t>und</w:t>
            </w:r>
            <w:r>
              <w:t xml:space="preserve"> repräsentativen Aufsicht unterliegt;</w:t>
            </w:r>
          </w:p>
        </w:tc>
        <w:tc>
          <w:tcPr>
            <w:tcW w:w="4876" w:type="dxa"/>
            <w:tcBorders>
              <w:top w:val="nil"/>
              <w:left w:val="nil"/>
              <w:bottom w:val="nil"/>
              <w:right w:val="nil"/>
            </w:tcBorders>
          </w:tcPr>
          <w:p>
            <w:pPr>
              <w:pStyle w:val="Normal6a"/>
            </w:pPr>
            <w:r>
              <w:t>21.</w:t>
            </w:r>
            <w:r>
              <w:tab/>
            </w:r>
            <w:r>
              <w:t>betont, dass dafür gesorgt werden muss, dass der öffentlich-rechtliche Rundfunk nachhaltig finanziert wird und seine Unabhängigkeit gewahrt bleibt</w:t>
            </w:r>
            <w:r>
              <w:rPr>
                <w:b/>
                <w:i/>
              </w:rPr>
              <w:t>, und dass die ihm zugrunde liegenden Rechtsvorschriften geändert werden müssen</w:t>
            </w:r>
            <w:r>
              <w:t>; fordert, dass die öffentlich-rechtliche Rundfunkanstalt des Kosovo „Radiotelevizioni i Kosovës / Radio-televizija Kosova“ einer ausgewogenen</w:t>
            </w:r>
            <w:r>
              <w:rPr>
                <w:b/>
                <w:i/>
              </w:rPr>
              <w:t>,</w:t>
            </w:r>
            <w:r>
              <w:t xml:space="preserve"> repräsentativen </w:t>
            </w:r>
            <w:r>
              <w:rPr>
                <w:b/>
                <w:i/>
              </w:rPr>
              <w:t>und politisch unabhängigen</w:t>
            </w:r>
            <w:r>
              <w:t xml:space="preserve"> Aufsicht unterliegt;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nimmt mit Besorgnis zur Kenntnis, dass im Bericht des US-Außenministeriums über Menschenhandel aus dem Jahr 2025 hervorgehoben wird, dass die zuständigen staatlichen Stellen im Kosovo die Mindeststandards für die Beseitigung des Menschenhandels nicht vollständig erfüllt haben, obwohl sie verstärkte Anstrengungen unter Beweis gestellt haben, einschließlich verbesserter Strafverfolgungsquoten und verstärkter Maßnahmen zur Unterstützung der Opfer;</w:t>
            </w:r>
            <w:r>
              <w:t xml:space="preserve"> </w:t>
            </w:r>
            <w:r>
              <w:rPr>
                <w:b/>
                <w:i/>
              </w:rPr>
              <w:t>in dem Bericht werden jedoch anhaltende Mängel hervorgehoben, insbesondere die geringe Zahl von Verurteilungen, Freisprüche mutmaßlicher Menschenhändler, milde Strafen unterhalb der gesetzlichen Mindeststrafen, Mängel bei der Identifizierung der Opfer, insbesondere in Fällen von Zwangsbettelei, und unzureichende langfristige Unterstützungs- und Präventionsbemühungen</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https://www.state.gov/reports/2025-trafficking-in-persons-report/kosovo/.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fordert das Kosovo auf, den Rechtsrahmen für die Unabhängige Medienkommission weiter an die Empfehlungen des Europarats und die EU-Standards anzugleichen, um die regulatorische Unabhängigkeit, die Rechtssicherheit und das Vertrauen der Öffentlichkeit in die Medienaufsicht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ist besorgt </w:t>
            </w:r>
            <w:r>
              <w:rPr>
                <w:b/>
                <w:i/>
              </w:rPr>
              <w:t>darüber, dass ausländische Akteure insbesondere in Zeiten von Wahlen vermehrt</w:t>
            </w:r>
            <w:r>
              <w:t xml:space="preserve"> Desinformation </w:t>
            </w:r>
            <w:r>
              <w:rPr>
                <w:b/>
                <w:i/>
              </w:rPr>
              <w:t>in Bezug auf interethnische Spannungen verbreiten</w:t>
            </w:r>
            <w:r>
              <w:t xml:space="preserve">; fordert </w:t>
            </w:r>
            <w:r>
              <w:rPr>
                <w:b/>
                <w:i/>
              </w:rPr>
              <w:t>eine verstärkte</w:t>
            </w:r>
            <w:r>
              <w:t xml:space="preserve"> institutionelle Reaktion </w:t>
            </w:r>
            <w:r>
              <w:rPr>
                <w:b/>
                <w:i/>
              </w:rPr>
              <w:t>und eine verbesserte</w:t>
            </w:r>
            <w:r>
              <w:t xml:space="preserve"> Medienkompetenz;</w:t>
            </w:r>
          </w:p>
        </w:tc>
        <w:tc>
          <w:tcPr>
            <w:tcW w:w="4876" w:type="dxa"/>
            <w:tcBorders>
              <w:top w:val="nil"/>
              <w:left w:val="nil"/>
              <w:bottom w:val="nil"/>
              <w:right w:val="nil"/>
            </w:tcBorders>
          </w:tcPr>
          <w:p>
            <w:pPr>
              <w:pStyle w:val="Normal6a"/>
            </w:pPr>
            <w:r>
              <w:t>22.</w:t>
            </w:r>
            <w:r>
              <w:tab/>
            </w:r>
            <w:r>
              <w:t xml:space="preserve">ist </w:t>
            </w:r>
            <w:r>
              <w:rPr>
                <w:b/>
                <w:i/>
              </w:rPr>
              <w:t>zutiefst</w:t>
            </w:r>
            <w:r>
              <w:t xml:space="preserve"> besorgt </w:t>
            </w:r>
            <w:r>
              <w:rPr>
                <w:b/>
                <w:i/>
              </w:rPr>
              <w:t>über die Verbreitung von</w:t>
            </w:r>
            <w:r>
              <w:t xml:space="preserve"> Desinformation </w:t>
            </w:r>
            <w:r>
              <w:rPr>
                <w:b/>
                <w:i/>
              </w:rPr>
              <w:t>und manipulativen Narrativen im Zusammenhang mit interethnischen Beziehungen, insbesondere während der Wahlen und vor allem im Norden des Kosovo;</w:t>
            </w:r>
            <w:r>
              <w:t xml:space="preserve"> </w:t>
            </w:r>
            <w:r>
              <w:rPr>
                <w:b/>
                <w:i/>
              </w:rPr>
              <w:t>nimmt Berichte über Druck und Einschüchterung, von denen kosovo-serbische Wähler betroffen sind, und über Desinformationskampagnen von durch Belgrad unterstützten Medien sowie die anhaltende Verbreitung hetzerischer Online-Inhalte während des Wahlzyklus 2025 zur Kenntnis</w:t>
            </w:r>
            <w:r>
              <w:t xml:space="preserve">; fordert </w:t>
            </w:r>
            <w:r>
              <w:rPr>
                <w:b/>
                <w:i/>
              </w:rPr>
              <w:t>das Kosovo auf, seine</w:t>
            </w:r>
            <w:r>
              <w:t xml:space="preserve"> institutionelle Reaktion </w:t>
            </w:r>
            <w:r>
              <w:rPr>
                <w:b/>
                <w:i/>
              </w:rPr>
              <w:t>durch koordinierte Überwachungs- und Reaktionsmechanismen, strategische Kommunikation, Unterstützung für eine unabhängige Faktenprüfung, gezielte Maßnahmen zur</w:t>
            </w:r>
            <w:r>
              <w:t xml:space="preserve"> Medienkompetenz</w:t>
            </w:r>
            <w:r>
              <w:rPr>
                <w:b/>
                <w:i/>
              </w:rPr>
              <w:t>, auch in Minderheitensprachen, und eine enge Zusammenarbeit mit der Union und internationalen Partnern zu verstärken und dabei die Meinungsfreiheit und den Medienpluralismus uneingeschränkt zu achten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ist besorgt darüber, dass ausländische Akteure insbesondere in Zeiten von Wahlen vermehrt Desinformation in Bezug auf interethnische Spannungen verbreiten; fordert eine verstärkte institutionelle Reaktion und eine verbesserte Medienkompetenz;</w:t>
            </w:r>
          </w:p>
        </w:tc>
        <w:tc>
          <w:tcPr>
            <w:tcW w:w="4876" w:type="dxa"/>
            <w:tcBorders>
              <w:top w:val="nil"/>
              <w:left w:val="nil"/>
              <w:bottom w:val="nil"/>
              <w:right w:val="nil"/>
            </w:tcBorders>
          </w:tcPr>
          <w:p>
            <w:pPr>
              <w:pStyle w:val="Normal6a"/>
            </w:pPr>
            <w:r>
              <w:t>22.</w:t>
            </w:r>
            <w:r>
              <w:tab/>
            </w:r>
            <w:r>
              <w:t>ist besorgt darüber, dass ausländische Akteure</w:t>
            </w:r>
            <w:r>
              <w:rPr>
                <w:b/>
                <w:i/>
              </w:rPr>
              <w:t>, vor allem mit dem russischen und dem serbischen Staat verbundene Quellen,</w:t>
            </w:r>
            <w:r>
              <w:t xml:space="preserve"> insbesondere in Zeiten von Wahlen vermehrt Desinformation in Bezug auf interethnische Spannungen verbreiten; </w:t>
            </w:r>
            <w:r>
              <w:rPr>
                <w:b/>
                <w:i/>
              </w:rPr>
              <w:t>ist nach wie vor ernsthaft besorgt über böswillige Einflussnahme aus dem Ausland, Destabilisierungsbemühungen und hybride Bedrohungen, einschließlich KI-generierter Desinformation und koordinierter Online-Kampagnen, die darauf abzielen, politische Prozesse und die öffentliche Meinung zu beeinflussen;</w:t>
            </w:r>
            <w:r>
              <w:t xml:space="preserve"> fordert eine verstärkte institutionelle Reaktion und eine verbesserte Medienkompetenz; </w:t>
            </w:r>
            <w:r>
              <w:rPr>
                <w:b/>
                <w:i/>
              </w:rPr>
              <w:t>fordert, dass die europäische Zusammenarbeit mit dem Kosovo beim Vorgehen gegen Desinformation, Einflussnahme aus dem Ausland, Cyberbedrohungen und hybride Bedrohungen, die darauf abzielen, die europäische Perspektive des Landes und der Region zu untergraben, gestärkt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ist besorgt darüber, dass ausländische Akteure insbesondere in Zeiten von Wahlen vermehrt Desinformation in Bezug auf interethnische Spannungen verbreiten; fordert eine verstärkte institutionelle Reaktion und eine verbesserte Medienkompetenz;</w:t>
            </w:r>
          </w:p>
        </w:tc>
        <w:tc>
          <w:tcPr>
            <w:tcW w:w="4876" w:type="dxa"/>
            <w:tcBorders>
              <w:top w:val="nil"/>
              <w:left w:val="nil"/>
              <w:bottom w:val="nil"/>
              <w:right w:val="nil"/>
            </w:tcBorders>
          </w:tcPr>
          <w:p>
            <w:pPr>
              <w:pStyle w:val="Normal6a"/>
            </w:pPr>
            <w:r>
              <w:t>22.</w:t>
            </w:r>
            <w:r>
              <w:tab/>
            </w:r>
            <w:r>
              <w:t xml:space="preserve">ist besorgt darüber, dass ausländische Akteure insbesondere in Zeiten von Wahlen vermehrt Desinformation in Bezug auf interethnische Spannungen verbreiten; fordert eine verstärkte institutionelle Reaktion und eine verbesserte Medienkompetenz; </w:t>
            </w:r>
            <w:r>
              <w:rPr>
                <w:b/>
                <w:i/>
              </w:rPr>
              <w:t>fordert das Kosovo und seine regionalen Partner auf, bei der Abwehr externer Bedrohungen geeint zu bleiben und die regionale Zusammenarbeit zu verstärken;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ist besorgt darüber, dass ausländische Akteure insbesondere in Zeiten von Wahlen vermehrt Desinformation in Bezug auf interethnische Spannungen verbreiten; fordert eine verstärkte institutionelle Reaktion und eine verbesserte Medienkompetenz;</w:t>
            </w:r>
          </w:p>
        </w:tc>
        <w:tc>
          <w:tcPr>
            <w:tcW w:w="4876" w:type="dxa"/>
            <w:tcBorders>
              <w:top w:val="nil"/>
              <w:left w:val="nil"/>
              <w:bottom w:val="nil"/>
              <w:right w:val="nil"/>
            </w:tcBorders>
          </w:tcPr>
          <w:p>
            <w:pPr>
              <w:pStyle w:val="Normal6a"/>
            </w:pPr>
            <w:r>
              <w:t>22.</w:t>
            </w:r>
            <w:r>
              <w:tab/>
            </w:r>
            <w:r>
              <w:t>ist besorgt darüber, dass ausländische Akteure insbesondere in Zeiten von Wahlen vermehrt Desinformation</w:t>
            </w:r>
            <w:r>
              <w:rPr>
                <w:b/>
                <w:i/>
              </w:rPr>
              <w:t>, unter anderem</w:t>
            </w:r>
            <w:r>
              <w:t xml:space="preserve"> in Bezug auf interethnische Spannungen</w:t>
            </w:r>
            <w:r>
              <w:rPr>
                <w:b/>
                <w:i/>
              </w:rPr>
              <w:t>,</w:t>
            </w:r>
            <w:r>
              <w:t xml:space="preserve"> verbreiten</w:t>
            </w:r>
            <w:r>
              <w:rPr>
                <w:b/>
                <w:i/>
              </w:rPr>
              <w:t>, was weiter zur politischen Polarisierung beiträgt</w:t>
            </w:r>
            <w:r>
              <w:t>; fordert eine verstärkte institutionelle Reaktion und eine verbesserte Medienkompetenz;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ist besorgt darüber, dass ausländische Akteure insbesondere in Zeiten von Wahlen vermehrt Desinformation in Bezug auf interethnische Spannungen verbreiten; fordert eine verstärkte institutionelle Reaktion und eine verbesserte Medienkompetenz;</w:t>
            </w:r>
          </w:p>
        </w:tc>
        <w:tc>
          <w:tcPr>
            <w:tcW w:w="4876" w:type="dxa"/>
            <w:tcBorders>
              <w:top w:val="nil"/>
              <w:left w:val="nil"/>
              <w:bottom w:val="nil"/>
              <w:right w:val="nil"/>
            </w:tcBorders>
          </w:tcPr>
          <w:p>
            <w:pPr>
              <w:pStyle w:val="Normal6a"/>
            </w:pPr>
            <w:r>
              <w:t>22.</w:t>
            </w:r>
            <w:r>
              <w:tab/>
            </w:r>
            <w:r>
              <w:t xml:space="preserve">ist besorgt darüber, dass ausländische Akteure </w:t>
            </w:r>
            <w:r>
              <w:rPr>
                <w:b/>
                <w:i/>
              </w:rPr>
              <w:t>in Ländern der Region</w:t>
            </w:r>
            <w:r>
              <w:t xml:space="preserve"> insbesondere in Zeiten von Wahlen vermehrt Desinformation in Bezug auf interethnische Spannungen verbreiten; fordert eine verstärkte institutionelle Reaktion und eine verbesserte Medienkompetenz;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ist besorgt darüber, dass ausländische Akteure insbesondere in Zeiten von Wahlen vermehrt Desinformation in Bezug auf interethnische Spannungen verbreiten; fordert eine verstärkte institutionelle Reaktion und eine verbesserte Medienkompetenz;</w:t>
            </w:r>
          </w:p>
        </w:tc>
        <w:tc>
          <w:tcPr>
            <w:tcW w:w="4876" w:type="dxa"/>
            <w:tcBorders>
              <w:top w:val="nil"/>
              <w:left w:val="nil"/>
              <w:bottom w:val="nil"/>
              <w:right w:val="nil"/>
            </w:tcBorders>
          </w:tcPr>
          <w:p>
            <w:pPr>
              <w:pStyle w:val="Normal6a"/>
            </w:pPr>
            <w:r>
              <w:t>22.</w:t>
            </w:r>
            <w:r>
              <w:tab/>
            </w:r>
            <w:r>
              <w:t>ist besorgt darüber, dass ausländische Akteure</w:t>
            </w:r>
            <w:r>
              <w:rPr>
                <w:b/>
                <w:i/>
              </w:rPr>
              <w:t>, etwa Russland,</w:t>
            </w:r>
            <w:r>
              <w:t xml:space="preserve"> insbesondere in Zeiten von Wahlen vermehrt Desinformation in Bezug auf interethnische Spannungen verbreiten; fordert eine verstärkte institutionelle Reaktion und eine verbesserte Medienkompetenz;</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betont, dass die Stärkung der Medien- und Digitalkompetenz von entscheidender Bedeutung ist, um Desinformation sowie ausländischer Informationsmanipulation und Einmischung entgegenzuwirken und die demokratische Resilienz zu stärken;</w:t>
            </w:r>
            <w:r>
              <w:t xml:space="preserve"> </w:t>
            </w:r>
            <w:r>
              <w:rPr>
                <w:b/>
                <w:i/>
              </w:rPr>
              <w:t>betont, dass die Bekämpfung von ausländischer Informationsmanipulation und Einmischung ein integraler Bestandteil der Erfüllung der politischen Beitrittskriterien ist;</w:t>
            </w:r>
            <w:r>
              <w:t xml:space="preserve"> </w:t>
            </w:r>
            <w:r>
              <w:rPr>
                <w:b/>
                <w:i/>
              </w:rPr>
              <w:t>fordert das Kosovo auf, umfassende und inklusive Initiativen zur Medienkompetenz im gesamten Bildungssystem weiterzuentwickeln und umzusetzen, unter anderem durch eine verstärkte Lehrkräfteausbildung und moderne Unterrichtsmaterialien, und die Zusammenarbeit mit unabhängigen Medien, Faktenprüfungsorganisationen und einschlägigen Unionsprogrammen zu verbessern, um kritisches Denken und einen verantwortungsvollen Umgang mit den digitalen Medien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stellt fest, dass der rechtliche und institutionelle Rahmen für die Gleichstellung der Geschlechter und die Bekämpfung geschlechtsspezifischer Gewalt weitgehend vorhanden ist;</w:t>
            </w:r>
            <w:r>
              <w:t xml:space="preserve"> </w:t>
            </w:r>
            <w:r>
              <w:rPr>
                <w:b/>
                <w:i/>
              </w:rPr>
              <w:t>begrüßt einige Fortschritte, wie etwa die Aufstockung der Mittel für spezialisierte Unterstützungsdienste, einschließlich Unterkünften für Opfer geschlechtsspezifischer Gewalt, Sensibilisierungsmaßnahmen und die voll funktionsfähige integrierte Datenbank, in der Fälle häuslicher Gewalt erfasst werden;</w:t>
            </w:r>
            <w:r>
              <w:t xml:space="preserve"> </w:t>
            </w:r>
            <w:r>
              <w:rPr>
                <w:b/>
                <w:i/>
              </w:rPr>
              <w:t>fordert jedoch nachdrücklich eine weitere Verbesserung der Um- und Durchsetzung, da Frauen, insbesondere Frauen, die Minderheiten angehören, nach wie vor zahlreichen Formen der Diskriminierung ausgesetzt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äußert seine tiefe Besorgnis über und verurteilt ausländische Informationsmanipulation und Einflussnahme, einschließlich Desinformationskampagnen, in deren Rahmen interethnische Spannungen und die Zeit vor Wahlen ausgenutzt werden;</w:t>
            </w:r>
            <w:r>
              <w:t xml:space="preserve"> </w:t>
            </w:r>
            <w:r>
              <w:rPr>
                <w:b/>
                <w:i/>
              </w:rPr>
              <w:t>fordert das Kosovo auf, in Zusammenarbeit mit der Europäischen Union, EULEX, der NATO und der Zivilgesellschaft einen interinstitutionellen Rahmen für das frühe Erkennen, koordinierte Reaktion, Cyber-Resilienz und Medienkompetenz zu schaffen;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erinnert daran, dass für die Europäische Union Rechtsstaatlichkeit und Grundrechte absolute Prioritäten sind und dass Fortschritte in anderen Verhandlungskapiteln den Mangel an Ergebnissen in diesen Bereichen nicht ausgleichen können, und weist das Kosovo darauf hin, dass die Nichtbeachtung der Grundprinzipien der Union den gesamten Verhandlungsprozess gefährden kann;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ist besorgt über hybride Bedrohungen, einschließlich Cyberangriffen auf die digitale und öffentliche Infrastruktur des Kosovo;</w:t>
            </w:r>
            <w:r>
              <w:t xml:space="preserve"> </w:t>
            </w:r>
            <w:r>
              <w:rPr>
                <w:b/>
                <w:i/>
              </w:rPr>
              <w:t>fordert die Behörden nachdrücklich auf, die Cybersicherheitskapazitäten zu stärken, die Zusammenarbeit mit der EU und gleichgesinnten Partnern zu verbessern und die Medienkompetenz systematischer in das Bildungssystem zu integrieren;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Davor Ivo Stier,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fordert das Kosovo auf, seine Bemühungen um den digitalen Wandel zu verstärken, unter anderem durch den Ausbau sicherer digitaler öffentlicher Dienste, die Verbesserung der Cybersicherheitskapazitäten und die Verbesserung der Zusammenarbeit mit der Europäischen Union im Bereich der Cybersicherheit und der digitalen Resilienz;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fordert das Kosovo auf, eine gleichberechtigte und diskriminierungsfreie staatliche Bildung in Minderheitensprachen anzubieten;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bedauert, dass das Zivilgesetzbuch des Kosovo noch immer nicht angenommen wurde;</w:t>
            </w:r>
            <w:r>
              <w:t xml:space="preserve"> </w:t>
            </w:r>
            <w:r>
              <w:rPr>
                <w:b/>
                <w:i/>
              </w:rPr>
              <w:t>betont, dass in dem Entwurf des Zivilgesetzbuchs mehrere wichtige Fragen im Zusammenhang mit der Gleichstellung der Geschlechter als Grundwert der EU behandelt werden;</w:t>
            </w:r>
            <w:r>
              <w:t xml:space="preserve"> </w:t>
            </w:r>
            <w:r>
              <w:rPr>
                <w:b/>
                <w:i/>
              </w:rPr>
              <w:t>betont, dass die Rechte aller Menschen im Kosovo im Zivilgesetzbuch verankert werden müssen, damit die verfassungsmäßigen Rechte und Möglichkeiten für die LGBTIQ+-Gemeinschaft gewahrt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22c.</w:t>
            </w:r>
            <w:r>
              <w:tab/>
            </w:r>
            <w:r>
              <w:rPr>
                <w:b/>
                <w:i/>
              </w:rPr>
              <w:t>begrüßt die lebendige und konstruktive Zivilgesellschaft des Kosovo, die im Reformprozess eine sehr entscheidende und positive Rolle spielt;</w:t>
            </w:r>
            <w:r>
              <w:t xml:space="preserve"> </w:t>
            </w:r>
            <w:r>
              <w:rPr>
                <w:b/>
                <w:i/>
              </w:rPr>
              <w:t>fordert die Regierung auf, ihre Zusammenarbeit mit der Zivilgesellschaft und insbesondere mit Frauenrechtsorganisationen bei der Beschlussfassung zu verstärken und den Regierungsrat für die Zusammenarbeit mit der Zivilgesellschaft stärker zu nutzen, um kooperative Beziehungen aufzubauen und die Zivilgesellschaft von Anfang an aufrichtig in einen transparenten Gesetzgebungsprozess einzubeziehen;</w:t>
            </w:r>
            <w:r>
              <w:t xml:space="preserve"> </w:t>
            </w:r>
            <w:r>
              <w:rPr>
                <w:b/>
                <w:i/>
              </w:rPr>
              <w:t>erachtet es als wichtig, die Rechenschaftspflicht und Transparenz in Bezug auf die öffentliche Finanzierung von Organisationen der Zivilgesellschaft zu verbessern;</w:t>
            </w:r>
            <w:r>
              <w:t xml:space="preserve"> </w:t>
            </w:r>
            <w:r>
              <w:rPr>
                <w:b/>
                <w:i/>
              </w:rPr>
              <w:t>betont, dass die Zivilgesellschaft entscheidend ist, wenn es darum geht, Demokratie und Pluralismus zu stärken und eine verantwortungsvolle Staatsführung sowie den sozialen Fortschritt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ist zutiefst besorgt über die Entscheidung der Staatsorgane in Prishtina/Priština, dem Patriarchen Serbiens, Seiner Heiligkeit Porfirije, die Einreise zu Kirchen im Kosovo und zum historischen Sitz des Patriarchats in Peja/Peć zu verbieten;</w:t>
            </w:r>
            <w:r>
              <w:t xml:space="preserve"> </w:t>
            </w:r>
            <w:r>
              <w:rPr>
                <w:b/>
                <w:i/>
              </w:rPr>
              <w:t>stellt fest, dass die Angelegenheit vom Vorsitzenden der Delegation im Parlamentarischen Stabilitäts- und Assoziationsausschuss EU-Serbien, Loucas Fourlas, in einem Schreiben an die Präsidenten der EU-Organe, nämlich António Costa, Ursula von der Leyen und Roberta Metsola, angesprochen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würdigt das aktive Engagement des Kosovo für eine Reihe regionaler Kooperationsinitiativen, etwa das CEFTA, die Energiegemeinschaft, die Verkehrsgemeinschaft, den Südosteuropäischen Kooperationsprozess (SEECP) und den Regionalen Kooperationsrat;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begrüßt, dass die staatlichen Stellen den Fahrplan für eine nachhaltige Lösung für den illegalen Besitz und den Missbrauch von Kleinwaffen und leichten Waffen (SALW) und Explosivstoffen sowie den unerlaubten Handel damit erfolgreich umgesetzt haben;</w:t>
            </w:r>
            <w:r>
              <w:t xml:space="preserve"> </w:t>
            </w:r>
            <w:r>
              <w:rPr>
                <w:b/>
                <w:i/>
              </w:rPr>
              <w:t>begrüßt, dass die Vorschriften des Feuerwaffenprotokolls der Vereinten Nationen in hohem Maße eingehalten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fordert die Europäische Union auf, unverzüglich tätig zu werden, indem sie den notwendigen Druck auf die staatlichen Stellen des Kosovo ausübt, damit der Patriarch von Serbien ungehinderten Zugang zu den Heiligen Kirchen erhält und seine religiösen Pflichten ungehindert ausüben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Elio Di Rupo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weist erneut darauf hin, dass es für die Aussichten des Kosovo auf einen Beitritt zur EU </w:t>
            </w:r>
            <w:r>
              <w:rPr>
                <w:b/>
                <w:i/>
              </w:rPr>
              <w:t>nach wie vor</w:t>
            </w:r>
            <w:r>
              <w:t xml:space="preserve"> unerlässlich ist, die Beziehungen zu Serbien zu normalisieren und die im Rahmen des Dialogs zwischen Belgrad und Prishtina/Priština eingegangenen Verpflichtungen umzusetzen;</w:t>
            </w:r>
          </w:p>
        </w:tc>
        <w:tc>
          <w:tcPr>
            <w:tcW w:w="4876" w:type="dxa"/>
            <w:tcBorders>
              <w:top w:val="nil"/>
              <w:left w:val="nil"/>
              <w:bottom w:val="nil"/>
              <w:right w:val="nil"/>
            </w:tcBorders>
          </w:tcPr>
          <w:p>
            <w:pPr>
              <w:pStyle w:val="Normal6a"/>
            </w:pPr>
            <w:r>
              <w:t>23.</w:t>
            </w:r>
            <w:r>
              <w:tab/>
            </w:r>
            <w:r>
              <w:t xml:space="preserve">weist erneut darauf hin, dass es für die Aussichten des Kosovo auf einen Beitritt zur EU </w:t>
            </w:r>
            <w:r>
              <w:rPr>
                <w:b/>
                <w:i/>
              </w:rPr>
              <w:t>wesentlich und</w:t>
            </w:r>
            <w:r>
              <w:t xml:space="preserve"> unerlässlich ist, die Beziehungen zu Serbien zu normalisieren und die im Rahmen des Dialogs zwischen Belgrad und Prishtina/Priština eingegangenen Verpflichtungen umzusetzen; </w:t>
            </w:r>
            <w:r>
              <w:rPr>
                <w:b/>
                <w:i/>
              </w:rPr>
              <w:t>betont, dass konkrete, dauerhafte und überprüfbare Fortschritte in diesem Bereich von entscheidender Bedeutung sind, um die regionale Stabilität zu stärken und eine europäische Perspektive voranzubringen;</w:t>
            </w:r>
            <w:r>
              <w:t xml:space="preserve"> </w:t>
            </w:r>
            <w:r>
              <w:rPr>
                <w:b/>
                <w:i/>
              </w:rPr>
              <w:t>betont, dass diese Normalisierung nicht vernachlässigt werden darf, sondern eine absolute politische Priorität bleiben muss;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weist erneut darauf hin, dass es für die Aussichten des Kosovo auf einen Beitritt zur EU nach wie vor unerlässlich ist, die Beziehungen zu Serbien zu normalisieren und die im Rahmen des Dialogs zwischen Belgrad und Prishtina/Priština eingegangenen Verpflichtungen umzusetzen;</w:t>
            </w:r>
          </w:p>
        </w:tc>
        <w:tc>
          <w:tcPr>
            <w:tcW w:w="4876" w:type="dxa"/>
            <w:tcBorders>
              <w:top w:val="nil"/>
              <w:left w:val="nil"/>
              <w:bottom w:val="nil"/>
              <w:right w:val="nil"/>
            </w:tcBorders>
          </w:tcPr>
          <w:p>
            <w:pPr>
              <w:pStyle w:val="Normal6a"/>
            </w:pPr>
            <w:r>
              <w:t>23.</w:t>
            </w:r>
            <w:r>
              <w:tab/>
            </w:r>
            <w:r>
              <w:t xml:space="preserve">weist erneut darauf hin, dass es für die Aussichten des Kosovo auf einen Beitritt zur EU nach wie vor unerlässlich ist, die Beziehungen zu Serbien zu normalisieren und die im Rahmen des Dialogs zwischen Belgrad und Prishtina/Priština eingegangenen Verpflichtungen umzusetzen; </w:t>
            </w:r>
            <w:r>
              <w:rPr>
                <w:b/>
                <w:i/>
              </w:rPr>
              <w:t>erwartet von der EU wirksamere Vermittlungsmaßnahmen zwischen den Parteien mit dem Ziel, den derzeitigen Stillstand zu überwinden;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weist erneut darauf hin, dass </w:t>
            </w:r>
            <w:r>
              <w:rPr>
                <w:b/>
                <w:i/>
              </w:rPr>
              <w:t>es für die Aussichten des Kosovo auf einen Beitritt zur EU nach wie vor unerlässlich ist, die</w:t>
            </w:r>
            <w:r>
              <w:t xml:space="preserve"> Beziehungen zu Serbien </w:t>
            </w:r>
            <w:r>
              <w:rPr>
                <w:b/>
                <w:i/>
              </w:rPr>
              <w:t>zu normalisieren</w:t>
            </w:r>
            <w:r>
              <w:t xml:space="preserve"> und die im Rahmen des Dialogs zwischen Belgrad und Prishtina/Priština eingegangenen Verpflichtungen </w:t>
            </w:r>
            <w:r>
              <w:rPr>
                <w:b/>
                <w:i/>
              </w:rPr>
              <w:t>umzusetzen</w:t>
            </w:r>
            <w:r>
              <w:t>;</w:t>
            </w:r>
          </w:p>
        </w:tc>
        <w:tc>
          <w:tcPr>
            <w:tcW w:w="4876" w:type="dxa"/>
            <w:tcBorders>
              <w:top w:val="nil"/>
              <w:left w:val="nil"/>
              <w:bottom w:val="nil"/>
              <w:right w:val="nil"/>
            </w:tcBorders>
          </w:tcPr>
          <w:p>
            <w:pPr>
              <w:pStyle w:val="Normal6a"/>
            </w:pPr>
            <w:r>
              <w:t>23.</w:t>
            </w:r>
            <w:r>
              <w:tab/>
            </w:r>
            <w:r>
              <w:t xml:space="preserve">weist erneut darauf hin, dass </w:t>
            </w:r>
            <w:r>
              <w:rPr>
                <w:b/>
                <w:i/>
              </w:rPr>
              <w:t>die Normalisierung der</w:t>
            </w:r>
            <w:r>
              <w:t xml:space="preserve"> Beziehungen zu Serbien und die </w:t>
            </w:r>
            <w:r>
              <w:rPr>
                <w:b/>
                <w:i/>
              </w:rPr>
              <w:t>Umsetzung der</w:t>
            </w:r>
            <w:r>
              <w:t xml:space="preserve"> im Rahmen des Dialogs zwischen Belgrad und Prishtina/Priština eingegangenen Verpflichtungen </w:t>
            </w:r>
            <w:r>
              <w:rPr>
                <w:b/>
                <w:i/>
              </w:rPr>
              <w:t>sowie die Anerkennung des Kosovo durch Serbien nach wie vor Teil der europäischen Perspektive des Kosovo sind</w:t>
            </w:r>
            <w:r>
              <w:t xml:space="preserve">; </w:t>
            </w:r>
            <w:r>
              <w:rPr>
                <w:b/>
                <w:i/>
              </w:rPr>
              <w:t>stellt ferner fest, dass diese nicht als formale Kriterien für den EU-Beitritt betrachtet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betont, dass die regionale Zusammenarbeit gutnachbarschaftliche Beziehungen ermöglicht hat;</w:t>
            </w:r>
            <w:r>
              <w:t xml:space="preserve"> </w:t>
            </w:r>
            <w:r>
              <w:rPr>
                <w:b/>
                <w:i/>
              </w:rPr>
              <w:t>fordert das Kosovo auf, sich weiterhin an einer Reihe von Initiativen der regionalen Zusammenarbeit zu beteiligen, die nicht nur ein Forum für den politischen Dialog, sondern auch für die Beziehungen zwischen Unternehmen und zwischen den Menschen bieten;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fordert erneut, dass die Qualität des Dialogprozesses durch die Beteiligung von Frauen, durch mehr Transparenz gegenüber der Öffentlichkeit und durch eine sinnvolle Einbeziehung der Zivilgesellschaft verbessert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erachtet es nach wie vor als wichtig, dass sich die staatlichen Stellen des Kosovo als auch Serbiens konstruktiv um ein umfassendes und rechtlich bindendes Normalisierungsabkommen bemühen, das </w:t>
            </w:r>
            <w:r>
              <w:rPr>
                <w:b/>
                <w:i/>
              </w:rPr>
              <w:t>auf dem Grundsatz der gegenseitigen Anerkennung beruht und mit</w:t>
            </w:r>
            <w:r>
              <w:t xml:space="preserve"> dem Völkerrecht </w:t>
            </w:r>
            <w:r>
              <w:rPr>
                <w:b/>
                <w:i/>
              </w:rPr>
              <w:t>im Einklang steht</w:t>
            </w:r>
            <w:r>
              <w:t xml:space="preserve">; fordert das Kosovo und Serbien auf, das Brüsseler Abkommen </w:t>
            </w:r>
            <w:r>
              <w:rPr>
                <w:b/>
                <w:i/>
              </w:rPr>
              <w:t>und das Ohrid-Abkommen</w:t>
            </w:r>
            <w:r>
              <w:t xml:space="preserve"> umzusetzen</w:t>
            </w:r>
            <w:r>
              <w:rPr>
                <w:b/>
                <w:i/>
              </w:rPr>
              <w:t>, d. h. die Vereinigung/Gemeinschaft der Gemeinden mit serbischer Mehrheit zu gründen, seitens Serbiens keine Einwände gegen die Mitgliedschaft des Kosovo in regionalen und internationalen Organisationen zu erheben und keine</w:t>
            </w:r>
            <w:r>
              <w:t xml:space="preserve"> einseitigen Maßnahmen </w:t>
            </w:r>
            <w:r>
              <w:rPr>
                <w:b/>
                <w:i/>
              </w:rPr>
              <w:t>zu ergreifen</w:t>
            </w:r>
            <w:r>
              <w:t xml:space="preserve">, </w:t>
            </w:r>
            <w:r>
              <w:rPr>
                <w:b/>
                <w:i/>
              </w:rPr>
              <w:t>durch die der</w:t>
            </w:r>
            <w:r>
              <w:t xml:space="preserve"> Dialog </w:t>
            </w:r>
            <w:r>
              <w:rPr>
                <w:b/>
                <w:i/>
              </w:rPr>
              <w:t>gefährdet werden könnte</w:t>
            </w:r>
            <w:r>
              <w:t>;</w:t>
            </w:r>
          </w:p>
        </w:tc>
        <w:tc>
          <w:tcPr>
            <w:tcW w:w="4876" w:type="dxa"/>
            <w:tcBorders>
              <w:top w:val="nil"/>
              <w:left w:val="nil"/>
              <w:bottom w:val="nil"/>
              <w:right w:val="nil"/>
            </w:tcBorders>
          </w:tcPr>
          <w:p>
            <w:pPr>
              <w:pStyle w:val="Normal6a"/>
            </w:pPr>
            <w:r>
              <w:t>25.</w:t>
            </w:r>
            <w:r>
              <w:tab/>
            </w:r>
            <w:r>
              <w:t>erachtet es nach wie vor als wichtig, dass sich die staatlichen Stellen des Kosovo als auch Serbiens konstruktiv um ein umfassendes und rechtlich bindendes Normalisierungsabkommen bemühen, das dem Völkerrecht</w:t>
            </w:r>
            <w:r>
              <w:rPr>
                <w:b/>
                <w:i/>
              </w:rPr>
              <w:t>, dem gemeinsamen Besitzstand der EU und den bereits geschlossenen Abkommen vollumfänglich Rechnung trägt</w:t>
            </w:r>
            <w:r>
              <w:t>; fordert das Kosovo und Serbien auf, das Brüsseler Abkommen</w:t>
            </w:r>
            <w:r>
              <w:rPr>
                <w:b/>
                <w:i/>
              </w:rPr>
              <w:t>, das Abkommen von Ohrid über den Weg zur Normalisierung der Beziehungen zwischen Kosovo und Serbien sowie dessen Anlage betreffend die Durchführung vollständig und unverzüglich</w:t>
            </w:r>
            <w:r>
              <w:t xml:space="preserve"> umzusetzen </w:t>
            </w:r>
            <w:r>
              <w:rPr>
                <w:b/>
                <w:i/>
              </w:rPr>
              <w:t>und zu diesem Zweck unter anderem eine legitime Form der Selbstverwaltung für die serbische Gemeinschaft im Einklang mit den im Rahmen des Dialogs getroffenen Vereinbarungen und der geltenden verfassungsrechtlichen sowie rechtlichen Ordnung einzurichten und die Kosovo-Serben wieder vollständig in die entsprechenden Institutionen einzugliedern;</w:t>
            </w:r>
            <w:r>
              <w:t xml:space="preserve"> </w:t>
            </w:r>
            <w:r>
              <w:rPr>
                <w:b/>
                <w:i/>
              </w:rPr>
              <w:t>fordert beide Seiten auf, von</w:t>
            </w:r>
            <w:r>
              <w:t xml:space="preserve"> einseitigen </w:t>
            </w:r>
            <w:r>
              <w:rPr>
                <w:b/>
                <w:i/>
              </w:rPr>
              <w:t>und provokativen</w:t>
            </w:r>
            <w:r>
              <w:t xml:space="preserve"> Maßnahmen </w:t>
            </w:r>
            <w:r>
              <w:rPr>
                <w:b/>
                <w:i/>
              </w:rPr>
              <w:t>abzusehen</w:t>
            </w:r>
            <w:r>
              <w:t xml:space="preserve">, </w:t>
            </w:r>
            <w:r>
              <w:rPr>
                <w:b/>
                <w:i/>
              </w:rPr>
              <w:t>die den</w:t>
            </w:r>
            <w:r>
              <w:t xml:space="preserve"> Dialog </w:t>
            </w:r>
            <w:r>
              <w:rPr>
                <w:b/>
                <w:i/>
              </w:rPr>
              <w:t>untergraben</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erachtet es nach wie vor als wichtig, dass sich die staatlichen Stellen des Kosovo als auch Serbiens konstruktiv um </w:t>
            </w:r>
            <w:r>
              <w:rPr>
                <w:b/>
                <w:i/>
              </w:rPr>
              <w:t>ein umfassendes</w:t>
            </w:r>
            <w:r>
              <w:t xml:space="preserve"> und rechtlich </w:t>
            </w:r>
            <w:r>
              <w:rPr>
                <w:b/>
                <w:i/>
              </w:rPr>
              <w:t>bindendes Normalisierungsabkommen bemühen, das auf dem Grundsatz der gegenseitigen Anerkennung beruht und mit dem Völkerrecht im Einklang steht</w:t>
            </w:r>
            <w:r>
              <w:t>; fordert das Kosovo und Serbien auf, das Brüsseler Abkommen und das Ohrid-Abkommen umzusetzen, d. h. die Vereinigung/Gemeinschaft der Gemeinden mit serbischer Mehrheit zu gründen, seitens Serbiens keine Einwände gegen die Mitgliedschaft des Kosovo in regionalen und internationalen Organisationen zu erheben und keine einseitigen Maßnahmen zu ergreifen, durch die der Dialog gefährdet werden könnte;</w:t>
            </w:r>
          </w:p>
        </w:tc>
        <w:tc>
          <w:tcPr>
            <w:tcW w:w="4876" w:type="dxa"/>
            <w:tcBorders>
              <w:top w:val="nil"/>
              <w:left w:val="nil"/>
              <w:bottom w:val="nil"/>
              <w:right w:val="nil"/>
            </w:tcBorders>
          </w:tcPr>
          <w:p>
            <w:pPr>
              <w:pStyle w:val="Normal6a"/>
            </w:pPr>
            <w:r>
              <w:t>25.</w:t>
            </w:r>
            <w:r>
              <w:tab/>
            </w:r>
            <w:r>
              <w:t xml:space="preserve">erachtet es nach wie vor als wichtig, dass sich die staatlichen Stellen des Kosovo als auch Serbiens konstruktiv um </w:t>
            </w:r>
            <w:r>
              <w:rPr>
                <w:b/>
                <w:i/>
              </w:rPr>
              <w:t>die Umsetzung des Abkommens über den Weg zur Normalisierung und seines Anhangs zur Durchführung bemühen, das für beide Parteien nach wie vor gültig</w:t>
            </w:r>
            <w:r>
              <w:t xml:space="preserve"> und rechtlich </w:t>
            </w:r>
            <w:r>
              <w:rPr>
                <w:b/>
                <w:i/>
              </w:rPr>
              <w:t>bindend ist</w:t>
            </w:r>
            <w:r>
              <w:t>; fordert das Kosovo und Serbien auf, das Brüsseler Abkommen und das Ohrid-Abkommen umzusetzen, d. h. die Vereinigung/Gemeinschaft der Gemeinden mit serbischer Mehrheit zu gründen, seitens Serbiens keine Einwände gegen die Mitgliedschaft des Kosovo in regionalen und internationalen Organisationen zu erheben und keine einseitigen Maßnahmen zu ergreifen, durch die der Dialog gefährdet werden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erachtet es nach wie vor als wichtig, dass sich die staatlichen Stellen des Kosovo als auch Serbiens konstruktiv um ein umfassendes </w:t>
            </w:r>
            <w:r>
              <w:rPr>
                <w:b/>
                <w:i/>
              </w:rPr>
              <w:t>und</w:t>
            </w:r>
            <w:r>
              <w:t xml:space="preserve"> rechtlich bindendes Normalisierungsabkommen bemühen</w:t>
            </w:r>
            <w:r>
              <w:rPr>
                <w:b/>
                <w:i/>
              </w:rPr>
              <w:t>, das auf dem Grundsatz der gegenseitigen Anerkennung beruht und mit dem Völkerrecht im Einklang steht</w:t>
            </w:r>
            <w:r>
              <w:t>; fordert das Kosovo und Serbien auf, das Brüsseler Abkommen und das Ohrid-Abkommen umzusetzen, d. h. die Vereinigung/Gemeinschaft der Gemeinden mit serbischer Mehrheit zu gründen, seitens Serbiens keine Einwände gegen die Mitgliedschaft des Kosovo in regionalen und internationalen Organisationen zu erheben und keine einseitigen Maßnahmen zu ergreifen, durch die der Dialog gefährdet werden könnte;</w:t>
            </w:r>
          </w:p>
        </w:tc>
        <w:tc>
          <w:tcPr>
            <w:tcW w:w="4876" w:type="dxa"/>
            <w:tcBorders>
              <w:top w:val="nil"/>
              <w:left w:val="nil"/>
              <w:bottom w:val="nil"/>
              <w:right w:val="nil"/>
            </w:tcBorders>
          </w:tcPr>
          <w:p>
            <w:pPr>
              <w:pStyle w:val="Normal6a"/>
            </w:pPr>
            <w:r>
              <w:t>25.</w:t>
            </w:r>
            <w:r>
              <w:tab/>
            </w:r>
            <w:r>
              <w:t xml:space="preserve">erachtet es nach wie vor als wichtig, dass sich die staatlichen Stellen des Kosovo als auch Serbiens konstruktiv um ein umfassendes rechtlich bindendes Normalisierungsabkommen </w:t>
            </w:r>
            <w:r>
              <w:rPr>
                <w:b/>
                <w:i/>
              </w:rPr>
              <w:t>auf der Grundlage des Völkerrechts</w:t>
            </w:r>
            <w:r>
              <w:t xml:space="preserve"> bemühen; fordert das Kosovo und Serbien auf, das Brüsseler Abkommen und das Ohrid-Abkommen umzusetzen, d. h. die Vereinigung/Gemeinschaft der Gemeinden mit serbischer Mehrheit zu gründen, seitens Serbiens keine Einwände gegen die Mitgliedschaft des Kosovo in regionalen und internationalen Organisationen zu erheben und keine einseitigen Maßnahmen zu ergreifen, durch die der Dialog gefährdet werden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Francisco José Millán Mon, Antonio López-Istúriz White, Gabriel Mato, 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erachtet es nach wie vor als wichtig, dass sich die staatlichen Stellen </w:t>
            </w:r>
            <w:r>
              <w:rPr>
                <w:b/>
                <w:i/>
              </w:rPr>
              <w:t>des Kosovo als auch</w:t>
            </w:r>
            <w:r>
              <w:t xml:space="preserve"> Serbiens konstruktiv um ein umfassendes und rechtlich bindendes Normalisierungsabkommen bemühen, das </w:t>
            </w:r>
            <w:r>
              <w:rPr>
                <w:b/>
                <w:i/>
              </w:rPr>
              <w:t>auf dem Grundsatz der gegenseitigen Anerkennung beruht und mit dem Völkerrecht im Einklang steht</w:t>
            </w:r>
            <w:r>
              <w:t>; fordert das Kosovo und Serbien auf, das Brüsseler Abkommen und das Ohrid-Abkommen umzusetzen, d. h. die Vereinigung/Gemeinschaft der Gemeinden mit serbischer Mehrheit zu gründen, seitens Serbiens keine Einwände gegen die Mitgliedschaft des Kosovo in regionalen und internationalen Organisationen zu erheben und keine einseitigen Maßnahmen zu ergreifen, durch die der Dialog gefährdet werden könnte;</w:t>
            </w:r>
          </w:p>
        </w:tc>
        <w:tc>
          <w:tcPr>
            <w:tcW w:w="4876" w:type="dxa"/>
            <w:tcBorders>
              <w:top w:val="nil"/>
              <w:left w:val="nil"/>
              <w:bottom w:val="nil"/>
              <w:right w:val="nil"/>
            </w:tcBorders>
          </w:tcPr>
          <w:p>
            <w:pPr>
              <w:pStyle w:val="Normal6a"/>
            </w:pPr>
            <w:r>
              <w:t>25.</w:t>
            </w:r>
            <w:r>
              <w:tab/>
            </w:r>
            <w:r>
              <w:t xml:space="preserve">erachtet es nach wie vor als wichtig, dass sich die </w:t>
            </w:r>
            <w:r>
              <w:rPr>
                <w:b/>
                <w:i/>
              </w:rPr>
              <w:t>Behörden des Kosovo und die</w:t>
            </w:r>
            <w:r>
              <w:t xml:space="preserve"> staatlichen Stellen Serbiens konstruktiv um ein umfassendes und rechtlich bindendes Normalisierungsabkommen bemühen, das </w:t>
            </w:r>
            <w:r>
              <w:rPr>
                <w:b/>
                <w:i/>
              </w:rPr>
              <w:t>für beide Seiten akzeptabel ist</w:t>
            </w:r>
            <w:r>
              <w:t>; fordert das Kosovo und Serbien auf, das Brüsseler Abkommen und das Ohrid-Abkommen umzusetzen, d. h. die Vereinigung/Gemeinschaft der Gemeinden mit serbischer Mehrheit zu gründen, seitens Serbiens keine Einwände gegen die Mitgliedschaft des Kosovo in regionalen und internationalen Organisationen zu erheben und keine einseitigen Maßnahmen zu ergreifen, durch die der Dialog gefährdet werden könnte;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erachtet es nach wie vor als wichtig, dass sich die staatlichen Stellen des Kosovo als auch Serbiens konstruktiv um ein umfassendes und rechtlich bindendes Normalisierungsabkommen bemühen, das </w:t>
            </w:r>
            <w:r>
              <w:rPr>
                <w:b/>
                <w:i/>
              </w:rPr>
              <w:t>auf dem Grundsatz der gegenseitigen Anerkennung beruht und</w:t>
            </w:r>
            <w:r>
              <w:t xml:space="preserve"> mit dem Völkerrecht im Einklang steht; fordert das Kosovo und Serbien auf, das Brüsseler Abkommen und das Ohrid-Abkommen umzusetzen, d. h. die Vereinigung/Gemeinschaft der Gemeinden mit serbischer Mehrheit zu gründen, seitens Serbiens keine Einwände gegen die Mitgliedschaft des Kosovo in regionalen und internationalen Organisationen zu erheben und keine einseitigen Maßnahmen zu ergreifen, durch die der Dialog gefährdet werden könnte;</w:t>
            </w:r>
          </w:p>
        </w:tc>
        <w:tc>
          <w:tcPr>
            <w:tcW w:w="4876" w:type="dxa"/>
            <w:tcBorders>
              <w:top w:val="nil"/>
              <w:left w:val="nil"/>
              <w:bottom w:val="nil"/>
              <w:right w:val="nil"/>
            </w:tcBorders>
          </w:tcPr>
          <w:p>
            <w:pPr>
              <w:pStyle w:val="Normal6a"/>
            </w:pPr>
            <w:r>
              <w:t>25.</w:t>
            </w:r>
            <w:r>
              <w:tab/>
            </w:r>
            <w:r>
              <w:t>erachtet es nach wie vor als wichtig, dass sich die staatlichen Stellen des Kosovo als auch Serbiens konstruktiv um ein umfassendes und rechtlich bindendes Normalisierungsabkommen bemühen, das mit dem Völkerrecht im Einklang steht; fordert das Kosovo und Serbien auf, das Brüsseler Abkommen und das Ohrid-Abkommen umzusetzen, d. h. die Vereinigung/Gemeinschaft der Gemeinden mit serbischer Mehrheit zu gründen, seitens Serbiens keine Einwände gegen die Mitgliedschaft des Kosovo in regionalen und internationalen Organisationen zu erheben und keine einseitigen Maßnahmen zu ergreifen, durch die der Dialog gefährdet werden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erachtet es nach wie vor als wichtig, dass sich die staatlichen Stellen des Kosovo als auch Serbiens konstruktiv um ein umfassendes und rechtlich bindendes Normalisierungsabkommen bemühen, das </w:t>
            </w:r>
            <w:r>
              <w:rPr>
                <w:b/>
                <w:i/>
              </w:rPr>
              <w:t>auf dem Grundsatz der gegenseitigen Anerkennung beruht und</w:t>
            </w:r>
            <w:r>
              <w:t xml:space="preserve"> mit dem Völkerrecht im Einklang steht; fordert das Kosovo und Serbien auf, das Brüsseler Abkommen und das Ohrid-Abkommen umzusetzen, d. h. die Vereinigung/Gemeinschaft der Gemeinden mit serbischer Mehrheit zu gründen, seitens Serbiens keine Einwände gegen die Mitgliedschaft des Kosovo in regionalen und internationalen Organisationen zu erheben und keine einseitigen Maßnahmen zu ergreifen, durch die der Dialog gefährdet werden könnte;</w:t>
            </w:r>
          </w:p>
        </w:tc>
        <w:tc>
          <w:tcPr>
            <w:tcW w:w="4876" w:type="dxa"/>
            <w:tcBorders>
              <w:top w:val="nil"/>
              <w:left w:val="nil"/>
              <w:bottom w:val="nil"/>
              <w:right w:val="nil"/>
            </w:tcBorders>
          </w:tcPr>
          <w:p>
            <w:pPr>
              <w:pStyle w:val="Normal6a"/>
            </w:pPr>
            <w:r>
              <w:t>25.</w:t>
            </w:r>
            <w:r>
              <w:tab/>
            </w:r>
            <w:r>
              <w:t>erachtet es nach wie vor als wichtig, dass sich die staatlichen Stellen des Kosovo als auch Serbiens konstruktiv um ein umfassendes und rechtlich bindendes Normalisierungsabkommen bemühen, das mit dem Völkerrecht im Einklang steht; fordert das Kosovo und Serbien auf, das Brüsseler Abkommen und das Ohrid-Abkommen umzusetzen, d. h. die Vereinigung/Gemeinschaft der Gemeinden mit serbischer Mehrheit zu gründen, seitens Serbiens keine Einwände gegen die Mitgliedschaft des Kosovo in regionalen und internationalen Organisationen zu erheben und keine einseitigen Maßnahmen zu ergreifen, durch die der Dialog gefährdet werden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Nathalie Loiseau,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begrüßt die am 14. März 2026 erzielte Einigung über die Umsetzung des Ausländergesetzes des Kosovo, mit dem Abhilfemaßnahmen für Mitglieder der serbischen Gemeinschaft eingeführt werden;</w:t>
            </w:r>
            <w:r>
              <w:t xml:space="preserve"> </w:t>
            </w:r>
            <w:r>
              <w:rPr>
                <w:b/>
                <w:i/>
              </w:rPr>
              <w:t>stellt fest, dass diese Regelung dazu beiträgt, die Kontinuität des Zugangs zu öffentlichen Dienstleistungen sicherzustellen und die Gefahr eines De-facto-Ausschlusses der Kosovo-Serben zu vermeiden;</w:t>
            </w:r>
            <w:r>
              <w:t xml:space="preserve"> </w:t>
            </w:r>
            <w:r>
              <w:rPr>
                <w:b/>
                <w:i/>
              </w:rPr>
              <w:t>betont, dass solche Lösungen zur Vertrauensbildung beitragen und einen positiven Schritt hin zur Normalisierung der Beziehungen zwischen Belgrad und Prishtina/Priština und zur Förderung gutnachbarlicher Beziehungen darstellen;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Geadis Geadi, 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nimmt zur Kenntnis, dass das Kosovo Maßnahmen ergriffen hat, mit denen es serbische Strukturen zu zerschlagen gedenkt, die wesentliche Dienstleistungen für die serbische Gemeinschaft erbringen, insbesondere im Bereich Bildung;</w:t>
            </w:r>
            <w:r>
              <w:t xml:space="preserve"> </w:t>
            </w:r>
            <w:r>
              <w:rPr>
                <w:b/>
                <w:i/>
              </w:rPr>
              <w:t>missbilligt insbesondere die Schließung der Räumlichkeiten der vorübergehend in Kosovska Mitrovica ansässigen Universität Priština;</w:t>
            </w:r>
            <w:r>
              <w:t xml:space="preserve"> </w:t>
            </w:r>
            <w:r>
              <w:rPr>
                <w:b/>
                <w:i/>
              </w:rPr>
              <w:t>verurteilt aufs Schärfste sämtliche Maßnahmen, die wahrscheinlich dazu geeignet sind, serbischen Studierenden den Zugang zu Bildung zu verwehren, zu ihrer Isolation beizutragen und sie Druck oder Diskriminierung auszusetzen;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verurteilt die ausländische Einmischung in die inneren Angelegenheiten des Kosovo, zu denen auch Provokationen durch jeweils vom serbischen Staat unterstützte Strukturen und illegale bewaffnete Gruppierungen zählen;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Geadis Geadi, 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missbilligt die Schließung von sechs Niederlassungen der Postsparkasse Serbiens im Kosovo;</w:t>
            </w:r>
            <w:r>
              <w:t xml:space="preserve"> </w:t>
            </w:r>
            <w:r>
              <w:rPr>
                <w:b/>
                <w:i/>
              </w:rPr>
              <w:t>weist erneut darauf hin, dass diese Einrichtungen für Transaktionen der ortsansässigen serbischen Gemeinschaft in serbischen Dinar sehr wichtig sind;</w:t>
            </w:r>
            <w:r>
              <w:t xml:space="preserve"> </w:t>
            </w:r>
            <w:r>
              <w:rPr>
                <w:b/>
                <w:i/>
              </w:rPr>
              <w:t>ist der Ansicht, dass diese Maßnahmen dem Prozess der Normalisierung der Beziehungen zwischen dem Kosovo und Serbien abträglich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Geadis Geadi, 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bedauert, dass es auch infolge der schwierigen Lebensbedingungen der Serben im Kosovo in erheblichem Ausmaß zu Auswanderung kommt;</w:t>
            </w:r>
            <w:r>
              <w:t xml:space="preserve"> </w:t>
            </w:r>
            <w:r>
              <w:rPr>
                <w:b/>
                <w:i/>
              </w:rPr>
              <w:t>fordert die Kommission auf, die Erhebung zuverlässiger aktueller Daten zur Quantifizierung dieser Migrationsbewegungen zu unterstützen, um genaue Informationen über die Lage der Serben im Kosovo zu erhalten und zu einem besseren Schutz aller ethnischen oder religiösen Minderheiten beizutragen;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erwartet, dass das Kosovo und Serbien uneingeschränkt kooperieren und sämtliche erforderlichen Maßnahmen ergreifen, damit die Täter des im Jahr 2023 in Banjska verübten Terroranschlags rasch vor Gericht gebracht werden; </w:t>
            </w:r>
            <w:r>
              <w:rPr>
                <w:b/>
                <w:i/>
              </w:rPr>
              <w:t>bedauert</w:t>
            </w:r>
            <w:r>
              <w:t>, dass Serbien noch immer keine strafrechtlichen Schritte gegen die Verantwortlichen eingeleitet hat, insbesondere gegen den Vizepräsidenten der Srpska Lista, Milan Radoičić;</w:t>
            </w:r>
          </w:p>
        </w:tc>
        <w:tc>
          <w:tcPr>
            <w:tcW w:w="4876" w:type="dxa"/>
            <w:tcBorders>
              <w:top w:val="nil"/>
              <w:left w:val="nil"/>
              <w:bottom w:val="nil"/>
              <w:right w:val="nil"/>
            </w:tcBorders>
          </w:tcPr>
          <w:p>
            <w:pPr>
              <w:pStyle w:val="Normal6a"/>
            </w:pPr>
            <w:r>
              <w:t>26.</w:t>
            </w:r>
            <w:r>
              <w:tab/>
            </w:r>
            <w:r>
              <w:t xml:space="preserve">erwartet, dass das Kosovo und Serbien uneingeschränkt kooperieren und sämtliche erforderlichen Maßnahmen ergreifen, damit die Täter des im Jahr 2023 in Banjska verübten Terroranschlags rasch vor Gericht gebracht werden; </w:t>
            </w:r>
            <w:r>
              <w:rPr>
                <w:b/>
                <w:i/>
              </w:rPr>
              <w:t>missbilligt</w:t>
            </w:r>
            <w:r>
              <w:t xml:space="preserve">, dass Serbien noch immer keine strafrechtlichen Schritte gegen die Verantwortlichen eingeleitet hat, insbesondere gegen den Vizepräsidenten der Srpska Lista, Milan Radoičić; </w:t>
            </w:r>
            <w:r>
              <w:rPr>
                <w:b/>
                <w:i/>
              </w:rPr>
              <w:t>bekräftigt, dass alle Personen, die für Gewalttaten verantwortlich sind, im Einklang mit der Rechtsstaatlichkeit und in einem ordnungsgemäßen Verfahren unverzüglich zur Rechenschaft gezogen und vor Gericht gestellt werden müssen;</w:t>
            </w:r>
            <w:r>
              <w:t xml:space="preserve"> </w:t>
            </w:r>
            <w:r>
              <w:rPr>
                <w:b/>
                <w:i/>
              </w:rPr>
              <w:t>verurteilt aufs Schärfste den Anschlag auf den Kanal Ibër-Lepenc/Ibar-Lepenac im Norden des Kosovo im November 2024 und fordert nachdrücklich, dass die Täter rasch festgenommen und vor Gericht gestellt werden;</w:t>
            </w:r>
            <w:r>
              <w:t xml:space="preserve"> </w:t>
            </w:r>
            <w:r>
              <w:rPr>
                <w:b/>
                <w:i/>
              </w:rPr>
              <w:t>fordert Serbien auf, unverzüglich auf das im Januar 2025 eingereichte Ersuchen des Kosovo um Rechtshilfe im Zusammenhang mit diesem Anschlag zu reagieren und uneingeschränkt an den Ermittlungen mitzuwirken;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erwartet, dass das Kosovo und Serbien uneingeschränkt kooperieren und sämtliche erforderlichen Maßnahmen ergreifen, damit die Täter des im Jahr 2023 in Banjska verübten Terroranschlags rasch vor Gericht gebracht werden; </w:t>
            </w:r>
            <w:r>
              <w:rPr>
                <w:b/>
                <w:i/>
              </w:rPr>
              <w:t>bedauert</w:t>
            </w:r>
            <w:r>
              <w:t xml:space="preserve">, dass Serbien noch immer keine strafrechtlichen Schritte gegen die Verantwortlichen eingeleitet hat, insbesondere gegen </w:t>
            </w:r>
            <w:r>
              <w:rPr>
                <w:b/>
                <w:i/>
              </w:rPr>
              <w:t>den Vizepräsidenten</w:t>
            </w:r>
            <w:r>
              <w:t xml:space="preserve"> der Srpska Lista</w:t>
            </w:r>
            <w:r>
              <w:rPr>
                <w:b/>
                <w:i/>
              </w:rPr>
              <w:t>, Milan Radoičić</w:t>
            </w:r>
            <w:r>
              <w:t>;</w:t>
            </w:r>
          </w:p>
        </w:tc>
        <w:tc>
          <w:tcPr>
            <w:tcW w:w="4876" w:type="dxa"/>
            <w:tcBorders>
              <w:top w:val="nil"/>
              <w:left w:val="nil"/>
              <w:bottom w:val="nil"/>
              <w:right w:val="nil"/>
            </w:tcBorders>
          </w:tcPr>
          <w:p>
            <w:pPr>
              <w:pStyle w:val="Normal6a"/>
            </w:pPr>
            <w:r>
              <w:t>26.</w:t>
            </w:r>
            <w:r>
              <w:tab/>
            </w:r>
            <w:r>
              <w:t xml:space="preserve">erwartet, dass das Kosovo und Serbien uneingeschränkt kooperieren und sämtliche erforderlichen Maßnahmen ergreifen, damit die Täter des im Jahr 2023 in Banjska verübten Terroranschlags rasch vor Gericht gebracht werden; </w:t>
            </w:r>
            <w:r>
              <w:rPr>
                <w:b/>
                <w:i/>
              </w:rPr>
              <w:t>missbilligt</w:t>
            </w:r>
            <w:r>
              <w:t xml:space="preserve">, dass Serbien noch immer keine strafrechtlichen Schritte gegen die Verantwortlichen eingeleitet hat, insbesondere gegen </w:t>
            </w:r>
            <w:r>
              <w:rPr>
                <w:b/>
                <w:i/>
              </w:rPr>
              <w:t>Milan Radoičić, der seinerzeit Vizepräsident</w:t>
            </w:r>
            <w:r>
              <w:t xml:space="preserve"> der Srpska Lista </w:t>
            </w:r>
            <w:r>
              <w:rPr>
                <w:b/>
                <w:i/>
              </w:rPr>
              <w:t>war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erwartet, dass </w:t>
            </w:r>
            <w:r>
              <w:rPr>
                <w:b/>
                <w:i/>
              </w:rPr>
              <w:t>das Kosovo und</w:t>
            </w:r>
            <w:r>
              <w:t xml:space="preserve"> Serbien </w:t>
            </w:r>
            <w:r>
              <w:rPr>
                <w:b/>
                <w:i/>
              </w:rPr>
              <w:t>uneingeschränkt kooperieren und</w:t>
            </w:r>
            <w:r>
              <w:t xml:space="preserve"> sämtliche erforderlichen Maßnahmen </w:t>
            </w:r>
            <w:r>
              <w:rPr>
                <w:b/>
                <w:i/>
              </w:rPr>
              <w:t>ergreifen</w:t>
            </w:r>
            <w:r>
              <w:t xml:space="preserve">, damit die Täter des im Jahr 2023 in Banjska verübten Terroranschlags </w:t>
            </w:r>
            <w:r>
              <w:rPr>
                <w:b/>
                <w:i/>
              </w:rPr>
              <w:t>rasch</w:t>
            </w:r>
            <w:r>
              <w:t xml:space="preserve"> vor Gericht </w:t>
            </w:r>
            <w:r>
              <w:rPr>
                <w:b/>
                <w:i/>
              </w:rPr>
              <w:t>gebracht</w:t>
            </w:r>
            <w:r>
              <w:t xml:space="preserve"> werden</w:t>
            </w:r>
            <w:r>
              <w:rPr>
                <w:b/>
                <w:i/>
              </w:rPr>
              <w:t>;</w:t>
            </w:r>
            <w:r>
              <w:t xml:space="preserve"> </w:t>
            </w:r>
            <w:r>
              <w:rPr>
                <w:b/>
                <w:i/>
              </w:rPr>
              <w:t>bedauert</w:t>
            </w:r>
            <w:r>
              <w:t>, dass Serbien noch immer keine strafrechtlichen Schritte gegen die Verantwortlichen eingeleitet hat, insbesondere gegen den Vizepräsidenten der Srpska Lista, Milan Radoičić;</w:t>
            </w:r>
          </w:p>
        </w:tc>
        <w:tc>
          <w:tcPr>
            <w:tcW w:w="4876" w:type="dxa"/>
            <w:tcBorders>
              <w:top w:val="nil"/>
              <w:left w:val="nil"/>
              <w:bottom w:val="nil"/>
              <w:right w:val="nil"/>
            </w:tcBorders>
          </w:tcPr>
          <w:p>
            <w:pPr>
              <w:pStyle w:val="Normal6a"/>
            </w:pPr>
            <w:r>
              <w:t>26.</w:t>
            </w:r>
            <w:r>
              <w:tab/>
            </w:r>
            <w:r>
              <w:t xml:space="preserve">erwartet, dass Serbien sämtliche erforderlichen Maßnahmen </w:t>
            </w:r>
            <w:r>
              <w:rPr>
                <w:b/>
                <w:i/>
              </w:rPr>
              <w:t>ergreift und uneingeschränkt mit dem Kosovo zusammenarbeitet</w:t>
            </w:r>
            <w:r>
              <w:t xml:space="preserve">, damit die Täter des im Jahr 2023 in Banjska verübten Terroranschlags </w:t>
            </w:r>
            <w:r>
              <w:rPr>
                <w:b/>
                <w:i/>
              </w:rPr>
              <w:t>endlich</w:t>
            </w:r>
            <w:r>
              <w:t xml:space="preserve"> vor Gericht </w:t>
            </w:r>
            <w:r>
              <w:rPr>
                <w:b/>
                <w:i/>
              </w:rPr>
              <w:t>gestellt</w:t>
            </w:r>
            <w:r>
              <w:t xml:space="preserve"> werden </w:t>
            </w:r>
            <w:r>
              <w:rPr>
                <w:b/>
                <w:i/>
              </w:rPr>
              <w:t>können;</w:t>
            </w:r>
            <w:r>
              <w:t xml:space="preserve"> </w:t>
            </w:r>
            <w:r>
              <w:rPr>
                <w:b/>
                <w:i/>
              </w:rPr>
              <w:t>missbilligt</w:t>
            </w:r>
            <w:r>
              <w:t xml:space="preserve">, dass Serbien noch immer keine strafrechtlichen Schritte gegen die Verantwortlichen eingeleitet hat, insbesondere gegen den </w:t>
            </w:r>
            <w:r>
              <w:rPr>
                <w:b/>
                <w:i/>
              </w:rPr>
              <w:t>ehemaligen</w:t>
            </w:r>
            <w:r>
              <w:t xml:space="preserve"> Vizepräsidenten der Srpska Lista, Milan Radoičić;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erwartet, dass das Kosovo und Serbien uneingeschränkt kooperieren und sämtliche erforderlichen Maßnahmen ergreifen, damit die Täter des im Jahr 2023 in Banjska verübten Terroranschlags rasch vor Gericht gebracht werden; </w:t>
            </w:r>
            <w:r>
              <w:rPr>
                <w:b/>
                <w:i/>
              </w:rPr>
              <w:t>bedauert</w:t>
            </w:r>
            <w:r>
              <w:t>, dass Serbien noch immer keine strafrechtlichen Schritte gegen die Verantwortlichen eingeleitet hat, insbesondere gegen den Vizepräsidenten der Srpska Lista, Milan Radoičić;</w:t>
            </w:r>
          </w:p>
        </w:tc>
        <w:tc>
          <w:tcPr>
            <w:tcW w:w="4876" w:type="dxa"/>
            <w:tcBorders>
              <w:top w:val="nil"/>
              <w:left w:val="nil"/>
              <w:bottom w:val="nil"/>
              <w:right w:val="nil"/>
            </w:tcBorders>
          </w:tcPr>
          <w:p>
            <w:pPr>
              <w:pStyle w:val="Normal6a"/>
            </w:pPr>
            <w:r>
              <w:t>26.</w:t>
            </w:r>
            <w:r>
              <w:tab/>
            </w:r>
            <w:r>
              <w:t xml:space="preserve">erwartet, dass das Kosovo und Serbien uneingeschränkt kooperieren und sämtliche erforderlichen Maßnahmen ergreifen, damit die Täter des im Jahr 2023 in Banjska verübten Terroranschlags rasch vor Gericht gebracht werden; </w:t>
            </w:r>
            <w:r>
              <w:rPr>
                <w:b/>
                <w:i/>
              </w:rPr>
              <w:t>verurteilt</w:t>
            </w:r>
            <w:r>
              <w:t>, dass Serbien noch immer keine strafrechtlichen Schritte gegen die Verantwortlichen eingeleitet hat, insbesondere gegen den Vizepräsidenten der Srpska Lista, Milan Radoičić;</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ist besorgt darüber, dass die Bedürfnisse und Prioritäten von Frauen aus den Verhandlungen ausgeklammert wurden und Frauen in hochrangigen politischen Ämtern, insbesondere im Zusammenhang mit der Sicherheit und dem Dialog, nach wie vor unterrepräsentiert sind, und betont, dass sie im Einklang mit der Resolution 1325 des Sicherheitsrates der Vereinten Nationen zu Frauen, Frieden und Sicherheit dringend an Friedens- und Aussöhnungsprozessen beteiligt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äußert Besorgnis über in der Region propagierte politische Konzepte und Narrative wie beispielsweise die sogenannte Serbische Welt, durch die die Souveränität und territoriale Unversehrtheit der Nachbarstaaten infrage gestellt werden;</w:t>
            </w:r>
            <w:r>
              <w:t xml:space="preserve"> </w:t>
            </w:r>
            <w:r>
              <w:rPr>
                <w:b/>
                <w:i/>
              </w:rPr>
              <w:t>betont, dass solche Narrative mit den Grundsätzen gutnachbarschaftlicher Beziehungen und dem EU-Beitrittsprozess unvereinbar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Geadis Geadi, 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bedauert, dass mehrere Monate nach der Verhaftung von Serben im Kosovo ohne klare Beweise keine gründlichen Ermittlungen zu den Vorwürfen durchgeführt wurden, wonach die justiziellen Folgemaßnahmen ungewiss seien, und fordert die Kommission auf, diese Fälle zu untersuchen und die Einleitung unabhängiger Untersuchungen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fordert das Kosovo auf, seine Bemühungen zu intensivieren, um den Minderheiten Chancengleichheit und eine angemessene Vertretung im politischen und kulturellen Leben, in den öffentlichen Medien, in der Verwaltung und in der Justiz zu bieten;</w:t>
            </w:r>
            <w:r>
              <w:t xml:space="preserve"> </w:t>
            </w:r>
            <w:r>
              <w:rPr>
                <w:b/>
                <w:i/>
              </w:rPr>
              <w:t>fordert das Kosovo dazu auf, das Kulturerbe, die Sprachen und die Traditionen seiner nationalen Minderheiten zu schützen und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fordert das Kosovo auf, zusätzliche Anstrengungen zu unternehmen, um die Stellung und den Schutz besonders schutzbedürftiger nationaler Minderheiten, beispielsweise der kroatischen Minderheit, zu stärken und auch die Beseitigung der sozialen und wirtschaftlichen Schwierigkeiten dieser nationalen Minderheiten durch verstärkte Aktivitäten voranzutreiben;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fordert das Kosovo auf, mit der Restaurierung aller Kirchen, Denkmäler und Klöster fortzufahren, die geplündert, niedergebrannt, zerstört oder schwer beschädigt wurden, und stellt fest, dass das Thema sowohl politisch als auch aus religiöser Sicht nach wie vor äußerst heikel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26c.</w:t>
            </w:r>
            <w:r>
              <w:tab/>
            </w:r>
            <w:r>
              <w:rPr>
                <w:b/>
                <w:i/>
              </w:rPr>
              <w:t>weist erneut darauf hin, dass die Archive des Geheimdienstes des jugoslawischen Staates (Uprava državne bezbednosti – UDBA) und des Geheimdienstes der jugoslawischen Volksarmee (Kontraobaveštajna služba – KOS) in der Region geöffnet werden müssen, damit Straftaten und kriminelle Organisationen aus der Zeit des Kommunismus gründlich untersucht und entsprechende Maßnahmen ergriffen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26d.</w:t>
            </w:r>
            <w:r>
              <w:tab/>
            </w:r>
            <w:r>
              <w:rPr>
                <w:b/>
                <w:i/>
              </w:rPr>
              <w:t>fordert, dass die kroatische katholische Minderheit und andere katholische Gemeinschaften und ihre Institutionen im Kosovo geschützt werden, wozu auch gehört, im Einklang mit den Grundrechten und den Werten der EU uneingeschränkten Zugang zu Andachtsorten zu gewähren, das religiöse und kulturelle Erbe zu schützen, die sprachlichen Rechte der Kroaten zu schützen und die Originalnamen katholischer Heiliger und religiöser Stätten unverändert in kroatischer Sprache zu 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stellt fest, dass nach wie vor unklar ist, was mit den bis zu 1 590 vermissten </w:t>
            </w:r>
            <w:r>
              <w:rPr>
                <w:b/>
                <w:i/>
              </w:rPr>
              <w:t>Personen</w:t>
            </w:r>
            <w:r>
              <w:t xml:space="preserve"> geschehen ist, und dass zwischen April 2024 und September 2025 lediglich 26 </w:t>
            </w:r>
            <w:r>
              <w:rPr>
                <w:b/>
                <w:i/>
              </w:rPr>
              <w:t>dieser Vermisstenfälle</w:t>
            </w:r>
            <w:r>
              <w:t xml:space="preserve"> aufgeklärt </w:t>
            </w:r>
            <w:r>
              <w:rPr>
                <w:b/>
                <w:i/>
              </w:rPr>
              <w:t>wurden</w:t>
            </w:r>
            <w:r>
              <w:t>;</w:t>
            </w:r>
          </w:p>
        </w:tc>
        <w:tc>
          <w:tcPr>
            <w:tcW w:w="4876" w:type="dxa"/>
            <w:tcBorders>
              <w:top w:val="nil"/>
              <w:left w:val="nil"/>
              <w:bottom w:val="nil"/>
              <w:right w:val="nil"/>
            </w:tcBorders>
          </w:tcPr>
          <w:p>
            <w:pPr>
              <w:pStyle w:val="Normal6a"/>
            </w:pPr>
            <w:r>
              <w:t>27.</w:t>
            </w:r>
            <w:r>
              <w:tab/>
            </w:r>
            <w:r>
              <w:t xml:space="preserve">stellt fest, dass nach wie vor unklar ist, was mit den bis zu 1 590 Vermissten geschehen ist, und dass zwischen April 2024 und </w:t>
            </w:r>
            <w:r>
              <w:rPr>
                <w:b/>
                <w:i/>
              </w:rPr>
              <w:t>dem Ende des Berichtszeitraums im</w:t>
            </w:r>
            <w:r>
              <w:t xml:space="preserve"> September 2025 </w:t>
            </w:r>
            <w:r>
              <w:rPr>
                <w:b/>
                <w:i/>
              </w:rPr>
              <w:t>nur das Schicksal von</w:t>
            </w:r>
            <w:r>
              <w:t xml:space="preserve"> lediglich 26 </w:t>
            </w:r>
            <w:r>
              <w:rPr>
                <w:b/>
                <w:i/>
              </w:rPr>
              <w:t>Vermissten</w:t>
            </w:r>
            <w:r>
              <w:t xml:space="preserve"> aufgeklärt </w:t>
            </w:r>
            <w:r>
              <w:rPr>
                <w:b/>
                <w:i/>
              </w:rPr>
              <w:t>werden konnte</w:t>
            </w:r>
            <w:r>
              <w:t xml:space="preserve">; </w:t>
            </w:r>
            <w:r>
              <w:rPr>
                <w:b/>
                <w:i/>
              </w:rPr>
              <w:t>fordert sowohl das Kosovo als auch Serbien auf, sich konstruktiv und in gutem Glauben an allen fachlichen Beratungen zu beteiligen, in denen das Schicksal der verbleibenden vermissten Personen geklärt werden soll, auch im Rahmen der Unterarbeitsgruppe für kriminaltechnische Fragen, und von jeglicher Politisierung abzusehen;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stellt fest, dass nach wie vor unklar ist, was mit den bis zu 1 590 vermissten </w:t>
            </w:r>
            <w:r>
              <w:rPr>
                <w:b/>
                <w:i/>
              </w:rPr>
              <w:t>Personen</w:t>
            </w:r>
            <w:r>
              <w:t xml:space="preserve"> geschehen ist, und dass zwischen April 2024 und September 2025 lediglich 26 dieser Vermisstenfälle aufgeklärt wurden;</w:t>
            </w:r>
          </w:p>
        </w:tc>
        <w:tc>
          <w:tcPr>
            <w:tcW w:w="4876" w:type="dxa"/>
            <w:tcBorders>
              <w:top w:val="nil"/>
              <w:left w:val="nil"/>
              <w:bottom w:val="nil"/>
              <w:right w:val="nil"/>
            </w:tcBorders>
          </w:tcPr>
          <w:p>
            <w:pPr>
              <w:pStyle w:val="Normal6a"/>
            </w:pPr>
            <w:r>
              <w:t>27.</w:t>
            </w:r>
            <w:r>
              <w:tab/>
            </w:r>
            <w:r>
              <w:t xml:space="preserve">stellt fest, dass nach wie vor unklar ist, was mit den bis zu 1 590 Vermissten geschehen ist, und dass zwischen April 2024 und September 2025 lediglich 26 dieser Vermisstenfälle aufgeklärt wurden; </w:t>
            </w:r>
            <w:r>
              <w:rPr>
                <w:b/>
                <w:i/>
              </w:rPr>
              <w:t>fordert sowohl das Kosovo als auch Serbien auf, ihre diesbezüglichen Anstrengungen zu verstärken;</w:t>
            </w:r>
            <w:r>
              <w:t xml:space="preserve"> </w:t>
            </w:r>
            <w:r>
              <w:rPr>
                <w:b/>
                <w:i/>
              </w:rPr>
              <w:t>fordert die Regierung auf, sich auch im Rahmen des Dialogs zwischen Belgrad und Prishtina/Priština mit diesen Themen zu befassen und eine Zusammenarbeit zwischen dem Kosovo und Serbien aufzunehmen;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stellt fest, dass nach wie vor unklar ist, was mit den bis zu 1 590 vermissten </w:t>
            </w:r>
            <w:r>
              <w:rPr>
                <w:b/>
                <w:i/>
              </w:rPr>
              <w:t>Personen</w:t>
            </w:r>
            <w:r>
              <w:t xml:space="preserve"> geschehen ist, und dass zwischen April 2024 und September 2025 lediglich 26 dieser Vermisstenfälle aufgeklärt wurden;</w:t>
            </w:r>
          </w:p>
        </w:tc>
        <w:tc>
          <w:tcPr>
            <w:tcW w:w="4876" w:type="dxa"/>
            <w:tcBorders>
              <w:top w:val="nil"/>
              <w:left w:val="nil"/>
              <w:bottom w:val="nil"/>
              <w:right w:val="nil"/>
            </w:tcBorders>
          </w:tcPr>
          <w:p>
            <w:pPr>
              <w:pStyle w:val="Normal6a"/>
            </w:pPr>
            <w:r>
              <w:t>27.</w:t>
            </w:r>
            <w:r>
              <w:tab/>
            </w:r>
            <w:r>
              <w:t xml:space="preserve">stellt fest, dass nach wie vor unklar ist, was mit den bis zu 1 590 Vermissten geschehen ist, und dass zwischen April 2024 und September 2025 lediglich 26 dieser Vermisstenfälle aufgeklärt wurden; </w:t>
            </w:r>
            <w:r>
              <w:rPr>
                <w:b/>
                <w:i/>
              </w:rPr>
              <w:t>fordert eine verstärkte Zusammenarbeit im Rahmen des von der EU unterstützten Dialogs, damit unbekannte Massengräber rascher gefunden werden und der Informationsaustausch beschleunigt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stellt fest, dass nach wie vor unklar ist, was mit den bis zu 1 590 vermissten </w:t>
            </w:r>
            <w:r>
              <w:rPr>
                <w:b/>
                <w:i/>
              </w:rPr>
              <w:t>Personen</w:t>
            </w:r>
            <w:r>
              <w:t xml:space="preserve"> geschehen ist, und dass zwischen April 2024 und September 2025 lediglich 26 dieser Vermisstenfälle aufgeklärt wurden;</w:t>
            </w:r>
          </w:p>
        </w:tc>
        <w:tc>
          <w:tcPr>
            <w:tcW w:w="4876" w:type="dxa"/>
            <w:tcBorders>
              <w:top w:val="nil"/>
              <w:left w:val="nil"/>
              <w:bottom w:val="nil"/>
              <w:right w:val="nil"/>
            </w:tcBorders>
          </w:tcPr>
          <w:p>
            <w:pPr>
              <w:pStyle w:val="Normal6a"/>
            </w:pPr>
            <w:r>
              <w:t>27.</w:t>
            </w:r>
            <w:r>
              <w:tab/>
            </w:r>
            <w:r>
              <w:t xml:space="preserve">stellt fest, dass nach wie vor unklar ist, was mit den bis zu 1 590 Vermissten geschehen ist, und dass zwischen April 2024 und September 2025 lediglich 26 dieser Vermisstenfälle aufgeklärt wurden; </w:t>
            </w:r>
            <w:r>
              <w:rPr>
                <w:b/>
                <w:i/>
              </w:rPr>
              <w:t>fordert das Kosovo nachdrücklich auf, wirksamere Maßnahmen zu ergreifen, um Fälle im Zusammenhang mit vermissten Personen zu lösen;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Silvia Sardone, Susanna Ceccardi, Jaroslav Bžoch,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stellt fest, dass nach wie vor unklar ist</w:t>
            </w:r>
            <w:r>
              <w:t xml:space="preserve">, was mit den bis zu 1 590 vermissten </w:t>
            </w:r>
            <w:r>
              <w:rPr>
                <w:b/>
                <w:i/>
              </w:rPr>
              <w:t>Personen</w:t>
            </w:r>
            <w:r>
              <w:t xml:space="preserve"> geschehen ist, und dass zwischen April 2024 und September 2025 lediglich 26 dieser Vermisstenfälle aufgeklärt wurden;</w:t>
            </w:r>
          </w:p>
        </w:tc>
        <w:tc>
          <w:tcPr>
            <w:tcW w:w="4876" w:type="dxa"/>
            <w:tcBorders>
              <w:top w:val="nil"/>
              <w:left w:val="nil"/>
              <w:bottom w:val="nil"/>
              <w:right w:val="nil"/>
            </w:tcBorders>
          </w:tcPr>
          <w:p>
            <w:pPr>
              <w:pStyle w:val="Normal6a"/>
            </w:pPr>
            <w:r>
              <w:t>27.</w:t>
            </w:r>
            <w:r>
              <w:tab/>
            </w:r>
            <w:r>
              <w:rPr>
                <w:b/>
                <w:i/>
              </w:rPr>
              <w:t>fordert, dass dringend aufgeklärt wird</w:t>
            </w:r>
            <w:r>
              <w:t>, was mit den bis zu 1 590 Vermissten geschehen ist, und dass zwischen April 2024 und September 2025 lediglich 26 dieser Vermisstenfälle aufgeklärt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fordert Serbien auf, sämtliche mit dem Krieg 1998-1999 im Kosovo im Zusammenhang stehenden Polizei- und Militärdokumente freizugeben, die entsprechenden Archive zu öffnen und diese Informationen offenzulegen, auch die Informationen in Bezug auf Opfer, Datum und Uhrzeit, Orte und Befehlsketten, um Wahrheit und Gerechtigkeit walten lassen und die Verantwortlichen zur Rechenschaft ziehen zu können, auch in Fällen sexueller Gewalt in Konflikten;</w:t>
            </w:r>
            <w:r>
              <w:t xml:space="preserve"> </w:t>
            </w:r>
            <w:r>
              <w:rPr>
                <w:b/>
                <w:i/>
              </w:rPr>
              <w:t>stellt fest, dass bereits eine allgemeine Vereinbarung über den Austausch über solche Informationen erzielt wurde, die jedoch noch nicht umgesetzt wurde, und bringt seine Besorgnis über die Entscheidung zum Ausdruck, für bestimmte Archive eine höhere Geheimhaltungsstufe festzulegen, was die Gefahr birgt, dass weitere Verzögerungen eintreten, bevor die Justiz tätig werden kann und die überlebenden Opfer sexueller Gewalt in Konflikten als solche anerkannt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fordert als Teil eines breiter angelegten Engagements für Pluralismus, Versöhnung und die Achtung des gemeinsamen Kulturerbes Europas erneute Anstrengungen zum Schutz des religiösen und kulturellen Erbes im Kosovo, zu dem serbisch-orthodoxe, islamische und katholische Stätten sowie Stätten anderer Glaubensgemeinschaften zählen;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Geadis Geadi, 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nimmt mit Besorgnis zur Kenntnis, dass serbische Friedhöfe wiederholt geschändet wurden, und fordert die zuständigen Behörden auf, den Schutz aller religiösen und kulturellen Stätten mit geeigneten Maßnahmen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Geadis Geadi, 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bekräftigt, dass die KFOR wichtig ist, und würdigt ihre anhaltenden Bemühungen, sowohl im Kosovo als auch in der gesamten Westbalkanregion ein sicheres Umfeld zu schaffen;</w:t>
            </w:r>
          </w:p>
        </w:tc>
        <w:tc>
          <w:tcPr>
            <w:tcW w:w="4876" w:type="dxa"/>
            <w:tcBorders>
              <w:top w:val="nil"/>
              <w:left w:val="nil"/>
              <w:bottom w:val="nil"/>
              <w:right w:val="nil"/>
            </w:tcBorders>
          </w:tcPr>
          <w:p>
            <w:pPr>
              <w:pStyle w:val="Normal6a"/>
            </w:pPr>
            <w:r>
              <w:t>28.</w:t>
            </w:r>
            <w:r>
              <w:tab/>
            </w:r>
            <w:r>
              <w:t xml:space="preserve">bekräftigt, dass die KFOR wichtig ist, und würdigt ihre anhaltenden Bemühungen, sowohl im Kosovo als auch in der gesamten Westbalkanregion ein sicheres Umfeld zu schaffen; </w:t>
            </w:r>
            <w:r>
              <w:rPr>
                <w:b/>
                <w:i/>
              </w:rPr>
              <w:t>begrüßt die Maßnahmen der KFOR zum Schutz religiöser Gebäude der serbisch-orthodoxen Kirche;</w:t>
            </w:r>
            <w:r>
              <w:t xml:space="preserve"> </w:t>
            </w:r>
            <w:r>
              <w:rPr>
                <w:b/>
                <w:i/>
              </w:rPr>
              <w:t>weist auf den Stellenwert dieser Stätten für die Kultur und das Kulturerbe hin, von denen vier als UNESCO-Welterbestätten eingestuft sind;</w:t>
            </w:r>
            <w:r>
              <w:t xml:space="preserve"> </w:t>
            </w:r>
            <w:r>
              <w:rPr>
                <w:b/>
                <w:i/>
              </w:rPr>
              <w:t>verurteilt zudem, dass diesen Stätten die Verstaatlichung oder Privatisierung droht, wodurch dieses Erbe gefährdet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bekräftigt, dass die KFOR wichtig ist, und würdigt ihre anhaltenden Bemühungen, sowohl im Kosovo als auch in der gesamten Westbalkanregion ein sicheres Umfeld zu schaffen;</w:t>
            </w:r>
          </w:p>
        </w:tc>
        <w:tc>
          <w:tcPr>
            <w:tcW w:w="4876" w:type="dxa"/>
            <w:tcBorders>
              <w:top w:val="nil"/>
              <w:left w:val="nil"/>
              <w:bottom w:val="nil"/>
              <w:right w:val="nil"/>
            </w:tcBorders>
          </w:tcPr>
          <w:p>
            <w:pPr>
              <w:pStyle w:val="Normal6a"/>
            </w:pPr>
            <w:r>
              <w:t>28.</w:t>
            </w:r>
            <w:r>
              <w:tab/>
            </w:r>
            <w:r>
              <w:t xml:space="preserve">bekräftigt, dass die KFOR wichtig ist, und würdigt ihre anhaltenden Bemühungen, sowohl im Kosovo als auch in der gesamten Westbalkanregion ein sicheres Umfeld zu schaffen </w:t>
            </w:r>
            <w:r>
              <w:rPr>
                <w:b/>
                <w:i/>
              </w:rPr>
              <w:t>und aufrechtzuerhalten</w:t>
            </w:r>
            <w:r>
              <w:t xml:space="preserve">; </w:t>
            </w:r>
            <w:r>
              <w:rPr>
                <w:b/>
                <w:i/>
              </w:rPr>
              <w:t>weist erneut darauf hin, dass die Mission für den laufenden Aufbau der Sicherheitskräfte des Kosovo wichtig ist, da sie zu Beratung, Ausbildung und Kapazitätsaufbau beiträgt;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Nathalie Loiseau,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bekräftigt, dass die KFOR wichtig ist, und würdigt ihre anhaltenden Bemühungen, sowohl im Kosovo als auch in der gesamten Westbalkanregion ein sicheres Umfeld zu schaffen;</w:t>
            </w:r>
          </w:p>
        </w:tc>
        <w:tc>
          <w:tcPr>
            <w:tcW w:w="4876" w:type="dxa"/>
            <w:tcBorders>
              <w:top w:val="nil"/>
              <w:left w:val="nil"/>
              <w:bottom w:val="nil"/>
              <w:right w:val="nil"/>
            </w:tcBorders>
          </w:tcPr>
          <w:p>
            <w:pPr>
              <w:pStyle w:val="Normal6a"/>
            </w:pPr>
            <w:r>
              <w:t>28.</w:t>
            </w:r>
            <w:r>
              <w:tab/>
            </w:r>
            <w:r>
              <w:t xml:space="preserve">bekräftigt, dass die KFOR wichtig ist, und würdigt ihre anhaltenden Bemühungen, sowohl im Kosovo als auch in der gesamten Westbalkanregion ein sicheres Umfeld zu schaffen; </w:t>
            </w:r>
            <w:r>
              <w:rPr>
                <w:b/>
                <w:i/>
              </w:rPr>
              <w:t>fordert die Mitgliedstaaten, die zur KFOR beitragen, auf, von einer Reduzierung ihrer Truppenstärke abzusehen;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bekräftigt, dass die </w:t>
            </w:r>
            <w:r>
              <w:rPr>
                <w:b/>
                <w:i/>
              </w:rPr>
              <w:t>KFOR</w:t>
            </w:r>
            <w:r>
              <w:t xml:space="preserve"> wichtig ist, und würdigt ihre anhaltenden Bemühungen, sowohl im Kosovo als auch in der gesamten Westbalkanregion ein sicheres Umfeld zu schaffen;</w:t>
            </w:r>
          </w:p>
        </w:tc>
        <w:tc>
          <w:tcPr>
            <w:tcW w:w="4876" w:type="dxa"/>
            <w:tcBorders>
              <w:top w:val="nil"/>
              <w:left w:val="nil"/>
              <w:bottom w:val="nil"/>
              <w:right w:val="nil"/>
            </w:tcBorders>
          </w:tcPr>
          <w:p>
            <w:pPr>
              <w:pStyle w:val="Normal6a"/>
            </w:pPr>
            <w:r>
              <w:t>28.</w:t>
            </w:r>
            <w:r>
              <w:tab/>
            </w:r>
            <w:r>
              <w:t xml:space="preserve">bekräftigt, dass die </w:t>
            </w:r>
            <w:r>
              <w:rPr>
                <w:b/>
                <w:i/>
              </w:rPr>
              <w:t>NATO-geführte KFOR für die allgemeine Sicherheit</w:t>
            </w:r>
            <w:r>
              <w:t xml:space="preserve"> wichtig ist, und würdigt ihre anhaltenden Bemühungen, sowohl im Kosovo als auch in der gesamten Westbalkanregion ein sicheres Umfeld zu schaffen;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weist erneut darauf hin, dass es von großer Bedeutung ist, für den uneingeschränkten Zugang zu den Archiven der ehemaligen jugoslawischen Geheimdienste (UDBA und KOS) und auch deren Archiven in Prishtina/Priština und Belgrad zu sorgen;</w:t>
            </w:r>
            <w:r>
              <w:t xml:space="preserve"> </w:t>
            </w:r>
            <w:r>
              <w:rPr>
                <w:b/>
                <w:i/>
              </w:rPr>
              <w:t>fordert die Regierung auf, förmlich Zugang zu den in Belgrad aufbewahrten einschlägigen Archivunterlagen und, falls zweckmäßig, deren Übergabe zu beantragen, damit die in der Zeit des Kommunismus begangenen Verbrechen umfassend und unparteiisch untersucht werden können;</w:t>
            </w:r>
            <w:r>
              <w:t xml:space="preserve"> </w:t>
            </w:r>
            <w:r>
              <w:rPr>
                <w:b/>
                <w:i/>
              </w:rPr>
              <w:t>betont, dass eine transparente, professionelle und die gesamte Region umfassende Aufarbeitung der totalitären Vergangenheit unerlässlich ist, um die Demokratisierung voranzutreiben, die Rechenschaftspflicht zu stärken und die Widerstandsfähigkeit der Institutionen sowohl auf nationaler Ebene als auch in der gesamten Westbalkanregion zu festigen;</w:t>
            </w:r>
            <w:r>
              <w:t xml:space="preserve"> </w:t>
            </w:r>
            <w:r>
              <w:rPr>
                <w:b/>
                <w:i/>
              </w:rPr>
              <w:t>betont, dass die Öffnung dieser Archive in der gesamten Region dazu dienen könnte, die Wahrheitsfindung voranzubringen und den Opfern Gerechtigkeit widerfahren zu lassen sowie zur Aussöhnung und zur Konsolidierung der demokratischen Regierungsführung beizutragen;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Geadis Geadi, 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ist zutiefst besorgt darüber, dass serbisch-orthodoxe Kirchen entweiht und beschädigt wurden;</w:t>
            </w:r>
            <w:r>
              <w:t xml:space="preserve"> </w:t>
            </w:r>
            <w:r>
              <w:rPr>
                <w:b/>
                <w:i/>
              </w:rPr>
              <w:t>weist erneut darauf hin, dass diese religiösen Stätten als Teil des kulturellen und spirituellen Erbes geschützt werden müssen;</w:t>
            </w:r>
            <w:r>
              <w:t xml:space="preserve"> </w:t>
            </w:r>
            <w:r>
              <w:rPr>
                <w:b/>
                <w:i/>
              </w:rPr>
              <w:t>fordert die zuständigen Behörden auf, alle erforderlichen Maßnahmen zu ergreifen, um derlei Vorfälle in Zukunft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Geadis Geadi, 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betont, dass die Anwendung des Ausländergesetzes im Kosovo erhebliche negative Auswirkungen auf den Alltag der Serben im Kosovo hat;</w:t>
            </w:r>
            <w:r>
              <w:t xml:space="preserve"> </w:t>
            </w:r>
            <w:r>
              <w:rPr>
                <w:b/>
                <w:i/>
              </w:rPr>
              <w:t>äußert Bedenken hinsichtlich möglicher diskriminierender Auswirkungen und Ungleichbehandlung;</w:t>
            </w:r>
            <w:r>
              <w:t xml:space="preserve"> </w:t>
            </w:r>
            <w:r>
              <w:rPr>
                <w:b/>
                <w:i/>
              </w:rPr>
              <w:t>fordert die zuständigen Behörden auf, dafür zu sorgen, dass dieses Gesetz unter uneingeschränkter Achtung der Grundrechte und Minderheitenrechte umgesetzt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28c.</w:t>
            </w:r>
            <w:r>
              <w:tab/>
            </w:r>
            <w:r>
              <w:rPr>
                <w:b/>
                <w:i/>
              </w:rPr>
              <w:t>betont, dass die Behörden im Kosovo alle Maßnahmen, mit denen die Serben ihrer Identität beraubt werden sollen, sowie alle Praktiken, mit denen die Vertreibung serbischer Gemeinschaften aus der Region bewirkt werden könnte, einstellen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begrüßt, dass die Versammlung des Kosovo im Februar 2026 die Fazilitätsvereinbarung ratifiziert und die Darlehensvereinbarung unterzeichnet und ratifiziert hat, wodurch erhebliche finanzielle Unterstützung im Rahmen des EU-Wachstumsplans für den Westbalkan frei geworden ist;</w:t>
            </w:r>
            <w:r>
              <w:t xml:space="preserve"> </w:t>
            </w:r>
            <w:r>
              <w:rPr>
                <w:b/>
                <w:i/>
              </w:rPr>
              <w:t>stellt fest, dass dadurch der Weg dafür geebnet wird, dass das Kosovo zu Vorzugsbedingungen Zugang zu umfangreichen Zuschüssen und Darlehen erhält, mit denen wichtige Reformen vorangebracht werden sollen;</w:t>
            </w:r>
            <w:r>
              <w:t xml:space="preserve"> </w:t>
            </w:r>
            <w:r>
              <w:rPr>
                <w:b/>
                <w:i/>
              </w:rPr>
              <w:t>fordert, dass die Reformagenda rasch und wirksam umgesetzt wird, damit diese Mittel in vollem Umfang in Anspruch genommen werden können und das Kosovo bei der wirtschaftlichen Konvergenz und auf seinem Weg in die EU schneller vorankommt;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bedauert, dass die Verabschiedung des neuen Schulbuchgesetzes durch die Versammlung des Kosovo noch aussteht, obwohl für das Schuljahr 2024/2025 neue Schulbücher für die Fächer Albanische Sprache und Mathematik beschlossen worden waren;</w:t>
            </w:r>
            <w:r>
              <w:t xml:space="preserve"> </w:t>
            </w:r>
            <w:r>
              <w:rPr>
                <w:b/>
                <w:i/>
              </w:rPr>
              <w:t>ist besorgt darüber, dass die Umsetzung der Bildungsstrategie des Kosovo für den Zeitraum 2022-2026 im Rückstand ist und dass die Mittel für die öffentliche Grundschulbildung weiter gekürzt werden;</w:t>
            </w:r>
            <w:r>
              <w:t xml:space="preserve"> </w:t>
            </w:r>
            <w:r>
              <w:rPr>
                <w:b/>
                <w:i/>
              </w:rPr>
              <w:t>fordert das Kosovo auf, das Verfahren für die Annahme des Schulbuchgesetzes abzuschließen, die Überarbeitung der derzeitigen Schulbücher fertigzustellen und Lehrkräften kontinuierliche und systematische Schulungen anzubieten;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bringt seine Besorgnis darüber zum Ausdruck, dass die Lebenserwartung zum Zeitpunkt der Geburt nach wie vor unter dem EU-Durchschnitt liegt und dass die Kindersterblichkeit nach wie vor die höchste in der Region ist und deutlich über dem EU-Durchschnitt liegt;</w:t>
            </w:r>
            <w:r>
              <w:t xml:space="preserve"> </w:t>
            </w:r>
            <w:r>
              <w:rPr>
                <w:b/>
                <w:i/>
              </w:rPr>
              <w:t>bedauert, dass die Fortschritte auf dem Weg zu einer universellen Gesundheitsversorgung unverändert sehr begrenzt sind und dass erhebliche Ineffizienzen fortbestehen;</w:t>
            </w:r>
            <w:r>
              <w:t xml:space="preserve"> </w:t>
            </w:r>
            <w:r>
              <w:rPr>
                <w:b/>
                <w:i/>
              </w:rPr>
              <w:t>fordert die Behörden auf, für einen besseren Zugang zu Gesundheitsdiensten für alle Bürgerinnen und Bürger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Elio Di Rupo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stellt fest, dass das Kosovo in den Bereichen Wirtschafts- und Währungspolitik sowie Wettbewerbsfähigkeit mäßig gut vorbereitet ist; betont, dass das Land seinen Haushaltsrahmen an den Besitzstand der EU angleichen und strukturelle Schwächen angehen muss, darunter die begrenzte Fertigungsbasis sowie die Tatsache, dass KMU nur schwer Zugang zu Finanzmitteln erhalten;</w:t>
            </w:r>
          </w:p>
        </w:tc>
        <w:tc>
          <w:tcPr>
            <w:tcW w:w="4876" w:type="dxa"/>
            <w:tcBorders>
              <w:top w:val="nil"/>
              <w:left w:val="nil"/>
              <w:bottom w:val="nil"/>
              <w:right w:val="nil"/>
            </w:tcBorders>
          </w:tcPr>
          <w:p>
            <w:pPr>
              <w:pStyle w:val="Normal6a"/>
            </w:pPr>
            <w:r>
              <w:t>29.</w:t>
            </w:r>
            <w:r>
              <w:tab/>
            </w:r>
            <w:r>
              <w:t xml:space="preserve">stellt fest, dass das Kosovo in den Bereichen Wirtschafts- und Währungspolitik sowie Wettbewerbsfähigkeit mäßig gut vorbereitet ist; betont, dass das Land seinen Haushaltsrahmen an den Besitzstand der EU angleichen und strukturelle Schwächen angehen muss, darunter die begrenzte Fertigungsbasis sowie die Tatsache, dass KMU nur schwer Zugang zu Finanzmitteln erhalten; </w:t>
            </w:r>
            <w:r>
              <w:rPr>
                <w:b/>
                <w:i/>
              </w:rPr>
              <w:t>betont, dass es wichtig ist, für nachhaltiges und sozial inklusives Wirtschaftswachstum zu sorgen, die Arbeitslosigkeit zu verringern und das System der sozialen Sicherheit im Einklang mit dem sozialen Besitzstand der EU zu stärken;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stellt fest, dass das Kosovo in den Bereichen Wirtschafts- und Währungspolitik sowie Wettbewerbsfähigkeit mäßig gut vorbereitet ist; betont, dass das Land seinen Haushaltsrahmen an den Besitzstand der EU angleichen und strukturelle Schwächen angehen muss, darunter die begrenzte Fertigungsbasis sowie die Tatsache, dass KMU nur schwer Zugang zu Finanzmitteln erhalten;</w:t>
            </w:r>
          </w:p>
        </w:tc>
        <w:tc>
          <w:tcPr>
            <w:tcW w:w="4876" w:type="dxa"/>
            <w:tcBorders>
              <w:top w:val="nil"/>
              <w:left w:val="nil"/>
              <w:bottom w:val="nil"/>
              <w:right w:val="nil"/>
            </w:tcBorders>
          </w:tcPr>
          <w:p>
            <w:pPr>
              <w:pStyle w:val="Normal6a"/>
            </w:pPr>
            <w:r>
              <w:t>29.</w:t>
            </w:r>
            <w:r>
              <w:tab/>
            </w:r>
            <w:r>
              <w:t xml:space="preserve">stellt fest, dass das Kosovo in den Bereichen Wirtschafts- und Währungspolitik sowie Wettbewerbsfähigkeit </w:t>
            </w:r>
            <w:r>
              <w:rPr>
                <w:b/>
                <w:i/>
              </w:rPr>
              <w:t>nur</w:t>
            </w:r>
            <w:r>
              <w:t xml:space="preserve"> mäßig gut vorbereitet ist; betont, dass das Land </w:t>
            </w:r>
            <w:r>
              <w:rPr>
                <w:b/>
                <w:i/>
              </w:rPr>
              <w:t>weitreichendere Reformen ergreifen,</w:t>
            </w:r>
            <w:r>
              <w:t xml:space="preserve"> seinen Haushaltsrahmen an den Besitzstand der EU angleichen und strukturelle Schwächen angehen muss, darunter die begrenzte Fertigungsbasis sowie die Tatsache, dass KMU nur schwer Zugang zu Finanzmitteln erhalten;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fordert das Kosovo auf, einer hochwertigen beruflichen Bildung, einer stärkeren Verknüpfung von Bildung und dem Bedarf auf dem Arbeitsmarkt sowie der gezielten Unterstützung für junge Unternehmer und Forscher Vorrang einzuräumen, damit jungen Menschen im Land glaubhafte Perspektiven eröffnet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begrüßt, dass das Handelsgericht des Kosovo Fälle von Rechten des geistigen Eigentums wirksam bearbeitet;</w:t>
            </w:r>
            <w:r>
              <w:t xml:space="preserve"> </w:t>
            </w:r>
            <w:r>
              <w:rPr>
                <w:b/>
                <w:i/>
              </w:rPr>
              <w:t>fordert das Handelsgericht auf, weiter mit dem Amt der Europäischen Union für geistiges Eigentum (EUIPO) zusammenzuarbeiten;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Davor Ivo Stier,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begrüßt, dass das bilaterale Abkommen über die Koordinierung der Systeme der sozialen Sicherheit mit Kroatien unterzeichnet wurde, und fordert das Kosovo auf, auch mit anderen EU-Mitgliedstaaten solche Abkommen zu schließen;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fordert einen stärkeren Schutz der Arbeitnehmerrechte, einschließlich sicherer Arbeitsbedingungen, gerechter Löhne und der Durchsetzung des Arbeitsrechts im Einklang mit den EU-Standards;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Elio Di Rupo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bedauert, dass der soziale Dialog im Kosovo nach wie vor begrenzt ist;</w:t>
            </w:r>
            <w:r>
              <w:t xml:space="preserve"> </w:t>
            </w:r>
            <w:r>
              <w:rPr>
                <w:b/>
                <w:i/>
              </w:rPr>
              <w:t>fordert eine gezielte Unterstützung des Aufbaus der Kapazitäten der Sozialpartner;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Elio Di Rupo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29b.</w:t>
            </w:r>
            <w:r>
              <w:tab/>
            </w:r>
            <w:r>
              <w:rPr>
                <w:b/>
                <w:i/>
              </w:rPr>
              <w:t>fordert die staatlichen Stellen auf, die Unabhängigkeit und legitime Rolle anerkannter Gewerkschaften und die Grundrechte der Arbeitnehmer, insbesondere das Recht auf Tarifverhandlungen, sowohl rechtlich als auch in der Praxis, im öffentlichen und privaten Sektor sicherzustellen;</w:t>
            </w:r>
            <w:r>
              <w:t xml:space="preserve"> </w:t>
            </w:r>
            <w:r>
              <w:rPr>
                <w:b/>
                <w:i/>
              </w:rPr>
              <w:t>fordert die Behörden des Kosovo zudem auf, das Mandat des Wirtschafts- und Sozialrates zu erneuern, den dreigliedrigen und zweigliedrigen sozialen Dialog zu fördern und die Fazilität für den Westbalkan zu nutzen, um den Kapazitätsaufbau der Sozialpartner zu unterstützen, wobei sicherzustellen ist, dass die Auszahlung dieser Mittel an die Bedingung geknüpft ist, dass die Sozialpartner in die Ausarbeitung des Reformprogramms einbezogen werden;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29b.</w:t>
            </w:r>
            <w:r>
              <w:tab/>
            </w:r>
            <w:r>
              <w:rPr>
                <w:b/>
                <w:i/>
              </w:rPr>
              <w:t>begrüßt die Konsolidierung des Besoldungssystems im Rahmen des Gesetzes über die Gehälter im öffentlichen Sektor;</w:t>
            </w:r>
            <w:r>
              <w:t xml:space="preserve"> </w:t>
            </w:r>
            <w:r>
              <w:rPr>
                <w:b/>
                <w:i/>
              </w:rPr>
              <w:t>bedauert jedoch, dass der Prozess der beruflichen Einstufung und die Systematisierung von Stellenbezeichnungen noch immer nicht begonnen wurde sowie die Befassung mit dem Urteil des Verfassungsgerichts, mit dem mehrere Artikel des Gesetzes für verfassungswidrig erklärt wurden, nach wie vor aussteht;</w:t>
            </w:r>
            <w:r>
              <w:t xml:space="preserve"> </w:t>
            </w:r>
            <w:r>
              <w:rPr>
                <w:b/>
                <w:i/>
              </w:rPr>
              <w:t>fordert die Behörden auf, das Gesetz über die Verwaltung der öffentlichen Finanzen zu verabschieden und sicherzustellen, dass die Bestimmungen über die Bewertung der Haushaltsrisiken und die Verfahren für öffentliche Investitionen in die Rechtsvorschriften des Kosovo aufgenommen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29b.</w:t>
            </w:r>
            <w:r>
              <w:tab/>
            </w:r>
            <w:r>
              <w:rPr>
                <w:b/>
                <w:i/>
              </w:rPr>
              <w:t>begrüßt die Feststellung der Kommission, dass das Kosovo einige Fortschritte beim Aufbau einer funktionierenden Marktwirtschaft erzielt hat, unter anderem durch stärkeres Wachstum, einen soliden und widerstandsfähigen Bankensektor, die Verringerung der Schattenwirtschaft und die schnellere Beilegung von Handelsstreitigkeiten;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Elio Di Rupo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29c.</w:t>
            </w:r>
            <w:r>
              <w:tab/>
            </w:r>
            <w:r>
              <w:rPr>
                <w:b/>
                <w:i/>
              </w:rPr>
              <w:t>nimmt die Frage der informellen Wirtschaft zur Kenntnis und fordert die Behörden auf, der Arbeitsaufsichtsbehörde die erforderlichen Mittel zur Verfügung zu stellen, um ihre Aufgaben in vollem Umfang zu erfüllen;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stellt fest, dass das Kosovo einige Fortschritte bei der Vorbereitung auf den digitalen Wandel erzielt hat, unter anderem beim Ausbau der Online-Dienste und der 5G-Abdeckung; bedauert, dass derzeit nur 10 % der öffentlichen Dienste online angeboten werden und dass die Digitalisierung nach wie vor fragmentiert ist;</w:t>
            </w:r>
          </w:p>
        </w:tc>
        <w:tc>
          <w:tcPr>
            <w:tcW w:w="4876" w:type="dxa"/>
            <w:tcBorders>
              <w:top w:val="nil"/>
              <w:left w:val="nil"/>
              <w:bottom w:val="nil"/>
              <w:right w:val="nil"/>
            </w:tcBorders>
          </w:tcPr>
          <w:p>
            <w:pPr>
              <w:pStyle w:val="Normal6a"/>
            </w:pPr>
            <w:r>
              <w:t>30.</w:t>
            </w:r>
            <w:r>
              <w:tab/>
            </w:r>
            <w:r>
              <w:t xml:space="preserve">stellt fest, dass das Kosovo einige Fortschritte bei der Vorbereitung auf den digitalen Wandel erzielt hat, unter anderem beim Ausbau der Online-Dienste und der 5G-Abdeckung; bedauert, dass derzeit nur 10 % der öffentlichen Dienste online angeboten werden und dass die Digitalisierung nach wie vor fragmentiert ist; </w:t>
            </w:r>
            <w:r>
              <w:rPr>
                <w:b/>
                <w:i/>
              </w:rPr>
              <w:t>betont, dass das Kosovo seine Rechtsvorschriften an die einschlägigen EU-Rechtsvorschriften im Digitalbereich angleichen muss, auch an den Europäischen Kodex für die elektronische Kommunikation, die NIS-2-Richtlinie, das EU-Instrumentarium für die 5G-Cybersicherheit, das Gesetz über digitale Dienste, das Gesetz über digitale Märkte und den EU-Rahmen für die digitale Identität;</w:t>
            </w:r>
            <w:r>
              <w:t xml:space="preserve"> </w:t>
            </w:r>
            <w:r>
              <w:rPr>
                <w:b/>
                <w:i/>
              </w:rPr>
              <w:t>bedauert, dass das Kosovo nur 8 von 14 Vorschriften des abgeleiteten Rechts, die sich aus dem Gesetz über die Cybersicherheit ergeben, übernommen hat und dass sowohl die Agentur für Cybersicherheit als auch der Nationale Rat für Cybersicherheit noch nicht vollständig einsatzbereit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stellt fest, dass das Kosovo einige Fortschritte bei der Vorbereitung auf den digitalen Wandel erzielt hat, unter anderem beim Ausbau der Online-Dienste und der 5G-Abdeckung; bedauert, dass derzeit nur 10 % der öffentlichen Dienste online angeboten werden und dass die Digitalisierung nach wie vor fragmentiert ist;</w:t>
            </w:r>
          </w:p>
        </w:tc>
        <w:tc>
          <w:tcPr>
            <w:tcW w:w="4876" w:type="dxa"/>
            <w:tcBorders>
              <w:top w:val="nil"/>
              <w:left w:val="nil"/>
              <w:bottom w:val="nil"/>
              <w:right w:val="nil"/>
            </w:tcBorders>
          </w:tcPr>
          <w:p>
            <w:pPr>
              <w:pStyle w:val="Normal6a"/>
            </w:pPr>
            <w:r>
              <w:t>30.</w:t>
            </w:r>
            <w:r>
              <w:tab/>
            </w:r>
            <w:r>
              <w:t xml:space="preserve">stellt fest, dass das Kosovo einige Fortschritte bei der Vorbereitung auf den digitalen Wandel erzielt hat, unter anderem beim Ausbau der Online-Dienste und der 5G-Abdeckung; bedauert, dass derzeit nur 10 % der öffentlichen Dienste online angeboten werden und dass die Digitalisierung nach wie vor fragmentiert ist; </w:t>
            </w:r>
            <w:r>
              <w:rPr>
                <w:b/>
                <w:i/>
              </w:rPr>
              <w:t>fordert, dass das Kosovo eine umfassende E-Governance-Strategie annimmt, die mit den EU-Standards im Einklang steht, und dass die Interoperabilität der Systeme der öffentlichen Verwaltung verbessert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stellt fest, dass das Kosovo einige Fortschritte bei der Vorbereitung auf den digitalen Wandel erzielt hat, unter anderem beim Ausbau der Online-Dienste und der 5G-Abdeckung; bedauert, dass derzeit nur 10 % der öffentlichen Dienste online angeboten werden und dass die Digitalisierung nach wie vor fragmentiert ist;</w:t>
            </w:r>
          </w:p>
        </w:tc>
        <w:tc>
          <w:tcPr>
            <w:tcW w:w="4876" w:type="dxa"/>
            <w:tcBorders>
              <w:top w:val="nil"/>
              <w:left w:val="nil"/>
              <w:bottom w:val="nil"/>
              <w:right w:val="nil"/>
            </w:tcBorders>
          </w:tcPr>
          <w:p>
            <w:pPr>
              <w:pStyle w:val="Normal6a"/>
            </w:pPr>
            <w:r>
              <w:t>30.</w:t>
            </w:r>
            <w:r>
              <w:tab/>
            </w:r>
            <w:r>
              <w:t xml:space="preserve">stellt fest, dass das Kosovo einige Fortschritte bei der Vorbereitung auf den digitalen Wandel erzielt hat, unter anderem beim Ausbau der Online-Dienste und der 5G-Abdeckung; bedauert, dass derzeit nur 10 % der öffentlichen Dienste online angeboten werden und dass die Digitalisierung nach wie vor fragmentiert ist; </w:t>
            </w:r>
            <w:r>
              <w:rPr>
                <w:b/>
                <w:i/>
              </w:rPr>
              <w:t>fordert das Kosovo nachdrücklich auf, die Digitalisierung intensiver zu fördern;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Silvia Sardone, Susanna Ceccardi, António Tânger Corrêa,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stellt fest, dass das Kosovo </w:t>
            </w:r>
            <w:r>
              <w:rPr>
                <w:b/>
                <w:i/>
              </w:rPr>
              <w:t>einige</w:t>
            </w:r>
            <w:r>
              <w:t xml:space="preserve"> Fortschritte bei der Vorbereitung auf den digitalen Wandel erzielt hat, unter anderem beim Ausbau der Online-Dienste und der 5G-Abdeckung; bedauert, dass derzeit nur 10 % der öffentlichen Dienste online angeboten werden und dass die Digitalisierung nach wie vor fragmentiert ist;</w:t>
            </w:r>
          </w:p>
        </w:tc>
        <w:tc>
          <w:tcPr>
            <w:tcW w:w="4876" w:type="dxa"/>
            <w:tcBorders>
              <w:top w:val="nil"/>
              <w:left w:val="nil"/>
              <w:bottom w:val="nil"/>
              <w:right w:val="nil"/>
            </w:tcBorders>
          </w:tcPr>
          <w:p>
            <w:pPr>
              <w:pStyle w:val="Normal6a"/>
            </w:pPr>
            <w:r>
              <w:t>30.</w:t>
            </w:r>
            <w:r>
              <w:tab/>
            </w:r>
            <w:r>
              <w:t xml:space="preserve">stellt fest, dass das Kosovo </w:t>
            </w:r>
            <w:r>
              <w:rPr>
                <w:b/>
                <w:i/>
              </w:rPr>
              <w:t>geringfügige</w:t>
            </w:r>
            <w:r>
              <w:t xml:space="preserve"> Fortschritte bei der Vorbereitung auf den digitalen Wandel erzielt hat, unter anderem beim Ausbau der Online-Dienste und der 5G-Abdeckung; bedauert, dass derzeit nur 10 % der öffentlichen Dienste online angeboten werden und dass die Digitalisierung nach wie vor fragmentiert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befürwortet den Vorschlag der Kommission, Verhandlungen mit Albanien, Bosnien und Herzegowina, dem Kosovo, Montenegro, Nordmazedonien und Serbien aufzunehmen, um diese Länder in die EU-Regelung „Roaming zu Inlandspreisen“ einzubeziehen;</w:t>
            </w:r>
            <w:r>
              <w:t xml:space="preserve"> </w:t>
            </w:r>
            <w:r>
              <w:rPr>
                <w:b/>
                <w:i/>
              </w:rPr>
              <w:t>betont, dass die Ausweitung der Regelung „Roaming zu Inlandspreisen“ auf die Westbalkanländer sowohl für die Bürgerinnen und Bürger als auch für die Unternehmen greifbare Vorteile mit sich bringen würde, indem die Kontakte zwischen den Menschen gefördert, die Wirtschaftsbeziehungen gestärkt, der Bildungsaustausch unterstützt und der Tourismus begünstigt würden;</w:t>
            </w:r>
            <w:r>
              <w:t xml:space="preserve"> </w:t>
            </w:r>
            <w:r>
              <w:rPr>
                <w:b/>
                <w:i/>
              </w:rPr>
              <w:t>stellt fest, dass diese Initiative auf bestehenden freiwilligen Roaming-Vereinbarungen und auf der auf dem Gipfeltreffen in Tirana gebilligten regionalen Roaming-Vereinbarung für den Westbalkanraum aufbaut; fordert, dass die Verhandlungsmandate rasch angenommen werden und dass die bilateralen Abkommen mit den Partnerländern im Westbalkanraum zeitnah abgeschlossen werden, damit diese Länder rasch und wirksam in den EU-Raum „Roaming zu Inlandspreisen“ integriert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stellt fest, dass der EU-Beitrittsprozess auf der Angleichung der nationalen Rechtsvorschriften an den EU-Besitzstand beruht;</w:t>
            </w:r>
            <w:r>
              <w:t xml:space="preserve"> </w:t>
            </w:r>
            <w:r>
              <w:rPr>
                <w:b/>
                <w:i/>
              </w:rPr>
              <w:t>betont, dass weitere Anstrengungen erforderlich sind, um die Reform der öffentlichen Finanzverwaltung und der öffentlichen Verwaltung umzusetzen und die fortbestehenden Engpässe bei den Verwaltungskapazitäten durch dauerhafte EU-Investitionen in einen hochwertigen Rahmen für den Kapazitätsaufbau und den Wissensaustausch – auf der Grundlage bestehender Modelle für bewährte Verfahren etablierter EU- und internationaler Partner – anzugehen, was für eine wirksame Umsetzung von entscheidender Bedeutung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fordert die EU und das Kosovo auf, der digitalen Resilienz als Teil der beitrittsbezogenen Reformagenda Vorrang einzuräumen, wozu auch eine sichere E-Governance, der Schutz kritischer Infrastruktur und die Unterstützung für unabhängige Faktenprüfungsmedien und Medien, die dem öffentlichen Interesse dienen, gehört;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30b.</w:t>
            </w:r>
            <w:r>
              <w:tab/>
            </w:r>
            <w:r>
              <w:rPr>
                <w:b/>
                <w:i/>
              </w:rPr>
              <w:t>begrüßt, dass das Kosovo die ersten Schritte zu einem strategischeren Ansatz für Forschung und Innovation unternommen und dabei auch mit der Finanzierung von Innovationsförderungsmaßnahmen begonnen hat und sich am Netz europäischer digitaler Innovationszentren beteiligt;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Elio Di Rupo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stellt fest, dass das Kosovo nach wie vor stark auf veraltete Kohlekraftwerke angewiesen ist und stärker in die Energieeffizienz investieren muss;</w:t>
            </w:r>
          </w:p>
        </w:tc>
        <w:tc>
          <w:tcPr>
            <w:tcW w:w="4876" w:type="dxa"/>
            <w:tcBorders>
              <w:top w:val="nil"/>
              <w:left w:val="nil"/>
              <w:bottom w:val="nil"/>
              <w:right w:val="nil"/>
            </w:tcBorders>
          </w:tcPr>
          <w:p>
            <w:pPr>
              <w:pStyle w:val="Normal6a"/>
            </w:pPr>
            <w:r>
              <w:t>31.</w:t>
            </w:r>
            <w:r>
              <w:tab/>
            </w:r>
            <w:r>
              <w:t xml:space="preserve">stellt fest, dass das Kosovo nach wie vor stark auf veraltete Kohlekraftwerke angewiesen ist und stärker in die Energieeffizienz investieren muss; </w:t>
            </w:r>
            <w:r>
              <w:rPr>
                <w:b/>
                <w:i/>
              </w:rPr>
              <w:t>fordert die EU auf, ihre Anstrengungen zu verstärken, um das Kosovo dabei zu unterstützen, seine Abhängigkeit im Energiebereich von Kohlekraftwerken zu verringern;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stellt fest, dass das Kosovo nach wie vor stark auf veraltete Kohlekraftwerke angewiesen ist und stärker in die Energieeffizienz investieren muss;</w:t>
            </w:r>
          </w:p>
        </w:tc>
        <w:tc>
          <w:tcPr>
            <w:tcW w:w="4876" w:type="dxa"/>
            <w:tcBorders>
              <w:top w:val="nil"/>
              <w:left w:val="nil"/>
              <w:bottom w:val="nil"/>
              <w:right w:val="nil"/>
            </w:tcBorders>
          </w:tcPr>
          <w:p>
            <w:pPr>
              <w:pStyle w:val="Normal6a"/>
            </w:pPr>
            <w:r>
              <w:t>31.</w:t>
            </w:r>
            <w:r>
              <w:tab/>
            </w:r>
            <w:r>
              <w:t xml:space="preserve">stellt fest, dass das Kosovo nach wie vor stark auf veraltete Kohlekraftwerke angewiesen ist und stärker in die Energieeffizienz investieren muss; </w:t>
            </w:r>
            <w:r>
              <w:rPr>
                <w:b/>
                <w:i/>
              </w:rPr>
              <w:t>fordert das Kosovo nachdrücklich auf, den grünen Wandel zu beschleunigen und seine Abhängigkeit von Kohlekraftwerken erheblich zu verringern;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stellt fest, dass das Kosovo nach wie vor stark auf veraltete Kohlekraftwerke angewiesen ist und stärker in die Energieeffizienz investieren muss;</w:t>
            </w:r>
          </w:p>
        </w:tc>
        <w:tc>
          <w:tcPr>
            <w:tcW w:w="4876" w:type="dxa"/>
            <w:tcBorders>
              <w:top w:val="nil"/>
              <w:left w:val="nil"/>
              <w:bottom w:val="nil"/>
              <w:right w:val="nil"/>
            </w:tcBorders>
          </w:tcPr>
          <w:p>
            <w:pPr>
              <w:pStyle w:val="Normal6a"/>
            </w:pPr>
            <w:r>
              <w:t>31.</w:t>
            </w:r>
            <w:r>
              <w:tab/>
            </w:r>
            <w:r>
              <w:t xml:space="preserve">stellt fest, dass das Kosovo nach wie vor stark auf veraltete Kohlekraftwerke angewiesen ist und stärker in die Energieeffizienz investieren muss; </w:t>
            </w:r>
            <w:r>
              <w:rPr>
                <w:b/>
                <w:i/>
              </w:rPr>
              <w:t>fordert das Kosovo nachdrücklich auf, in einen diversifizierten Energiemix zu investieren, der die Versorgungssicherheit stärkt;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Ilhan Kyuchyuk, Marjan Šarec,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stellt fest, dass das Kosovo nach wie vor stark auf veraltete Kohlekraftwerke angewiesen ist und stärker in die Energieeffizienz investieren muss;</w:t>
            </w:r>
          </w:p>
        </w:tc>
        <w:tc>
          <w:tcPr>
            <w:tcW w:w="4876" w:type="dxa"/>
            <w:tcBorders>
              <w:top w:val="nil"/>
              <w:left w:val="nil"/>
              <w:bottom w:val="nil"/>
              <w:right w:val="nil"/>
            </w:tcBorders>
          </w:tcPr>
          <w:p>
            <w:pPr>
              <w:pStyle w:val="Normal6a"/>
            </w:pPr>
            <w:r>
              <w:t>31.</w:t>
            </w:r>
            <w:r>
              <w:tab/>
            </w:r>
            <w:r>
              <w:t xml:space="preserve">stellt fest, dass das Kosovo nach wie vor stark auf veraltete Kohlekraftwerke angewiesen ist und stärker in die Energieeffizienz investieren muss; </w:t>
            </w:r>
            <w:r>
              <w:rPr>
                <w:b/>
                <w:i/>
              </w:rPr>
              <w:t>fordert die Regierung auf, die Abhängigkeit von fossilen Brennstoffen zu verringern;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begrüßt, dass im Energiesektor bestimmte Fortschritte erzielt wurden, insbesondere die Einleitung einer Auktion für die Errichtung von Windernergieanlagen mit einer Erzegungskapazität von 100 MW, Investitionen in die Verbesserung der Energieeffizienz von öffentlichen Gebäuden und Wohngebäuden und Schritte zur Liberalisierung des Strommarkts;</w:t>
            </w:r>
            <w:r>
              <w:t xml:space="preserve"> </w:t>
            </w:r>
            <w:r>
              <w:rPr>
                <w:b/>
                <w:i/>
              </w:rPr>
              <w:t>hält diese Entwicklungen für wichtige Signale, dass es dem Kosovo gelingt, den grünen Wandel im Einklang mit dem Besitzstand der EU vorzubringen;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Davor Ivo Stier,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fordert das Kosovo auf, seine Bemühungen um die Integration seines Strommarkts in die europäischen Strommärkte fortzusetzen, unter anderem durch die wirksame Umsetzung von Strommarktreformen und eine verstärkte grenzübergreifende Zusammenarbeit im Stromsektor;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fordert das Kosovo auf, seine institutionellen und administrativen Kapazitäten zur Umsetzung strategischer Infrastrukturprojekte zu stärken und noch ausstehende Projekte im Bereich der Verkehrs- und Energievernetzung weiter umzusetzen;</w:t>
            </w:r>
          </w:p>
        </w:tc>
        <w:tc>
          <w:tcPr>
            <w:tcW w:w="4876" w:type="dxa"/>
            <w:tcBorders>
              <w:top w:val="nil"/>
              <w:left w:val="nil"/>
              <w:bottom w:val="nil"/>
              <w:right w:val="nil"/>
            </w:tcBorders>
          </w:tcPr>
          <w:p>
            <w:pPr>
              <w:pStyle w:val="Normal6a"/>
            </w:pPr>
            <w:r>
              <w:t>32.</w:t>
            </w:r>
            <w:r>
              <w:tab/>
            </w:r>
            <w:r>
              <w:t xml:space="preserve">fordert das Kosovo </w:t>
            </w:r>
            <w:r>
              <w:rPr>
                <w:b/>
                <w:i/>
              </w:rPr>
              <w:t>nachdrücklich</w:t>
            </w:r>
            <w:r>
              <w:t xml:space="preserve"> auf, seine institutionellen</w:t>
            </w:r>
            <w:r>
              <w:rPr>
                <w:b/>
                <w:i/>
              </w:rPr>
              <w:t>, fachlichen</w:t>
            </w:r>
            <w:r>
              <w:t xml:space="preserve"> und administrativen Kapazitäten zur Umsetzung strategischer Infrastrukturprojekte zu stärken und noch ausstehende Projekte im Bereich der Verkehrs- und Energievernetzung weiter umzusetzen; </w:t>
            </w:r>
            <w:r>
              <w:rPr>
                <w:b/>
                <w:i/>
              </w:rPr>
              <w:t>stellt fest, dass durch Umsetzungslücken die Ost-West-Konnektivität in der gesamten Region beeinträchtigt und somit die tatsächlichen Konnektivitätsgewinne für die EU eingeschränkt werden;</w:t>
            </w:r>
            <w:r>
              <w:t xml:space="preserve"> </w:t>
            </w:r>
            <w:r>
              <w:rPr>
                <w:b/>
                <w:i/>
              </w:rPr>
              <w:t>fordert das Kosovo auf, konkrete Zeitpläne und Überwachungsmaßnahmen – auch im Rahmen der Reform- und Wachstumsfazilität – für die Umsetzung des erweiterten transeuropäischen Verkehrsnetzes (TEN-V) vorzuschlagen;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fordert das Kosovo auf, seine institutionellen und administrativen Kapazitäten zur Umsetzung strategischer Infrastrukturprojekte zu stärken und </w:t>
            </w:r>
            <w:r>
              <w:rPr>
                <w:b/>
                <w:i/>
              </w:rPr>
              <w:t>noch ausstehende Projekte im Bereich der</w:t>
            </w:r>
            <w:r>
              <w:t xml:space="preserve"> Verkehrs- und </w:t>
            </w:r>
            <w:r>
              <w:rPr>
                <w:b/>
                <w:i/>
              </w:rPr>
              <w:t>Energievernetzung weiter umzusetzen</w:t>
            </w:r>
            <w:r>
              <w:t>;</w:t>
            </w:r>
          </w:p>
        </w:tc>
        <w:tc>
          <w:tcPr>
            <w:tcW w:w="4876" w:type="dxa"/>
            <w:tcBorders>
              <w:top w:val="nil"/>
              <w:left w:val="nil"/>
              <w:bottom w:val="nil"/>
              <w:right w:val="nil"/>
            </w:tcBorders>
          </w:tcPr>
          <w:p>
            <w:pPr>
              <w:pStyle w:val="Normal6a"/>
            </w:pPr>
            <w:r>
              <w:t>32.</w:t>
            </w:r>
            <w:r>
              <w:tab/>
            </w:r>
            <w:r>
              <w:t>fordert das Kosovo auf</w:t>
            </w:r>
            <w:r>
              <w:rPr>
                <w:b/>
                <w:i/>
              </w:rPr>
              <w:t>, die umfassenden Umweltverträglichkeitsprüfungen zu verbessern</w:t>
            </w:r>
            <w:r>
              <w:t xml:space="preserve">, seine institutionellen und administrativen Kapazitäten zur Umsetzung strategischer Infrastrukturprojekte </w:t>
            </w:r>
            <w:r>
              <w:rPr>
                <w:b/>
                <w:i/>
              </w:rPr>
              <w:t>und auch der Nachhaltigkeitsmaßnahmen in der Planungsphase</w:t>
            </w:r>
            <w:r>
              <w:t xml:space="preserve"> zu stärken und </w:t>
            </w:r>
            <w:r>
              <w:rPr>
                <w:b/>
                <w:i/>
              </w:rPr>
              <w:t>die Umsetzung noch ausstehender</w:t>
            </w:r>
            <w:r>
              <w:t xml:space="preserve"> Verkehrs- und </w:t>
            </w:r>
            <w:r>
              <w:rPr>
                <w:b/>
                <w:i/>
              </w:rPr>
              <w:t>Energieverbindungsprojekte fortzusetzen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fordert die Kommission und das Kosovo auf, strategischen Konnektivitätsprojekten Vorrang einzuräumen, die den Westbalkan mit den europäischen Verkehrs-, Energie- und Digitalkorridoren sowie dem Schwarzmeerraum verbinden, unter anderem durch Energieverbundnetze, Maßnahmen für Energieeffizienz, Investitionen in Energie aus erneuerbaren Quellen, die Integration in den SEPA und die Verbesserung des Zugangs von KMU zu Finanzmitteln;</w:t>
            </w:r>
            <w:r>
              <w:t xml:space="preserve"> </w:t>
            </w:r>
            <w:r>
              <w:rPr>
                <w:b/>
                <w:i/>
              </w:rPr>
              <w:t>betont, dass diese Investitionen die sozioökonomische Konvergenz, die geostrategische Widerstandsfähigkeit und die wirtschaftliche Sicherheit Europas stärken;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nimmt zur Kenntnis, dass die EU dem Kosovo beträchtliche finanzielle Unterstützung zukommen lässt;</w:t>
            </w:r>
            <w:r>
              <w:t xml:space="preserve"> </w:t>
            </w:r>
            <w:r>
              <w:rPr>
                <w:b/>
                <w:i/>
              </w:rPr>
              <w:t>fordert die Kommission auf, die Mittel der Steuerzahler der EU optimal zu verwenden und die notwendigen Voraussetzungen für die Verbesserung der strategischen Wettbewerbsfähigkeit von Unternehmen aus der EU auf dem Markt des Kosovo zu schaffen;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Elio Di Rupo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begrüßt den Vorschlag der Kommission, Verhandlungen über die Ausweitung der EU-Regelung „Roaming zu Inlandspreisen“ auf die Westbalkanländer aufzunehmen;</w:t>
            </w:r>
            <w:r>
              <w:t xml:space="preserve"> </w:t>
            </w:r>
            <w:r>
              <w:rPr>
                <w:b/>
                <w:i/>
              </w:rPr>
              <w:t>fordert, dass die Verhandlungen rasch abgeschlossen werden;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fordert das Kosovo nachdrücklich auf, dafür zu sorgen, dass geeignete Maßnahmen ergriffen werden, um Schutzgebiete zu bewirtschaften, das Gesetz über die Abfallbewirtschaftung zu ändern und das Gesetz über Klimawandel umzusetzen;</w:t>
            </w:r>
          </w:p>
        </w:tc>
        <w:tc>
          <w:tcPr>
            <w:tcW w:w="4876" w:type="dxa"/>
            <w:tcBorders>
              <w:top w:val="nil"/>
              <w:left w:val="nil"/>
              <w:bottom w:val="nil"/>
              <w:right w:val="nil"/>
            </w:tcBorders>
          </w:tcPr>
          <w:p>
            <w:pPr>
              <w:pStyle w:val="Normal6a"/>
            </w:pPr>
            <w:r>
              <w:t>33.</w:t>
            </w:r>
            <w:r>
              <w:tab/>
            </w:r>
            <w:r>
              <w:t xml:space="preserve">fordert das Kosovo nachdrücklich auf, </w:t>
            </w:r>
            <w:r>
              <w:rPr>
                <w:b/>
                <w:i/>
              </w:rPr>
              <w:t>die Schutzgebiete im Land zu vergrößern und</w:t>
            </w:r>
            <w:r>
              <w:t xml:space="preserve"> dafür zu sorgen, dass geeignete Maßnahmen ergriffen werden, um Schutzgebiete </w:t>
            </w:r>
            <w:r>
              <w:rPr>
                <w:b/>
                <w:i/>
              </w:rPr>
              <w:t>so</w:t>
            </w:r>
            <w:r>
              <w:t xml:space="preserve"> zu bewirtschaften</w:t>
            </w:r>
            <w:r>
              <w:rPr>
                <w:b/>
                <w:i/>
              </w:rPr>
              <w:t>, dass die biologische Vielfalt erhalten bleibt, darunter auch die wichtigsten Lebensräume des vom Aussterben bedrohten Balkanluchses;</w:t>
            </w:r>
            <w:r>
              <w:t xml:space="preserve"> </w:t>
            </w:r>
            <w:r>
              <w:rPr>
                <w:b/>
                <w:i/>
              </w:rPr>
              <w:t>begrüßt, dass das Kosovo die Zusammenarbeit mit Nordmazedonien und Albanien in Bezug auf den grenzübergreifenden Nationalpark Sharr bzw. Šar Planina fortsetzt;</w:t>
            </w:r>
            <w:r>
              <w:t xml:space="preserve"> </w:t>
            </w:r>
            <w:r>
              <w:rPr>
                <w:b/>
                <w:i/>
              </w:rPr>
              <w:t>fordert das Kosovo auf, die Zusammenarbeit mit seinen Nachbarländern weiter zu intensivieren und rascher voranzutreiben, um grenzübergreifende Schutzgebiete auszuweisen und kohärente grenzübergreifende Bewirtschaftungspläne zu erstellen;</w:t>
            </w:r>
            <w:r>
              <w:t xml:space="preserve"> </w:t>
            </w:r>
            <w:r>
              <w:rPr>
                <w:b/>
                <w:i/>
              </w:rPr>
              <w:t>fordert das Kosovo nachdrücklich auf</w:t>
            </w:r>
            <w:r>
              <w:t xml:space="preserve">, das Gesetz über die Abfallbewirtschaftung zu ändern und das Gesetz über </w:t>
            </w:r>
            <w:r>
              <w:rPr>
                <w:b/>
                <w:i/>
              </w:rPr>
              <w:t>den</w:t>
            </w:r>
            <w:r>
              <w:t xml:space="preserve"> Klimawandel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fordert das Kosovo nachdrücklich auf, dafür zu sorgen, dass geeignete Maßnahmen ergriffen werden, um Schutzgebiete zu bewirtschaften, das Gesetz über die Abfallbewirtschaftung zu ändern und das Gesetz über Klimawandel umzusetzen;</w:t>
            </w:r>
          </w:p>
        </w:tc>
        <w:tc>
          <w:tcPr>
            <w:tcW w:w="4876" w:type="dxa"/>
            <w:tcBorders>
              <w:top w:val="nil"/>
              <w:left w:val="nil"/>
              <w:bottom w:val="nil"/>
              <w:right w:val="nil"/>
            </w:tcBorders>
          </w:tcPr>
          <w:p>
            <w:pPr>
              <w:pStyle w:val="Normal6a"/>
            </w:pPr>
            <w:r>
              <w:t>33.</w:t>
            </w:r>
            <w:r>
              <w:tab/>
            </w:r>
            <w:r>
              <w:t xml:space="preserve">fordert das Kosovo nachdrücklich auf, dafür zu sorgen, dass geeignete Maßnahmen ergriffen werden, um Schutzgebiete </w:t>
            </w:r>
            <w:r>
              <w:rPr>
                <w:b/>
                <w:i/>
              </w:rPr>
              <w:t>sowie historische Stätten und Kulturerbestätten</w:t>
            </w:r>
            <w:r>
              <w:t xml:space="preserve"> zu bewirtschaften, das Gesetz über die Abfallbewirtschaftung zu ändern und das Gesetz über Klimawandel umzusetzen;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nimmt die Erklärungen der Regierung des Kosovo zur Kenntnis, neue Energiekapazitäten auf Braunkohlebasis für die Energieversorgungssicherheit zu entwickeln, und fordert nachdrücklich, dass das Land seine Energiestrategie und seinen nationalen Energie- und Klimaplan befolgt und seine Verpflichtungen im Rahmen der Energiegemeinschaft und der Grünen Agenda einhält;</w:t>
            </w:r>
            <w:r>
              <w:t xml:space="preserve"> </w:t>
            </w:r>
            <w:r>
              <w:rPr>
                <w:b/>
                <w:i/>
              </w:rPr>
              <w:t>gibt zu bedenken, dass durch Investitionen in fossile Brennstoffe die Dekarbonisierung gefährdet und eine langfristige Bindung an diese Energiequellen herbeigeführt wird und Ressourcen von der nachhaltigen Energieerzeugung abgezogen werden könnten, und fordert vollständige Transparenz in Bezug auf die ökologischen, wirtschaftlichen und regulatorischen Auswirkungen dieser Investitionen;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fordert die Union auf, die Erweiterung um die Westbalkanländer einschließlich des Kosovo weiter ganz oben auf der politischen Agenda zu halten, da aufgrund des derzeitigen geopolitischen Kontexts jeder konkrete Schritt zur Annäherung des Kosovo an die Europäische Union auch eine Investition in die Sicherheit und strategische Kohärenz Europas insgesamt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Sebastian Everding,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betont, dass die Vorbereitung des Natura-2000-Netzes und die Ausweitung der Schutzgebiete beschleunigt werden müssen;</w:t>
            </w:r>
            <w:r>
              <w:t xml:space="preserve"> </w:t>
            </w:r>
            <w:r>
              <w:rPr>
                <w:b/>
                <w:i/>
              </w:rPr>
              <w:t>stellt fest, dass sich das Kosovo bei der Ermittlung der hierfür infrage kommenden Gebiete noch in einem Anfangsstadium befindet und dass es für die bestehenden Schutzgebiete nach wie vor nachteilig ist, dass Verwaltung und Durchsetzung mängelbehaftet sind;</w:t>
            </w:r>
            <w:r>
              <w:t xml:space="preserve"> </w:t>
            </w:r>
            <w:r>
              <w:rPr>
                <w:b/>
                <w:i/>
              </w:rPr>
              <w:t>betont, dass der Aufbau eines wissenschaftlich fundierten und mit angemessenen Mitteln ausgestatteten Netzes sehr wichtig ist, wenn es gilt, bei der Angleichung an den Besitzstand der EU im Bereich Naturschutz überzeugend zu wirken;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Sebastian Everding,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betont, dass die fortbestehenden Mängel bei den Umweltprüfungsverfahren und der Infrastrukturplanung behoben werden müssen;</w:t>
            </w:r>
            <w:r>
              <w:t xml:space="preserve"> </w:t>
            </w:r>
            <w:r>
              <w:rPr>
                <w:b/>
                <w:i/>
              </w:rPr>
              <w:t>stellt fest, dass Umweltverträglichkeitsprüfungen (UVP) und strategische Umweltprüfungen (SUP) uneinheitlich durchgeführt werden und dass die Gefahr besteht, dass Infrastruktur- und Energieprojekte ohne angemessene Schutzvorkehrungen vorangetrieben werden;</w:t>
            </w:r>
            <w:r>
              <w:t xml:space="preserve"> </w:t>
            </w:r>
            <w:r>
              <w:rPr>
                <w:b/>
                <w:i/>
              </w:rPr>
              <w:t>fordert, dass die Qualität, Transparenz und Durchsetzung dieser Verfahren verbessert werden, damit keine irreversible Umweltschäden herbeigeführt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Sebastian Everding,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34c.</w:t>
            </w:r>
            <w:r>
              <w:tab/>
            </w:r>
            <w:r>
              <w:rPr>
                <w:b/>
                <w:i/>
              </w:rPr>
              <w:t>ist besorgt über erhebliche Rechtsdurchsetzungslücken, auch in Bezug auf Straftaten im Zusammenhang mit Artenschutzkriminalität und illegalem Holzeinschlag;</w:t>
            </w:r>
            <w:r>
              <w:t xml:space="preserve"> </w:t>
            </w:r>
            <w:r>
              <w:rPr>
                <w:b/>
                <w:i/>
              </w:rPr>
              <w:t>stellt fest, dass an diesen Problemen deutlich wird, dass größere Herausforderungen in den Bereichen institutionelle Kapazitäten und Rechtsstaatlichkeit bestehen;</w:t>
            </w:r>
            <w:r>
              <w:t xml:space="preserve"> </w:t>
            </w:r>
            <w:r>
              <w:rPr>
                <w:b/>
                <w:i/>
              </w:rPr>
              <w:t>fordert, dass die Inspektionsdienste, die Überwachungssysteme und die gerichtlichen Folgemaßnahmen gestärkt werden, damit die Umweltvorschriften wirksam durchgesetzt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785.346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154</w:t>
    </w:r>
    <w:r>
      <w:fldChar w:fldCharType="end"/>
    </w:r>
    <w:r>
      <w:t>/</w:t>
    </w:r>
    <w:r>
      <w:fldChar w:fldCharType="begin"/>
    </w:r>
    <w:r>
      <w:instrText xml:space="preserve"> NUMPAGES </w:instrText>
    </w:r>
    <w:r>
      <w:fldChar w:fldCharType="separate"/>
    </w:r>
    <w:r>
      <w:t>154</w:t>
    </w:r>
    <w:r>
      <w:fldChar w:fldCharType="end"/>
    </w:r>
    <w:r>
      <w:tab/>
    </w:r>
    <w:r>
      <w:rPr>
        <w:rStyle w:val="HideTWBExt"/>
      </w:rPr>
      <w:t>&lt;PathFdR&gt;</w:t>
    </w:r>
    <w:r>
      <w:t>AM\1339056DE.docx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AM\1339056DE.docx</w:t>
    </w:r>
    <w:r>
      <w:rPr>
        <w:rStyle w:val="HideTWBExt"/>
      </w:rPr>
      <w:t>&lt;/PathFdR&gt;</w:t>
    </w:r>
    <w:r>
      <w:tab/>
    </w:r>
    <w:r>
      <w:fldChar w:fldCharType="begin"/>
    </w:r>
    <w:r>
      <w:instrText xml:space="preserve"> PAGE </w:instrText>
    </w:r>
    <w:r>
      <w:fldChar w:fldCharType="separate"/>
    </w:r>
    <w:r>
      <w:t>153</w:t>
    </w:r>
    <w:r>
      <w:fldChar w:fldCharType="end"/>
    </w:r>
    <w:r>
      <w:t>/</w:t>
    </w:r>
    <w:r>
      <w:fldChar w:fldCharType="begin"/>
    </w:r>
    <w:r>
      <w:instrText xml:space="preserve"> NUMPAGES </w:instrText>
    </w:r>
    <w:r>
      <w:fldChar w:fldCharType="separate"/>
    </w:r>
    <w:r>
      <w:t>154</w:t>
    </w:r>
    <w:r>
      <w:fldChar w:fldCharType="end"/>
    </w:r>
    <w:r>
      <w:tab/>
    </w:r>
    <w:r>
      <w:t>PE</w:t>
    </w:r>
    <w:r>
      <w:rPr>
        <w:rStyle w:val="HideTWBExt"/>
      </w:rPr>
      <w:t>&lt;NoPE&gt;</w:t>
    </w:r>
    <w:r>
      <w:t>785.346</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AM\1339056DE.docx</w:t>
    </w:r>
    <w:r>
      <w:rPr>
        <w:rStyle w:val="HideTWBExt"/>
      </w:rPr>
      <w:t>&lt;/PathFdR&gt;</w:t>
    </w:r>
    <w:r>
      <w:tab/>
    </w:r>
    <w:r>
      <w:tab/>
    </w:r>
    <w:r>
      <w:t>PE</w:t>
    </w:r>
    <w:r>
      <w:rPr>
        <w:rStyle w:val="HideTWBExt"/>
      </w:rPr>
      <w:t>&lt;NoPE&gt;</w:t>
    </w:r>
    <w:r>
      <w:t>785.346</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154</Pages>
  <Words>28776</Words>
  <Characters>193794</Characters>
  <Application>Microsoft Office Word</Application>
  <DocSecurity>0</DocSecurity>
  <Lines>1</Lines>
  <Paragraphs>2547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1339056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464451</vt:lpwstr>
  </property>
  <property fmtid="{D5CDD505-2E9C-101B-9397-08002B2CF9AE}" pid="7" name="dmxml.render.traceId">
    <vt:lpwstr>69ef328932707fcd493bda4558ccd29b</vt:lpwstr>
  </property>
  <property fmtid="{D5CDD505-2E9C-101B-9397-08002B2CF9AE}" pid="8" name="FooterPath">
    <vt:lpwstr>AM\1339056DE.docx</vt:lpwstr>
  </property>
  <property fmtid="{D5CDD505-2E9C-101B-9397-08002B2CF9AE}" pid="9" name="PE Number">
    <vt:lpwstr>785.346</vt:lpwstr>
  </property>
  <property fmtid="{D5CDD505-2E9C-101B-9397-08002B2CF9AE}" pid="10" name="UID">
    <vt:lpwstr>eu.europa.europarl-DIN1-2026-0000095245_02.00-de-01.00_text-xml</vt:lpwstr>
  </property>
</Properties>
</file>