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Комисия по външни работи</w:t>
      </w:r>
      <w:r>
        <w:rPr>
          <w:rStyle w:val="HideTWBExt"/>
        </w:rPr>
        <w:t>&lt;/Commission&gt;</w:t>
      </w:r>
    </w:p>
    <w:p>
      <w:pPr>
        <w:pStyle w:val="LineBottom"/>
      </w:pPr>
      <w:r>
        <w:t xml:space="preserve"> </w:t>
      </w:r>
    </w:p>
    <w:p>
      <w:pPr>
        <w:pStyle w:val="CoverReference"/>
      </w:pPr>
      <w:r>
        <w:rPr>
          <w:rStyle w:val="HideTWBExt"/>
        </w:rPr>
        <w:t>&lt;RefProc&gt;</w:t>
      </w:r>
      <w:r>
        <w:t>2025/2255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{13/04/2026}</w:t>
      </w:r>
      <w:r>
        <w:t>13.4.2026</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374</w:t>
      </w:r>
      <w:r>
        <w:t xml:space="preserve"> - </w:t>
      </w:r>
      <w:r>
        <w:t>531</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Тонино Пицула</w:t>
      </w:r>
      <w:r>
        <w:rPr>
          <w:rStyle w:val="HideTWBExt"/>
        </w:rPr>
        <w:t>&lt;/Rapporteur&gt;</w:t>
      </w:r>
    </w:p>
    <w:p>
      <w:pPr>
        <w:pStyle w:val="CoverNormal24a"/>
      </w:pPr>
      <w:r>
        <w:rPr>
          <w:rStyle w:val="HideTWBExt"/>
        </w:rPr>
        <w:t>&lt;DocRefPE&gt;</w:t>
      </w:r>
      <w:r>
        <w:t>(PE784.230v01-00)</w:t>
      </w:r>
      <w:r>
        <w:rPr>
          <w:rStyle w:val="HideTWBExt"/>
        </w:rPr>
        <w:t>&lt;/DocRefPE&gt;</w:t>
      </w:r>
    </w:p>
    <w:p>
      <w:pPr>
        <w:pStyle w:val="CoverNormal"/>
      </w:pPr>
      <w:r>
        <w:rPr>
          <w:rStyle w:val="HideTWBExt"/>
        </w:rPr>
        <w:t>&lt;Titre&gt;</w:t>
      </w:r>
      <w:r>
        <w:t>Доклад на Комисията относно Сърбия за 2025 г.</w:t>
      </w:r>
      <w:r>
        <w:rPr>
          <w:rStyle w:val="HideTWBExt"/>
        </w:rPr>
        <w:t>&lt;/Titre&gt;</w:t>
      </w:r>
    </w:p>
    <w:p>
      <w:pPr>
        <w:pStyle w:val="CoverNormal24a"/>
      </w:pPr>
      <w:r>
        <w:rPr>
          <w:rStyle w:val="HideTWBExt"/>
        </w:rPr>
        <w:t>&lt;DocRef&gt;</w:t>
      </w:r>
      <w:r>
        <w:t>(2025/2255(INI))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e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18е.</w:t>
            </w:r>
            <w:r>
              <w:tab/>
            </w:r>
            <w:r>
              <w:rPr>
                <w:b/>
                <w:i/>
              </w:rPr>
              <w:t>настоятелно призовава сръбските органи да увеличат предлагането на публични радиоразпръсквателни услуги на всички малцинствени езици в цялата държава, като гарантират равен достъп до медиите за всички общности, използвайки най-добрите практики от региона на Войводина;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ж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18ж.</w:t>
            </w:r>
            <w:r>
              <w:tab/>
            </w:r>
            <w:r>
              <w:rPr>
                <w:b/>
                <w:i/>
              </w:rPr>
              <w:t>призовава сръбските органи в контекста на процеса на присъединяване към ЕС да дадат приоритет на пълното, ефективно и последователно прилагане на съществуващата правна и политическа рамка за защита на лицата, принадлежащи към национални малцинства, в съответствие със задълженията си съгласно Рамковата конвенция на Съвета на Европа за защита на националните малцинства и съответните европейски стандарти;</w:t>
            </w:r>
            <w:r>
              <w:t xml:space="preserve"> </w:t>
            </w:r>
            <w:r>
              <w:rPr>
                <w:b/>
                <w:i/>
              </w:rPr>
              <w:t>настоятелно призовава органите да гарантират конкретен и измерим напредък във всички ключови сектори, включително образованието, публичната администрация, достъпа до медии и свободата на религията, чрез укрепване на механизмите за правоприлагане, предотвратяване на дискриминационни практики и установяване на ясни срокове, редовен мониторинг и прозрачно докладване, за да се гарантира ефективното упражняване на правата на малцинствата на практика;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ж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18ж.</w:t>
            </w:r>
            <w:r>
              <w:tab/>
            </w:r>
            <w:r>
              <w:rPr>
                <w:b/>
                <w:i/>
              </w:rPr>
              <w:t>отново изразява загрижеността си относно ограничителното и произволно прилагане на Закона за постоянното и временното пребиваване, свързано с маркирането на адресите на хиляди албанци в южната част на Сърбия като неактивни;</w:t>
            </w:r>
            <w:r>
              <w:t xml:space="preserve"> </w:t>
            </w:r>
            <w:r>
              <w:rPr>
                <w:b/>
                <w:i/>
              </w:rPr>
              <w:t>призовава звеното за вътрешен контрол на Министерството на вътрешните работи и прокуратурата да разследват действията на полицейските участъци в Буяновац, Прешево и Медведжа;</w:t>
            </w:r>
            <w:r>
              <w:t xml:space="preserve"> </w:t>
            </w:r>
            <w:r>
              <w:rPr>
                <w:b/>
                <w:i/>
              </w:rPr>
              <w:t>настоятелно призовава Министерството на вътрешните работи да публикува възможно най-скоро изчерпателни статистически данни за гражданите, чиито адреси са били маркирани като неактивни, от 2011 г. до 2024 г. в Медведжа, Буяновац и Прешево – данни, които да бъдат разпределени по националност/етническа принадлежност;</w:t>
            </w:r>
            <w:r>
              <w:t xml:space="preserve"> </w:t>
            </w:r>
            <w:r>
              <w:rPr>
                <w:b/>
                <w:i/>
              </w:rPr>
              <w:t>подчертава, че Министерството на публичната администрация и местното самоуправление трябва да спре процеса на премахване на гражданите с адреси, маркирани като неактивни, от единния избирателен списък;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з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18з.</w:t>
            </w:r>
            <w:r>
              <w:tab/>
            </w:r>
            <w:r>
              <w:rPr>
                <w:b/>
                <w:i/>
              </w:rPr>
              <w:t>изразява най-категорично своето неодобрение във връзка с неотдавнашните полицейски акции с намеса в университетски сгради, включващи претърсвания и изземване на вътрешна документация и разследване на ректора на Белградския университет Владан Джокич с излъчване на живо по проправителствените телевизионни канали, което показва равнище на политическо инструментализиране, несъвместимо с принципите на институционална автономност, законосъобразна процедура и върховенство на закона;</w:t>
            </w:r>
            <w:r>
              <w:t xml:space="preserve"> </w:t>
            </w:r>
            <w:r>
              <w:rPr>
                <w:b/>
                <w:i/>
              </w:rPr>
              <w:t>призовава съответните органи да проведат целенасочено, прозрачно и правно обосновано разследване след трагичната смърт на студент от Философския факултет;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з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18з.</w:t>
            </w:r>
            <w:r>
              <w:tab/>
            </w:r>
            <w:r>
              <w:rPr>
                <w:b/>
                <w:i/>
              </w:rPr>
              <w:t>отново заявява, че добросъседските отношения и регионалното сътрудничество остават същностни елементи от процеса на разширяване;</w:t>
            </w:r>
            <w:r>
              <w:t xml:space="preserve"> </w:t>
            </w:r>
            <w:r>
              <w:rPr>
                <w:b/>
                <w:i/>
              </w:rPr>
              <w:t>призовава Сърбия да премахне ограниченията за влизане на регионални активисти на гражданското общество и хора на изкуството, тъй като подобни практики подкопават регионалния диалог и сътрудничество;</w:t>
            </w:r>
            <w:r>
              <w:t xml:space="preserve"> </w:t>
            </w:r>
            <w:r>
              <w:rPr>
                <w:b/>
                <w:i/>
              </w:rPr>
              <w:t>подчертава, че е важно Сърбия да развива добросъседски отношения, да прилага двустранните споразумения и да разрешава нерешените двустранни въпроси със своите съседи;</w:t>
            </w:r>
            <w:r>
              <w:t xml:space="preserve"> </w:t>
            </w:r>
            <w:r>
              <w:rPr>
                <w:b/>
                <w:i/>
              </w:rPr>
              <w:t>отбелязва участието на Сърбия в регионални инициативи и нейното активно участие в плана за растеж на Западните Балкани и общия регионален пазар;</w:t>
            </w:r>
            <w:r>
              <w:t xml:space="preserve"> </w:t>
            </w:r>
            <w:r>
              <w:rPr>
                <w:b/>
                <w:i/>
              </w:rPr>
              <w:t>подчертава, че зачитането на правата на националните малцинства е съществено условие за напредъка на Сърбия по нейния европейски път;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18г.</w:t>
            </w:r>
            <w:r>
              <w:tab/>
            </w:r>
            <w:r>
              <w:rPr>
                <w:b/>
                <w:i/>
              </w:rPr>
              <w:t>отново заявява, че Сърбия трябва да се въздържа от оказване на влияние върху вътрешната политика на съседните си държави от Западните Балкани, включително по отношение на противоконституционното честване на Деня на Република Сръбска в Босна и Херцеговина;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и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18и.</w:t>
            </w:r>
            <w:r>
              <w:tab/>
            </w:r>
            <w:r>
              <w:rPr>
                <w:b/>
                <w:i/>
              </w:rPr>
              <w:t>отново заявява, че Сърбия трябва да прекрати практиката си да оказва влияние върху вътрешната политика на съседните си държави от Западните Балкани, включително по отношение на противоконституционното честване на Деня на Република Сръбска в Босна и Херцеговина, както и от оспорване на съдебни решения на Босна и Херцеговина;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18 й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18й.</w:t>
            </w:r>
            <w:r>
              <w:tab/>
            </w:r>
            <w:r>
              <w:rPr>
                <w:b/>
                <w:i/>
              </w:rPr>
              <w:t>изразява загриженост във връзка с популяризирания от сръбските органи наратив, според който съседните държави се представят като непосредствена военна заплаха за Сърбия;</w:t>
            </w:r>
            <w:r>
              <w:t xml:space="preserve"> </w:t>
            </w:r>
            <w:r>
              <w:rPr>
                <w:b/>
                <w:i/>
              </w:rPr>
              <w:t>подчертава, че подобна реторика рискува ненужно да ескалира напрежението в региона и да подкопае добросъседските отношения;</w:t>
            </w:r>
            <w:r>
              <w:t xml:space="preserve"> </w:t>
            </w:r>
            <w:r>
              <w:rPr>
                <w:b/>
                <w:i/>
              </w:rPr>
              <w:t>призовава сръбските органи да се въздържат от дестабилизиращи наративи и да участват конструктивно в регионалния диалог и регионалното сътрудничество в областта на сигурността в съответствие с ценностите и ангажиментите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Ханс Нойхоф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очаква Косово и Сърбия</w:t>
            </w:r>
            <w:r>
              <w:t xml:space="preserve"> да си сътрудничат </w:t>
            </w:r>
            <w:r>
              <w:rPr>
                <w:b/>
                <w:i/>
              </w:rPr>
              <w:t>изцяло и да предприемат всички необходими мерки за бързо изправяне пред съда на извършителите на терористичните нападения</w:t>
            </w:r>
            <w:r>
              <w:t xml:space="preserve"> в Банска през 2023 г.</w:t>
            </w:r>
            <w:r>
              <w:rPr>
                <w:b/>
                <w:i/>
              </w:rPr>
              <w:t>;</w:t>
            </w:r>
            <w:r>
              <w:t xml:space="preserve"> </w:t>
            </w:r>
            <w:r>
              <w:rPr>
                <w:b/>
                <w:i/>
              </w:rPr>
              <w:t>изразява съжаление във връзка с факта, че</w:t>
            </w:r>
            <w:r>
              <w:t xml:space="preserve"> Сърбия </w:t>
            </w:r>
            <w:r>
              <w:rPr>
                <w:b/>
                <w:i/>
              </w:rPr>
              <w:t>все още не е преследвала по съдебен ред извършителите, най-вече Милан Радойчич, заместник-председателя на партия „Српска листа“</w:t>
            </w:r>
            <w:r>
              <w:t>;</w:t>
            </w:r>
          </w:p>
        </w:tc>
        <w:tc>
          <w:tcPr>
            <w:tcW w:w="4876" w:type="dxa"/>
            <w:tcBorders>
              <w:top w:val="nil"/>
              <w:left w:val="nil"/>
              <w:bottom w:val="nil"/>
              <w:right w:val="nil"/>
            </w:tcBorders>
          </w:tcPr>
          <w:p>
            <w:pPr>
              <w:pStyle w:val="Normal6a"/>
            </w:pPr>
            <w:r>
              <w:t>19.</w:t>
            </w:r>
            <w:r>
              <w:tab/>
            </w:r>
            <w:r>
              <w:rPr>
                <w:b/>
                <w:i/>
              </w:rPr>
              <w:t>призовава всички страни</w:t>
            </w:r>
            <w:r>
              <w:t xml:space="preserve"> да си сътрудничат </w:t>
            </w:r>
            <w:r>
              <w:rPr>
                <w:b/>
                <w:i/>
              </w:rPr>
              <w:t>при установяването на пълните факти, свързани с инцидента</w:t>
            </w:r>
            <w:r>
              <w:t xml:space="preserve"> в Банска през 2023 г.</w:t>
            </w:r>
            <w:r>
              <w:rPr>
                <w:b/>
                <w:i/>
              </w:rPr>
              <w:t>, чрез законосъобразни правни процедури;</w:t>
            </w:r>
            <w:r>
              <w:t xml:space="preserve"> </w:t>
            </w:r>
            <w:r>
              <w:rPr>
                <w:b/>
                <w:i/>
              </w:rPr>
              <w:t>припомня, че в наказателното производство трябва да се зачитат принципът на надлежно провеждане на съдебния процес и презумпцията за невиновност;</w:t>
            </w:r>
            <w:r>
              <w:t xml:space="preserve"> </w:t>
            </w:r>
            <w:r>
              <w:rPr>
                <w:b/>
                <w:i/>
              </w:rPr>
              <w:t>подчертава, че съдебните производства са от изключителната компетентност на националните органи на</w:t>
            </w:r>
            <w:r>
              <w:t xml:space="preserve"> Сърбия </w:t>
            </w:r>
            <w:r>
              <w:rPr>
                <w:b/>
                <w:i/>
              </w:rPr>
              <w:t>и не трябва да бъдат подлагани на външен политически натиск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очаква </w:t>
            </w:r>
            <w:r>
              <w:rPr>
                <w:b/>
                <w:i/>
              </w:rPr>
              <w:t>Косово и</w:t>
            </w:r>
            <w:r>
              <w:t xml:space="preserve"> Сърбия да </w:t>
            </w:r>
            <w:r>
              <w:rPr>
                <w:b/>
                <w:i/>
              </w:rPr>
              <w:t>си сътрудничат изцяло и да предприемат</w:t>
            </w:r>
            <w:r>
              <w:t xml:space="preserve"> всички необходими мерки </w:t>
            </w:r>
            <w:r>
              <w:rPr>
                <w:b/>
                <w:i/>
              </w:rPr>
              <w:t>за</w:t>
            </w:r>
            <w:r>
              <w:t xml:space="preserve"> бързо </w:t>
            </w:r>
            <w:r>
              <w:rPr>
                <w:b/>
                <w:i/>
              </w:rPr>
              <w:t>изправяне</w:t>
            </w:r>
            <w:r>
              <w:t xml:space="preserve"> пред съда </w:t>
            </w:r>
            <w:r>
              <w:rPr>
                <w:b/>
                <w:i/>
              </w:rPr>
              <w:t>на</w:t>
            </w:r>
            <w:r>
              <w:t xml:space="preserve"> извършителите на </w:t>
            </w:r>
            <w:r>
              <w:rPr>
                <w:b/>
                <w:i/>
              </w:rPr>
              <w:t>терористичните нападения</w:t>
            </w:r>
            <w:r>
              <w:t xml:space="preserve"> в Банска през 2023 г.; изразява съжаление във връзка с факта, че Сърбия все още не е преследвала по съдебен ред извършителите, най-вече Милан Радойчич, </w:t>
            </w:r>
            <w:r>
              <w:rPr>
                <w:b/>
                <w:i/>
              </w:rPr>
              <w:t>заместник-председателя</w:t>
            </w:r>
            <w:r>
              <w:t xml:space="preserve"> на партия „</w:t>
            </w:r>
            <w:r>
              <w:rPr>
                <w:b/>
                <w:i/>
              </w:rPr>
              <w:t>Српска</w:t>
            </w:r>
            <w:r>
              <w:t xml:space="preserve"> листа“;</w:t>
            </w:r>
          </w:p>
        </w:tc>
        <w:tc>
          <w:tcPr>
            <w:tcW w:w="4876" w:type="dxa"/>
            <w:tcBorders>
              <w:top w:val="nil"/>
              <w:left w:val="nil"/>
              <w:bottom w:val="nil"/>
              <w:right w:val="nil"/>
            </w:tcBorders>
          </w:tcPr>
          <w:p>
            <w:pPr>
              <w:pStyle w:val="Normal6a"/>
            </w:pPr>
            <w:r>
              <w:t>19.</w:t>
            </w:r>
            <w:r>
              <w:tab/>
            </w:r>
            <w:r>
              <w:t xml:space="preserve">очаква Сърбия да </w:t>
            </w:r>
            <w:r>
              <w:rPr>
                <w:b/>
                <w:i/>
              </w:rPr>
              <w:t>предприеме</w:t>
            </w:r>
            <w:r>
              <w:t xml:space="preserve"> всички необходими мерки </w:t>
            </w:r>
            <w:r>
              <w:rPr>
                <w:b/>
                <w:i/>
              </w:rPr>
              <w:t>и да сътрудничи изцяло с Косово, за да бъдат най-сетне</w:t>
            </w:r>
            <w:r>
              <w:t xml:space="preserve"> бързо </w:t>
            </w:r>
            <w:r>
              <w:rPr>
                <w:b/>
                <w:i/>
              </w:rPr>
              <w:t>изправени</w:t>
            </w:r>
            <w:r>
              <w:t xml:space="preserve"> пред съда извършителите на </w:t>
            </w:r>
            <w:r>
              <w:rPr>
                <w:b/>
                <w:i/>
              </w:rPr>
              <w:t>терористичното нападение</w:t>
            </w:r>
            <w:r>
              <w:t xml:space="preserve"> в Банска през 2023 г.; изразява съжаление във връзка с факта, че Сърбия все още не е преследвала по съдебен ред извършителите, най-вече Милан Радойчич, </w:t>
            </w:r>
            <w:r>
              <w:rPr>
                <w:b/>
                <w:i/>
              </w:rPr>
              <w:t>бившия заместник-председател</w:t>
            </w:r>
            <w:r>
              <w:t xml:space="preserve"> на партия „</w:t>
            </w:r>
            <w:r>
              <w:rPr>
                <w:b/>
                <w:i/>
              </w:rPr>
              <w:t>Сръбска</w:t>
            </w:r>
            <w:r>
              <w:t xml:space="preserve"> листа“;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Емануил Франгос, Галато Александраки, Геадис Геади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очаква Косово и Сърбия да си сътрудничат изцяло и да предприемат всички необходими мерки за бързо изправяне пред съда на извършителите на </w:t>
            </w:r>
            <w:r>
              <w:rPr>
                <w:b/>
                <w:i/>
              </w:rPr>
              <w:t>терористичните нападения</w:t>
            </w:r>
            <w:r>
              <w:t xml:space="preserve"> в Банска през 2023 г.; изразява съжаление във връзка с факта, че Сърбия все още не е преследвала по съдебен ред извършителите, най-вече Милан Радойчич, заместник-председателя на партия „</w:t>
            </w:r>
            <w:r>
              <w:rPr>
                <w:b/>
                <w:i/>
              </w:rPr>
              <w:t>Српска</w:t>
            </w:r>
            <w:r>
              <w:t xml:space="preserve"> листа“;</w:t>
            </w:r>
          </w:p>
        </w:tc>
        <w:tc>
          <w:tcPr>
            <w:tcW w:w="4876" w:type="dxa"/>
            <w:tcBorders>
              <w:top w:val="nil"/>
              <w:left w:val="nil"/>
              <w:bottom w:val="nil"/>
              <w:right w:val="nil"/>
            </w:tcBorders>
          </w:tcPr>
          <w:p>
            <w:pPr>
              <w:pStyle w:val="Normal6a"/>
            </w:pPr>
            <w:r>
              <w:t>19.</w:t>
            </w:r>
            <w:r>
              <w:tab/>
            </w:r>
            <w:r>
              <w:t>очаква Косово</w:t>
            </w:r>
            <w:r>
              <w:rPr>
                <w:b/>
                <w:i/>
              </w:rPr>
              <w:t>*</w:t>
            </w:r>
            <w:r>
              <w:rPr>
                <w:b/>
                <w:i/>
                <w:vertAlign w:val="superscript"/>
              </w:rPr>
              <w:t>1а</w:t>
            </w:r>
            <w:r>
              <w:t xml:space="preserve"> и Сърбия да си сътрудничат изцяло и да предприемат всички необходими мерки за бързо изправяне пред съда на извършителите на </w:t>
            </w:r>
            <w:r>
              <w:rPr>
                <w:b/>
                <w:i/>
              </w:rPr>
              <w:t>терористичното нападение</w:t>
            </w:r>
            <w:r>
              <w:t xml:space="preserve"> в Банска през 2023 г.; изразява съжаление във връзка с факта, че Сърбия все още не е преследвала по съдебен ред извършителите, най-вече Милан Радойчич, заместник-председателя на партия „</w:t>
            </w:r>
            <w:r>
              <w:rPr>
                <w:b/>
                <w:i/>
              </w:rPr>
              <w:t>Сръбска</w:t>
            </w:r>
            <w:r>
              <w:t xml:space="preserve"> листа“;</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1а</w:t>
            </w:r>
            <w:r>
              <w:t xml:space="preserve"> </w:t>
            </w:r>
            <w:r>
              <w:rPr>
                <w:b/>
                <w:i/>
              </w:rPr>
              <w:t>Това название не засяга позициите по отношение на статута и е съобразено с Резолюция 1244/99 на Съвета за сигурност на ООН и становището на Международния съд относно обявяването на независимост от страна на Косово.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очаква Косово и Сърбия да си сътрудничат изцяло и да предприемат всички необходими мерки за бързо изправяне пред съда на извършителите на </w:t>
            </w:r>
            <w:r>
              <w:rPr>
                <w:b/>
                <w:i/>
              </w:rPr>
              <w:t>терористичните нападения</w:t>
            </w:r>
            <w:r>
              <w:t xml:space="preserve"> в Банска през 2023 г.; изразява съжаление във връзка с факта, че Сърбия все още не е преследвала по съдебен ред извършителите, най-вече Милан Радойчич, </w:t>
            </w:r>
            <w:r>
              <w:rPr>
                <w:b/>
                <w:i/>
              </w:rPr>
              <w:t>заместник-председателя</w:t>
            </w:r>
            <w:r>
              <w:t xml:space="preserve"> на партия „</w:t>
            </w:r>
            <w:r>
              <w:rPr>
                <w:b/>
                <w:i/>
              </w:rPr>
              <w:t>Српска</w:t>
            </w:r>
            <w:r>
              <w:t xml:space="preserve"> листа“;</w:t>
            </w:r>
          </w:p>
        </w:tc>
        <w:tc>
          <w:tcPr>
            <w:tcW w:w="4876" w:type="dxa"/>
            <w:tcBorders>
              <w:top w:val="nil"/>
              <w:left w:val="nil"/>
              <w:bottom w:val="nil"/>
              <w:right w:val="nil"/>
            </w:tcBorders>
          </w:tcPr>
          <w:p>
            <w:pPr>
              <w:pStyle w:val="Normal6a"/>
            </w:pPr>
            <w:r>
              <w:t>19.</w:t>
            </w:r>
            <w:r>
              <w:tab/>
            </w:r>
            <w:r>
              <w:t xml:space="preserve">очаква Косово и Сърбия да си сътрудничат изцяло и да предприемат всички необходими мерки за бързо изправяне пред съда на извършителите на </w:t>
            </w:r>
            <w:r>
              <w:rPr>
                <w:b/>
                <w:i/>
              </w:rPr>
              <w:t>терористичното нападение</w:t>
            </w:r>
            <w:r>
              <w:t xml:space="preserve"> в Банска през 2023 г.; изразява съжаление във връзка с факта, че Сърбия все още не е преследвала по съдебен ред извършителите, най-вече Милан Радойчич, </w:t>
            </w:r>
            <w:r>
              <w:rPr>
                <w:b/>
                <w:i/>
              </w:rPr>
              <w:t>бившия заместник-председател</w:t>
            </w:r>
            <w:r>
              <w:t xml:space="preserve"> на партия „</w:t>
            </w:r>
            <w:r>
              <w:rPr>
                <w:b/>
                <w:i/>
              </w:rPr>
              <w:t>Сръбска</w:t>
            </w:r>
            <w:r>
              <w:t xml:space="preserve"> листа“;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очаква Косово и Сърбия да си сътрудничат изцяло и да предприемат всички необходими мерки за бързо изправяне пред съда на извършителите на </w:t>
            </w:r>
            <w:r>
              <w:rPr>
                <w:b/>
                <w:i/>
              </w:rPr>
              <w:t>терористичните нападения</w:t>
            </w:r>
            <w:r>
              <w:t xml:space="preserve"> в Банска през 2023 г.; изразява съжаление във връзка с факта, че Сърбия все още не е преследвала по съдебен ред извършителите, най-вече Милан Радойчич</w:t>
            </w:r>
            <w:r>
              <w:rPr>
                <w:b/>
                <w:i/>
              </w:rPr>
              <w:t>, заместник-председателя на партия „Српска листа“</w:t>
            </w:r>
            <w:r>
              <w:t>;</w:t>
            </w:r>
          </w:p>
        </w:tc>
        <w:tc>
          <w:tcPr>
            <w:tcW w:w="4876" w:type="dxa"/>
            <w:tcBorders>
              <w:top w:val="nil"/>
              <w:left w:val="nil"/>
              <w:bottom w:val="nil"/>
              <w:right w:val="nil"/>
            </w:tcBorders>
          </w:tcPr>
          <w:p>
            <w:pPr>
              <w:pStyle w:val="Normal6a"/>
            </w:pPr>
            <w:r>
              <w:t>19.</w:t>
            </w:r>
            <w:r>
              <w:tab/>
            </w:r>
            <w:r>
              <w:t xml:space="preserve">очаква Косово и Сърбия да си сътрудничат изцяло и да предприемат всички необходими мерки за бързо изправяне пред съда на извършителите на </w:t>
            </w:r>
            <w:r>
              <w:rPr>
                <w:b/>
                <w:i/>
              </w:rPr>
              <w:t>терористичното нападение</w:t>
            </w:r>
            <w:r>
              <w:t xml:space="preserve"> в Банска през 2023 г.; изразява съжаление във връзка с факта, че Сърбия все още не е преследвала по съдебен ред извършителите, най-вече Милан Радойчич;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Емануил Франгос, Галато Александраки, Геадис Геади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очаква Косово и Сърбия да си сътрудничат изцяло и да предприемат всички необходими мерки за бързо изправяне пред съда на извършителите на </w:t>
            </w:r>
            <w:r>
              <w:rPr>
                <w:b/>
                <w:i/>
              </w:rPr>
              <w:t>терористичните нападения</w:t>
            </w:r>
            <w:r>
              <w:t xml:space="preserve"> в Банска през 2023 г.; изразява съжаление във връзка с факта, че Сърбия все още не е преследвала по съдебен ред извършителите, най-вече Милан Радойчич, </w:t>
            </w:r>
            <w:r>
              <w:rPr>
                <w:b/>
                <w:i/>
              </w:rPr>
              <w:t>заместник-председателя</w:t>
            </w:r>
            <w:r>
              <w:t xml:space="preserve"> на партия „</w:t>
            </w:r>
            <w:r>
              <w:rPr>
                <w:b/>
                <w:i/>
              </w:rPr>
              <w:t>Српска</w:t>
            </w:r>
            <w:r>
              <w:t xml:space="preserve"> листа“;</w:t>
            </w:r>
          </w:p>
        </w:tc>
        <w:tc>
          <w:tcPr>
            <w:tcW w:w="4876" w:type="dxa"/>
            <w:tcBorders>
              <w:top w:val="nil"/>
              <w:left w:val="nil"/>
              <w:bottom w:val="nil"/>
              <w:right w:val="nil"/>
            </w:tcBorders>
          </w:tcPr>
          <w:p>
            <w:pPr>
              <w:pStyle w:val="Normal6a"/>
            </w:pPr>
            <w:r>
              <w:t>19.</w:t>
            </w:r>
            <w:r>
              <w:tab/>
            </w:r>
            <w:r>
              <w:t xml:space="preserve">очаква Косово и Сърбия да си сътрудничат изцяло и да предприемат всички необходими мерки за бързо изправяне пред съда на извършителите на </w:t>
            </w:r>
            <w:r>
              <w:rPr>
                <w:b/>
                <w:i/>
              </w:rPr>
              <w:t>инцидента</w:t>
            </w:r>
            <w:r>
              <w:t xml:space="preserve"> в Банска през 2023 г.; изразява съжаление във връзка с факта, че Сърбия все още не е преследвала по съдебен ред извършителите, най-вече Милан Радойчич, </w:t>
            </w:r>
            <w:r>
              <w:rPr>
                <w:b/>
                <w:i/>
              </w:rPr>
              <w:t>бившия заместник-председател</w:t>
            </w:r>
            <w:r>
              <w:t xml:space="preserve"> на партия „</w:t>
            </w:r>
            <w:r>
              <w:rPr>
                <w:b/>
                <w:i/>
              </w:rPr>
              <w:t>Сръбска</w:t>
            </w:r>
            <w:r>
              <w:t xml:space="preserve"> листа“;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очаква Косово и Сърбия да си сътрудничат изцяло и да предприемат всички необходими мерки за бързо изправяне пред съда на извършителите на </w:t>
            </w:r>
            <w:r>
              <w:rPr>
                <w:b/>
                <w:i/>
              </w:rPr>
              <w:t>терористичните нападения</w:t>
            </w:r>
            <w:r>
              <w:t xml:space="preserve"> в Банска през 2023 г.; </w:t>
            </w:r>
            <w:r>
              <w:rPr>
                <w:b/>
                <w:i/>
              </w:rPr>
              <w:t>изразява съжаление във връзка с</w:t>
            </w:r>
            <w:r>
              <w:t xml:space="preserve"> факта, че Сърбия все още не е преследвала по съдебен ред извършителите, най-вече Милан Радойчич, заместник-председателя на партия „</w:t>
            </w:r>
            <w:r>
              <w:rPr>
                <w:b/>
                <w:i/>
              </w:rPr>
              <w:t>Српска</w:t>
            </w:r>
            <w:r>
              <w:t xml:space="preserve"> листа“;</w:t>
            </w:r>
          </w:p>
        </w:tc>
        <w:tc>
          <w:tcPr>
            <w:tcW w:w="4876" w:type="dxa"/>
            <w:tcBorders>
              <w:top w:val="nil"/>
              <w:left w:val="nil"/>
              <w:bottom w:val="nil"/>
              <w:right w:val="nil"/>
            </w:tcBorders>
          </w:tcPr>
          <w:p>
            <w:pPr>
              <w:pStyle w:val="Normal6a"/>
            </w:pPr>
            <w:r>
              <w:t>19.</w:t>
            </w:r>
            <w:r>
              <w:tab/>
            </w:r>
            <w:r>
              <w:t xml:space="preserve">очаква Косово и Сърбия да си сътрудничат изцяло и да предприемат всички необходими мерки за бързо изправяне пред съда на извършителите на </w:t>
            </w:r>
            <w:r>
              <w:rPr>
                <w:b/>
                <w:i/>
              </w:rPr>
              <w:t>терористичното нападение</w:t>
            </w:r>
            <w:r>
              <w:t xml:space="preserve"> в Банска през 2023 г.; </w:t>
            </w:r>
            <w:r>
              <w:rPr>
                <w:b/>
                <w:i/>
              </w:rPr>
              <w:t>осъжда</w:t>
            </w:r>
            <w:r>
              <w:t xml:space="preserve"> факта, че Сърбия все още не е преследвала по съдебен ред извършителите, най-вече Милан Радойчич, заместник-председателя на партия „</w:t>
            </w:r>
            <w:r>
              <w:rPr>
                <w:b/>
                <w:i/>
              </w:rPr>
              <w:t>Сръбска</w:t>
            </w:r>
            <w:r>
              <w:t xml:space="preserve"> листа“;</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Станислав Стоянов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19а.</w:t>
            </w:r>
            <w:r>
              <w:tab/>
            </w:r>
            <w:r>
              <w:rPr>
                <w:b/>
                <w:i/>
              </w:rPr>
              <w:t>припомня, че регионалното сътрудничество и добросъседските отношения продължават да бъдат същностни части от процеса на разширяване;</w:t>
            </w:r>
            <w:r>
              <w:t xml:space="preserve"> </w:t>
            </w:r>
            <w:r>
              <w:rPr>
                <w:b/>
                <w:i/>
              </w:rPr>
              <w:t>приканва Сърбия да продължи участието си в редица инициативи за регионално сътрудничество, които също така предоставят форум за диалог и укрепват добросъседските отношения в региона;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19а.</w:t>
            </w:r>
            <w:r>
              <w:tab/>
            </w:r>
            <w:r>
              <w:rPr>
                <w:b/>
                <w:i/>
              </w:rPr>
              <w:t>подчертава, че Косово е неразделна част от Сърбия и признаването на неговата независимост представлява тежко нарушение на териториалната цялост на Сърбия;</w:t>
            </w:r>
            <w:r>
              <w:t xml:space="preserve"> </w:t>
            </w:r>
            <w:r>
              <w:rPr>
                <w:b/>
                <w:i/>
              </w:rPr>
              <w:t>подчертава, че това признаване също така създаде опасен прецедент, който беше използван от Русия за оправдаване на незаконните ѝ анексирания;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19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19а.</w:t>
            </w:r>
            <w:r>
              <w:tab/>
            </w:r>
            <w:r>
              <w:rPr>
                <w:b/>
                <w:i/>
              </w:rPr>
              <w:t>признава важната роля на Сърбия в региона на Западните Балкани, като същевременно категорично осъжда всички действия или опити, насочени към отстояване на сфера на влияние, която би подкопала суверенитета и териториалната цялост на съседните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припомня, че нормализирането на отношенията с Косово и изпълнението на ангажиментите по отношение на диалога Белград – Прищина продължават да бъдат неразделна част от европейската перспектива на Сърбия;</w:t>
            </w:r>
          </w:p>
        </w:tc>
        <w:tc>
          <w:tcPr>
            <w:tcW w:w="4876" w:type="dxa"/>
            <w:tcBorders>
              <w:top w:val="nil"/>
              <w:left w:val="nil"/>
              <w:bottom w:val="nil"/>
              <w:right w:val="nil"/>
            </w:tcBorders>
          </w:tcPr>
          <w:p>
            <w:pPr>
              <w:pStyle w:val="Normal6a"/>
            </w:pPr>
            <w:r>
              <w:t>20.</w:t>
            </w:r>
            <w:r>
              <w:tab/>
            </w:r>
            <w:r>
              <w:t xml:space="preserve">припомня, че нормализирането на отношенията с Косово и изпълнението на ангажиментите по отношение на диалога Белград – Прищина продължават да бъдат неразделна част от европейската перспектива на Сърбия; </w:t>
            </w:r>
            <w:r>
              <w:rPr>
                <w:b/>
                <w:i/>
              </w:rPr>
              <w:t>приветства конструктивното участие на Сърбия в диалога и изпълнението на всички основни задължения, записани в Брюкселското споразумение от 2013 г; изразява съжаление, че след цели 13 години органите в Прищина дори не са започнали да изпълняват единственото задължение от Брюкселското споразумение — създаването на Общността на сръбските общини, която е от жизненоважно значение за оцеляването на сърбите в АП Косово и Метохия.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Емануил Франгос, Галато Александраки, Геадис Геади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припомня, че нормализирането на отношенията с Косово и изпълнението на ангажиментите по отношение на диалога Белград – Прищина продължават да бъдат неразделна част от европейската перспектива на Сърбия;</w:t>
            </w:r>
          </w:p>
        </w:tc>
        <w:tc>
          <w:tcPr>
            <w:tcW w:w="4876" w:type="dxa"/>
            <w:tcBorders>
              <w:top w:val="nil"/>
              <w:left w:val="nil"/>
              <w:bottom w:val="nil"/>
              <w:right w:val="nil"/>
            </w:tcBorders>
          </w:tcPr>
          <w:p>
            <w:pPr>
              <w:pStyle w:val="Normal6a"/>
            </w:pPr>
            <w:r>
              <w:t>20.</w:t>
            </w:r>
            <w:r>
              <w:tab/>
            </w:r>
            <w:r>
              <w:t>припомня, че нормализирането на отношенията с Косово</w:t>
            </w:r>
            <w:r>
              <w:rPr>
                <w:b/>
                <w:i/>
              </w:rPr>
              <w:t>*</w:t>
            </w:r>
            <w:r>
              <w:t xml:space="preserve"> и изпълнението на ангажиментите по отношение на диалога Белград – Прищина продължават да бъдат неразделна част от европейската перспектива на Сърбия; </w:t>
            </w:r>
            <w:r>
              <w:rPr>
                <w:b/>
                <w:i/>
              </w:rPr>
              <w:t>приветства конструктивното участие на Сърбия в диалога и изпълнението на задълженията, включени в Брюкселското споразумение от 2013 г.;</w:t>
            </w:r>
            <w:r>
              <w:t xml:space="preserve"> </w:t>
            </w:r>
            <w:r>
              <w:rPr>
                <w:b/>
                <w:i/>
              </w:rPr>
              <w:t>изразява съжаление, че след цели 13 години органите в Прищина дори не са започнали да изпълняват единственото задължение по Брюкселското споразумение — създаването на Общността на сръбските общини, която е от жизненоважно значение за оцеляването на сърбите в АП Косово и Метохия.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припомня, че нормализирането на отношенията с Косово и изпълнението на ангажиментите по отношение на диалога Белград – Прищина продължават да бъдат неразделна част от европейската перспектива на Сърбия;</w:t>
            </w:r>
          </w:p>
        </w:tc>
        <w:tc>
          <w:tcPr>
            <w:tcW w:w="4876" w:type="dxa"/>
            <w:tcBorders>
              <w:top w:val="nil"/>
              <w:left w:val="nil"/>
              <w:bottom w:val="nil"/>
              <w:right w:val="nil"/>
            </w:tcBorders>
          </w:tcPr>
          <w:p>
            <w:pPr>
              <w:pStyle w:val="Normal6a"/>
            </w:pPr>
            <w:r>
              <w:t>20.</w:t>
            </w:r>
            <w:r>
              <w:tab/>
            </w:r>
            <w:r>
              <w:t xml:space="preserve">припомня, че нормализирането на отношенията с Косово и изпълнението на ангажиментите по отношение на диалога Белград – Прищина продължават да бъдат неразделна част от европейската перспектива на Сърбия; </w:t>
            </w:r>
            <w:r>
              <w:rPr>
                <w:b/>
                <w:i/>
              </w:rPr>
              <w:t>посочва, че добросъседските отношения са неразделна част от задълженията на Сърбия във връзка с разширяването, и поради това очаква Сърбия да предприеме практически стъпки за нормализиране на отношенията с Косово;</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Анамария Вичек, Кинга Гал, Антонио Танжер Кореа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припомня, че нормализирането на отношенията с Косово и изпълнението на ангажиментите по отношение на диалога Белград – Прищина продължават да бъдат неразделна част от европейската перспектива на Сърбия;</w:t>
            </w:r>
          </w:p>
        </w:tc>
        <w:tc>
          <w:tcPr>
            <w:tcW w:w="4876" w:type="dxa"/>
            <w:tcBorders>
              <w:top w:val="nil"/>
              <w:left w:val="nil"/>
              <w:bottom w:val="nil"/>
              <w:right w:val="nil"/>
            </w:tcBorders>
          </w:tcPr>
          <w:p>
            <w:pPr>
              <w:pStyle w:val="Normal6a"/>
            </w:pPr>
            <w:r>
              <w:t>20.</w:t>
            </w:r>
            <w:r>
              <w:tab/>
            </w:r>
            <w:r>
              <w:t xml:space="preserve">припомня, че нормализирането на отношенията с Косово и изпълнението на ангажиментите по отношение на диалога Белград – Прищина продължават да бъдат неразделна част от европейската перспектива на Сърбия; </w:t>
            </w:r>
            <w:r>
              <w:rPr>
                <w:b/>
                <w:i/>
              </w:rPr>
              <w:t>приветства конструктивното участие на Сърбия в диалога и изпълнението на всички основни задължения, съдържащи се в Брюкселското споразумение от 2013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Ивайло Вълчев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а.</w:t>
            </w:r>
            <w:r>
              <w:tab/>
            </w:r>
            <w:r>
              <w:rPr>
                <w:b/>
                <w:i/>
              </w:rPr>
              <w:t>отново призовава сръбските власти да продължат усилията си за премахване на наследството на бившите комунистически тайни служби чрез отваряне на досиетата за широката общественост като стъпка по пътя към демократизацията на Сърбия, както и към помирението със съседните държави;</w:t>
            </w:r>
            <w:r>
              <w:t xml:space="preserve"> </w:t>
            </w:r>
            <w:r>
              <w:rPr>
                <w:b/>
                <w:i/>
              </w:rPr>
              <w:t>призовава Сърбия да засили процеса на осигуряване на приемственост и изпълнение на задълженията, свързани с разделянето на общия архив на бивша Югославия;</w:t>
            </w:r>
            <w:r>
              <w:t xml:space="preserve"> </w:t>
            </w:r>
            <w:r>
              <w:rPr>
                <w:b/>
                <w:i/>
              </w:rPr>
              <w:t>потвърждава в този контекст, че пълният достъп до всички архивни материали, особено тези на бившите югославски тайни служби (UDBA) и тайната служба на Югославската народна армия (KOS), е от съществено значение;</w:t>
            </w:r>
            <w:r>
              <w:t xml:space="preserve"> </w:t>
            </w:r>
            <w:r>
              <w:rPr>
                <w:b/>
                <w:i/>
              </w:rPr>
              <w:t>отново призовава органите да улесняват достъпа до архивите, които се отнасят до бившите републики на Югославия, и да ги върнат на съответните правителства, ако те са отправили такова искане;</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Геадис Геади, Емануил Франгос, Галато Александраки, Никола Бе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приветства конструктивното участие на Сърбия в диалога и изпълнението от нейна страна на основните задължения, произтичащи от Брюкселското споразумение от 2013 г.;</w:t>
            </w:r>
            <w:r>
              <w:t xml:space="preserve"> </w:t>
            </w:r>
            <w:r>
              <w:rPr>
                <w:b/>
                <w:i/>
              </w:rPr>
              <w:t>изразява съжаление, че повече от 13 години по-късно органите в Прищина не са започнали да създават Общността на сръбските общини — ключов елемент за защитата на сръбската общност в Косово;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Давор Иво Щир, Андрей Ковачев, Райнхолд Лопатка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отново заявява, че добросъседските отношения и регионалното сътрудничество остават същностни елементи от процеса на разширяване;</w:t>
            </w:r>
            <w:r>
              <w:t xml:space="preserve"> </w:t>
            </w:r>
            <w:r>
              <w:rPr>
                <w:b/>
                <w:i/>
              </w:rPr>
              <w:t>подчертава колко е важно Сърбия да развива добросъседски отношения, по-специално като изпълнява споразуменията с държавите — членки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Анамария Вичек, Кинга Гал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изразява съжаление, че въпреки многобройните предупреждения от страна на Европейската комисия да се пристъпи към създаването на Сдружение/Общност на общините със сръбско мнозинство, Косово все още не е постигнало напредък в това отношение;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Давор Иво Щир, 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20б.</w:t>
            </w:r>
            <w:r>
              <w:tab/>
            </w:r>
            <w:r>
              <w:rPr>
                <w:b/>
                <w:i/>
              </w:rPr>
              <w:t>изразява съжаление относно насърчаването и политическото инструментализиране на концепцията за т.нар. „сръбски свят“, която подкопава суверенитета, териториалната цялост и стабилността на съседните държави;</w:t>
            </w:r>
            <w:r>
              <w:t xml:space="preserve"> </w:t>
            </w:r>
            <w:r>
              <w:rPr>
                <w:b/>
                <w:i/>
              </w:rPr>
              <w:t>подчертава, че подобни наративи противоречат на принципите на добросъседските отношения и регионалното сътрудничество, които са основни елементи на процеса на присъединяване към ЕС;</w:t>
            </w:r>
            <w:r>
              <w:t xml:space="preserve"> </w:t>
            </w:r>
            <w:r>
              <w:rPr>
                <w:b/>
                <w:i/>
              </w:rPr>
              <w:t>призовава сръбските органи да се въздържат от реторика и действия, които могат да подхранят напрежението в региона;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Давор Иво Щир, 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20в.</w:t>
            </w:r>
            <w:r>
              <w:tab/>
            </w:r>
            <w:r>
              <w:rPr>
                <w:b/>
                <w:i/>
              </w:rPr>
              <w:t>решително осъжда повтарящите се случаи на реч на омразата, враждебна реторика и подстрекателски послания, насочени срещу съседните държави, по-специално България, Хърватия, Косово и Албания, включително от страна на държавни служители и медии;</w:t>
            </w:r>
            <w:r>
              <w:t xml:space="preserve"> </w:t>
            </w:r>
            <w:r>
              <w:rPr>
                <w:b/>
                <w:i/>
              </w:rPr>
              <w:t>подчертава, че подобен дискурс е несъвместим с европейските ценности и подкопава доверието, помирението и регионалната стабилност;</w:t>
            </w:r>
            <w:r>
              <w:t xml:space="preserve"> </w:t>
            </w:r>
            <w:r>
              <w:rPr>
                <w:b/>
                <w:i/>
              </w:rPr>
              <w:t>призовава сръбските органи активно да противодействат на речта на омразата, да осигурят понасянето на отговорност и да насърчават климат на уважение и конструктивен диалог в региона;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отново призовава да се подобри качеството на процеса на диалог чрез участие на жените, повишена прозрачност спрямо обществеността и значимо участие на гражданското общество;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отново подчертава значението на конструктивния ангажимент от страна на органите </w:t>
            </w:r>
            <w:r>
              <w:rPr>
                <w:b/>
                <w:i/>
              </w:rPr>
              <w:t>както на Косово, така и</w:t>
            </w:r>
            <w:r>
              <w:t xml:space="preserve"> на Сърбия</w:t>
            </w:r>
            <w:r>
              <w:rPr>
                <w:b/>
                <w:i/>
              </w:rPr>
              <w:t>, за да се постигне</w:t>
            </w:r>
            <w:r>
              <w:t xml:space="preserve"> всеобхватно правно обвързващо </w:t>
            </w:r>
            <w:r>
              <w:rPr>
                <w:b/>
                <w:i/>
              </w:rPr>
              <w:t>споразумение за</w:t>
            </w:r>
            <w:r>
              <w:t xml:space="preserve"> нормализиране </w:t>
            </w:r>
            <w:r>
              <w:rPr>
                <w:b/>
                <w:i/>
              </w:rPr>
              <w:t>на отношенията, основано на взаимно признаване и</w:t>
            </w:r>
            <w:r>
              <w:t xml:space="preserve"> в съответствие с международното право; призовава </w:t>
            </w:r>
            <w:r>
              <w:rPr>
                <w:b/>
                <w:i/>
              </w:rPr>
              <w:t>както Косово, така и Сърбия да прилагат</w:t>
            </w:r>
            <w:r>
              <w:t xml:space="preserve"> Брюкселското </w:t>
            </w:r>
            <w:r>
              <w:rPr>
                <w:b/>
                <w:i/>
              </w:rPr>
              <w:t>и</w:t>
            </w:r>
            <w:r>
              <w:t xml:space="preserve"> Охридското споразумение</w:t>
            </w:r>
            <w:r>
              <w:rPr>
                <w:b/>
                <w:i/>
              </w:rPr>
              <w:t>, включително създаването на Асоциация/общност на общините със сръбско мнозинство и премахването на противопоставянето на</w:t>
            </w:r>
            <w:r>
              <w:t xml:space="preserve"> Сърбия </w:t>
            </w:r>
            <w:r>
              <w:rPr>
                <w:b/>
                <w:i/>
              </w:rPr>
              <w:t>срещу членството</w:t>
            </w:r>
            <w:r>
              <w:t xml:space="preserve"> на Косово в регионални и международни организации</w:t>
            </w:r>
            <w:r>
              <w:rPr>
                <w:b/>
                <w:i/>
              </w:rPr>
              <w:t>, както и да избягват</w:t>
            </w:r>
            <w:r>
              <w:t xml:space="preserve"> едностранни действия, които </w:t>
            </w:r>
            <w:r>
              <w:rPr>
                <w:b/>
                <w:i/>
              </w:rPr>
              <w:t>биха могли да подкопаят процеса на диалог</w:t>
            </w:r>
            <w:r>
              <w:t>;</w:t>
            </w:r>
          </w:p>
        </w:tc>
        <w:tc>
          <w:tcPr>
            <w:tcW w:w="4876" w:type="dxa"/>
            <w:tcBorders>
              <w:top w:val="nil"/>
              <w:left w:val="nil"/>
              <w:bottom w:val="nil"/>
              <w:right w:val="nil"/>
            </w:tcBorders>
          </w:tcPr>
          <w:p>
            <w:pPr>
              <w:pStyle w:val="Normal6a"/>
            </w:pPr>
            <w:r>
              <w:t>22.</w:t>
            </w:r>
            <w:r>
              <w:tab/>
            </w:r>
            <w:r>
              <w:t xml:space="preserve">отново подчертава значението на конструктивния </w:t>
            </w:r>
            <w:r>
              <w:rPr>
                <w:b/>
                <w:i/>
              </w:rPr>
              <w:t>и траен</w:t>
            </w:r>
            <w:r>
              <w:t xml:space="preserve"> ангажимент от страна на органите на Сърбия </w:t>
            </w:r>
            <w:r>
              <w:rPr>
                <w:b/>
                <w:i/>
              </w:rPr>
              <w:t>и Косово с оглед на постигането на</w:t>
            </w:r>
            <w:r>
              <w:t xml:space="preserve"> всеобхватно </w:t>
            </w:r>
            <w:r>
              <w:rPr>
                <w:b/>
                <w:i/>
              </w:rPr>
              <w:t>и</w:t>
            </w:r>
            <w:r>
              <w:t xml:space="preserve"> правно обвързващо нормализиране в съответствие с международното право </w:t>
            </w:r>
            <w:r>
              <w:rPr>
                <w:b/>
                <w:i/>
              </w:rPr>
              <w:t>и ангажиментите, поети в рамките на диалога, воден със съдействието на ЕС</w:t>
            </w:r>
            <w:r>
              <w:t xml:space="preserve">; призовава </w:t>
            </w:r>
            <w:r>
              <w:rPr>
                <w:b/>
                <w:i/>
              </w:rPr>
              <w:t>двете страни да приложат изцяло</w:t>
            </w:r>
            <w:r>
              <w:t xml:space="preserve"> Брюкселското </w:t>
            </w:r>
            <w:r>
              <w:rPr>
                <w:b/>
                <w:i/>
              </w:rPr>
              <w:t>споразумение,</w:t>
            </w:r>
            <w:r>
              <w:t xml:space="preserve"> Охридското споразумение </w:t>
            </w:r>
            <w:r>
              <w:rPr>
                <w:b/>
                <w:i/>
              </w:rPr>
              <w:t>и приложението за прилагане към него;</w:t>
            </w:r>
            <w:r>
              <w:t xml:space="preserve"> </w:t>
            </w:r>
            <w:r>
              <w:rPr>
                <w:b/>
                <w:i/>
              </w:rPr>
              <w:t>призовава по-специално</w:t>
            </w:r>
            <w:r>
              <w:t xml:space="preserve"> Сърбия </w:t>
            </w:r>
            <w:r>
              <w:rPr>
                <w:b/>
                <w:i/>
              </w:rPr>
              <w:t>да започне да спазва поетите ангажименти за признаване на документи и символи, да се въздържа от възпрепятстване на участието</w:t>
            </w:r>
            <w:r>
              <w:t xml:space="preserve"> на Косово в регионални и международни организации </w:t>
            </w:r>
            <w:r>
              <w:rPr>
                <w:b/>
                <w:i/>
              </w:rPr>
              <w:t>и да избягва всякакви</w:t>
            </w:r>
            <w:r>
              <w:t xml:space="preserve"> едностранни действия, които </w:t>
            </w:r>
            <w:r>
              <w:rPr>
                <w:b/>
                <w:i/>
              </w:rPr>
              <w:t>подкопават диалога;</w:t>
            </w:r>
            <w:r>
              <w:t xml:space="preserve"> </w:t>
            </w:r>
            <w:r>
              <w:rPr>
                <w:b/>
                <w:i/>
              </w:rPr>
              <w:t>подчертава необходимостта да се укрепи прилагането на законодателството за защита на правата на хората, принадлежащи към малцинствени общности, включително чрез гарантиране на ефективен и непрекъснат достъп до образование, здравеопазване и обществени услуги, зачитане на езиковите права и правата на собственост, подходящо представителство в централното и местното управление и опазване на традиционното, религиозното и културното наследство</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Геадис Геади, Емануил Франгос, Галато Александраки, Никола Бе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отново подчертава значението на конструктивния ангажимент от страна на органите както на Косово, така и на Сърбия, за да се постигне всеобхватно правно обвързващо споразумение за нормализиране на отношенията</w:t>
            </w:r>
            <w:r>
              <w:rPr>
                <w:b/>
                <w:i/>
              </w:rPr>
              <w:t>, основано на взаимно признаване и</w:t>
            </w:r>
            <w:r>
              <w:t xml:space="preserve"> в съответствие с международното право; призовава както Косово, така и Сърбия да прилагат Брюкселското и Охридското споразумение, включително създаването на Асоциация/общност на общините със сръбско мнозинство </w:t>
            </w:r>
            <w:r>
              <w:rPr>
                <w:b/>
                <w:i/>
              </w:rPr>
              <w:t>и премахването на противопоставянето на Сърбия срещу членството на Косово в регионални и международни организации</w:t>
            </w:r>
            <w:r>
              <w:t>, както и да избягват едностранни действия, които биха могли да подкопаят процеса на диалог;</w:t>
            </w:r>
          </w:p>
        </w:tc>
        <w:tc>
          <w:tcPr>
            <w:tcW w:w="4876" w:type="dxa"/>
            <w:tcBorders>
              <w:top w:val="nil"/>
              <w:left w:val="nil"/>
              <w:bottom w:val="nil"/>
              <w:right w:val="nil"/>
            </w:tcBorders>
          </w:tcPr>
          <w:p>
            <w:pPr>
              <w:pStyle w:val="Normal6a"/>
            </w:pPr>
            <w:r>
              <w:t>22.</w:t>
            </w:r>
            <w:r>
              <w:tab/>
            </w:r>
            <w:r>
              <w:t>отново подчертава значението на конструктивния ангажимент от страна на органите както на Косово, така и на Сърбия, за да се постигне всеобхватно правно обвързващо споразумение за нормализиране на отношенията в съответствие с международното право; призовава както Косово, така и Сърбия да прилагат Брюкселското и Охридското споразумение, включително създаването на Асоциация/общност на общините със сръбско мнозинство, както и да избягват едностранни действия, които биха могли да подкопаят процеса на диалог;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Франсиско Хосе Милян Мон, Антонио Лопес‑Истурис Уайт, Габриел Мато, Николас Паскуал Де Ла Парте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отново подчертава значението на конструктивния ангажимент от страна на органите </w:t>
            </w:r>
            <w:r>
              <w:rPr>
                <w:b/>
                <w:i/>
              </w:rPr>
              <w:t>както</w:t>
            </w:r>
            <w:r>
              <w:t xml:space="preserve"> на Косово</w:t>
            </w:r>
            <w:r>
              <w:rPr>
                <w:b/>
                <w:i/>
              </w:rPr>
              <w:t>, така</w:t>
            </w:r>
            <w:r>
              <w:t xml:space="preserve"> и на Сърбия, за да се постигне всеобхватно правно обвързващо споразумение за нормализиране на отношенията, </w:t>
            </w:r>
            <w:r>
              <w:rPr>
                <w:b/>
                <w:i/>
              </w:rPr>
              <w:t>основано на взаимно признаване и в съответствие с международното право</w:t>
            </w:r>
            <w:r>
              <w:t xml:space="preserve">; призовава както Косово, така и Сърбия да прилагат Брюкселското и Охридското споразумение, включително създаването на Асоциация/общност на общините със сръбско мнозинство </w:t>
            </w:r>
            <w:r>
              <w:rPr>
                <w:b/>
                <w:i/>
              </w:rPr>
              <w:t>и премахването на противопоставянето на Сърбия срещу членството на Косово в регионални и международни организации</w:t>
            </w:r>
            <w:r>
              <w:t>, както и да избягват едностранни действия, които биха могли да подкопаят процеса на диалог;</w:t>
            </w:r>
          </w:p>
        </w:tc>
        <w:tc>
          <w:tcPr>
            <w:tcW w:w="4876" w:type="dxa"/>
            <w:tcBorders>
              <w:top w:val="nil"/>
              <w:left w:val="nil"/>
              <w:bottom w:val="nil"/>
              <w:right w:val="nil"/>
            </w:tcBorders>
          </w:tcPr>
          <w:p>
            <w:pPr>
              <w:pStyle w:val="Normal6a"/>
            </w:pPr>
            <w:r>
              <w:t>22.</w:t>
            </w:r>
            <w:r>
              <w:tab/>
            </w:r>
            <w:r>
              <w:t xml:space="preserve">отново подчертава значението на конструктивния ангажимент от страна на органите на Косово и на Сърбия, за да се постигне всеобхватно правно обвързващо споразумение за нормализиране на отношенията, </w:t>
            </w:r>
            <w:r>
              <w:rPr>
                <w:b/>
                <w:i/>
              </w:rPr>
              <w:t>което да е приемливо и за двете страни</w:t>
            </w:r>
            <w:r>
              <w:t>; призовава както Косово, така и Сърбия да прилагат Брюкселското и Охридското споразумение, включително създаването на Асоциация/общност на общините със сръбско мнозинство, както и да избягват едностранни действия, които биха могли да подкопаят процеса на диалог;</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Емануил Франгос, Галато Александраки, Геадис Геади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отново подчертава значението на конструктивния ангажимент от страна на органите както на Косово, така и на Сърбия, за да се постигне всеобхватно правно обвързващо споразумение за нормализиране на отношенията</w:t>
            </w:r>
            <w:r>
              <w:rPr>
                <w:b/>
                <w:i/>
              </w:rPr>
              <w:t>, основано на взаимно признаване</w:t>
            </w:r>
            <w:r>
              <w:t xml:space="preserve"> и в съответствие с международното право; призовава както Косово, така и Сърбия да прилагат Брюкселското и Охридското споразумение, включително създаването на Асоциация/общност на общините със сръбско мнозинство </w:t>
            </w:r>
            <w:r>
              <w:rPr>
                <w:b/>
                <w:i/>
              </w:rPr>
              <w:t>и премахването на противопоставянето на Сърбия срещу членството на Косово в регионални и международни организации</w:t>
            </w:r>
            <w:r>
              <w:t>, както и да избягват едностранни действия, които биха могли да подкопаят процеса на диалог;</w:t>
            </w:r>
          </w:p>
        </w:tc>
        <w:tc>
          <w:tcPr>
            <w:tcW w:w="4876" w:type="dxa"/>
            <w:tcBorders>
              <w:top w:val="nil"/>
              <w:left w:val="nil"/>
              <w:bottom w:val="nil"/>
              <w:right w:val="nil"/>
            </w:tcBorders>
          </w:tcPr>
          <w:p>
            <w:pPr>
              <w:pStyle w:val="Normal6a"/>
            </w:pPr>
            <w:r>
              <w:t>22.</w:t>
            </w:r>
            <w:r>
              <w:tab/>
            </w:r>
            <w:r>
              <w:t>отново подчертава значението на конструктивния ангажимент от страна на органите както на Косово</w:t>
            </w:r>
            <w:r>
              <w:rPr>
                <w:b/>
                <w:i/>
              </w:rPr>
              <w:t>*</w:t>
            </w:r>
            <w:r>
              <w:t>, така и на Сърбия, за да се постигне всеобхватно правно обвързващо споразумение за нормализиране на отношенията и в съответствие с международното право; призовава както Косово, така и Сърбия да прилагат Брюкселското и Охридското споразумение, включително създаването на Асоциация/общност на общините със сръбско мнозинство, както и да избягват едностранни действия, които биха могли да подкопаят процеса на диалог;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Анамария Вичек, Кинга Гал</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отново подчертава значението на конструктивния ангажимент от страна на органите както на Косово, така и на Сърбия, за да се постигне всеобхватно правно обвързващо споразумение за нормализиране на отношенията</w:t>
            </w:r>
            <w:r>
              <w:rPr>
                <w:b/>
                <w:i/>
              </w:rPr>
              <w:t>, основано на взаимно признаване и</w:t>
            </w:r>
            <w:r>
              <w:t xml:space="preserve"> в съответствие с международното право; призовава както Косово, така и Сърбия да прилагат Брюкселското и Охридското споразумение, включително създаването на Асоциация/общност на общините със сръбско мнозинство и премахването на противопоставянето на Сърбия срещу членството на Косово в регионални и международни организации, както и да избягват едностранни действия, които биха могли да подкопаят процеса на диалог;</w:t>
            </w:r>
          </w:p>
        </w:tc>
        <w:tc>
          <w:tcPr>
            <w:tcW w:w="4876" w:type="dxa"/>
            <w:tcBorders>
              <w:top w:val="nil"/>
              <w:left w:val="nil"/>
              <w:bottom w:val="nil"/>
              <w:right w:val="nil"/>
            </w:tcBorders>
          </w:tcPr>
          <w:p>
            <w:pPr>
              <w:pStyle w:val="Normal6a"/>
            </w:pPr>
            <w:r>
              <w:t>22.</w:t>
            </w:r>
            <w:r>
              <w:tab/>
            </w:r>
            <w:r>
              <w:t>отново подчертава значението на конструктивния ангажимент от страна на органите както на Косово, така и на Сърбия, за да се постигне всеобхватно правно обвързващо споразумение за нормализиране на отношенията в съответствие с международното право; призовава както Косово, така и Сърбия да прилагат Брюкселското и Охридското споразумение, включително създаването на Асоциация/общност на общините със сръбско мнозинство и премахването на противопоставянето на Сърбия срещу членството на Косово в регионални и международни организации, както и да избягват едностранни действия, които биха могли да подкопаят процеса на диалог;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Вангелис Меймаракис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отново подчертава значението на конструктивния ангажимент от страна на органите както на Косово, така и на Сърбия, за да се постигне всеобхватно правно обвързващо споразумение за нормализиране на отношенията</w:t>
            </w:r>
            <w:r>
              <w:rPr>
                <w:b/>
                <w:i/>
              </w:rPr>
              <w:t>, основано на взаимно признаване</w:t>
            </w:r>
            <w:r>
              <w:t xml:space="preserve"> и в съответствие с международното право; призовава както Косово, така и Сърбия да прилагат Брюкселското и Охридското споразумение, включително създаването на Асоциация/общност на общините със сръбско мнозинство и премахването на противопоставянето на Сърбия срещу членството на Косово в регионални и международни организации, както и да избягват едностранни действия, които биха могли да подкопаят процеса на диалог;</w:t>
            </w:r>
          </w:p>
        </w:tc>
        <w:tc>
          <w:tcPr>
            <w:tcW w:w="4876" w:type="dxa"/>
            <w:tcBorders>
              <w:top w:val="nil"/>
              <w:left w:val="nil"/>
              <w:bottom w:val="nil"/>
              <w:right w:val="nil"/>
            </w:tcBorders>
          </w:tcPr>
          <w:p>
            <w:pPr>
              <w:pStyle w:val="Normal6a"/>
            </w:pPr>
            <w:r>
              <w:t>22.</w:t>
            </w:r>
            <w:r>
              <w:tab/>
            </w:r>
            <w:r>
              <w:t>отново подчертава значението на конструктивния ангажимент от страна на органите както на Косово, така и на Сърбия, за да се постигне всеобхватно правно обвързващо споразумение за нормализиране на отношенията и в съответствие с международното право; призовава както Косово, така и Сърбия да прилагат Брюкселското и Охридското споразумение, включително създаването на Асоциация/общност на общините със сръбско мнозинство и премахването на противопоставянето на Сърбия срещу членството на Косово в регионални и международни организации, както и да избягват едностранни действия, които биха могли да подкопаят процеса на диалог;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Манолис Кефалоянис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отново подчертава значението на конструктивния ангажимент от страна на органите както на Косово, така и на Сърбия, за да се постигне всеобхватно правно обвързващо споразумение за нормализиране на отношенията</w:t>
            </w:r>
            <w:r>
              <w:rPr>
                <w:b/>
                <w:i/>
              </w:rPr>
              <w:t>, основано на взаимно признаване</w:t>
            </w:r>
            <w:r>
              <w:t xml:space="preserve"> и в съответствие с международното право; призовава както Косово, така и Сърбия да прилагат Брюкселското и Охридското споразумение, включително създаването на Асоциация/общност на общините със сръбско мнозинство и премахването на противопоставянето на Сърбия срещу членството на Косово в регионални и международни организации, както и да избягват едностранни действия, които биха могли да подкопаят процеса на диалог;</w:t>
            </w:r>
          </w:p>
        </w:tc>
        <w:tc>
          <w:tcPr>
            <w:tcW w:w="4876" w:type="dxa"/>
            <w:tcBorders>
              <w:top w:val="nil"/>
              <w:left w:val="nil"/>
              <w:bottom w:val="nil"/>
              <w:right w:val="nil"/>
            </w:tcBorders>
          </w:tcPr>
          <w:p>
            <w:pPr>
              <w:pStyle w:val="Normal6a"/>
            </w:pPr>
            <w:r>
              <w:t>22.</w:t>
            </w:r>
            <w:r>
              <w:tab/>
            </w:r>
            <w:r>
              <w:t>отново подчертава значението на конструктивния ангажимент от страна на органите както на Косово, така и на Сърбия, за да се постигне всеобхватно правно обвързващо споразумение за нормализиране на отношенията и в съответствие с международното право; призовава както Косово, така и Сърбия да прилагат Брюкселското и Охридското споразумение, включително създаването на Асоциация/общност на общините със сръбско мнозинство и премахването на противопоставянето на Сърбия срещу членството на Косово в регионални и международни организации, както и да избягват едностранни действия, които биха могли да подкопаят процеса на диалог;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Раса Юкнявичиене, Мириам Лексман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призовава съдебните органи в Сърбия да гарантират спазването на стандартите за справедлив съдебен процес и въздаването на правосъдие за жертвите на войните и делата за военни престъпления;</w:t>
            </w:r>
            <w:r>
              <w:t xml:space="preserve"> </w:t>
            </w:r>
            <w:r>
              <w:rPr>
                <w:b/>
                <w:i/>
              </w:rPr>
              <w:t>призовава отричането на военни престъпления и възхваляването на военни престъпници да бъдат включени в Наказателния кодекс с оглед на наказателното преследване на всички форми на отричане на военни престъпления, определени от присъдите на Международния наказателен трибунал за бивша Югославия и на Международния съд;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изразява съжаление, че Сърбия продължава опитите си да изолира съседната си държава Косово от международната сцена, като води кампания против признаването ѝ или се противопоставя на членството на страната в международни организации;</w:t>
            </w:r>
            <w:r>
              <w:t xml:space="preserve"> </w:t>
            </w:r>
            <w:r>
              <w:rPr>
                <w:b/>
                <w:i/>
              </w:rPr>
              <w:t>призовава Сърбия да спре да блокира кандидатурата на Косово за членство в Съвета на Европа; в противен случай блокирането би било в разрез със споразумението от 2013 г. между Косово и Сърбия относно нормализирането на отношенията;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осъжда многократната употреба на отрицателна, агресивна и шовинистична реторика от страна на сръбското политическо ръководство, насочена срещу съседните държави, която подкопава усилията за добросъседски отношения;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22б.</w:t>
            </w:r>
            <w:r>
              <w:tab/>
            </w:r>
            <w:r>
              <w:rPr>
                <w:b/>
                <w:i/>
              </w:rPr>
              <w:t>подчертава, че европейската интеграция не може да върви ръка за ръка с концепцията за сръбски свят (Srpski svet), която има за цел да подкопае мира и стабилността в региона;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22в.</w:t>
            </w:r>
            <w:r>
              <w:tab/>
            </w:r>
            <w:r>
              <w:rPr>
                <w:b/>
                <w:i/>
              </w:rPr>
              <w:t>решително осъжда неотдавнашното закупуване от Сърбия на китайски балистични ракети въздух – земя CM-400AKG като акт, който подкопава регионалната стабилност и повишава напрежението;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Давор Иво Щир, 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призовава Сърбия да възприеме по-активен подход за справяне с отричането на военни престъпления и историческия ревизионизъм, особено по отношение на войните в Хърватия, Босна и Херцеговина и Косово;</w:t>
            </w:r>
          </w:p>
        </w:tc>
        <w:tc>
          <w:tcPr>
            <w:tcW w:w="4876" w:type="dxa"/>
            <w:tcBorders>
              <w:top w:val="nil"/>
              <w:left w:val="nil"/>
              <w:bottom w:val="nil"/>
              <w:right w:val="nil"/>
            </w:tcBorders>
          </w:tcPr>
          <w:p>
            <w:pPr>
              <w:pStyle w:val="Normal6a"/>
            </w:pPr>
            <w:r>
              <w:t>23.</w:t>
            </w:r>
            <w:r>
              <w:tab/>
            </w:r>
            <w:r>
              <w:t xml:space="preserve">призовава Сърбия да възприеме по-активен подход за справяне с отричането на военни престъпления и историческия ревизионизъм, особено по отношение на войните в Хърватия, Босна и Херцеговина и Косово; </w:t>
            </w:r>
            <w:r>
              <w:rPr>
                <w:b/>
                <w:i/>
              </w:rPr>
              <w:t>призовава сръбските органи да осигурят правосъдие за жертвите, като признават и зачитат съдебните присъди за военни престъпления, водят борба срещу безнаказаността за военновременните престъпления, разследват случаите на изчезнали лица, разследват масовите гробове и подкрепят сръбските прокурори да изправят извършителите пред съда;</w:t>
            </w:r>
            <w:r>
              <w:t xml:space="preserve"> </w:t>
            </w:r>
            <w:r>
              <w:rPr>
                <w:b/>
                <w:i/>
              </w:rPr>
              <w:t>решително осъжда широко разпространеното публично отричане на международните присъди за военни престъпления, включително отричането на геноцида в Сребреница;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призовава Сърбия да възприеме по-активен подход за справяне с отричането на военни престъпления и историческия ревизионизъм, особено по отношение на войните в Хърватия, Босна и Херцеговина и Косово;</w:t>
            </w:r>
          </w:p>
        </w:tc>
        <w:tc>
          <w:tcPr>
            <w:tcW w:w="4876" w:type="dxa"/>
            <w:tcBorders>
              <w:top w:val="nil"/>
              <w:left w:val="nil"/>
              <w:bottom w:val="nil"/>
              <w:right w:val="nil"/>
            </w:tcBorders>
          </w:tcPr>
          <w:p>
            <w:pPr>
              <w:pStyle w:val="Normal6a"/>
            </w:pPr>
            <w:r>
              <w:t>23.</w:t>
            </w:r>
            <w:r>
              <w:tab/>
            </w:r>
            <w:r>
              <w:t xml:space="preserve">призовава Сърбия да възприеме по-активен подход за справяне с отричането на военни престъпления и историческия ревизионизъм, особено по отношение на войните в Хърватия, Босна и Херцеговина и Косово; </w:t>
            </w:r>
            <w:r>
              <w:rPr>
                <w:b/>
                <w:i/>
              </w:rPr>
              <w:t>призовава политическите лидери и публичните органи в Сърбия да не водят и да осъждат кампании за охулване на съседните държави и народи, включително чрез подстрекателска реторика, и подчертава, че подобни действия подкопават регионалното помирение;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призовава Сърбия да възприеме по-активен подход за справяне с отричането на военни престъпления и историческия ревизионизъм, особено по отношение на войните в Хърватия, Босна и Херцеговина и Косово;</w:t>
            </w:r>
          </w:p>
        </w:tc>
        <w:tc>
          <w:tcPr>
            <w:tcW w:w="4876" w:type="dxa"/>
            <w:tcBorders>
              <w:top w:val="nil"/>
              <w:left w:val="nil"/>
              <w:bottom w:val="nil"/>
              <w:right w:val="nil"/>
            </w:tcBorders>
          </w:tcPr>
          <w:p>
            <w:pPr>
              <w:pStyle w:val="Normal6a"/>
            </w:pPr>
            <w:r>
              <w:t>23.</w:t>
            </w:r>
            <w:r>
              <w:tab/>
            </w:r>
            <w:r>
              <w:t xml:space="preserve">призовава Сърбия да възприеме по-активен подход за справяне с отричането на военни престъпления и историческия ревизионизъм, особено по отношение на войните в Хърватия, Босна и Херцеговина и Косово; </w:t>
            </w:r>
            <w:r>
              <w:rPr>
                <w:b/>
                <w:i/>
              </w:rPr>
              <w:t>призовава сръбските органи да осигурят правосъдие за жертвите, като признават и зачитат съдебните присъди за военни престъпления, водят борба срещу безнаказаността за военновременните престъпления и подкрепят сръбските прокурори да изправят извършителите пред съда;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Ханс Нойхоф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призовава</w:t>
            </w:r>
            <w:r>
              <w:t xml:space="preserve"> Сърбия да </w:t>
            </w:r>
            <w:r>
              <w:rPr>
                <w:b/>
                <w:i/>
              </w:rPr>
              <w:t>възприеме по-активен подход за справяне с отричането на военни престъпления и историческия ревизионизъм, особено по отношение на войните в Хърватия, Босна и Херцеговина и Косово</w:t>
            </w:r>
            <w:r>
              <w:t>;</w:t>
            </w:r>
          </w:p>
        </w:tc>
        <w:tc>
          <w:tcPr>
            <w:tcW w:w="4876" w:type="dxa"/>
            <w:tcBorders>
              <w:top w:val="nil"/>
              <w:left w:val="nil"/>
              <w:bottom w:val="nil"/>
              <w:right w:val="nil"/>
            </w:tcBorders>
          </w:tcPr>
          <w:p>
            <w:pPr>
              <w:pStyle w:val="Normal6a"/>
            </w:pPr>
            <w:r>
              <w:t>23.</w:t>
            </w:r>
            <w:r>
              <w:tab/>
            </w:r>
            <w:r>
              <w:rPr>
                <w:b/>
                <w:i/>
              </w:rPr>
              <w:t>насърчава</w:t>
            </w:r>
            <w:r>
              <w:t xml:space="preserve"> Сърбия да </w:t>
            </w:r>
            <w:r>
              <w:rPr>
                <w:b/>
                <w:i/>
              </w:rPr>
              <w:t>продължи да се ангажира с процесите на регионално помирение въз основа на взаимно уважение и фактологически исторически изследвания;</w:t>
            </w:r>
            <w:r>
              <w:t xml:space="preserve"> </w:t>
            </w:r>
            <w:r>
              <w:rPr>
                <w:b/>
                <w:i/>
              </w:rPr>
              <w:t>подчертава, че тълкуването на историческите събития е въпрос на продължаващ научен и обществен дебат във всички засегнати общества и че за помирението е най-добре да има приобщаващ, непредписателен диалог, а не външни мандати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Вангелис Меймаракис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призовава Сърбия да възприеме по-активен подход за справяне с отричането на военни престъпления </w:t>
            </w:r>
            <w:r>
              <w:rPr>
                <w:b/>
                <w:i/>
              </w:rPr>
              <w:t>и историческия ревизионизъм, особено по отношение на войните в Хърватия, Босна и Херцеговина и Косово</w:t>
            </w:r>
            <w:r>
              <w:t>;</w:t>
            </w:r>
          </w:p>
        </w:tc>
        <w:tc>
          <w:tcPr>
            <w:tcW w:w="4876" w:type="dxa"/>
            <w:tcBorders>
              <w:top w:val="nil"/>
              <w:left w:val="nil"/>
              <w:bottom w:val="nil"/>
              <w:right w:val="nil"/>
            </w:tcBorders>
          </w:tcPr>
          <w:p>
            <w:pPr>
              <w:pStyle w:val="Normal6a"/>
            </w:pPr>
            <w:r>
              <w:t>23.</w:t>
            </w:r>
            <w:r>
              <w:tab/>
            </w:r>
            <w:r>
              <w:t>призовава Сърбия да възприеме по-активен подход за справяне с отричането на военни престъпления;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Манолис Кефалоянис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призовава Сърбия да възприеме по-активен подход за справяне с отричането на военни престъпления </w:t>
            </w:r>
            <w:r>
              <w:rPr>
                <w:b/>
                <w:i/>
              </w:rPr>
              <w:t>и историческия ревизионизъм, особено по отношение на войните в Хърватия, Босна и Херцеговина и Косово</w:t>
            </w:r>
            <w:r>
              <w:t>;</w:t>
            </w:r>
          </w:p>
        </w:tc>
        <w:tc>
          <w:tcPr>
            <w:tcW w:w="4876" w:type="dxa"/>
            <w:tcBorders>
              <w:top w:val="nil"/>
              <w:left w:val="nil"/>
              <w:bottom w:val="nil"/>
              <w:right w:val="nil"/>
            </w:tcBorders>
          </w:tcPr>
          <w:p>
            <w:pPr>
              <w:pStyle w:val="Normal6a"/>
            </w:pPr>
            <w:r>
              <w:t>23.</w:t>
            </w:r>
            <w:r>
              <w:tab/>
            </w:r>
            <w:r>
              <w:t>призовава Сърбия да възприеме по-активен подход за справяне с отричането на военни престъпления;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Анамария Вичек, Кинга Гал, Антонио Танжер Кореа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призовава Сърбия да възприеме по-активен подход </w:t>
            </w:r>
            <w:r>
              <w:rPr>
                <w:b/>
                <w:i/>
              </w:rPr>
              <w:t>за справяне с отричането</w:t>
            </w:r>
            <w:r>
              <w:t xml:space="preserve"> на военни престъпления </w:t>
            </w:r>
            <w:r>
              <w:rPr>
                <w:b/>
                <w:i/>
              </w:rPr>
              <w:t>и историческия ревизионизъм</w:t>
            </w:r>
            <w:r>
              <w:t>, особено по отношение на войните в Хърватия, Босна и Херцеговина и Косово;</w:t>
            </w:r>
          </w:p>
        </w:tc>
        <w:tc>
          <w:tcPr>
            <w:tcW w:w="4876" w:type="dxa"/>
            <w:tcBorders>
              <w:top w:val="nil"/>
              <w:left w:val="nil"/>
              <w:bottom w:val="nil"/>
              <w:right w:val="nil"/>
            </w:tcBorders>
          </w:tcPr>
          <w:p>
            <w:pPr>
              <w:pStyle w:val="Normal6a"/>
            </w:pPr>
            <w:r>
              <w:t>23.</w:t>
            </w:r>
            <w:r>
              <w:tab/>
            </w:r>
            <w:r>
              <w:t xml:space="preserve">призовава Сърбия да възприеме по-активен подход </w:t>
            </w:r>
            <w:r>
              <w:rPr>
                <w:b/>
                <w:i/>
              </w:rPr>
              <w:t>при разследването и наказателното преследване</w:t>
            </w:r>
            <w:r>
              <w:t xml:space="preserve"> на военни престъпления</w:t>
            </w:r>
            <w:r>
              <w:rPr>
                <w:b/>
                <w:i/>
              </w:rPr>
              <w:t>, което се очаква и от всички други партньори в региона</w:t>
            </w:r>
            <w:r>
              <w:t>, особено по отношение на войните в Хърватия, Босна и Херцеговина и Косово;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Емануил Франгос, Галато Александраки, Геадис Геади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призовава Сърбия да възприеме по-активен подход </w:t>
            </w:r>
            <w:r>
              <w:rPr>
                <w:b/>
                <w:i/>
              </w:rPr>
              <w:t>за справяне с отричането</w:t>
            </w:r>
            <w:r>
              <w:t xml:space="preserve"> на военни престъпления </w:t>
            </w:r>
            <w:r>
              <w:rPr>
                <w:b/>
                <w:i/>
              </w:rPr>
              <w:t>и историческия ревизионизъм</w:t>
            </w:r>
            <w:r>
              <w:t>, особено по отношение на войните в Хърватия, Босна и Херцеговина и Косово;</w:t>
            </w:r>
          </w:p>
        </w:tc>
        <w:tc>
          <w:tcPr>
            <w:tcW w:w="4876" w:type="dxa"/>
            <w:tcBorders>
              <w:top w:val="nil"/>
              <w:left w:val="nil"/>
              <w:bottom w:val="nil"/>
              <w:right w:val="nil"/>
            </w:tcBorders>
          </w:tcPr>
          <w:p>
            <w:pPr>
              <w:pStyle w:val="Normal6a"/>
            </w:pPr>
            <w:r>
              <w:t>23.</w:t>
            </w:r>
            <w:r>
              <w:tab/>
            </w:r>
            <w:r>
              <w:t xml:space="preserve">призовава Сърбия да възприеме по-активен подход </w:t>
            </w:r>
            <w:r>
              <w:rPr>
                <w:b/>
                <w:i/>
              </w:rPr>
              <w:t>при разследването и наказателното преследване</w:t>
            </w:r>
            <w:r>
              <w:t> на военни престъпления</w:t>
            </w:r>
            <w:r>
              <w:rPr>
                <w:b/>
                <w:i/>
              </w:rPr>
              <w:t>, което се очаква и от всички други споменати партньори</w:t>
            </w:r>
            <w:r>
              <w:t>, особено по отношение на войните в Хърватия, Босна и Херцеговина и Косово;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Емануил Франгос, Галато Александраки, Геадис Геади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призовава Сърбия да възприеме по-активен подход за справяне с отричането на военни престъпления </w:t>
            </w:r>
            <w:r>
              <w:rPr>
                <w:b/>
                <w:i/>
              </w:rPr>
              <w:t>и историческия ревизионизъм, особено по отношение на войните в Хърватия, Босна и Херцеговина и Косово</w:t>
            </w:r>
            <w:r>
              <w:t>;</w:t>
            </w:r>
          </w:p>
        </w:tc>
        <w:tc>
          <w:tcPr>
            <w:tcW w:w="4876" w:type="dxa"/>
            <w:tcBorders>
              <w:top w:val="nil"/>
              <w:left w:val="nil"/>
              <w:bottom w:val="nil"/>
              <w:right w:val="nil"/>
            </w:tcBorders>
          </w:tcPr>
          <w:p>
            <w:pPr>
              <w:pStyle w:val="Normal6a"/>
            </w:pPr>
            <w:r>
              <w:t>23.</w:t>
            </w:r>
            <w:r>
              <w:tab/>
            </w:r>
            <w:r>
              <w:t>призовава Сърбия</w:t>
            </w:r>
            <w:r>
              <w:rPr>
                <w:b/>
                <w:i/>
              </w:rPr>
              <w:t>, заедно с всички други участници от западните Балкани,</w:t>
            </w:r>
            <w:r>
              <w:t xml:space="preserve"> да възприеме по-активен подход за справяне с отричането на военни престъпления;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призовава Сърбия да възприеме по-активен подход </w:t>
            </w:r>
            <w:r>
              <w:rPr>
                <w:b/>
                <w:i/>
              </w:rPr>
              <w:t>за справяне с отричането</w:t>
            </w:r>
            <w:r>
              <w:t xml:space="preserve"> на военни престъпления и историческия ревизионизъм, особено по отношение на войните в Хърватия, Босна и Херцеговина и Косово;</w:t>
            </w:r>
          </w:p>
        </w:tc>
        <w:tc>
          <w:tcPr>
            <w:tcW w:w="4876" w:type="dxa"/>
            <w:tcBorders>
              <w:top w:val="nil"/>
              <w:left w:val="nil"/>
              <w:bottom w:val="nil"/>
              <w:right w:val="nil"/>
            </w:tcBorders>
          </w:tcPr>
          <w:p>
            <w:pPr>
              <w:pStyle w:val="Normal6a"/>
            </w:pPr>
            <w:r>
              <w:t>23.</w:t>
            </w:r>
            <w:r>
              <w:tab/>
            </w:r>
            <w:r>
              <w:t xml:space="preserve">призовава Сърбия да възприеме по-активен подход </w:t>
            </w:r>
            <w:r>
              <w:rPr>
                <w:b/>
                <w:i/>
              </w:rPr>
              <w:t>при разследването и наказателното преследване</w:t>
            </w:r>
            <w:r>
              <w:t> на военни престъпления и историческия ревизионизъм, особено по отношение на войните в Хърватия, Босна и Херцеговина и Косово;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призовава за историческо помирение и за преодоляване на дискриминацията и предразсъдъците от комунистическото минало, по-специално в образователната, медийната, академичната и социалната сфера, като предпоставка за изкореняването на речта на омразата срещу националните малцинства и съседните нации;</w:t>
            </w:r>
            <w:r>
              <w:t xml:space="preserve"> </w:t>
            </w:r>
            <w:r>
              <w:rPr>
                <w:b/>
                <w:i/>
              </w:rPr>
              <w:t>в това отношение изразява съжаление относно неотдавнашната употреба на подстрекателска реторика от страна на правителството, насочена срещу съседни държави, които не подкрепиха отварянето на клъстер 3 с тази страна;</w:t>
            </w:r>
            <w:r>
              <w:t xml:space="preserve"> </w:t>
            </w:r>
            <w:r>
              <w:rPr>
                <w:b/>
                <w:i/>
              </w:rPr>
              <w:t>изразява съжаление, че в обществените пространства продължават да присъстват югославски комунистически символи, включително имена на улици и паметници, тъй като това подкопава демократизацията на Сърбия;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Раса Юкнявичиене, Мириам Лексман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отново изразява позицията си за това колко е важно да бъдат отворени и публикувани военновременните архиви и отново призовава да бъдат отворени архивите на бивша Югославия, и по-конкретно да бъде гарантиран достъпът до досиетата на бившата югославска тайна служба (UDBA) и контраразузнавателната служба на Югославската народна армия (KOS), както и да бъдат върнати досиетата на съответните държави правоприемници, ако те поискат това;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изразява съжаление, че Сърбия не е демонстрирала истински ангажимент за размисъл относно миналото си и за ефективно разследване и наказателно преследване на военните престъпления, което е отразено в неповдигането на обвинения срещу високопоставени заподозрени лица, липсата на главен прокурор за военните престъпления от 2023 г. насам и широко разпространеното публично отричане на международните присъди за военни престъпления, включително отричането на геноцида в Сребреница;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Хелмут Брандщетер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осъжда агресивната и подстрекателска реторика, използвана от президента Вучич срещу съседите, когато твърди, без доказателства, че Хърватия, Албания и Косово се подготвят да нападнат Сърбия;</w:t>
            </w:r>
            <w:r>
              <w:t xml:space="preserve"> </w:t>
            </w:r>
            <w:r>
              <w:rPr>
                <w:b/>
                <w:i/>
              </w:rPr>
              <w:t>изразява съжаление относно използването на подобен претекст за закупуване на китайски свръхзвукови ракети и за подкопаване на процеса на изграждане на мира в региона;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Давор Иво Щир, Андрей Ковачев, Райнхолд Лопатка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изтъква необходимостта от съдържателно регионално сътрудничество в действията по отношение на военните престъпления, при което да се избягват конфликтите на юрисдикции и да се гарантира, че военните престъпления ще бъдат подлагани на наказателно преследване без каквато и да е дискриминация, като подчертава, че всички нерешени въпроси в това отношение трябва да намерят цялостно решение;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призовава Сърбия да се въздържа от дестабилизиране и подхранване на сепаратистка реторика в своите съседи от Западните Балкани, включително по отношение на противоконституционното честване на Деня на Република Сръбска, което застрашава стабилността и териториалната цялост на Босна и Херцеговина;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23б.</w:t>
            </w:r>
            <w:r>
              <w:tab/>
            </w:r>
            <w:r>
              <w:rPr>
                <w:b/>
                <w:i/>
              </w:rPr>
              <w:t>изразява загриженост, че продължаващото увеличаване на въоръжените сили на Сърбия, съчетано с все по-враждебната реторика към съседните държави, рискува да изостри напрежението в региона;</w:t>
            </w:r>
            <w:r>
              <w:t xml:space="preserve"> </w:t>
            </w:r>
            <w:r>
              <w:rPr>
                <w:b/>
                <w:i/>
              </w:rPr>
              <w:t>отбелязва със загриженост, че сръбски политически дейци продължават да правят необосновани твърдения относно предполагаеми външни военни заплахи от съседни държави, и да развиват наративи, които рискуват да задълбочат недоверието и да подхранят регионалната нестабилност;</w:t>
            </w:r>
            <w:r>
              <w:t xml:space="preserve"> </w:t>
            </w:r>
            <w:r>
              <w:rPr>
                <w:b/>
                <w:i/>
              </w:rPr>
              <w:t>изразява съжаление относно закупуването на военно оборудване от Русия и Китай, което поражда допълнителни опасения относно стратегическата ориентация и прозрачността;</w:t>
            </w:r>
            <w:r>
              <w:t xml:space="preserve"> </w:t>
            </w:r>
            <w:r>
              <w:rPr>
                <w:b/>
                <w:i/>
              </w:rPr>
              <w:t>призовава Сърбия да се въздържа от водещи до ескалация наративи и да гарантира, че нейните политики за сигурност и отбрана са в съответствие с европейските ценности и добросъседските отношения;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23б.</w:t>
            </w:r>
            <w:r>
              <w:tab/>
            </w:r>
            <w:r>
              <w:rPr>
                <w:b/>
                <w:i/>
              </w:rPr>
              <w:t>призовава съдебните органи в Сърбия да гарантират спазването на стандартите за справедлив съдебен процес и въздаването на правосъдие за жертвите на войните и делата за военни престъпления;</w:t>
            </w:r>
            <w:r>
              <w:t xml:space="preserve"> </w:t>
            </w:r>
            <w:r>
              <w:rPr>
                <w:b/>
                <w:i/>
              </w:rPr>
              <w:t>призовава отричането на военни престъпления и възхваляването на военни престъпници да бъдат включени в Наказателния кодекс с оглед на наказателното преследване на всички форми на отричане на военни престъпления, определени от присъдите на Международния наказателен трибунал за бивша Югославия и на Международния съд;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Давор Иво Щир, 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23б.</w:t>
            </w:r>
            <w:r>
              <w:tab/>
            </w:r>
            <w:r>
              <w:rPr>
                <w:b/>
                <w:i/>
              </w:rPr>
              <w:t>отново изразява позицията си за това колко е важно да бъдат отворени и публикувани военновременните архиви и отново призовава да бъдат отворени архивите на бивша Югославия, и по-конкретно да бъде даден достъп до досиетата на бившата югославска тайна служба (UDBA) и контраразузнавателната служба (KOS) на Югославската народна армия, както и да бъдат върнати досиетата на съответните правителства, ако те поискат това;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23в.</w:t>
            </w:r>
            <w:r>
              <w:tab/>
            </w:r>
            <w:r>
              <w:rPr>
                <w:b/>
                <w:i/>
              </w:rPr>
              <w:t>изразява съжаление, че управляващата партия SNS и свързаните с нея медии продължават да изтъкват осъдени военнопрестъпници, включително Никола Шайнович, Воислав Шешел и Веселин Шливанчанин, и да им предоставят пространство за исторически ревизионизъм и реч на омразата;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отбелязва, че нерешените случаи на „изчезнали лица“ продължават да бъдат сериозно предизвикателство; настоятелно призовава Сърбия да увеличи усилията си за помирение и да възприеме по-активен подход</w:t>
            </w:r>
            <w:r>
              <w:rPr>
                <w:b/>
                <w:i/>
              </w:rPr>
              <w:t>, особено когато става въпрос за</w:t>
            </w:r>
            <w:r>
              <w:t xml:space="preserve"> изчезнали лица;</w:t>
            </w:r>
          </w:p>
        </w:tc>
        <w:tc>
          <w:tcPr>
            <w:tcW w:w="4876" w:type="dxa"/>
            <w:tcBorders>
              <w:top w:val="nil"/>
              <w:left w:val="nil"/>
              <w:bottom w:val="nil"/>
              <w:right w:val="nil"/>
            </w:tcBorders>
          </w:tcPr>
          <w:p>
            <w:pPr>
              <w:pStyle w:val="Normal6a"/>
            </w:pPr>
            <w:r>
              <w:t>24.</w:t>
            </w:r>
            <w:r>
              <w:tab/>
            </w:r>
            <w:r>
              <w:t xml:space="preserve">отбелязва, че нерешените случаи на „изчезнали лица“ продължават да бъдат сериозно предизвикателство </w:t>
            </w:r>
            <w:r>
              <w:rPr>
                <w:b/>
                <w:i/>
              </w:rPr>
              <w:t>и значителна пречка пред нормализирането на отношенията</w:t>
            </w:r>
            <w:r>
              <w:t>; настоятелно призовава Сърбия да увеличи усилията си за помирение и да възприеме по-активен подход</w:t>
            </w:r>
            <w:r>
              <w:rPr>
                <w:b/>
                <w:i/>
              </w:rPr>
              <w:t>;</w:t>
            </w:r>
            <w:r>
              <w:t xml:space="preserve"> </w:t>
            </w:r>
            <w:r>
              <w:rPr>
                <w:b/>
                <w:i/>
              </w:rPr>
              <w:t>призовава Сърбия да сътрудничи изцяло на съдебните органи на държавите — членки на ЕС, в техните разследвания на военни престъпления, включително тези, свързани с престъпления срещу</w:t>
            </w:r>
            <w:r>
              <w:t xml:space="preserve"> изчезнали лица</w:t>
            </w:r>
            <w:r>
              <w:rPr>
                <w:b/>
                <w:i/>
              </w:rPr>
              <w:t>, и да предостави цялата свързана с това информация, която би позволила тяхното идентифициране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Петрас Аущревичюс, Луция Яр, Дан Барна,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отбелязва, че нерешените случаи на „изчезнали лица“ продължават да бъдат сериозно предизвикателство; настоятелно призовава Сърбия да увеличи усилията си за помирение и да възприеме по-активен подход, особено когато става въпрос за изчезнали лица;</w:t>
            </w:r>
          </w:p>
        </w:tc>
        <w:tc>
          <w:tcPr>
            <w:tcW w:w="4876" w:type="dxa"/>
            <w:tcBorders>
              <w:top w:val="nil"/>
              <w:left w:val="nil"/>
              <w:bottom w:val="nil"/>
              <w:right w:val="nil"/>
            </w:tcBorders>
          </w:tcPr>
          <w:p>
            <w:pPr>
              <w:pStyle w:val="Normal6a"/>
            </w:pPr>
            <w:r>
              <w:t>24.</w:t>
            </w:r>
            <w:r>
              <w:tab/>
            </w:r>
            <w:r>
              <w:t xml:space="preserve">отбелязва, че нерешените случаи на „изчезнали лица“ продължават да бъдат сериозно предизвикателство; настоятелно призовава Сърбия да увеличи усилията си за помирение и да възприеме по-активен подход, особено когато става въпрос за изчезнали лица; </w:t>
            </w:r>
            <w:r>
              <w:rPr>
                <w:b/>
                <w:i/>
              </w:rPr>
              <w:t>изразява съжаление по повод на неотдавнашното изявление на президента Вучич, в което той обвини Хърватия, Косово и Албания, че са създали военен съюз срещу Сърбия, и продължи да разпространява неверни твърдения, че Сърбия е изправена пред възможни нападения от посочените съседни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отбелязва, че нерешените случаи на „изчезнали лица“ продължават да бъдат сериозно предизвикателство; настоятелно призовава Сърбия да увеличи усилията си за помирение и да възприеме по-активен подход, особено когато става въпрос за изчезнали лица;</w:t>
            </w:r>
          </w:p>
        </w:tc>
        <w:tc>
          <w:tcPr>
            <w:tcW w:w="4876" w:type="dxa"/>
            <w:tcBorders>
              <w:top w:val="nil"/>
              <w:left w:val="nil"/>
              <w:bottom w:val="nil"/>
              <w:right w:val="nil"/>
            </w:tcBorders>
          </w:tcPr>
          <w:p>
            <w:pPr>
              <w:pStyle w:val="Normal6a"/>
            </w:pPr>
            <w:r>
              <w:t>24.</w:t>
            </w:r>
            <w:r>
              <w:tab/>
            </w:r>
            <w:r>
              <w:t xml:space="preserve">отбелязва, че нерешените случаи на „изчезнали лица“ продължават да бъдат сериозно предизвикателство; настоятелно призовава Сърбия да увеличи усилията си за помирение и да възприеме по-активен подход, особено когато става въпрос за изчезнали лица; </w:t>
            </w:r>
            <w:r>
              <w:rPr>
                <w:b/>
                <w:i/>
              </w:rPr>
              <w:t>призовава за подновен и конструктивен ангажимент по нерешените двустранни въпроси, по-специално разрешаването на случаите на изчезнали лица, уреждането на въпросите, свързани с наследяването, ефективното наказателно преследване на военни престъпления и връщането на културни ценности;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Давор Иво Щир, Андрей Ковачев, Райнхолд Лопатка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отбелязва, че нерешените случаи на „изчезнали лица“ продължават да бъдат сериозно предизвикателство; настоятелно призовава Сърбия да увеличи усилията си за помирение и да възприеме по-активен подход, особено когато става въпрос за изчезнали лица;</w:t>
            </w:r>
          </w:p>
        </w:tc>
        <w:tc>
          <w:tcPr>
            <w:tcW w:w="4876" w:type="dxa"/>
            <w:tcBorders>
              <w:top w:val="nil"/>
              <w:left w:val="nil"/>
              <w:bottom w:val="nil"/>
              <w:right w:val="nil"/>
            </w:tcBorders>
          </w:tcPr>
          <w:p>
            <w:pPr>
              <w:pStyle w:val="Normal6a"/>
            </w:pPr>
            <w:r>
              <w:t>24.</w:t>
            </w:r>
            <w:r>
              <w:tab/>
            </w:r>
            <w:r>
              <w:t>отбелязва, че нерешените случаи на „изчезнали лица“ продължават да бъдат сериозно предизвикателство; настоятелно призовава Сърбия да увеличи усилията си за помирение и да възприеме по-активен подход, особено когато става въпрос за изчезнали лица</w:t>
            </w:r>
            <w:r>
              <w:rPr>
                <w:b/>
                <w:i/>
              </w:rPr>
              <w:t>, по-специално чрез съдържателно двустранно сътрудничество с други засегнати държави и чрез бърз обмен на информация, включително чрез достъп до документация и архиви</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отбелязва, че нерешените случаи на „изчезнали лица“ продължават да бъдат сериозно предизвикателство; настоятелно призовава Сърбия да увеличи усилията си за помирение и да възприеме по-активен подход, особено когато става въпрос за изчезнали лица;</w:t>
            </w:r>
          </w:p>
        </w:tc>
        <w:tc>
          <w:tcPr>
            <w:tcW w:w="4876" w:type="dxa"/>
            <w:tcBorders>
              <w:top w:val="nil"/>
              <w:left w:val="nil"/>
              <w:bottom w:val="nil"/>
              <w:right w:val="nil"/>
            </w:tcBorders>
          </w:tcPr>
          <w:p>
            <w:pPr>
              <w:pStyle w:val="Normal6a"/>
            </w:pPr>
            <w:r>
              <w:t>24.</w:t>
            </w:r>
            <w:r>
              <w:tab/>
            </w:r>
            <w:r>
              <w:t xml:space="preserve">отбелязва, че нерешените случаи на „изчезнали лица“ продължават да бъдат сериозно предизвикателство; настоятелно призовава Сърбия да увеличи усилията си за помирение и да възприеме по-активен подход, особено когато става въпрос за изчезнали лица; </w:t>
            </w:r>
            <w:r>
              <w:rPr>
                <w:b/>
                <w:i/>
              </w:rPr>
              <w:t>настоятелно призовава Сърбия най-накрая да приеме обявения отдавна закон за изчезналите лица по наистина приобщаващ и прозрачен начин;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Емануил Франгос, Галато Александраки, Геадис Геади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отбелязва, че нерешените случаи на „изчезнали лица“ продължават да бъдат сериозно предизвикателство;</w:t>
            </w:r>
            <w:r>
              <w:t xml:space="preserve"> </w:t>
            </w:r>
            <w:r>
              <w:rPr>
                <w:b/>
                <w:i/>
              </w:rPr>
              <w:t>настоятелно призовава</w:t>
            </w:r>
            <w:r>
              <w:t xml:space="preserve"> Сърбия </w:t>
            </w:r>
            <w:r>
              <w:rPr>
                <w:b/>
                <w:i/>
              </w:rPr>
              <w:t>да увеличи усилията си за помирение и да възприеме по-активен подход, особено когато става въпрос за</w:t>
            </w:r>
            <w:r>
              <w:t xml:space="preserve"> изчезнали лица</w:t>
            </w:r>
            <w:r>
              <w:rPr>
                <w:b/>
                <w:i/>
              </w:rPr>
              <w:t>;</w:t>
            </w:r>
          </w:p>
        </w:tc>
        <w:tc>
          <w:tcPr>
            <w:tcW w:w="4876" w:type="dxa"/>
            <w:tcBorders>
              <w:top w:val="nil"/>
              <w:left w:val="nil"/>
              <w:bottom w:val="nil"/>
              <w:right w:val="nil"/>
            </w:tcBorders>
          </w:tcPr>
          <w:p>
            <w:pPr>
              <w:pStyle w:val="Normal6a"/>
            </w:pPr>
            <w:r>
              <w:t>24.</w:t>
            </w:r>
            <w:r>
              <w:tab/>
            </w:r>
            <w:r>
              <w:rPr>
                <w:b/>
                <w:i/>
              </w:rPr>
              <w:t>приветства активната роля на</w:t>
            </w:r>
            <w:r>
              <w:t xml:space="preserve"> Сърбия </w:t>
            </w:r>
            <w:r>
              <w:rPr>
                <w:b/>
                <w:i/>
              </w:rPr>
              <w:t>за намирането на всички</w:t>
            </w:r>
            <w:r>
              <w:t xml:space="preserve"> изчезнали лица </w:t>
            </w:r>
            <w:r>
              <w:rPr>
                <w:b/>
                <w:i/>
              </w:rPr>
              <w:t>на територията на бивша Югославия.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отбелязва, че нерешените случаи на „изчезнали лица“ продължават да бъдат сериозно предизвикателство; настоятелно призовава Сърбия да увеличи усилията си за помирение и да възприеме по-активен подход, особено когато става въпрос за изчезнали лица;</w:t>
            </w:r>
          </w:p>
        </w:tc>
        <w:tc>
          <w:tcPr>
            <w:tcW w:w="4876" w:type="dxa"/>
            <w:tcBorders>
              <w:top w:val="nil"/>
              <w:left w:val="nil"/>
              <w:bottom w:val="nil"/>
              <w:right w:val="nil"/>
            </w:tcBorders>
          </w:tcPr>
          <w:p>
            <w:pPr>
              <w:pStyle w:val="Normal6a"/>
            </w:pPr>
            <w:r>
              <w:t>24.</w:t>
            </w:r>
            <w:r>
              <w:tab/>
            </w:r>
            <w:r>
              <w:t xml:space="preserve">отбелязва, че нерешените случаи на „изчезнали лица“ продължават да бъдат сериозно предизвикателство </w:t>
            </w:r>
            <w:r>
              <w:rPr>
                <w:b/>
                <w:i/>
              </w:rPr>
              <w:t>и имат последствия и за отношенията между държавите в региона</w:t>
            </w:r>
            <w:r>
              <w:t>; настоятелно призовава Сърбия да увеличи усилията си за помирение и да възприеме по-активен подход, особено когато става въпрос за изчезнали лица;</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24а.</w:t>
            </w:r>
            <w:r>
              <w:tab/>
            </w:r>
            <w:r>
              <w:rPr>
                <w:b/>
                <w:i/>
              </w:rPr>
              <w:t>изразява силна загриженост относно решението на органите в Прищина да забранят влизането на сръбския патриарх – Негово светейшество Порфирий, в църкви в Косово и в историческото седалище на Патриаршията в Печ; отбелязва, че въпросът беше повдигнат от Лукас Фурлас, председателя на делегацията на Европейския парламент в Парламентарния комитет по стабилизиране и асоцииране ЕС — Сърбия, в писмо, адресирано до председателите на европейските институции, а именно Антонио Коща, Урсула фон дер Лайен и Роберта Мецола;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Емануил Франгос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24а.</w:t>
            </w:r>
            <w:r>
              <w:tab/>
            </w:r>
            <w:r>
              <w:rPr>
                <w:b/>
                <w:i/>
              </w:rPr>
              <w:t>отбелязва сътрудничеството на Сърбия с трети държави в областта на отбраната, включително вноса на военно оборудване от Турция;</w:t>
            </w:r>
            <w:r>
              <w:t xml:space="preserve"> </w:t>
            </w:r>
            <w:r>
              <w:rPr>
                <w:b/>
                <w:i/>
              </w:rPr>
              <w:t>подчертава значението на постепенното привеждане в съответствие с общата външна политика и политика на сигурност (ОВППС) на ЕС;</w:t>
            </w:r>
            <w:r>
              <w:t xml:space="preserve"> </w:t>
            </w:r>
            <w:r>
              <w:rPr>
                <w:b/>
                <w:i/>
              </w:rPr>
              <w:t>насърчава Сърбия да ограничи зависимостта си от доставките на отбранително оборудване от Турция и да засили сътрудничеството си с държавите — членки на ЕС, като насърчава оперативната съвместимост с ЕС;</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24а.</w:t>
            </w:r>
            <w:r>
              <w:tab/>
            </w:r>
            <w:r>
              <w:rPr>
                <w:b/>
                <w:i/>
              </w:rPr>
              <w:t>отново изразява позицията си за това колко е важно да бъдат отворени и публикувани военновременните архиви и отново призовава да бъдат отворени архивите на бивша Югославия, и по-конкретно да бъде гарантиран достъпът до досиетата на бившата югославска тайна служба (UDBA) и контраразузнавателната служба на Югославската народна армия (KOS), както и да бъдат върнати досиетата на съответните държави правоприемници, ако те поискат това;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24а.</w:t>
            </w:r>
            <w:r>
              <w:tab/>
            </w:r>
            <w:r>
              <w:rPr>
                <w:b/>
                <w:i/>
              </w:rPr>
              <w:t>отново изразява позицията си за това колко е важно да бъдат отворени и публикувани военновременните архиви и отново призовава да бъдат отворени архивите на бивша Югославия, и по-конкретно да бъде даден достъп до досиетата на бившата югославска тайна служба (UDBA) и контраразузнавателната служба (KOS) на Югославската народна армия, както и да бъдат върнати досиетата на съответните правителства, ако те поискат това;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Натали Лоазо, Дан Барна, Петрас Аущревичюс,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24а.</w:t>
            </w:r>
            <w:r>
              <w:tab/>
            </w:r>
            <w:r>
              <w:rPr>
                <w:b/>
                <w:i/>
              </w:rPr>
              <w:t>отбелязва, че Сърбия все още е домакин на пропагандни медии и мрежи на Кремъл, например RT и „Спутник“;</w:t>
            </w:r>
            <w:r>
              <w:t xml:space="preserve"> </w:t>
            </w:r>
            <w:r>
              <w:rPr>
                <w:b/>
                <w:i/>
              </w:rPr>
              <w:t>припомня, че тези мрежи се използват за заобикаляне на европейските санкции срещу Русия и за разпространение на наратива на Кремъл в Западните Балкани и извън тях в Европа;</w:t>
            </w:r>
            <w:r>
              <w:t xml:space="preserve"> </w:t>
            </w:r>
            <w:r>
              <w:rPr>
                <w:b/>
                <w:i/>
              </w:rPr>
              <w:t>изразява загриженост, че тези медии експлоатират усещанията за историческа неправда и има риск да разпалят отново напрежението в тези региони;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24а.</w:t>
            </w:r>
            <w:r>
              <w:tab/>
            </w:r>
            <w:r>
              <w:rPr>
                <w:b/>
                <w:i/>
              </w:rPr>
              <w:t>отново призовава за отваряне на архивите на бившите републики на Югославия и за предоставяне на достъп до досиетата на бившата югославска тайна служба (UDBA) и тайната служба на Югославската народна армия (KOS), за да се проведе щателно разследване и да се предприемат мерки за справяне с престъпленията от комунистическата ера;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Геадис Геади, Галато Александраки, Никола Бе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24а.</w:t>
            </w:r>
            <w:r>
              <w:tab/>
            </w:r>
            <w:r>
              <w:rPr>
                <w:b/>
                <w:i/>
              </w:rPr>
              <w:t>що се отнася до диалога с Прищина, отбелязва създаването на Съвместната комисия за безследно изчезналите лица и провеждането на първото ѝ заседание на 22 януари 2026 г. в Брюксел с участието на главния преговарящ на Сърбия.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24б.</w:t>
            </w:r>
            <w:r>
              <w:tab/>
            </w:r>
            <w:r>
              <w:rPr>
                <w:b/>
                <w:i/>
              </w:rPr>
              <w:t>призовава сръбските органи да положат повече усилия, за да гарантират недопускане на дискриминация спрямо националните малцинства и да предприемат активни действия по разследване и да се стремят към осъдителни присъди за престъпленията, мотивирани от омраза;</w:t>
            </w:r>
            <w:r>
              <w:t xml:space="preserve"> </w:t>
            </w:r>
            <w:r>
              <w:rPr>
                <w:b/>
                <w:i/>
              </w:rPr>
              <w:t>призовава Сърбия да гарантира, че малцинствените групи имат равни възможности, подходящо представителство в политическия и културния живот, в обществените медии, администрацията и съдебната система;</w:t>
            </w:r>
            <w:r>
              <w:t xml:space="preserve"> </w:t>
            </w:r>
            <w:r>
              <w:rPr>
                <w:b/>
                <w:i/>
              </w:rPr>
              <w:t>призовава Сърбия да защитава и насърчава културното наследство, езиците и традициите на своите национални малцинства;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24б.</w:t>
            </w:r>
            <w:r>
              <w:tab/>
            </w:r>
            <w:r>
              <w:rPr>
                <w:b/>
                <w:i/>
              </w:rPr>
              <w:t>призовава Европейския съюз да предприеме незабавни действия, като упражни необходимия натиск върху органите на Косово, за да позволи на патриарха на Сърбия да има свободен достъп до Светите църкви и да изпълнява безпрепятствено религиозните си задължения;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Натали Лоазо, Дан Барна, Петрас Аущревичюс,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24б.</w:t>
            </w:r>
            <w:r>
              <w:tab/>
            </w:r>
            <w:r>
              <w:rPr>
                <w:b/>
                <w:i/>
              </w:rPr>
              <w:t>припомня, че в Сърбия действат лагери за подривни дейности, в които руски граждани обучават лица, включително от Молдова и Сърбия, да атакуват избори, да създават хаос и да застрашават обществения ред в Молдова, Франция и Германия;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Геадис Геади, Емануил Франгос, Галато Александраки, Никола Бе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24б.</w:t>
            </w:r>
            <w:r>
              <w:tab/>
            </w:r>
            <w:r>
              <w:rPr>
                <w:b/>
                <w:i/>
              </w:rPr>
              <w:t>приветства активната роля на Сърбия за намирането на всички изчезнали лица на територията на бивша Югославия.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24в.</w:t>
            </w:r>
            <w:r>
              <w:tab/>
            </w:r>
            <w:r>
              <w:rPr>
                <w:b/>
                <w:i/>
              </w:rPr>
              <w:t>призовава сръбското правителство да гарантира права за хърватското малцинство в Сърбия, равни на тези, с които се ползва сръбското малцинство в Хърватия;</w:t>
            </w:r>
            <w:r>
              <w:t xml:space="preserve"> </w:t>
            </w:r>
            <w:r>
              <w:rPr>
                <w:b/>
                <w:i/>
              </w:rPr>
              <w:t>призовава Сърбия да покаже искрен ангажимент за разрешаване на нерешените въпроси по отношение на статута на хърватското малцинство в Сърбия, особено по отношение на недискриминационното използване на хърватски език в образованието, публичната администрация и специалното медийно пространство, както и зачитането на хърватското културно наследство и традиции в Сърбия;</w:t>
            </w:r>
            <w:r>
              <w:t xml:space="preserve"> </w:t>
            </w:r>
            <w:r>
              <w:rPr>
                <w:b/>
                <w:i/>
              </w:rPr>
              <w:t>призовава сръбското правителство да гарантира право на образование на хърватски език, специално предвидено медийно пространство, финансиране и подходящи облекчения за хърватската общност;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24в.</w:t>
            </w:r>
            <w:r>
              <w:tab/>
            </w:r>
            <w:r>
              <w:rPr>
                <w:b/>
                <w:i/>
              </w:rPr>
              <w:t>призовава религиозните лидери в страната да популяризират послания, които насърчават добросъседските отношения и разбирателството между различните държави и религии в региона, както и да допринасят активно за предотвратяване на културата на конфронтация;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Геадис Геади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24в.</w:t>
            </w:r>
            <w:r>
              <w:tab/>
            </w:r>
            <w:r>
              <w:rPr>
                <w:b/>
                <w:i/>
              </w:rPr>
              <w:t>отбелязва със задоволство пълната и непоколебима подкрепа за Република Кипър, държава — членка на ЕС, в усилията ѝ да сложи край на незаконната турска окупация на 37% от своята територия.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Натали Лоазо, Петрас Аущревичюс,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24в.</w:t>
            </w:r>
            <w:r>
              <w:tab/>
            </w:r>
            <w:r>
              <w:rPr>
                <w:b/>
                <w:i/>
              </w:rPr>
              <w:t>счита, че бездействието на сръбското правителство за предотвратяване на тези дейности го прави съучастник на руското правителство;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24г.</w:t>
            </w:r>
            <w:r>
              <w:tab/>
            </w:r>
            <w:r>
              <w:rPr>
                <w:b/>
                <w:i/>
              </w:rPr>
              <w:t>изразява съжаление относно действията на Сърбия, които присвояват хърватското културно наследство и произхода на литературната традиция на Хърватия и поставят под въпрос статута на хърватския език;</w:t>
            </w:r>
            <w:r>
              <w:t xml:space="preserve"> </w:t>
            </w:r>
            <w:r>
              <w:rPr>
                <w:b/>
                <w:i/>
              </w:rPr>
              <w:t>призовава Сърбия да създаде положителна атмосфера за образование на малцинствени езици и изразява съжаление във връзка с нарушаването на правата на малцинствата в тази област;</w:t>
            </w:r>
            <w:r>
              <w:t xml:space="preserve"> </w:t>
            </w:r>
            <w:r>
              <w:rPr>
                <w:b/>
                <w:i/>
              </w:rPr>
              <w:t>призовава компетентните органи да гарантират бързото преодоляване на пречките пред функционирането на образователните институции на хърватски език и да гарантират равен и недискриминационен достъп до образование за хърватското малцинство в съответствие с основните права на малцинствата;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Натали Лоазо, Дан Барна, Петрас Аущревичюс,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24г.</w:t>
            </w:r>
            <w:r>
              <w:tab/>
            </w:r>
            <w:r>
              <w:rPr>
                <w:b/>
                <w:i/>
              </w:rPr>
              <w:t>отново заявява необходимостта Сърбия да засили прозрачността по отношение на проверката на преките чуждестранни инвестиции;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24д.</w:t>
            </w:r>
            <w:r>
              <w:tab/>
            </w:r>
            <w:r>
              <w:rPr>
                <w:b/>
                <w:i/>
              </w:rPr>
              <w:t>предупреждава, че недостатъчното финансиране на малцинствените общности подкопава ефективното упражняване на основните права на малцинствата, включително образованието, културата, достъпа до информация и официалното използване на езика и азбуката;</w:t>
            </w:r>
            <w:r>
              <w:t xml:space="preserve"> </w:t>
            </w:r>
            <w:r>
              <w:rPr>
                <w:b/>
                <w:i/>
              </w:rPr>
              <w:t>подчертава, че без подходящи финансови ресурси нормалното функциониране на съветите на националните малцинства е застрашено, като по този начин се ограничава ефективното представителство;</w:t>
            </w:r>
            <w:r>
              <w:t xml:space="preserve"> </w:t>
            </w:r>
            <w:r>
              <w:rPr>
                <w:b/>
                <w:i/>
              </w:rPr>
              <w:t>призовава сръбските органи да гарантират подходящо и устойчиво финансиране и да предприемат решителни действия за противодействие и осъждане на изказванията, проповядващи вражда и омраза, насочени към хърватите, в съответствие с европейските стандарти за защита на малцинствата и основните права;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Натали Лоазо, Дан Барна, Петрас Аущревичюс,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24д.</w:t>
            </w:r>
            <w:r>
              <w:tab/>
            </w:r>
            <w:r>
              <w:rPr>
                <w:b/>
                <w:i/>
              </w:rPr>
              <w:t>отбелязва с дълбока загриженост предварителния подбор на Дмитрий Йорданиди, лице, свързано с руските разузнавателни служби, което преди това е било експулсирано от Белгия, за ръководител на мисията на ОССЕ в Сърбия;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Желяна Зовко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24 e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24е.</w:t>
            </w:r>
            <w:r>
              <w:tab/>
            </w:r>
            <w:r>
              <w:rPr>
                <w:b/>
                <w:i/>
              </w:rPr>
              <w:t>призовава за разглеждане на нерешените въпроси, свързани с положението на хърватите и католическата църква, включително усилията за съживяване на ключови институции, които играят важна роля в подкрепата на католическата общност и запазването на хърватската национална идентичност, в съответствие с европейските стандарти за правата на малцинствата и опазването на културното наследство;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Ханс Нойхоф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всички задължения в областта на правата на човека;</w:t>
            </w:r>
            <w:r>
              <w:t xml:space="preserve"> </w:t>
            </w:r>
            <w:r>
              <w:rPr>
                <w:b/>
                <w:i/>
              </w:rPr>
              <w:t>отбелязва със загриженост, че въпреки това през януари 2026 г.</w:t>
            </w:r>
            <w:r>
              <w:t xml:space="preserve"> </w:t>
            </w:r>
            <w:r>
              <w:rPr>
                <w:b/>
                <w:i/>
              </w:rPr>
              <w:t>Комисията одобри първото отпускане на средства за Сърбия по линия на Инструмента за реформи и растеж за Западните Балкани;</w:t>
            </w:r>
            <w:r>
              <w:t xml:space="preserve"> </w:t>
            </w:r>
            <w:r>
              <w:rPr>
                <w:b/>
                <w:i/>
              </w:rPr>
              <w:t>призовава Комисията да обясни как са били изпълнени предварителните условия;</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всички задължения в областта на правата на човека; отбелязва със загриженост, че въпреки това през януари 2026 г. Комисията одобри първото отпускане на средства за Сърбия по линия на Инструмента за реформи и растеж за Западните Балкани; призовава Комисията да обясни как са били изпълнени предварителните условия;</w:t>
            </w:r>
          </w:p>
        </w:tc>
        <w:tc>
          <w:tcPr>
            <w:tcW w:w="4876" w:type="dxa"/>
            <w:tcBorders>
              <w:top w:val="nil"/>
              <w:left w:val="nil"/>
              <w:bottom w:val="nil"/>
              <w:right w:val="nil"/>
            </w:tcBorders>
          </w:tcPr>
          <w:p>
            <w:pPr>
              <w:pStyle w:val="Normal6a"/>
            </w:pPr>
            <w:r>
              <w:t>25.</w:t>
            </w:r>
            <w:r>
              <w:tab/>
            </w:r>
            <w:r>
              <w:t>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всички задължения в областта на правата на човека</w:t>
            </w:r>
            <w:r>
              <w:rPr>
                <w:b/>
                <w:i/>
              </w:rPr>
              <w:t>, както и конструктивната ангажираност в нормализирането на отношенията с Косово</w:t>
            </w:r>
            <w:r>
              <w:t xml:space="preserve">; отбелязва със загриженост, че въпреки това през януари 2026 г. Комисията одобри първото отпускане на средства за Сърбия по линия на Инструмента за реформи и растеж за Западните Балкани; призовава Комисията да обясни как са били изпълнени предварителните условия; </w:t>
            </w:r>
            <w:r>
              <w:rPr>
                <w:b/>
                <w:i/>
              </w:rPr>
              <w:t>счита, че европейското финансиране следва да подкрепя по-добре демократичните реформи в държавата;</w:t>
            </w:r>
            <w:r>
              <w:t xml:space="preserve"> </w:t>
            </w:r>
            <w:r>
              <w:rPr>
                <w:b/>
                <w:i/>
              </w:rPr>
              <w:t>в този контекст призовава съответното настоящо и бъдещо финансиране от ЕС да бъде препрограмирано, за да се пренасочат повече средства към подкрепа на реформите в съдебната система и мерките за борба с корупцията;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всички задължения в областта на правата на човека; отбелязва със загриженост, че въпреки това през януари 2026 г. Комисията одобри първото отпускане на средства за Сърбия по линия на Инструмента за реформи и растеж за Западните Балкани; призовава Комисията да обясни как са били изпълнени предварителните условия;</w:t>
            </w:r>
          </w:p>
        </w:tc>
        <w:tc>
          <w:tcPr>
            <w:tcW w:w="4876" w:type="dxa"/>
            <w:tcBorders>
              <w:top w:val="nil"/>
              <w:left w:val="nil"/>
              <w:bottom w:val="nil"/>
              <w:right w:val="nil"/>
            </w:tcBorders>
          </w:tcPr>
          <w:p>
            <w:pPr>
              <w:pStyle w:val="Normal6a"/>
            </w:pPr>
            <w:r>
              <w:t>25.</w:t>
            </w:r>
            <w:r>
              <w:tab/>
            </w:r>
            <w:r>
              <w:t>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всички задължения в областта на правата на човека</w:t>
            </w:r>
            <w:r>
              <w:rPr>
                <w:b/>
                <w:i/>
              </w:rPr>
              <w:t>, които в случая на Сърбия явно не са изпълнени съгласно изисквания стандарт</w:t>
            </w:r>
            <w:r>
              <w:t xml:space="preserve">; отбелязва със загриженост, че въпреки това през януари 2026 г. Комисията одобри първото отпускане на средства за Сърбия по линия на Инструмента за реформи и растеж за Западните Балкани; призовава Комисията да обясни как са били изпълнени предварителните условия; </w:t>
            </w:r>
            <w:r>
              <w:rPr>
                <w:b/>
                <w:i/>
              </w:rPr>
              <w:t>счита, че средствата, отпуснати на Сърбия, изпращат напълно погрешно послание и към други държави, които се стремят към членство в ЕС, т.е. че е възможно да се получат средства от ЕС, без да се постигне реален напредък по реформите, необходими за пътя към членство в ЕС;</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Данило дела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всички задължения в областта на правата на човека; отбелязва със загриженост, че въпреки това през януари 2026 г. Комисията одобри първото отпускане на средства за Сърбия по линия на Инструмента за реформи и растеж за Западните Балкани; призовава Комисията да обясни как са били изпълнени предварителните условия;</w:t>
            </w:r>
          </w:p>
        </w:tc>
        <w:tc>
          <w:tcPr>
            <w:tcW w:w="4876" w:type="dxa"/>
            <w:tcBorders>
              <w:top w:val="nil"/>
              <w:left w:val="nil"/>
              <w:bottom w:val="nil"/>
              <w:right w:val="nil"/>
            </w:tcBorders>
          </w:tcPr>
          <w:p>
            <w:pPr>
              <w:pStyle w:val="Normal6a"/>
            </w:pPr>
            <w:r>
              <w:t>25.</w:t>
            </w:r>
            <w:r>
              <w:tab/>
            </w:r>
            <w:r>
              <w:t xml:space="preserve">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всички задължения в областта на правата на човека; отбелязва със загриженост, че въпреки това през януари 2026 г. Комисията одобри първото отпускане на средства за Сърбия по линия на Инструмента за реформи и растеж за Западните Балкани; призовава Комисията да обясни как са били изпълнени предварителните условия; </w:t>
            </w:r>
            <w:r>
              <w:rPr>
                <w:b/>
                <w:i/>
              </w:rPr>
              <w:t>призовава Сърбия да измени трудовото си законодателство, за да гарантира пълно спазване на Европейската социална харта по отношение на максималното работно време, по-специално чрез премахване на правилата, които позволяват седмичното работно време да достигне 60 часа за членовете на екипажа на превозните средства в автомобилния транспорт и 84 часа за работниците в транспорта по вътрешните водни пътища;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Мирча-Георге Хава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w:t>
            </w:r>
            <w:r>
              <w:rPr>
                <w:b/>
                <w:i/>
              </w:rPr>
              <w:t>всички задължения</w:t>
            </w:r>
            <w:r>
              <w:t xml:space="preserve"> в областта на правата на човека; отбелязва със загриженост, че </w:t>
            </w:r>
            <w:r>
              <w:rPr>
                <w:b/>
                <w:i/>
              </w:rPr>
              <w:t>въпреки това</w:t>
            </w:r>
            <w:r>
              <w:t xml:space="preserve"> през януари 2026 г. Комисията одобри първото отпускане на средства за Сърбия по линия на Инструмента за реформи и растеж за Западните Балкани; призовава Комисията да </w:t>
            </w:r>
            <w:r>
              <w:rPr>
                <w:b/>
                <w:i/>
              </w:rPr>
              <w:t>обясни как са били изпълнени</w:t>
            </w:r>
            <w:r>
              <w:t xml:space="preserve"> предварителните условия;</w:t>
            </w:r>
          </w:p>
        </w:tc>
        <w:tc>
          <w:tcPr>
            <w:tcW w:w="4876" w:type="dxa"/>
            <w:tcBorders>
              <w:top w:val="nil"/>
              <w:left w:val="nil"/>
              <w:bottom w:val="nil"/>
              <w:right w:val="nil"/>
            </w:tcBorders>
          </w:tcPr>
          <w:p>
            <w:pPr>
              <w:pStyle w:val="Normal6a"/>
            </w:pPr>
            <w:r>
              <w:t>25.</w:t>
            </w:r>
            <w:r>
              <w:tab/>
            </w:r>
            <w:r>
              <w:t xml:space="preserve">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w:t>
            </w:r>
            <w:r>
              <w:rPr>
                <w:b/>
                <w:i/>
              </w:rPr>
              <w:t>задълженията</w:t>
            </w:r>
            <w:r>
              <w:t xml:space="preserve"> в областта на правата на човека; отбелязва със загриженост, че през януари 2026 г. Комисията одобри първото отпускане на средства за Сърбия по линия на Инструмента за реформи и растеж за Западните Балкани; призовава Комисията да </w:t>
            </w:r>
            <w:r>
              <w:rPr>
                <w:b/>
                <w:i/>
              </w:rPr>
              <w:t>публикува незабавно подробна и проверима обосновка за изпълнението на</w:t>
            </w:r>
            <w:r>
              <w:t xml:space="preserve"> предварителните условия</w:t>
            </w:r>
            <w:r>
              <w:rPr>
                <w:b/>
                <w:i/>
              </w:rPr>
              <w:t>, включително по отношение на принципите на правовата държава, свободата на медиите, функционирането на демократичните институции и напредъка в нормализирането на отношенията с Косово, както и на гаранциите срещу измами, корупция и конфликти на интереси</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Манолис Кефалоянис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всички задължения в областта на правата на човека; </w:t>
            </w:r>
            <w:r>
              <w:rPr>
                <w:b/>
                <w:i/>
              </w:rPr>
              <w:t>отбелязва със загриженост, че въпреки това през януари 2026 г.</w:t>
            </w:r>
            <w:r>
              <w:t xml:space="preserve"> Комисията </w:t>
            </w:r>
            <w:r>
              <w:rPr>
                <w:b/>
                <w:i/>
              </w:rPr>
              <w:t>одобри първото</w:t>
            </w:r>
            <w:r>
              <w:t xml:space="preserve"> отпускане на средства за Сърбия по линия на Инструмента за реформи и растеж за Западните Балкани; </w:t>
            </w:r>
            <w:r>
              <w:rPr>
                <w:b/>
                <w:i/>
              </w:rPr>
              <w:t>призовава</w:t>
            </w:r>
            <w:r>
              <w:t xml:space="preserve"> Комисията </w:t>
            </w:r>
            <w:r>
              <w:rPr>
                <w:b/>
                <w:i/>
              </w:rPr>
              <w:t>да обясни как са били изпълнени предварителните условия</w:t>
            </w:r>
            <w:r>
              <w:t>;</w:t>
            </w:r>
          </w:p>
        </w:tc>
        <w:tc>
          <w:tcPr>
            <w:tcW w:w="4876" w:type="dxa"/>
            <w:tcBorders>
              <w:top w:val="nil"/>
              <w:left w:val="nil"/>
              <w:bottom w:val="nil"/>
              <w:right w:val="nil"/>
            </w:tcBorders>
          </w:tcPr>
          <w:p>
            <w:pPr>
              <w:pStyle w:val="Normal6a"/>
            </w:pPr>
            <w:r>
              <w:t>25.</w:t>
            </w:r>
            <w:r>
              <w:tab/>
            </w:r>
            <w:r>
              <w:t xml:space="preserve">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всички задължения в областта на правата на човека; </w:t>
            </w:r>
            <w:r>
              <w:rPr>
                <w:b/>
                <w:i/>
              </w:rPr>
              <w:t>призовава</w:t>
            </w:r>
            <w:r>
              <w:t xml:space="preserve"> Комисията </w:t>
            </w:r>
            <w:r>
              <w:rPr>
                <w:b/>
                <w:i/>
              </w:rPr>
              <w:t>да гарантира, че тези предварителни условия са изпълнени, когато разглежда евентуално</w:t>
            </w:r>
            <w:r>
              <w:t xml:space="preserve"> отпускане на средства за Сърбия по линия на Инструмента за реформи и растеж за Западните Балкани; </w:t>
            </w:r>
            <w:r>
              <w:rPr>
                <w:b/>
                <w:i/>
              </w:rPr>
              <w:t>подчертава, че би било по-добре фокусът да бъде върху бъдещето, вместо да се критикува оценката на</w:t>
            </w:r>
            <w:r>
              <w:t xml:space="preserve"> Комисията </w:t>
            </w:r>
            <w:r>
              <w:rPr>
                <w:b/>
                <w:i/>
              </w:rPr>
              <w:t>през януари 2026 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Емануил Франгос, Галато Александраки, Геадис Геади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всички задължения в областта на правата на човека; </w:t>
            </w:r>
            <w:r>
              <w:rPr>
                <w:b/>
                <w:i/>
              </w:rPr>
              <w:t>отбелязва със загриженост, че въпреки това през януари 2026 г.</w:t>
            </w:r>
            <w:r>
              <w:t xml:space="preserve"> Комисията </w:t>
            </w:r>
            <w:r>
              <w:rPr>
                <w:b/>
                <w:i/>
              </w:rPr>
              <w:t>одобри първото</w:t>
            </w:r>
            <w:r>
              <w:t xml:space="preserve"> отпускане на средства за Сърбия по линия на Инструмента за реформи и растеж за Западните Балкани; </w:t>
            </w:r>
            <w:r>
              <w:rPr>
                <w:b/>
                <w:i/>
              </w:rPr>
              <w:t>призовава Комисията да обясни как са били изпълнени предварителните условия;</w:t>
            </w:r>
          </w:p>
        </w:tc>
        <w:tc>
          <w:tcPr>
            <w:tcW w:w="4876" w:type="dxa"/>
            <w:tcBorders>
              <w:top w:val="nil"/>
              <w:left w:val="nil"/>
              <w:bottom w:val="nil"/>
              <w:right w:val="nil"/>
            </w:tcBorders>
          </w:tcPr>
          <w:p>
            <w:pPr>
              <w:pStyle w:val="Normal6a"/>
            </w:pPr>
            <w:r>
              <w:t>25.</w:t>
            </w:r>
            <w:r>
              <w:tab/>
            </w:r>
            <w:r>
              <w:t xml:space="preserve">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всички задължения в областта на правата на човека; </w:t>
            </w:r>
            <w:r>
              <w:rPr>
                <w:b/>
                <w:i/>
              </w:rPr>
              <w:t>призовава</w:t>
            </w:r>
            <w:r>
              <w:t xml:space="preserve"> Комисията </w:t>
            </w:r>
            <w:r>
              <w:rPr>
                <w:b/>
                <w:i/>
              </w:rPr>
              <w:t>да гарантира, че тези предварителни условия са изпълнени, когато разглежда евентуално</w:t>
            </w:r>
            <w:r>
              <w:t> отпускане на средства за Сърбия по линия на Инструмента за реформи и растеж за Западните Балкани;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Вангелис Меймаракис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всички задължения в областта на правата на човека; </w:t>
            </w:r>
            <w:r>
              <w:rPr>
                <w:b/>
                <w:i/>
              </w:rPr>
              <w:t>отбелязва със загриженост, че въпреки това през януари 2026 г.</w:t>
            </w:r>
            <w:r>
              <w:t xml:space="preserve"> Комисията </w:t>
            </w:r>
            <w:r>
              <w:rPr>
                <w:b/>
                <w:i/>
              </w:rPr>
              <w:t>одобри първото</w:t>
            </w:r>
            <w:r>
              <w:t xml:space="preserve"> отпускане на средства за Сърбия по линия на Инструмента за реформи и растеж за Западните Балкани; </w:t>
            </w:r>
            <w:r>
              <w:rPr>
                <w:b/>
                <w:i/>
              </w:rPr>
              <w:t>призовава Комисията да обясни как са били изпълнени предварителните условия;</w:t>
            </w:r>
          </w:p>
        </w:tc>
        <w:tc>
          <w:tcPr>
            <w:tcW w:w="4876" w:type="dxa"/>
            <w:tcBorders>
              <w:top w:val="nil"/>
              <w:left w:val="nil"/>
              <w:bottom w:val="nil"/>
              <w:right w:val="nil"/>
            </w:tcBorders>
          </w:tcPr>
          <w:p>
            <w:pPr>
              <w:pStyle w:val="Normal6a"/>
            </w:pPr>
            <w:r>
              <w:t>25.</w:t>
            </w:r>
            <w:r>
              <w:tab/>
            </w:r>
            <w:r>
              <w:t xml:space="preserve">припомня, че подкрепата от плана за реформи и растеж зависи от зачитането на ефективни демократични механизми, включително многопартийна парламентарна система, свободни и честни избори, плуралистични медии, независима съдебна власт, принципите на правовата държава и изпълнението на всички задължения в областта на правата на човека; </w:t>
            </w:r>
            <w:r>
              <w:rPr>
                <w:b/>
                <w:i/>
              </w:rPr>
              <w:t>призовава</w:t>
            </w:r>
            <w:r>
              <w:t xml:space="preserve"> Комисията </w:t>
            </w:r>
            <w:r>
              <w:rPr>
                <w:b/>
                <w:i/>
              </w:rPr>
              <w:t>да гарантира, че тези предварителни условия са изпълнени, когато разглежда евентуално</w:t>
            </w:r>
            <w:r>
              <w:t> отпускане на средства за Сърбия по линия на Инструмента за реформи и растеж за Западните Балкани;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отново призовава съответното финансиране от ЕС, включително от плана за растеж за Западните Балкани, да бъде препрограмирано, за да се пренасочат повече средства към подкрепа за реформите в съдебната система, мерките за борба с корупцията, както и за независимите медии, организациите на гражданското общество и независимия културен сектор, за да се подкрепи тяхната критична работа, а подкрепата, предоставяна чрез сръбското правителство, следва да бъде спряна незабавно поради липсата на ясен и надежден напредък в областта на принципите на правовата държава, свободата на медиите и условията за провеждане на избори;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Матяж Немец</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отбелязва, че процесът на присъединяване към ЕС се основава на сближаването на националното законодателство с достиженията на правото на ЕС;</w:t>
            </w:r>
            <w:r>
              <w:t xml:space="preserve"> </w:t>
            </w:r>
            <w:r>
              <w:rPr>
                <w:b/>
                <w:i/>
              </w:rPr>
              <w:t>изтъква необходимостта от допълнителни усилия за прилагане на реформите в областта на управлението на публичните финанси и на публичната администрация, както и за преодоляване на продължаващите ограничения на административния капацитет чрез устойчиви инвестиции на ЕС във висококачествени рамки за развитие на капацитет и споделяне на знания, изградени върху съществуващите модели на добри практики на установени партньори на ЕС и международни партньори, което е от съществено значение за ефективното прилагане.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призовава Сърбия да увеличи усилията и инвестициите в социално-икономическото развитие на своите гранични региони, за да се справи с обезлюдяването и да гарантира, че жителите имат достъп до основни услуги, включително професионални възможности, здравеопазване и образование;</w:t>
            </w:r>
            <w:r>
              <w:t xml:space="preserve"> </w:t>
            </w:r>
            <w:r>
              <w:rPr>
                <w:b/>
                <w:i/>
              </w:rPr>
              <w:t>подчертава потенциала на програмите за трансгранично сътрудничество по ИПП III като ключов инструмент за насърчаване на дългосрочен устойчив регионален растеж;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отбелязва, че Европейската прокуратура е започнала отделно разследване на евентуална злоупотреба със средства на ЕС за обновяването на железопътната гара в Нови Сад през периода 2021 – 2024 г.;</w:t>
            </w:r>
            <w:r>
              <w:t xml:space="preserve"> </w:t>
            </w:r>
            <w:r>
              <w:rPr>
                <w:b/>
                <w:i/>
              </w:rPr>
              <w:t>изразява загриженост, че като цяло средствата на ЕС пораждат риск от корупция и че предоставянето на значителни средства от ЕС на Сърбия насърчава корупцията;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призовава ЕС и държавите от Западните Балкани да създадат рамка за сътрудничество между Европейската прокуратура и нейните партньорски институции от Западните Балкани, за да се гарантира, че Европейската прокуратура може да упражнява ефективно своите правомощия, що се отнася до средствата по ИПП III и Инструмента за Западните Балкани в държавите получатели;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Данило дела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призовава Сърбия да засили защитата на здравословните и безопасни условия на труд, като приеме конкретни национални политики относно психосоциалните и нововъзникващите рискове, включително в икономиката на работата по отделни заявки и платформената икономика, и като гарантира на работниците ефективно право на откъсване от работната среда;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Кристоф Гомар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25а.</w:t>
            </w:r>
            <w:r>
              <w:tab/>
            </w:r>
            <w:r>
              <w:rPr>
                <w:b/>
                <w:i/>
              </w:rPr>
              <w:t>поставя под въпрос дали е последователно да се продължи предоставянето на значително финансиране, по-специално по линия на Инструмента за предприсъединителна помощ (ИПП III), включително споразумението за финансиране на стойност 219,9 милиона евро за периода 2025 – 2027 г.;</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Хелмут Брандщетер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отбелязва изявленията на сръбските органи относно взривните вещества, открити в близост до газопровод на границата между Сърбия и Унгария малко преди изборите в Унгария през 2026 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Дан Барна, Хелмут Брандщетер, Марян Шарец, Мари-Агнес Щрак-Цимерман, Петрас Аущревичюс,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призовава финансирането по линия на „Глобална Европа“ да се отпуска при строги условия за зачитане на принципите на правовата държава;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25б.</w:t>
            </w:r>
            <w:r>
              <w:tab/>
            </w:r>
            <w:r>
              <w:rPr>
                <w:b/>
                <w:i/>
              </w:rPr>
              <w:t>призовава ЕС и държавите от Западните Балкани да създадат рамка за ефективно сътрудничество между Европейската прокуратура и държавите, които са в процес на присъединяване;</w:t>
            </w:r>
            <w:r>
              <w:t xml:space="preserve"> </w:t>
            </w:r>
            <w:r>
              <w:rPr>
                <w:b/>
                <w:i/>
              </w:rPr>
              <w:t>настоятелно призовава Сърбия бързо да сключи двустранни работни споразумения с Европейската прокуратура, за да се улеснят тясното сътрудничество и наказателното преследване на злоупотребите със средства на ЕС, включително чрез командироване на национални служители за връзка в Европейската прокуратура;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Данило дела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25б.</w:t>
            </w:r>
            <w:r>
              <w:tab/>
            </w:r>
            <w:r>
              <w:rPr>
                <w:b/>
                <w:i/>
              </w:rPr>
              <w:t>призовава Сърбия да гарантира, че домашните работници са изцяло обхванати от законодателството в областта на здравословните и безопасни условия на труд и са ефективно защитени на практика, включително чрез подходящи механизми за инспекция по труда и правоприлагане, и да разшири надзора на инспекциите по труда, така че да обхване всички категории самостоятелно заети лица, а не само тези, които работят на строителни обекти;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25б.</w:t>
            </w:r>
            <w:r>
              <w:tab/>
            </w:r>
            <w:r>
              <w:rPr>
                <w:b/>
                <w:i/>
              </w:rPr>
              <w:t>изразява загриженост относно мащаба и обхвата на възложените поръчки, които са изключени от съществуващата законодателна рамка относно обществените поръчки;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25в.</w:t>
            </w:r>
            <w:r>
              <w:tab/>
            </w:r>
            <w:r>
              <w:rPr>
                <w:b/>
                <w:i/>
              </w:rPr>
              <w:t>приветства предложението на Комисията за започване на преговори с Албания, Босна и Херцеговина, Косово, Черна гора, Северна Македония и Сърбия с оглед на тяхното интегриране в режима на ЕС „роуминг като у дома“;</w:t>
            </w:r>
            <w:r>
              <w:t xml:space="preserve"> </w:t>
            </w:r>
            <w:r>
              <w:rPr>
                <w:b/>
                <w:i/>
              </w:rPr>
              <w:t>подчертава, че разширяването на зоната „роуминг като у дома“, така че да обхване Западните Балкани, би донесло осезаеми ползи както за гражданите, така и за предприятията, като насърчи контактите между хората, засили икономическите връзки, подкрепи образователния обмен и улесни туризма;</w:t>
            </w:r>
            <w:r>
              <w:t xml:space="preserve"> </w:t>
            </w:r>
            <w:r>
              <w:rPr>
                <w:b/>
                <w:i/>
              </w:rPr>
              <w:t>отбелязва, че тази инициатива доразвива съществуващите доброволни договорености за роуминг и регионалното споразумение за роуминг за Западните Балкани, одобрено на срещата на високо равнище в Тирана; призовава за бързо приемане на мандатите за преговори и за своевременно сключване на двустранни споразумения с партньорите от Западните Балкани, за да се гарантира тяхната бърза и ефективна интеграция в зоната на ЕС „роуминг като у дома“;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Данило дела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25в.</w:t>
            </w:r>
            <w:r>
              <w:tab/>
            </w:r>
            <w:r>
              <w:rPr>
                <w:b/>
                <w:i/>
              </w:rPr>
              <w:t>призовава Сърбия да подобри мерките за инспекция на труда и превенция на работното място във връзка със свързаните с климата професионални рискове, включително горещини, замърсяване и други вредни условия на околната среда, чрез по-силни механизми за надзор, оценки на риска, насоки и обучение за работодателите и работниците;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Данило дела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25г.</w:t>
            </w:r>
            <w:r>
              <w:tab/>
            </w:r>
            <w:r>
              <w:rPr>
                <w:b/>
                <w:i/>
              </w:rPr>
              <w:t>призовава Сърбия да гарантира равно заплащане на жените и мъжете чрез установяване на прозрачна, обективна и неутрална по отношение на пола класификация на професиите и системи за възнаграждение в частния сектор и чрез приемане на ефективни мерки, които могат да постигнат измерим напредък в намаляването на разликата в заплащането на жените и мъжете;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Данило дела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д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25д.</w:t>
            </w:r>
            <w:r>
              <w:tab/>
            </w:r>
            <w:r>
              <w:rPr>
                <w:b/>
                <w:i/>
              </w:rPr>
              <w:t>призовава Сърбия да укрепи свободата на сдружаване и социалния диалог, като предприеме активни мерки за насърчаване на синдикализацията, особено в секторите с ниска степен на синдикализация и новите сектори, като намали прекомерните прагове за членство за организациите на работодателите и гарантира, че се насърчават ефективно съвместните консултации, включително в частния сектор и по въпроси, свързани с цифровия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Данило дела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e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25е.</w:t>
            </w:r>
            <w:r>
              <w:tab/>
            </w:r>
            <w:r>
              <w:rPr>
                <w:b/>
                <w:i/>
              </w:rPr>
              <w:t>призовава Сърбия да насърчава по-ефективно колективното договаряне, включително за самостоятелно заетите лица, които са икономически зависими или в положение, сравнимо с това на работниците, за да се предотвратят злоупотреби с фиктивната самостоятелна заетост и да се гарантира, че всички работници могат да подобрят условията си чрез колективни действия и преговори;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Данило дела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ж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25ж.</w:t>
            </w:r>
            <w:r>
              <w:tab/>
            </w:r>
            <w:r>
              <w:rPr>
                <w:b/>
                <w:i/>
              </w:rPr>
              <w:t>призовава Сърбия да приведе законодателството си относно правото на стачка в съответствие с Европейската социална харта, като прекрати необоснованите забрани за стачни действия в части от сектора на здравеопазването, ограничи прекалено широкия спектър от сектори, в които правата на стачка могат да бъдат ограничени, и гарантира, че работниците и профсъюзите участват наравно с работодателите във вземането на решения относно минималната услуга по време на стачки;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Данило дела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з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25з.</w:t>
            </w:r>
            <w:r>
              <w:tab/>
            </w:r>
            <w:r>
              <w:rPr>
                <w:b/>
                <w:i/>
              </w:rPr>
              <w:t>призовава Сърбия да увеличи усилията си за намаляване на разликата в заетостта между жените и мъжете и да насърчава измерим напредък в представителството на жените на ръководни длъжности, по-специално в най-големите дружества, допуснати до борсова търговия, включително чрез целенасочени мерки за равенство и редовно публикуване на дезагрегирани данни;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Данило дела Вале, Йонас Хьостет</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и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25и.</w:t>
            </w:r>
            <w:r>
              <w:tab/>
            </w:r>
            <w:r>
              <w:rPr>
                <w:b/>
                <w:i/>
              </w:rPr>
              <w:t>отбелязва, че социалният диалог и консултациите със социалните партньори продължават да бъдат слаби, и призовава органите да укрепят колективното договаряне в законодателството и на практика, да насърчават тристранния и двустранния социален диалог и да използват Инструмента за Западните Балкани в подкрепа на изграждането на капацитет на социалните партньори, като отпускането на средства по него трябва да продължи да зависи от участието на социалните партньори в изготвянето на програмата за реформи;</w:t>
            </w:r>
            <w:r>
              <w:t xml:space="preserve"> </w:t>
            </w:r>
            <w:r>
              <w:rPr>
                <w:b/>
                <w:i/>
              </w:rPr>
              <w:t>освен това призовава органите да реформират трудовото законодателство, за да го приведат в съответствие с достиженията на правото на ЕС в социалната област и закона за стачните действия в съответствие с конвенции 87 и 98 на МОТ, и да се въздържат от намеса в свободата на сдружаване и функционирането на профсъюзите;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Емануил Франгос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25а.</w:t>
            </w:r>
            <w:r>
              <w:tab/>
            </w:r>
            <w:r>
              <w:rPr>
                <w:b/>
                <w:i/>
              </w:rPr>
              <w:t>подчертава стратегическото значение на укрепването на свързаността между Сърбия и държавите – членки на ЕС, по-специално чрез по-нататъшно развитие и модернизиране на железопътната линия Будапеща – Белград – Скопие – Солун като участък от трансевропейската транспортна мрежа (TEN-T) и коридора Западни Балкани – Източно Средиземноморие;</w:t>
            </w:r>
            <w:r>
              <w:t xml:space="preserve"> </w:t>
            </w:r>
            <w:r>
              <w:rPr>
                <w:b/>
                <w:i/>
              </w:rPr>
              <w:t>подчертава, че ускоряването на съответните инвестиции може да допринесе за икономическото сближаване, устойчивата мобилност и укрепването на търговските потоци между Съюза и Сърбия;</w:t>
            </w:r>
            <w:r>
              <w:t xml:space="preserve"> </w:t>
            </w:r>
            <w:r>
              <w:rPr>
                <w:b/>
                <w:i/>
              </w:rPr>
              <w:t>призовава Комисията и Сърбия да засилят сътрудничеството си в областта на планирането, финансирането и изпълнението на съответните проекти, като същевременно гарантират спазването на стандартите на Съюза по отношение на околната среда, обществените поръчки и прозрачността;</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25в.</w:t>
            </w:r>
            <w:r>
              <w:tab/>
            </w:r>
            <w:r>
              <w:rPr>
                <w:b/>
                <w:i/>
              </w:rPr>
              <w:t>призовава Сърбия да увеличи усилията си за транспониране на съответните достижения на правото на ЕС в областта на околната среда и климата и да гарантира правилното прилагане на стандартите за опазване на околната среда, включително чрез значително засилване на своя административен и технически капацитет на всички равнища на управление, включително като подобри координацията между компетентните органи и предприеме действия за преодоляване на фрагментирането на отговорностите в сектора на околната среда;</w:t>
            </w:r>
            <w:r>
              <w:t xml:space="preserve"> </w:t>
            </w:r>
            <w:r>
              <w:rPr>
                <w:b/>
                <w:i/>
              </w:rPr>
              <w:t>настоятелно призовава сръбските органи да увеличат прозрачността и оценката на въздействието върху околната среда на всички инвестиции, включително на тези от Китай и Русия;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 г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25г.</w:t>
            </w:r>
            <w:r>
              <w:tab/>
            </w:r>
            <w:r>
              <w:rPr>
                <w:b/>
                <w:i/>
              </w:rPr>
              <w:t>приветства приемането на Закона за оценка на въздействието върху околната среда и Закона за стратегическа екологична оценка;</w:t>
            </w:r>
            <w:r>
              <w:t xml:space="preserve"> </w:t>
            </w:r>
            <w:r>
              <w:rPr>
                <w:b/>
                <w:i/>
              </w:rPr>
              <w:t>подчертава обаче, че ефективното изпълнение продължава да бъде от съществено значение, по-специално като се гарантира, че всички проекти подлежат на пълни и прозрачни процедури за оценка, че участието на обществеността е съдържателно и навременно и че административните практики, включително предварителните становища, не създават възможност проектите да заобикалят цялостния екологичен контрол;</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Емануил Франгос, Галато Александраки, Геадис Геади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отбелязва политически чувствителните събития във връзка с нефтената и газова компания Naftna Industrija Srbije (NIS) и преобразуването на нейната структура на собственост в контекста на санкциите, наложени от Съединените щати, и мажоритарната собственост на NIS от руските дружества „Газпром“ и „Газпром Нефт“;</w:t>
            </w:r>
          </w:p>
        </w:tc>
        <w:tc>
          <w:tcPr>
            <w:tcW w:w="4876" w:type="dxa"/>
            <w:tcBorders>
              <w:top w:val="nil"/>
              <w:left w:val="nil"/>
              <w:bottom w:val="nil"/>
              <w:right w:val="nil"/>
            </w:tcBorders>
          </w:tcPr>
          <w:p>
            <w:pPr>
              <w:pStyle w:val="Normal6a"/>
            </w:pPr>
            <w:r>
              <w:t>26.</w:t>
            </w:r>
            <w:r>
              <w:tab/>
            </w:r>
            <w:r>
              <w:rPr>
                <w:b/>
                <w:i/>
              </w:rPr>
              <w:t>приветства усилията, насочени към отделянето на Srbijagas и други дейности с цел енергийна независимост и диверсификация на енергийните източници.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отбелязва политически чувствителните събития във връзка с нефтената и газова компания Naftna Industrija Srbije (NIS) и преобразуването на нейната структура на собственост в контекста на санкциите, наложени от Съединените щати, и мажоритарната собственост на NIS от руските дружества „Газпром“ и „Газпром Нефт“;</w:t>
            </w:r>
          </w:p>
        </w:tc>
        <w:tc>
          <w:tcPr>
            <w:tcW w:w="4876" w:type="dxa"/>
            <w:tcBorders>
              <w:top w:val="nil"/>
              <w:left w:val="nil"/>
              <w:bottom w:val="nil"/>
              <w:right w:val="nil"/>
            </w:tcBorders>
          </w:tcPr>
          <w:p>
            <w:pPr>
              <w:pStyle w:val="Normal6a"/>
            </w:pPr>
            <w:r>
              <w:t>26.</w:t>
            </w:r>
            <w:r>
              <w:tab/>
            </w:r>
            <w:r>
              <w:t xml:space="preserve">отбелязва политически чувствителните събития във връзка с нефтената и газова компания Naftna Industrija Srbije (NIS) и преобразуването на нейната структура на собственост в контекста на санкциите, наложени от Съединените щати, и мажоритарната собственост на NIS от руските дружества „Газпром“ и „Газпром Нефт“; </w:t>
            </w:r>
            <w:r>
              <w:rPr>
                <w:b/>
                <w:i/>
              </w:rPr>
              <w:t>отбелязва ангажимента и подкрепата на ЕС и Хърватия за намиране на устойчиво решение на тази криза;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отбелязва политически чувствителните събития във връзка с</w:t>
            </w:r>
            <w:r>
              <w:t xml:space="preserve"> нефтената и газова компания Naftna Industrija Srbije (NIS) </w:t>
            </w:r>
            <w:r>
              <w:rPr>
                <w:b/>
                <w:i/>
              </w:rPr>
              <w:t>и преобразуването на нейната структура на собственост в контекста на санкциите, наложени от Съединените щати, и мажоритарната собственост на NIS от</w:t>
            </w:r>
            <w:r>
              <w:t xml:space="preserve"> руските дружества „Газпром“ и „Газпром Нефт“;</w:t>
            </w:r>
          </w:p>
        </w:tc>
        <w:tc>
          <w:tcPr>
            <w:tcW w:w="4876" w:type="dxa"/>
            <w:tcBorders>
              <w:top w:val="nil"/>
              <w:left w:val="nil"/>
              <w:bottom w:val="nil"/>
              <w:right w:val="nil"/>
            </w:tcBorders>
          </w:tcPr>
          <w:p>
            <w:pPr>
              <w:pStyle w:val="Normal6a"/>
            </w:pPr>
            <w:r>
              <w:t>26.</w:t>
            </w:r>
            <w:r>
              <w:tab/>
            </w:r>
            <w:r>
              <w:rPr>
                <w:b/>
                <w:i/>
              </w:rPr>
              <w:t>счита, че структурата на собственост на</w:t>
            </w:r>
            <w:r>
              <w:t xml:space="preserve"> нефтената и газова компания Naftna Industrija Srbije (NIS) </w:t>
            </w:r>
            <w:r>
              <w:rPr>
                <w:b/>
                <w:i/>
              </w:rPr>
              <w:t>е причина за сериозно безпокойство, като се има предвид, че</w:t>
            </w:r>
            <w:r>
              <w:t xml:space="preserve"> руските дружества „Газпром“ и „Газпром Нефт“ </w:t>
            </w:r>
            <w:r>
              <w:rPr>
                <w:b/>
                <w:i/>
              </w:rPr>
              <w:t>имат контролен дял в нея, и счита, че това е в пълно противоречие със стратегическите интереси и целите на енергийната политика на ЕС</w:t>
            </w:r>
            <w:r>
              <w:t xml:space="preserve">; </w:t>
            </w:r>
            <w:r>
              <w:rPr>
                <w:b/>
                <w:i/>
              </w:rPr>
              <w:t>горещо приветства санкциите на САЩ в това отношение;</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Ханс Нойхоф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отбелязва </w:t>
            </w:r>
            <w:r>
              <w:rPr>
                <w:b/>
                <w:i/>
              </w:rPr>
              <w:t>политически чувствителните</w:t>
            </w:r>
            <w:r>
              <w:t xml:space="preserve"> събития във връзка с </w:t>
            </w:r>
            <w:r>
              <w:rPr>
                <w:b/>
                <w:i/>
              </w:rPr>
              <w:t>нефтената и газова компания Naftna Industrija Srbije (NIS) и преобразуването на</w:t>
            </w:r>
            <w:r>
              <w:t xml:space="preserve"> нейната структура на собственост </w:t>
            </w:r>
            <w:r>
              <w:rPr>
                <w:b/>
                <w:i/>
              </w:rPr>
              <w:t>в контекста на санкциите, наложени от Съединените щати, и мажоритарната собственост на NIS от руските дружества „Газпром“ и „Газпром Нефт“</w:t>
            </w:r>
            <w:r>
              <w:t>;</w:t>
            </w:r>
          </w:p>
        </w:tc>
        <w:tc>
          <w:tcPr>
            <w:tcW w:w="4876" w:type="dxa"/>
            <w:tcBorders>
              <w:top w:val="nil"/>
              <w:left w:val="nil"/>
              <w:bottom w:val="nil"/>
              <w:right w:val="nil"/>
            </w:tcBorders>
          </w:tcPr>
          <w:p>
            <w:pPr>
              <w:pStyle w:val="Normal6a"/>
            </w:pPr>
            <w:r>
              <w:t>26.</w:t>
            </w:r>
            <w:r>
              <w:tab/>
            </w:r>
            <w:r>
              <w:t xml:space="preserve">отбелязва събития във връзка с </w:t>
            </w:r>
            <w:r>
              <w:rPr>
                <w:b/>
                <w:i/>
              </w:rPr>
              <w:t>NIS и</w:t>
            </w:r>
            <w:r>
              <w:t xml:space="preserve"> нейната структура на собственост</w:t>
            </w:r>
            <w:r>
              <w:rPr>
                <w:b/>
                <w:i/>
              </w:rPr>
              <w:t>;</w:t>
            </w:r>
            <w:r>
              <w:t xml:space="preserve"> </w:t>
            </w:r>
            <w:r>
              <w:rPr>
                <w:b/>
                <w:i/>
              </w:rPr>
              <w:t>припомня, че енергийният сектор на Сърбия и нейните споразумения за партньорство отразяват суверенни решения по отношение на енергийната сигурност;</w:t>
            </w:r>
            <w:r>
              <w:t xml:space="preserve"> </w:t>
            </w:r>
            <w:r>
              <w:rPr>
                <w:b/>
                <w:i/>
              </w:rPr>
              <w:t>подчертава, че режимите на санкции на трети държави не създават автоматично задължения за държавите – кандидатки за членство в ЕС, и не следва да се разглеждат като референтен показател за условията за присъединяване към 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Ивайло Вълчев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а.</w:t>
            </w:r>
            <w:r>
              <w:tab/>
            </w:r>
            <w:r>
              <w:rPr>
                <w:b/>
                <w:i/>
              </w:rPr>
              <w:t>приветства предложението на Комисията за започване на преговори с Албания, Босна и Херцеговина, Косово, Черна гора, Северна Македония и Сърбия с оглед на тяхното интегриране в режима на ЕС „роуминг като у дома“;</w:t>
            </w:r>
            <w:r>
              <w:t xml:space="preserve"> </w:t>
            </w:r>
            <w:r>
              <w:rPr>
                <w:b/>
                <w:i/>
              </w:rPr>
              <w:t>подчертава, че разширяването на зоната „роуминг като у дома“, така че да обхване Западните Балкани, би донесло осезаеми ползи както за гражданите, така и за предприятията, като насърчава контактите между хората, засилва икономическите връзки, подкрепя образователния обмен и улеснява туризма;</w:t>
            </w:r>
            <w:r>
              <w:t xml:space="preserve"> </w:t>
            </w:r>
            <w:r>
              <w:rPr>
                <w:b/>
                <w:i/>
              </w:rPr>
              <w:t>отбелязва, че тази инициатива се основава на съществуващите доброволни договорености за роуминг и на регионалното споразумение за роуминг за Западните Балкани, одобрено на срещата на високо равнище в Тирана; призовава за бързо приемане на мандатите за преговори и за своевременно сключване на двустранни споразумения с партньорите от Западните Балкани, за да се гарантира тяхната бърза и ефективна интеграция в зоната на ЕС „роуминг като у дома“;</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изразява съжаление, че Сърбия продължава да сключва споразумения за газ с Русия, а същевременно не успява да постигне съответствие с целите на ОВППС на ЕС, като по този начин увеличава стратегическата си зависимост от един-единствен доставчик;</w:t>
            </w:r>
            <w:r>
              <w:t xml:space="preserve"> </w:t>
            </w:r>
            <w:r>
              <w:rPr>
                <w:b/>
                <w:i/>
              </w:rPr>
              <w:t>призовава сръбските органи спешно да увеличат усилията си за диверсифициране на източниците на доставки на газ, включително чрез засилена регионална взаимосвързаност, инвестиции в енергия от възобновяеми източници и привеждане в съответствие със стратегията на ЕС за енергийна диверсификация;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Емануил Франгос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отбелязва със загриженост постоянния отлив на сръбски граждани към чужди държави, което може да има отрицателни последици за икономическото и социалното развитие на Сърбия;</w:t>
            </w:r>
            <w:r>
              <w:t xml:space="preserve"> </w:t>
            </w:r>
            <w:r>
              <w:rPr>
                <w:b/>
                <w:i/>
              </w:rPr>
              <w:t>призовава сръбското правителство да приеме целенасочени и ефективни мерки за привличане обратно на сръбски граждани, наред с другото, чрез предоставяне на подходящи икономически стимули и подобряване на условията на заетост и живот;</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Петрас Аущревичюс, Луция Яр, Дан Барна, Натали Лоазо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изразява съжаление, че въпреки усилията на Сърбия да диверсифицира енергийните си доставки от Русия, неотдавнашните разговори между президента Вучич и Владимир Путин доведоха до ново споразумение за внос на газ с Русия, което подкопава напредъка на страната към привеждане в съответствие с енергийната политика на ЕС и повдига сериозни въпроси относно ангажимента на Сърбия да намали стратегическата си зависимост от руските енергийни източници;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отбелязва добрата степен на подготвеност на Сърбия в областта на икономиката – макроикономическа сигурност и стабилност, фискална дисциплина, статистика;</w:t>
            </w:r>
            <w:r>
              <w:t xml:space="preserve"> </w:t>
            </w:r>
            <w:r>
              <w:rPr>
                <w:b/>
                <w:i/>
              </w:rPr>
              <w:t>добър напредък по отношение на зелената програма, опазването на околната среда, изменението на климата и трансевропейската мрежа;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счита, че отказът на Сърбия да се присъедини към санкциите срещу Русия е неприемливо отклонение от общата линия на поведение на ЕС, и счита, че това подкопава из основи доверието в процеса на присъединяване на страната;</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отново изтъква значението на това диверсифицирането на енергийните доставки на Сърбия да продължи, за да се намали зависимостта ѝ от Русия;</w:t>
            </w:r>
            <w:r>
              <w:t xml:space="preserve"> </w:t>
            </w:r>
            <w:r>
              <w:rPr>
                <w:b/>
                <w:i/>
              </w:rPr>
              <w:t>отбелязва, че енергийната диверсификация може да се разглежда като част от стратегическата ориентация на страната;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Геадис Геади, Емануил Франгос, Галато Александраки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приветства усилията за отделяне на Srbijagas и за постигане на напредък в реформите, насочени към укрепване на енергийната независимост и диверсифициране на енергийните източници, по-специално чрез намаляване на зависимостта от доминиращи доставчици от трети държави.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Анамария Вичек, Кинга Гал, Антонио Танжер Кореа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приветства действията, предприети от сръбските органи на 5 април 2026 г. за предотвратяване на терористичното нападение срещу сръбско-унгарския газопровод, известен като „Турски поток“, близо до Трешневац;</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Хелмут Брандщетер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26а.</w:t>
            </w:r>
            <w:r>
              <w:tab/>
            </w:r>
            <w:r>
              <w:rPr>
                <w:b/>
                <w:i/>
              </w:rPr>
              <w:t>отбелязва със съжаление демографските предизвикателства, пред които е изправена Сърбия поради застаряването на населението и ниската раждаемост, изострени от масовото напускане на младите хора, предизвикано от политическата несигурност и социално-икономическите трудности;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Анамария Вичек, Кинга Гал, Антонио Танжер Кореа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26б.</w:t>
            </w:r>
            <w:r>
              <w:tab/>
            </w:r>
            <w:r>
              <w:rPr>
                <w:b/>
                <w:i/>
              </w:rPr>
              <w:t>приветства усилията, насочени към отделянето на Srbijagas и други дейности с цел енергийна независимост и диверсификация на енергийните източници;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Себастиан Тюнкюнен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26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26б.</w:t>
            </w:r>
            <w:r>
              <w:tab/>
            </w:r>
            <w:r>
              <w:rPr>
                <w:b/>
                <w:i/>
              </w:rPr>
              <w:t>счита, че основна цел на политиката за сигурност за Сърбия е да се откъсне от руската енергия;</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Емануил Франгос, Галато Александраки, Геадис Геади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отново подчертава значението на защитата на екологичните стандарти в Сърбия, особено по отношение на миннодобивните проекти, при пълно зачитане на правата на местните общности;</w:t>
            </w:r>
          </w:p>
        </w:tc>
        <w:tc>
          <w:tcPr>
            <w:tcW w:w="4876" w:type="dxa"/>
            <w:tcBorders>
              <w:top w:val="nil"/>
              <w:left w:val="nil"/>
              <w:bottom w:val="nil"/>
              <w:right w:val="nil"/>
            </w:tcBorders>
          </w:tcPr>
          <w:p>
            <w:pPr>
              <w:pStyle w:val="Normal6a"/>
            </w:pPr>
            <w:r>
              <w:t>27.</w:t>
            </w:r>
            <w:r>
              <w:tab/>
            </w:r>
            <w:r>
              <w:t xml:space="preserve">отново подчертава значението на защитата на екологичните стандарти в Сърбия, особено по отношение на миннодобивните проекти, при пълно зачитане на правата на местните общности; </w:t>
            </w:r>
            <w:r>
              <w:rPr>
                <w:b/>
                <w:i/>
              </w:rPr>
              <w:t>приветства меморандума за разбирателство между Европейския съюз и Република Сърбия относно стратегическо партньорство за устойчивите суровини, веригите за създаване на стойност в сектора на акумулаторните батерии и електрическите превозни средства.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Лукас Фурлас</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отново подчертава значението на защитата на екологичните стандарти в Сърбия, особено по отношение на миннодобивните проекти, при пълно зачитане на правата на местните общности;</w:t>
            </w:r>
          </w:p>
        </w:tc>
        <w:tc>
          <w:tcPr>
            <w:tcW w:w="4876" w:type="dxa"/>
            <w:tcBorders>
              <w:top w:val="nil"/>
              <w:left w:val="nil"/>
              <w:bottom w:val="nil"/>
              <w:right w:val="nil"/>
            </w:tcBorders>
          </w:tcPr>
          <w:p>
            <w:pPr>
              <w:pStyle w:val="Normal6a"/>
            </w:pPr>
            <w:r>
              <w:t>27.</w:t>
            </w:r>
            <w:r>
              <w:tab/>
            </w:r>
            <w:r>
              <w:t xml:space="preserve">отново подчертава значението на защитата на екологичните стандарти в Сърбия, особено по отношение на миннодобивните проекти, при пълно зачитане на правата на местните общности; </w:t>
            </w:r>
            <w:r>
              <w:rPr>
                <w:b/>
                <w:i/>
              </w:rPr>
              <w:t>приветства меморандума за разбирателство между Европейския съюз и Република Сърбия относно стратегическо партньорство за устойчивите суровини, веригите за създаване на стойност в сектора на акумулаторните батерии и електрическите превозни средства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отново подчертава значението на </w:t>
            </w:r>
            <w:r>
              <w:rPr>
                <w:b/>
                <w:i/>
              </w:rPr>
              <w:t>защитата на екологичните стандарти</w:t>
            </w:r>
            <w:r>
              <w:t xml:space="preserve"> в Сърбия, особено по отношение на миннодобивните проекти, при пълно зачитане на правата на местните общности;</w:t>
            </w:r>
          </w:p>
        </w:tc>
        <w:tc>
          <w:tcPr>
            <w:tcW w:w="4876" w:type="dxa"/>
            <w:tcBorders>
              <w:top w:val="nil"/>
              <w:left w:val="nil"/>
              <w:bottom w:val="nil"/>
              <w:right w:val="nil"/>
            </w:tcBorders>
          </w:tcPr>
          <w:p>
            <w:pPr>
              <w:pStyle w:val="Normal6a"/>
            </w:pPr>
            <w:r>
              <w:t>27.</w:t>
            </w:r>
            <w:r>
              <w:tab/>
            </w:r>
            <w:r>
              <w:t xml:space="preserve">отново подчертава значението на </w:t>
            </w:r>
            <w:r>
              <w:rPr>
                <w:b/>
                <w:i/>
              </w:rPr>
              <w:t>пълното спазване на стандартите за опазване на околната среда и природата</w:t>
            </w:r>
            <w:r>
              <w:t xml:space="preserve"> в Сърбия, особено по отношение на миннодобивните проекти, </w:t>
            </w:r>
            <w:r>
              <w:rPr>
                <w:b/>
                <w:i/>
              </w:rPr>
              <w:t>по-специално също така в области с висока стойност на биологичното разнообразие, като например защитени зони и вековни гори в източната част на Сърбия,</w:t>
            </w:r>
            <w:r>
              <w:t xml:space="preserve"> при пълно зачитане на правата на местните общности;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изразява загриженост относно докладваното влошаване на състоянието на околната среда и социалното въздействие, свързани с широкомащабни добивни проекти, по-специално след продажбата през 2018 г. на миннодобивния и топилен комплекс RTB Bor на китайското дружество Zijin, което доведе до засилена експлоатация на мед, злато и други редки материали в общините Бор и Майданпек;</w:t>
            </w:r>
            <w:r>
              <w:t xml:space="preserve"> </w:t>
            </w:r>
            <w:r>
              <w:rPr>
                <w:b/>
                <w:i/>
              </w:rPr>
              <w:t>подчертава, че подобни дейности породиха сериозни опасения относно тяхното въздействие върху местните общности, включително разселването на хора от румънското малцинство, като по този начин се променя етническият състав на района и се подкопават конституционните гаранции;</w:t>
            </w:r>
            <w:r>
              <w:t xml:space="preserve"> </w:t>
            </w:r>
            <w:r>
              <w:rPr>
                <w:b/>
                <w:i/>
              </w:rPr>
              <w:t>подчертава, че Сърбия трябва изцяло да гарантира своя конституционен ред, да гарантира стриктно спазване на екологичните стандарти и да защитава правата на местните и националните малцинствени общности при одобряването и изпълнението на такива проекти;</w:t>
            </w:r>
            <w:r>
              <w:t xml:space="preserve"> </w:t>
            </w:r>
            <w:r>
              <w:rPr>
                <w:b/>
                <w:i/>
              </w:rPr>
              <w:t>призовава сръбските органи да гарантират пълна прозрачност, отчетност и надлежна проверка в процесите на възлагане на обществени поръчки, приватизация и концесии с участието на чуждестранни държавни дружества, включително китайски изпълнители;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Владимир Пребилич</w:t>
      </w:r>
      <w:r>
        <w:rPr>
          <w:rStyle w:val="HideTWBExt"/>
          <w:b w:val="0"/>
        </w:rPr>
        <w:t>&lt;/Members&gt;</w:t>
      </w:r>
    </w:p>
    <w:p>
      <w:r>
        <w:rPr>
          <w:rStyle w:val="HideTWBExt"/>
          <w:b w:val="0"/>
        </w:rPr>
        <w:t>&lt;AuNomDe&gt;</w:t>
      </w:r>
      <w:r>
        <w:rPr>
          <w:rStyle w:val="HideTWBInt"/>
        </w:rPr>
        <w:t>{Verts/ALE}</w:t>
      </w:r>
      <w:r>
        <w:t>от името на групата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призовава Сърбия да ускори привеждането в съответствие с Директивата за птиците и Директивата за местообитанията и значително да увеличи усилията за идентифициране и предварително определяне на обекти за мрежата „Натура 2000“ с оглед на изпълнението на основните задължения съгласно глава 27, както и да разшири и ефективно да управлява защитените зони, включително да засили правоприлагането спрямо престъпленията срещу дивата флора и фауна;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Хелмут Брандщетер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призовава Комисията да преразгледа новите правила на ЕС за Системата за влизане/излизане, които ограничават престоя в ЕС на камиони от Черна гора, Сърбия, Босна и Северна Македония до 90 дни в рамките на половин година, като по този начин застрашават поминъка на хората в държавите кандидатки и потенциално нарушават веригите на доставки в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Мириам Лексман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изразява загриженост относно сериозното въздействие върху околната среда и общественото здраве, включително замърсяването на въздуха, почвата и водата, на миннодобивните и промишлените дейности с участието на китайски инвеститори, по-специално свързаните с дейността на Zijin Mining в Сърбия;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Данило дела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подчертава, че продължаващата държавна собственост на ключови енергийни дружества е основен стратегически актив за Сърбия, като предоставя ключов инструмент за гарантиране на енергийния суверенитет, предпазване на гражданите от нестабилност на цените и управление на координиран екологичен преход;</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отново изразява съжаление във връзка с липсата на действия по отношение на замърсяването на река Драговищица от извършващите дейност в региона мини и вредното въздействие върху здравето на местното население и околната среда;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призовава Сърбия да упражнява подходящ и прозрачен контрол и да оценява инвестициите, идващи от трети държави, особено по отношение на екологичните стандарти и устойчивостта;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Станислав Стоянов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призовава Сърбия незабавно да изпълни дейностите, посочени в меморандума за разбирателство относно сътрудничеството с България в областта на опазването на околната среда;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Геадис Геади, Емануил Франгос, Галато Александраки, Никола Бе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приветства Меморандума за разбирателство между Европейския съюз и Република Сърбия относно стратегическо партньорство за устойчивите суровини, веригите за създаване на стойност в сектора на акумулаторните батерии и електрическите превозни средства.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Томаш Фрьолих</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27а.</w:t>
            </w:r>
            <w:r>
              <w:tab/>
            </w:r>
            <w:r>
              <w:rPr>
                <w:b/>
                <w:i/>
              </w:rPr>
              <w:t>насърчава Сърбия да задълбочи трансграничното сътрудничество със съседните държави, особено в областта на трансграничната пътна инфраструктура;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Данило дела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27б.</w:t>
            </w:r>
            <w:r>
              <w:tab/>
            </w:r>
            <w:r>
              <w:rPr>
                <w:b/>
                <w:i/>
              </w:rPr>
              <w:t>отправя предупреждение срещу всякакви по-нататъшни непрозрачни процеси на приватизация в стратегически сектори;</w:t>
            </w:r>
            <w:r>
              <w:t xml:space="preserve"> </w:t>
            </w:r>
            <w:r>
              <w:rPr>
                <w:b/>
                <w:i/>
              </w:rPr>
              <w:t>настоятелно призовава Сърбия да гарантира, че всяко преструктуриране, включително корпоративно, на държавните предприятия се извършва в пълно съответствие с принципите на социалния диалог, като се гарантира пълноценното участие на профсъюзите и представителите на работниците в процеса на вземане на решения, за да се предотврати подкопаването на правата на работниците и загубата на публичен контрол върху основните услуги;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Андрей Ковачев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27б.</w:t>
            </w:r>
            <w:r>
              <w:tab/>
            </w:r>
            <w:r>
              <w:rPr>
                <w:b/>
                <w:i/>
              </w:rPr>
              <w:t>подчертава необходимостта от допълнителен напредък в трансграничното сътрудничество със съседните държави;</w:t>
            </w:r>
            <w:r>
              <w:t xml:space="preserve"> </w:t>
            </w:r>
            <w:r>
              <w:rPr>
                <w:b/>
                <w:i/>
              </w:rPr>
              <w:t>настоятелно призовава Сърбия да започне изпълнението на дейностите, посочени в меморандума за разбирателство относно сътрудничеството с България в областта на опазването на околната среда;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Станислав Стоянов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27б.</w:t>
            </w:r>
            <w:r>
              <w:tab/>
            </w:r>
            <w:r>
              <w:rPr>
                <w:b/>
                <w:i/>
              </w:rPr>
              <w:t>отбелязва значителния размер на финансовата подкрепа на ЕС за Сърбия;</w:t>
            </w:r>
            <w:r>
              <w:t xml:space="preserve"> </w:t>
            </w:r>
            <w:r>
              <w:rPr>
                <w:b/>
                <w:i/>
              </w:rPr>
              <w:t>приканва Комисията да гарантира максимална стойност за парите на данъкоплатците в ЕС и необходимите условия за подобряване на стратегическата конкурентоспособност на дружествата от ЕС на пазара на Сърбия;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Станислав Стоянов</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27в.</w:t>
            </w:r>
            <w:r>
              <w:tab/>
            </w:r>
            <w:r>
              <w:rPr>
                <w:b/>
                <w:i/>
              </w:rPr>
              <w:t>подчертава, че регионалната свързаност с ЕС следва да бъде правилно транспонирана и планирана, за да се улесни насърчаването на бизнеса и инвестициите, което ще бъде от полза за европейските дружества и данъкоплатци;</w:t>
            </w:r>
            <w:r>
              <w:t xml:space="preserve"> </w:t>
            </w:r>
            <w:r>
              <w:rPr>
                <w:b/>
                <w:i/>
              </w:rPr>
              <w:t>призовава Сърбия да премахне правните и търговските пречки, които възпрепятстват експлоатацията на междусистемния газопровод Сърбия – България (IBS);</w:t>
            </w:r>
            <w:r>
              <w:t xml:space="preserve"> </w:t>
            </w:r>
            <w:r>
              <w:rPr>
                <w:b/>
                <w:i/>
              </w:rPr>
              <w:t>припомня, че трансевропейските енергийни и транспортни мрежи укрепват сигурността на доставките, намаляват зависимостите и засилват икономическите и междуличностните връзки;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Натали Лоазо, Дан Барна, Петрас Аущревичюс, Луция Яр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възлага на своя председател да предаде настоящата резолюция </w:t>
            </w:r>
            <w:r>
              <w:rPr>
                <w:b/>
                <w:i/>
              </w:rPr>
              <w:t>съответно</w:t>
            </w:r>
            <w:r>
              <w:t xml:space="preserve"> на председателя на Европейския съвет,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 </w:t>
            </w:r>
            <w:r>
              <w:rPr>
                <w:b/>
                <w:i/>
              </w:rPr>
              <w:t>както и</w:t>
            </w:r>
            <w:r>
              <w:t xml:space="preserve"> на президента, правителството и </w:t>
            </w:r>
            <w:r>
              <w:rPr>
                <w:b/>
                <w:i/>
              </w:rPr>
              <w:t>Народната скупщина</w:t>
            </w:r>
            <w:r>
              <w:t xml:space="preserve"> на Сърбия</w:t>
            </w:r>
            <w:r>
              <w:rPr>
                <w:b/>
                <w:i/>
              </w:rPr>
              <w:t>.</w:t>
            </w:r>
          </w:p>
        </w:tc>
        <w:tc>
          <w:tcPr>
            <w:tcW w:w="4876" w:type="dxa"/>
            <w:tcBorders>
              <w:top w:val="nil"/>
              <w:left w:val="nil"/>
              <w:bottom w:val="nil"/>
              <w:right w:val="nil"/>
            </w:tcBorders>
          </w:tcPr>
          <w:p>
            <w:pPr>
              <w:pStyle w:val="Normal6a"/>
            </w:pPr>
            <w:r>
              <w:t>28.</w:t>
            </w:r>
            <w:r>
              <w:tab/>
            </w:r>
            <w:r>
              <w:t xml:space="preserve">възлага на своя председател да предаде настоящата резолюция на председателя на Европейския съвет,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 на президента, правителството и </w:t>
            </w:r>
            <w:r>
              <w:rPr>
                <w:b/>
                <w:i/>
              </w:rPr>
              <w:t>парламента</w:t>
            </w:r>
            <w:r>
              <w:t xml:space="preserve"> на Сърбия </w:t>
            </w:r>
            <w:r>
              <w:rPr>
                <w:b/>
                <w:i/>
              </w:rPr>
              <w:t>и на председателя и генералния секретар на Организацията за сигурност и сътрудничество в Европа;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Райнхолд Лопатка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възлага на своя председател да предаде настоящата резолюция съответно на председателя на Европейския съвет,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w:t>
            </w:r>
            <w:r>
              <w:rPr>
                <w:b/>
                <w:i/>
              </w:rPr>
              <w:t>, както</w:t>
            </w:r>
            <w:r>
              <w:t xml:space="preserve"> и на президента, правителството и Народната скупщина на Сърбия.</w:t>
            </w:r>
          </w:p>
        </w:tc>
        <w:tc>
          <w:tcPr>
            <w:tcW w:w="4876" w:type="dxa"/>
            <w:tcBorders>
              <w:top w:val="nil"/>
              <w:left w:val="nil"/>
              <w:bottom w:val="nil"/>
              <w:right w:val="nil"/>
            </w:tcBorders>
          </w:tcPr>
          <w:p>
            <w:pPr>
              <w:pStyle w:val="Normal6a"/>
            </w:pPr>
            <w:r>
              <w:t>28.</w:t>
            </w:r>
            <w:r>
              <w:tab/>
            </w:r>
            <w:r>
              <w:t xml:space="preserve">възлага на своя председател да предаде настоящата резолюция съответно на председателя на Европейския съвет, на Комисията, на заместник-председателя на Комисията/върховен представител на Съюза по въпросите на външните работи и политиката на сигурност, </w:t>
            </w:r>
            <w:r>
              <w:rPr>
                <w:b/>
                <w:i/>
              </w:rPr>
              <w:t>както и да се преведе настоящата резолюция на сръбски език и да се предаде </w:t>
            </w:r>
            <w:r>
              <w:t>на правителствата и парламентите на държавите членки и на президента, правителството и Народната скупщина на Сърбия.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Себастиан Евердинг, Данило дела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подчертава, че основен приоритет остава пълното и правилно прилагане на практика на наскоро приетото законодателство относно оценката на въздействието върху околната среда (ОВОС) и стратегическата екологична оценка;</w:t>
            </w:r>
            <w:r>
              <w:t xml:space="preserve"> </w:t>
            </w:r>
            <w:r>
              <w:rPr>
                <w:b/>
                <w:i/>
              </w:rPr>
              <w:t>отбелязва, че въпреки напредъка в привеждането в съответствие на законодателството продължават да съществуват опасения по отношение на прозрачността, участието на обществеността и риска проектите да продължат без всеобхватен екологичен контрол;</w:t>
            </w:r>
            <w:r>
              <w:t xml:space="preserve"> </w:t>
            </w:r>
            <w:r>
              <w:rPr>
                <w:b/>
                <w:i/>
              </w:rPr>
              <w:t>подчертава, че ефективното прилагане е от съществено значение за поддържане на доверието в управлението в областта на околната среда;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Тонино Пицула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28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приветства предложението на Комисията за започване на преговори за разширяване на режима на ЕС „роуминг като у дома“, така че да обхване Западните Балкани, и призовава за бързо приключване на преговорите;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Себастиан Евердинг, Данило дела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28 б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28б.</w:t>
            </w:r>
            <w:r>
              <w:tab/>
            </w:r>
            <w:r>
              <w:rPr>
                <w:b/>
                <w:i/>
              </w:rPr>
              <w:t>призовава за по-нататъшни усилия за постигане на напредък в привеждането в съответствие с директивите за птиците и местообитанията и за ускоряване на подготовката на мрежата „Натура 2000“;</w:t>
            </w:r>
            <w:r>
              <w:t xml:space="preserve"> </w:t>
            </w:r>
            <w:r>
              <w:rPr>
                <w:b/>
                <w:i/>
              </w:rPr>
              <w:t>отбелязва, че напредъкът в определянето и подготовката на обектите остава ограничен, което поражда риск да се забави спазването от страна на Сърбия на основните изисквания за биологично разнообразие съгласно глава 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Себастиан Евердинг, Данило дела Вале</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28 в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28в.</w:t>
            </w:r>
            <w:r>
              <w:tab/>
            </w:r>
            <w:r>
              <w:rPr>
                <w:b/>
                <w:i/>
              </w:rPr>
              <w:t>изразява загриженост относно нарастващия натиск от страна на добивната промишленост върху зони с висока стойност на биологичното разнообразие, включително защитени зони и вековни горски екосистеми;</w:t>
            </w:r>
            <w:r>
              <w:t xml:space="preserve"> </w:t>
            </w:r>
            <w:r>
              <w:rPr>
                <w:b/>
                <w:i/>
              </w:rPr>
              <w:t>подчертава важността на това да се гарантира, че тези зони са ефективно защитени и че не се издават разрешения за проекти без пълно спазване на законодателството в областта на околната среда и надеждни процедури за оценка.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90</w:t>
    </w:r>
    <w:r>
      <w:fldChar w:fldCharType="end"/>
    </w:r>
    <w:r>
      <w:t>/</w:t>
    </w:r>
    <w:r>
      <w:fldChar w:fldCharType="begin"/>
    </w:r>
    <w:r>
      <w:instrText xml:space="preserve"> NUMPAGES </w:instrText>
    </w:r>
    <w:r>
      <w:fldChar w:fldCharType="separate"/>
    </w:r>
    <w:r>
      <w:t>90</w:t>
    </w:r>
    <w:r>
      <w:fldChar w:fldCharType="end"/>
    </w:r>
    <w:r>
      <w:tab/>
    </w:r>
    <w:r>
      <w:rPr>
        <w:rStyle w:val="HideTWBExt"/>
      </w:rPr>
      <w:t>&lt;PathFdR&gt;</w:t>
    </w:r>
    <w:r>
      <w:t>AM\1341076BG.docx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AM\1341076BG.docx</w:t>
    </w:r>
    <w:r>
      <w:rPr>
        <w:rStyle w:val="HideTWBExt"/>
      </w:rPr>
      <w:t>&lt;/PathFdR&gt;</w:t>
    </w:r>
    <w:r>
      <w:tab/>
    </w:r>
    <w:r>
      <w:fldChar w:fldCharType="begin"/>
    </w:r>
    <w:r>
      <w:instrText xml:space="preserve"> PAGE </w:instrText>
    </w:r>
    <w:r>
      <w:fldChar w:fldCharType="separate"/>
    </w:r>
    <w:r>
      <w:t>89</w:t>
    </w:r>
    <w:r>
      <w:fldChar w:fldCharType="end"/>
    </w:r>
    <w:r>
      <w:t>/</w:t>
    </w:r>
    <w:r>
      <w:fldChar w:fldCharType="begin"/>
    </w:r>
    <w:r>
      <w:instrText xml:space="preserve"> NUMPAGES </w:instrText>
    </w:r>
    <w:r>
      <w:fldChar w:fldCharType="separate"/>
    </w:r>
    <w:r>
      <w:t>90</w:t>
    </w:r>
    <w:r>
      <w:fldChar w:fldCharType="end"/>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AM\1341076BG.docx</w:t>
    </w:r>
    <w:r>
      <w:rPr>
        <w:rStyle w:val="HideTWBExt"/>
      </w:rPr>
      <w:t>&lt;/PathFdR&gt;</w:t>
    </w:r>
    <w:r>
      <w:tab/>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90</Pages>
  <Words>15025</Words>
  <Characters>92867</Characters>
  <Application>Microsoft Office Word</Application>
  <DocSecurity>0</DocSecurity>
  <Lines>1</Lines>
  <Paragraphs>1351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1341076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490919</vt:lpwstr>
  </property>
  <property fmtid="{D5CDD505-2E9C-101B-9397-08002B2CF9AE}" pid="7" name="dmxml.render.traceId">
    <vt:lpwstr>6a0ace8e715e3f4b3dd15c5972d7917e</vt:lpwstr>
  </property>
  <property fmtid="{D5CDD505-2E9C-101B-9397-08002B2CF9AE}" pid="8" name="FooterPath">
    <vt:lpwstr>AM\1341076BG.docx</vt:lpwstr>
  </property>
  <property fmtid="{D5CDD505-2E9C-101B-9397-08002B2CF9AE}" pid="9" name="PE Number">
    <vt:lpwstr>786.972</vt:lpwstr>
  </property>
  <property fmtid="{D5CDD505-2E9C-101B-9397-08002B2CF9AE}" pid="10" name="UID">
    <vt:lpwstr>eu.europa.europarl-DIN1-2026-0000095280_02.00-bg-01.00_text-xml</vt:lpwstr>
  </property>
</Properties>
</file>