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Tonino Picula</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Bericht 2025 der Kommission über Serbien</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fordert die staatlichen Stellen Serbiens nachdrücklich auf, das Programmangebot der öffentlich-rechtlichen Rundfunkanstalten auf alle Minderheitensprachen im ganzen Land auszuweiten, allen Gemeinschaften einen gleichberechtigten Zugang zu diesem Angebot zu ermöglichen und sich dabei an der bewährten Praxis der Provinz Wojwodina zu orientieren;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fordert die staatlichen Stellen Serbiens im Rahmen des EU-Beitrittsprozesses des Landes auf, der vollständigen, wirksamen und konsequenten Umsetzung des bestehenden Rechts- und Politikrahmens zum Schutz von Angehörigen nationaler Minderheiten Vorrang einzuräumen und dabei ihren Verpflichtungen aus dem Rahmenübereinkommen des Europarats zum Schutz nationaler Minderheiten nachzukommen sowie die einschlägigen europäischen Standards einzuhalten;</w:t>
            </w:r>
            <w:r>
              <w:t xml:space="preserve"> </w:t>
            </w:r>
            <w:r>
              <w:rPr>
                <w:b/>
                <w:i/>
              </w:rPr>
              <w:t>fordert die staatlichen Stellen nachdrücklich auf, dafür zu sorgen, dass konkrete und messbare Fortschritte in allen Schlüsselbereichen – darunter in den Bereichen Bildung, öffentliche Verwaltung, Zugang zu den Medien und Religionsfreiheit – erzielt werden, und zu diesem Zweck die Durchsetzungsmechanismen zu stärken, diskriminierende Praktiken zu unterbinden und klare Zeitpläne, regelmäßige Überwachung sowie eine transparente Berichterstattung einzuführen, damit Minderheitenrechte in der Praxis wirksam gewahrt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bekräftigt seine Besorgnis darüber, dass Tausende von Albanern im Süden Serbiens infolge der restriktiven und willkürlichen Anwendung des Gesetzes über den ständigen und vorübergehenden Aufenthalt aus den Melderegistern gestrichen wurden;</w:t>
            </w:r>
            <w:r>
              <w:t xml:space="preserve"> </w:t>
            </w:r>
            <w:r>
              <w:rPr>
                <w:b/>
                <w:i/>
              </w:rPr>
              <w:t>fordert die Stelle für interne Kontrolle des Innenministeriums und die Staatsanwaltschaft auf, die Vorgehensweise der Polizeidienststellen in Bujanovac, Preševo und Medveđa zu untersuchen;</w:t>
            </w:r>
            <w:r>
              <w:t xml:space="preserve"> </w:t>
            </w:r>
            <w:r>
              <w:rPr>
                <w:b/>
                <w:i/>
              </w:rPr>
              <w:t>fordert das Innenministerium nachdrücklich auf, so bald wie möglich umfassende Statistiken darüber zu veröffentlichen, wie viele Bürger in den Jahren 2011 bis 2024 in Medveđa, Bujanovac und Preševo aus den Melderegistern gestrichen wurden, aufgeschlüsselt nach Nationalität/ethnischer Zugehörigkeit;</w:t>
            </w:r>
            <w:r>
              <w:t xml:space="preserve"> </w:t>
            </w:r>
            <w:r>
              <w:rPr>
                <w:b/>
                <w:i/>
              </w:rPr>
              <w:t>betont, dass das Ministerium für öffentliche Verwaltung und Kommunalverwaltung damit aufhören muss, Bürger mit „passiviertem“, d. h. von Amts wegen ausgesetztem Wohnsitzstatus aus dem einheitlichen Wählerverzeichnis zu streichen;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verurteilt aufs Schärfste, dass die Polizei kürzlich in die Räumlichkeiten der Universität eingedrungen ist, um dort unter anderem Durchsuchungen durchzuführen, interne Unterlagen zu beschlagnahmen und Ermittlungen gegen den Rektor der Universität von Belgrad, Vladan Đokić, einzuleiten, und dass dies live in regierungsnahen Fernsehsendern übertragen wurde, und ist der Ansicht, dass dies ein Maß an politischer Instrumentalisierung darstellt, das mit den Grundsätzen der institutionellen Autonomie, eines ordnungsgemäßen Verfahrens und der Rechtsstaatlichkeit unvereinbar ist;</w:t>
            </w:r>
            <w:r>
              <w:t xml:space="preserve"> </w:t>
            </w:r>
            <w:r>
              <w:rPr>
                <w:b/>
                <w:i/>
              </w:rPr>
              <w:t>fordert die einschlägigen staatlichen Stellen auf, nach dem tragischen Tod eines Studenten der Fakultät für Philosophie eine gezielte, transparente und rechtlich fundierte Ermittlung durchzuführen;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betont, dass gutnachbarschaftliche Beziehungen und regionale Zusammenarbeit wesentliche Bestandteile des Erweiterungsprozesses sind;</w:t>
            </w:r>
            <w:r>
              <w:t xml:space="preserve"> </w:t>
            </w:r>
            <w:r>
              <w:rPr>
                <w:b/>
                <w:i/>
              </w:rPr>
              <w:t>fordert Serbien auf, die Einreisebeschränkungen für Aktivisten und Künstler der regionalen Zivilgesellschaft aufzuheben, da durch solche Praktiken der regionale Dialog und die regionale Zusammenarbeit erschwert werden;</w:t>
            </w:r>
            <w:r>
              <w:t xml:space="preserve"> </w:t>
            </w:r>
            <w:r>
              <w:rPr>
                <w:b/>
                <w:i/>
              </w:rPr>
              <w:t>hebt hervor, dass Serbien gutnachbarschaftliche Beziehungen knüpfen, bilaterale Abkommen umsetzen und noch offene bilaterale Fragen mit seinen Nachbarn lösen muss;</w:t>
            </w:r>
            <w:r>
              <w:t xml:space="preserve"> </w:t>
            </w:r>
            <w:r>
              <w:rPr>
                <w:b/>
                <w:i/>
              </w:rPr>
              <w:t>nimmt zur Kenntnis, dass Serbien an regionalen Initiativen teilnimmt und aktiv am Wachstumsplan für den Westbalkan sowie am gemeinsamen regionalen Markt mitwirkt;</w:t>
            </w:r>
            <w:r>
              <w:t xml:space="preserve"> </w:t>
            </w:r>
            <w:r>
              <w:rPr>
                <w:b/>
                <w:i/>
              </w:rPr>
              <w:t>betont, dass die Achtung der Rechte der nationalen Minderheiten eine wesentliche Voraussetzung für das Vorankommen Serbiens auf dem Weg in die EU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bekräftigt, dass Serbien es unterlassen muss, die Innenpolitik seiner Nachbarländer im Westbalkanraum zu beeinflussen, wie dies unter anderem durch die Teilnahme an den verfassungswidrigen Feierlichkeiten zum Tag der Republika Srpska in Bosnien und Herzegowina geschehen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18i.</w:t>
            </w:r>
            <w:r>
              <w:tab/>
            </w:r>
            <w:r>
              <w:rPr>
                <w:b/>
                <w:i/>
              </w:rPr>
              <w:t>bekräftigt, dass Serbien es unterlassen muss, die Innenpolitik seiner Nachbarländer im Westbalkanraum zu beeinflussen, wie dies unter anderem durch die Teilnahme an den verfassungswidrigen Feierlichkeiten zum Tag der Republika Srpska in Bosnien und Herzegowina sowie durch die Infragestellung der Gerichtsentscheidungen Bosnien und Herzegowinas geschehen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18j.</w:t>
            </w:r>
            <w:r>
              <w:tab/>
            </w:r>
            <w:r>
              <w:rPr>
                <w:b/>
                <w:i/>
              </w:rPr>
              <w:t>ist besorgt über die von staatlichen Stellen verbreitete Darstellung, wonach Nachbarländer eine unmittelbare militärische Bedrohung für Serbien darstellten;</w:t>
            </w:r>
            <w:r>
              <w:t xml:space="preserve"> </w:t>
            </w:r>
            <w:r>
              <w:rPr>
                <w:b/>
                <w:i/>
              </w:rPr>
              <w:t>betont, dass durch solche Äußerungen die Gefahr besteht, dass die Spannungen in der Region unnötig eskalieren und die gutnachbarschaftlichen Beziehungen Schaden nehmen;</w:t>
            </w:r>
            <w:r>
              <w:t xml:space="preserve"> </w:t>
            </w:r>
            <w:r>
              <w:rPr>
                <w:b/>
                <w:i/>
              </w:rPr>
              <w:t>fordert die staatlichen Stellen Serbiens auf, von destabilisierenden Äußerungen abzusehen und sich im Einklang mit den Werten und Verpflichtungen der EU konstruktiv am regionalen Sicherheitsdialog und an der regionalen Zusammenarbeit zu beteiligen;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erwartet, dass das Kosovo und Serbien uneingeschränkt kooperieren und sämtliche erforderlichen Maßnahmen ergreifen, damit die Täter des</w:t>
            </w:r>
            <w:r>
              <w:t xml:space="preserve"> im Jahr 2023 </w:t>
            </w:r>
            <w:r>
              <w:rPr>
                <w:b/>
                <w:i/>
              </w:rPr>
              <w:t>in Banjska verübten Terroranschlags festgenommen und rasch vor Gericht gebracht werden;</w:t>
            </w:r>
            <w:r>
              <w:t xml:space="preserve"> </w:t>
            </w:r>
            <w:r>
              <w:rPr>
                <w:b/>
                <w:i/>
              </w:rPr>
              <w:t>bedauert, dass Serbien noch immer keine strafrechtlichen Schritte gegen die Verantwortlichen eingeleitet hat, insbesondere gegen den Vizepräsidenten der Srpska Lista, Milan Radoičić</w:t>
            </w:r>
            <w:r>
              <w:t>;</w:t>
            </w:r>
          </w:p>
        </w:tc>
        <w:tc>
          <w:tcPr>
            <w:tcW w:w="4876" w:type="dxa"/>
            <w:tcBorders>
              <w:top w:val="nil"/>
              <w:left w:val="nil"/>
              <w:bottom w:val="nil"/>
              <w:right w:val="nil"/>
            </w:tcBorders>
          </w:tcPr>
          <w:p>
            <w:pPr>
              <w:pStyle w:val="Normal6a"/>
            </w:pPr>
            <w:r>
              <w:t>19.</w:t>
            </w:r>
            <w:r>
              <w:tab/>
            </w:r>
            <w:r>
              <w:rPr>
                <w:b/>
                <w:i/>
              </w:rPr>
              <w:t>fordert alle Parteien auf, im Rahmen rechtmäßiger gerichtlicher Verfahren zusammenzuarbeiten, um den Vorfall von Banjska</w:t>
            </w:r>
            <w:r>
              <w:t xml:space="preserve"> im Jahr 2023 </w:t>
            </w:r>
            <w:r>
              <w:rPr>
                <w:b/>
                <w:i/>
              </w:rPr>
              <w:t>vollständig aufzuklären;</w:t>
            </w:r>
            <w:r>
              <w:t xml:space="preserve"> </w:t>
            </w:r>
            <w:r>
              <w:rPr>
                <w:b/>
                <w:i/>
              </w:rPr>
              <w:t>weist darauf hin, dass bei Strafverfahren der Grundsatz eines ordnungsgemäßen Verfahrens und die Unschuldsvermutung gewahrt werden müssen;</w:t>
            </w:r>
            <w:r>
              <w:t xml:space="preserve"> </w:t>
            </w:r>
            <w:r>
              <w:rPr>
                <w:b/>
                <w:i/>
              </w:rPr>
              <w:t>betont, dass die Gerichtsverfahren in die ausschließliche Zuständigkeit der staatlichen Stellen Serbiens fallen und frei von politischem Druck von außen sein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erwartet, dass </w:t>
            </w:r>
            <w:r>
              <w:rPr>
                <w:b/>
                <w:i/>
              </w:rPr>
              <w:t>das Kosovo und</w:t>
            </w:r>
            <w:r>
              <w:t xml:space="preserve"> Serbien </w:t>
            </w:r>
            <w:r>
              <w:rPr>
                <w:b/>
                <w:i/>
              </w:rPr>
              <w:t>uneingeschränkt kooperieren und</w:t>
            </w:r>
            <w:r>
              <w:t xml:space="preserve"> sämtliche erforderlichen Maßnahmen </w:t>
            </w:r>
            <w:r>
              <w:rPr>
                <w:b/>
                <w:i/>
              </w:rPr>
              <w:t>ergreifen</w:t>
            </w:r>
            <w:r>
              <w:t xml:space="preserve">, damit die Täter des im Jahr 2023 in Banjska verübten Terroranschlags </w:t>
            </w:r>
            <w:r>
              <w:rPr>
                <w:b/>
                <w:i/>
              </w:rPr>
              <w:t>festgenommen und</w:t>
            </w:r>
            <w:r>
              <w:t xml:space="preserve"> rasch vor Gericht </w:t>
            </w:r>
            <w:r>
              <w:rPr>
                <w:b/>
                <w:i/>
              </w:rPr>
              <w:t>gebracht</w:t>
            </w:r>
            <w:r>
              <w:t xml:space="preserve"> werden</w:t>
            </w:r>
            <w:r>
              <w:rPr>
                <w:b/>
                <w:i/>
              </w:rPr>
              <w:t>;</w:t>
            </w:r>
            <w:r>
              <w:t xml:space="preserve"> </w:t>
            </w:r>
            <w:r>
              <w:rPr>
                <w:b/>
                <w:i/>
              </w:rPr>
              <w:t>bedauert</w:t>
            </w:r>
            <w:r>
              <w: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19.</w:t>
            </w:r>
            <w:r>
              <w:tab/>
            </w:r>
            <w:r>
              <w:t xml:space="preserve">erwartet, dass Serbien sämtliche erforderlichen Maßnahmen </w:t>
            </w:r>
            <w:r>
              <w:rPr>
                <w:b/>
                <w:i/>
              </w:rPr>
              <w:t>ergreift und uneingeschränkt mit dem Kosovo zusammenarbeitet</w:t>
            </w:r>
            <w:r>
              <w:t xml:space="preserve">, damit die Täter des im Jahr 2023 in Banjska verübten Terroranschlags </w:t>
            </w:r>
            <w:r>
              <w:rPr>
                <w:b/>
                <w:i/>
              </w:rPr>
              <w:t>endlich</w:t>
            </w:r>
            <w:r>
              <w:t xml:space="preserve"> rasch vor Gericht </w:t>
            </w:r>
            <w:r>
              <w:rPr>
                <w:b/>
                <w:i/>
              </w:rPr>
              <w:t>gestellt</w:t>
            </w:r>
            <w:r>
              <w:t xml:space="preserve"> werden </w:t>
            </w:r>
            <w:r>
              <w:rPr>
                <w:b/>
                <w:i/>
              </w:rPr>
              <w:t>können;</w:t>
            </w:r>
            <w:r>
              <w:t xml:space="preserve"> </w:t>
            </w:r>
            <w:r>
              <w:rPr>
                <w:b/>
                <w:i/>
              </w:rPr>
              <w:t>missbilligt</w:t>
            </w:r>
            <w:r>
              <w:t xml:space="preserve">, dass Serbien noch immer keine strafrechtlichen Schritte gegen die Verantwortlichen eingeleitet hat, insbesondere gegen den </w:t>
            </w:r>
            <w:r>
              <w:rPr>
                <w:b/>
                <w:i/>
              </w:rPr>
              <w:t>ehemaligen</w:t>
            </w:r>
            <w:r>
              <w:t xml:space="preserve"> Vizepräsidenten der Srpska Lista,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erwartet, dass das Kosovo und Serbien uneingeschränkt kooperieren und sämtliche erforderlichen Maßnahmen ergreifen, damit die Täter des im Jahr 2023 in Banjska verübten Terroranschlags festgenommen und rasch vor Gericht gebracht werden; bedauert,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19.</w:t>
            </w:r>
            <w:r>
              <w:tab/>
            </w:r>
            <w:r>
              <w:t>erwartet, dass das Kosovo</w:t>
            </w:r>
            <w:r>
              <w:rPr>
                <w:b/>
                <w:i/>
              </w:rPr>
              <w:t>*</w:t>
            </w:r>
            <w:r>
              <w:rPr>
                <w:b/>
                <w:i/>
                <w:vertAlign w:val="superscript"/>
              </w:rPr>
              <w:t>1a</w:t>
            </w:r>
            <w:r>
              <w:t xml:space="preserve"> und Serbien uneingeschränkt kooperieren und sämtliche erforderlichen Maßnahmen ergreifen, damit die Täter des im Jahr 2023 in Banjska verübten Terroranschlags festgenommen und rasch vor Gericht gebracht werden; bedauert, dass Serbien noch immer keine strafrechtlichen Schritte gegen die Verantwortlichen eingeleitet hat, insbesondere gegen den Vizepräsidenten der Srpska Lista, Milan Radoičić;</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Diese Bezeichnung berührt nicht die Standpunkte zum Status und steht im Einklang mit der Resolution 1244/99 des VN-Sicherheitsrates und dem Gutachten des Internationalen Gerichtshofs zur Unabhängigkeitserklärung des Kosovos.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erwartet, dass das Kosovo und Serbien uneingeschränkt kooperieren und sämtliche erforderlichen Maßnahmen ergreifen, damit die Täter des im Jahr 2023 in Banjska verübten Terroranschlags festgenommen und rasch vor Gericht gebracht werden; </w:t>
            </w:r>
            <w:r>
              <w:rPr>
                <w:b/>
                <w:i/>
              </w:rPr>
              <w:t>bedauert</w:t>
            </w:r>
            <w:r>
              <w: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19.</w:t>
            </w:r>
            <w:r>
              <w:tab/>
            </w:r>
            <w:r>
              <w:t xml:space="preserve">erwartet, dass das Kosovo und Serbien uneingeschränkt kooperieren und sämtliche erforderlichen Maßnahmen ergreifen, damit die Täter des im Jahr 2023 in Banjska verübten Terroranschlags festgenommen und rasch vor Gericht gebracht werden; </w:t>
            </w:r>
            <w:r>
              <w:rPr>
                <w:b/>
                <w:i/>
              </w:rPr>
              <w:t>missbilligt</w:t>
            </w:r>
            <w:r>
              <w:t xml:space="preserve">, dass Serbien noch immer keine strafrechtlichen Schritte gegen die Verantwortlichen eingeleitet hat, insbesondere gegen den </w:t>
            </w:r>
            <w:r>
              <w:rPr>
                <w:b/>
                <w:i/>
              </w:rPr>
              <w:t>ehemaligen</w:t>
            </w:r>
            <w:r>
              <w:t xml:space="preserve"> Vizepräsidenten der Srpska Lista,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erwartet, dass das Kosovo und Serbien uneingeschränkt kooperieren und sämtliche erforderlichen Maßnahmen ergreifen, damit die Täter des im Jahr 2023 in Banjska verübten Terroranschlags festgenommen und rasch vor Gericht gebracht werden; bedauert, dass Serbien noch immer keine strafrechtlichen Schritte gegen die Verantwortlichen eingeleitet hat, insbesondere gegen </w:t>
            </w:r>
            <w:r>
              <w:rPr>
                <w:b/>
                <w:i/>
              </w:rPr>
              <w:t>den Vizepräsidenten der Srpska Lista,</w:t>
            </w:r>
            <w:r>
              <w:t xml:space="preserve"> Milan Radoičić;</w:t>
            </w:r>
          </w:p>
        </w:tc>
        <w:tc>
          <w:tcPr>
            <w:tcW w:w="4876" w:type="dxa"/>
            <w:tcBorders>
              <w:top w:val="nil"/>
              <w:left w:val="nil"/>
              <w:bottom w:val="nil"/>
              <w:right w:val="nil"/>
            </w:tcBorders>
          </w:tcPr>
          <w:p>
            <w:pPr>
              <w:pStyle w:val="Normal6a"/>
            </w:pPr>
            <w:r>
              <w:t>19.</w:t>
            </w:r>
            <w:r>
              <w:tab/>
            </w:r>
            <w:r>
              <w:t>erwartet, dass das Kosovo und Serbien uneingeschränkt kooperieren und sämtliche erforderlichen Maßnahmen ergreifen, damit die Täter des im Jahr 2023 in Banjska verübten Terroranschlags festgenommen und rasch vor Gericht gebracht werden; bedauert, dass Serbien noch immer keine strafrechtlichen Schritte gegen die Verantwortlichen eingeleitet hat, insbesondere gegen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erwartet, dass das Kosovo und Serbien uneingeschränkt kooperieren und sämtliche erforderlichen Maßnahmen ergreifen, damit die </w:t>
            </w:r>
            <w:r>
              <w:rPr>
                <w:b/>
                <w:i/>
              </w:rPr>
              <w:t>Täter des im Jahr</w:t>
            </w:r>
            <w:r>
              <w:t xml:space="preserve"> 2023 in Banjska </w:t>
            </w:r>
            <w:r>
              <w:rPr>
                <w:b/>
                <w:i/>
              </w:rPr>
              <w:t>verübten Terroranschlags</w:t>
            </w:r>
            <w:r>
              <w:t xml:space="preserve"> festgenommen und rasch vor Gericht gebracht werden; </w:t>
            </w:r>
            <w:r>
              <w:rPr>
                <w:b/>
                <w:i/>
              </w:rPr>
              <w:t>bedauert</w:t>
            </w:r>
            <w:r>
              <w: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19.</w:t>
            </w:r>
            <w:r>
              <w:tab/>
            </w:r>
            <w:r>
              <w:t xml:space="preserve">erwartet, dass das Kosovo und Serbien uneingeschränkt kooperieren und sämtliche erforderlichen Maßnahmen ergreifen, damit die </w:t>
            </w:r>
            <w:r>
              <w:rPr>
                <w:b/>
                <w:i/>
              </w:rPr>
              <w:t>Verantwortlichen für den Vorfall von</w:t>
            </w:r>
            <w:r>
              <w:t xml:space="preserve"> 2023 in Banjska festgenommen und rasch vor Gericht gebracht werden; </w:t>
            </w:r>
            <w:r>
              <w:rPr>
                <w:b/>
                <w:i/>
              </w:rPr>
              <w:t>missbilligt</w:t>
            </w:r>
            <w:r>
              <w:t xml:space="preserve">, dass Serbien noch immer keine strafrechtlichen Schritte gegen die Verantwortlichen eingeleitet hat, insbesondere gegen den </w:t>
            </w:r>
            <w:r>
              <w:rPr>
                <w:b/>
                <w:i/>
              </w:rPr>
              <w:t>ehemaligen</w:t>
            </w:r>
            <w:r>
              <w:t xml:space="preserve"> Vizepräsidenten der Srpska Lista,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erwartet, dass das Kosovo und Serbien uneingeschränkt kooperieren und sämtliche erforderlichen Maßnahmen ergreifen, damit die Täter des im Jahr 2023 in Banjska verübten Terroranschlags festgenommen und rasch vor Gericht gebracht werden; </w:t>
            </w:r>
            <w:r>
              <w:rPr>
                <w:b/>
                <w:i/>
              </w:rPr>
              <w:t>bedauert</w:t>
            </w:r>
            <w:r>
              <w:t>, dass Serbien noch immer keine strafrechtlichen Schritte gegen die Verantwortlichen eingeleitet hat, insbesondere gegen den Vizepräsidenten der Srpska Lista, Milan Radoičić;</w:t>
            </w:r>
          </w:p>
        </w:tc>
        <w:tc>
          <w:tcPr>
            <w:tcW w:w="4876" w:type="dxa"/>
            <w:tcBorders>
              <w:top w:val="nil"/>
              <w:left w:val="nil"/>
              <w:bottom w:val="nil"/>
              <w:right w:val="nil"/>
            </w:tcBorders>
          </w:tcPr>
          <w:p>
            <w:pPr>
              <w:pStyle w:val="Normal6a"/>
            </w:pPr>
            <w:r>
              <w:t>19.</w:t>
            </w:r>
            <w:r>
              <w:tab/>
            </w:r>
            <w:r>
              <w:t xml:space="preserve">erwartet, dass das Kosovo und Serbien uneingeschränkt kooperieren und sämtliche erforderlichen Maßnahmen ergreifen, damit die Täter des im Jahr 2023 in Banjska verübten Terroranschlags festgenommen und rasch vor Gericht gebracht werden; </w:t>
            </w:r>
            <w:r>
              <w:rPr>
                <w:b/>
                <w:i/>
              </w:rPr>
              <w:t>verurteilt</w:t>
            </w:r>
            <w:r>
              <w:t>, dass Serbien noch immer keine strafrechtlichen Schritte gegen die Verantwortlichen eingeleitet hat, insbesondere gegen den Vizepräsidenten der Srpska Lista, Milan Radoičić;</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weist erneut darauf hin, dass die regionale Zusammenarbeit und gutnachbarschaftliche Beziehungen nach wie vor wesentliche Bestandteile des Erweiterungsprozesses sind;</w:t>
            </w:r>
            <w:r>
              <w:t xml:space="preserve"> </w:t>
            </w:r>
            <w:r>
              <w:rPr>
                <w:b/>
                <w:i/>
              </w:rPr>
              <w:t>fordert Serbien auf, sich weiterhin an verschiedenen Initiativen zur regionalen Zusammenarbeit zu beteiligen, die zudem ein Forum für den Dialog bieten und die gutnachbarschaftlichen Beziehungen in der Region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betont, dass das Kosovo ein wesentlicher Bestandteil Serbiens ist und dass die territoriale Unversehrtheit Serbiens schwerwiegend verletzt wird, wenn seine Unabhängigkeit anerkannt wird;</w:t>
            </w:r>
            <w:r>
              <w:t xml:space="preserve"> </w:t>
            </w:r>
            <w:r>
              <w:rPr>
                <w:b/>
                <w:i/>
              </w:rPr>
              <w:t>betont, dass diese Anerkennung zudem einen gefährlichen Präzedenzfall geschaffen hat, den Russland ausgenutzt hat, um seine illegalen Annektierungen zu rechtfertigen;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stellt fest, dass Serbien eine wichtige Funktion in der Westbalkanregion zukommt, verurteilt jedoch aufs Schärfste jegliche Handlungen oder Versuche, die darauf abzielen, einen Einflussbereich zu etablieren, durch den die Souveränität und territoriale Unversehrtheit der Nachbarländer gefährdet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weist erneut darauf hin, dass es für die Aussichten Serbiens auf einen Beitritt zur EU nach wie vor unerlässlich ist, die Beziehungen zum Kosovo zu normalisieren und die im Rahmen des Dialogs zwischen Belgrad und Prishtina/Priština eingegangenen Verpflichtungen umzusetzen;</w:t>
            </w:r>
          </w:p>
        </w:tc>
        <w:tc>
          <w:tcPr>
            <w:tcW w:w="4876" w:type="dxa"/>
            <w:tcBorders>
              <w:top w:val="nil"/>
              <w:left w:val="nil"/>
              <w:bottom w:val="nil"/>
              <w:right w:val="nil"/>
            </w:tcBorders>
          </w:tcPr>
          <w:p>
            <w:pPr>
              <w:pStyle w:val="Normal6a"/>
            </w:pPr>
            <w:r>
              <w:t>20.</w:t>
            </w:r>
            <w:r>
              <w:tab/>
            </w:r>
            <w:r>
              <w:t xml:space="preserve">weist erneut darauf hin, dass es für die Aussichten Serbiens auf einen Beitritt zur EU nach wie vor unerlässlich ist, die Beziehungen zum Kosovo zu normalisieren und die im Rahmen des Dialogs zwischen Belgrad und Prishtina/Priština eingegangenen Verpflichtungen umzusetzen; </w:t>
            </w:r>
            <w:r>
              <w:rPr>
                <w:b/>
                <w:i/>
              </w:rPr>
              <w:t>begrüßt, dass sich Serbien konstruktiv am Dialog beteiligt und alle wesentlichen Verpflichtungen aus der Vereinbarung von Brüssel von 2013 erfüllt; bedauert, dass die staatlichen Stellen in Prishtina/Priština selbst nach 13 Jahren noch nicht einmal damit begonnen haben, ihrer einzigen Verpflichtung aus dieser Vereinbarung nachzukommen und eine Vereinigung/Gemeinschaft der Gemeinden mit serbischer Mehrheit zu bilden, die für das Überleben der Serben in der Autonomen Provinz Kosovo und Metochien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weist erneut darauf hin, dass es für die Aussichten Serbiens auf einen Beitritt zur EU nach wie vor unerlässlich ist, die Beziehungen zum Kosovo zu normalisieren und die im Rahmen des Dialogs zwischen Belgrad und Prishtina/Priština eingegangenen Verpflichtungen umzusetzen;</w:t>
            </w:r>
          </w:p>
        </w:tc>
        <w:tc>
          <w:tcPr>
            <w:tcW w:w="4876" w:type="dxa"/>
            <w:tcBorders>
              <w:top w:val="nil"/>
              <w:left w:val="nil"/>
              <w:bottom w:val="nil"/>
              <w:right w:val="nil"/>
            </w:tcBorders>
          </w:tcPr>
          <w:p>
            <w:pPr>
              <w:pStyle w:val="Normal6a"/>
            </w:pPr>
            <w:r>
              <w:t>20.</w:t>
            </w:r>
            <w:r>
              <w:tab/>
            </w:r>
            <w:r>
              <w:t>weist erneut darauf hin, dass es für die Aussichten Serbiens auf einen Beitritt zur EU nach wie vor unerlässlich ist, die Beziehungen zum Kosovo</w:t>
            </w:r>
            <w:r>
              <w:rPr>
                <w:b/>
                <w:i/>
              </w:rPr>
              <w:t>*</w:t>
            </w:r>
            <w:r>
              <w:t xml:space="preserve"> zu normalisieren und die im Rahmen des Dialogs zwischen Belgrad und Prishtina/Priština eingegangenen Verpflichtungen umzusetzen; </w:t>
            </w:r>
            <w:r>
              <w:rPr>
                <w:b/>
                <w:i/>
              </w:rPr>
              <w:t>begrüßt, dass sich Serbien konstruktiv am Dialog beteiligt und die Verpflichtungen aus der Vereinbarung von Brüssel von 2013 erfüllt;</w:t>
            </w:r>
            <w:r>
              <w:t xml:space="preserve"> </w:t>
            </w:r>
            <w:r>
              <w:rPr>
                <w:b/>
                <w:i/>
              </w:rPr>
              <w:t>bedauert, dass die staatlichen Stellen in Prishtina/Priština selbst nach 13 Jahren noch nicht einmal damit begonnen haben, ihrer einzigen Verpflichtung aus dieser Vereinbarung nachzukommen und eine Vereinigung/Gemeinschaft der Gemeinden mit serbischer Mehrheit zu bilden, die für das Überleben der Serben in der Autonomen Provinz Kosovo und Metochien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weist erneut darauf hin, dass es für die Aussichten Serbiens auf einen Beitritt zur EU nach wie vor unerlässlich ist, die Beziehungen zum Kosovo zu normalisieren und die im Rahmen des Dialogs zwischen Belgrad und Prishtina/Priština eingegangenen Verpflichtungen umzusetzen;</w:t>
            </w:r>
          </w:p>
        </w:tc>
        <w:tc>
          <w:tcPr>
            <w:tcW w:w="4876" w:type="dxa"/>
            <w:tcBorders>
              <w:top w:val="nil"/>
              <w:left w:val="nil"/>
              <w:bottom w:val="nil"/>
              <w:right w:val="nil"/>
            </w:tcBorders>
          </w:tcPr>
          <w:p>
            <w:pPr>
              <w:pStyle w:val="Normal6a"/>
            </w:pPr>
            <w:r>
              <w:t>20.</w:t>
            </w:r>
            <w:r>
              <w:tab/>
            </w:r>
            <w:r>
              <w:t xml:space="preserve">weist erneut darauf hin, dass es für die Aussichten Serbiens auf einen Beitritt zur EU nach wie vor unerlässlich ist, die Beziehungen zum Kosovo zu normalisieren und die im Rahmen des Dialogs zwischen Belgrad und Prishtina/Priština eingegangenen Verpflichtungen umzusetzen; </w:t>
            </w:r>
            <w:r>
              <w:rPr>
                <w:b/>
                <w:i/>
              </w:rPr>
              <w:t>weist darauf hin, dass gutnachbarliche Beziehungen fester Bestandteil der Pflichten im Zusammenhang mit der Annäherung Serbiens an die EU sind, und erwartet daher, dass Serbien konkrete Schritte zur Normalisierung der Beziehungen zum Kosovo unternimmt;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weist erneut darauf hin, dass es für die Aussichten Serbiens auf einen Beitritt zur EU nach wie vor unerlässlich ist, die Beziehungen zum Kosovo zu normalisieren und die im Rahmen des Dialogs zwischen Belgrad und Prishtina/Priština eingegangenen Verpflichtungen umzusetzen;</w:t>
            </w:r>
          </w:p>
        </w:tc>
        <w:tc>
          <w:tcPr>
            <w:tcW w:w="4876" w:type="dxa"/>
            <w:tcBorders>
              <w:top w:val="nil"/>
              <w:left w:val="nil"/>
              <w:bottom w:val="nil"/>
              <w:right w:val="nil"/>
            </w:tcBorders>
          </w:tcPr>
          <w:p>
            <w:pPr>
              <w:pStyle w:val="Normal6a"/>
            </w:pPr>
            <w:r>
              <w:t>20.</w:t>
            </w:r>
            <w:r>
              <w:tab/>
            </w:r>
            <w:r>
              <w:t xml:space="preserve">weist erneut darauf hin, dass es für die Aussichten Serbiens auf einen Beitritt zur EU nach wie vor unerlässlich ist, die Beziehungen zum Kosovo zu normalisieren und die im Rahmen des Dialogs zwischen Belgrad und Prishtina/Priština eingegangenen Verpflichtungen umzusetzen; </w:t>
            </w:r>
            <w:r>
              <w:rPr>
                <w:b/>
                <w:i/>
              </w:rPr>
              <w:t>begrüßt, dass sich Serbien konstruktiv am Dialog beteiligt und alle wesentlichen Verpflichtungen aus der Vereinbarung von Brüssel von 2013 erfüllt;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 xml:space="preserve">fordert die staatlichen Stellen Serbiens erneut auf, sich weiter darum zu bemühen, das Erbe der ehemaligen kommunistischen Geheimdienste abzustreifen, indem deren Akten der Öffentlichkeit zugänglich gemacht werden, was ein Schritt auf dem Weg zur Demokratisierung Serbiens und zur Aussöhnung mit seinen Nachbarländern wäre; </w:t>
            </w:r>
            <w:r>
              <w:t xml:space="preserve"> </w:t>
            </w:r>
            <w:r>
              <w:rPr>
                <w:b/>
                <w:i/>
              </w:rPr>
              <w:t>fordert Serbien auf, die Nachfolgeregelung und das Verfahren zur Erfüllung der Verpflichtungen im Zusammenhang mit der Aufteilung des gemeinschaftlichen Archivs des ehemaligen Jugoslawiens voranzutreiben;</w:t>
            </w:r>
            <w:r>
              <w:t xml:space="preserve"> </w:t>
            </w:r>
            <w:r>
              <w:rPr>
                <w:b/>
                <w:i/>
              </w:rPr>
              <w:t>weist in diesem Zusammenhang nochmals darauf hin, dass der uneingeschränkte Zugang zu allen Archivunterlagen, insbesondere zu denen des früheren jugoslawischen Geheimdienstes (UDBA) sowie des Sicherheitsdienstes der Jugoslawischen Volksarmee (KOS), von entscheidender Bedeutung ist;</w:t>
            </w:r>
            <w:r>
              <w:t xml:space="preserve"> </w:t>
            </w:r>
            <w:r>
              <w:rPr>
                <w:b/>
                <w:i/>
              </w:rPr>
              <w:t>fordert die Behörden erneut auf, den Zugang zu den Archiven, die die früheren Republiken Jugoslawiens betreffen, zu erleichtern und sie im Fall eines entsprechenden Gesuchs den jeweiligen Regierungen zurückzugeben;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begrüßt, dass sich Serbien konstruktiv am Dialog beteiligt und die wesentlichen Verpflichtungen aus der Vereinbarung von Brüssel von 2013 umsetzt;</w:t>
            </w:r>
            <w:r>
              <w:t xml:space="preserve"> </w:t>
            </w:r>
            <w:r>
              <w:rPr>
                <w:b/>
                <w:i/>
              </w:rPr>
              <w:t>bedauert, dass die staatlichen Stellen in Prishtina/Priština nach 13 Jahren noch nicht damit begonnen haben, eine Vereinigung/Gemeinschaft der Gemeinden mit serbischer Mehrheit zu bilden, die für den Schutz der serbischen Gemeinschaft im Kosovo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betont, dass gutnachbarschaftliche Beziehungen und regionale Zusammenarbeit wesentliche Bestandteile des Erweiterungsprozesses sind;</w:t>
            </w:r>
            <w:r>
              <w:t xml:space="preserve"> </w:t>
            </w:r>
            <w:r>
              <w:rPr>
                <w:b/>
                <w:i/>
              </w:rPr>
              <w:t>betont, dass es wichtig ist, dass Serbien insbesondere mittels Durchsetzungsabkommen mit den EU-Mitgliedstaaten gutnachbarschaftliche Beziehungen aufbaut;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bedauert, dass das Kosovo trotz mehrfacher Mahnungen der Kommission, mit der Gründung der Vereinigung/Gemeinschaft der Gemeinden mit serbischer Mehrheit fortzufahren, in dieser Hinsicht noch immer keine Fortschritte erzielt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missbilligt, dass das Konzept „Serbische Welt“ propagiert und politisch instrumentalisiert wird, was die Souveränität, territoriale Unversehrtheit und Stabilität der Nachbarländer gefährdet;</w:t>
            </w:r>
            <w:r>
              <w:t xml:space="preserve"> </w:t>
            </w:r>
            <w:r>
              <w:rPr>
                <w:b/>
                <w:i/>
              </w:rPr>
              <w:t>betont, dass solche Darstellungen den Grundsätzen der gutnachbarschaftlichen Beziehungen und der regionalen Zusammenarbeit zuwiderlaufen, die Kernelemente des EU-Beitrittsprozesses sind;</w:t>
            </w:r>
            <w:r>
              <w:t xml:space="preserve"> </w:t>
            </w:r>
            <w:r>
              <w:rPr>
                <w:b/>
                <w:i/>
              </w:rPr>
              <w:t>fordert die staatlichen Stellen Serbiens auf, von Äußerungen und Handlungen abzusehen, die Spannungen in der Region schüren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verurteilt aufs Schärfste, dass den Nachbarländern, insbesondere Bulgarien, Kroatien, dem Kosovo und Albanien, immer wieder Hetze, Feindseligkeiten und aufrührerische Äußerungen seitens öffentlicher Amtsträger und Medien entgegengebracht werden;</w:t>
            </w:r>
            <w:r>
              <w:t xml:space="preserve"> </w:t>
            </w:r>
            <w:r>
              <w:rPr>
                <w:b/>
                <w:i/>
              </w:rPr>
              <w:t>betont, dass ein solcher Diskurs mit den europäischen Werten unvereinbar ist und das Vertrauen, die Versöhnung und die regionale Stabilität beeinträchtigt;</w:t>
            </w:r>
            <w:r>
              <w:t xml:space="preserve"> </w:t>
            </w:r>
            <w:r>
              <w:rPr>
                <w:b/>
                <w:i/>
              </w:rPr>
              <w:t>fordert die staatlichen Stellen Serbiens auf, aktiv gegen Hetze vorzugehen, für Rechenschaftspflicht zu sorgen und ein Klima des Respekts und des konstruktiven Dialogs in der Region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erneut, die Qualität des Dialogprozesses zu verbessern und zu diesem Zweck Frauen einzubeziehen, die Transparenz gegenüber der Öffentlichkeit zu erhöhen und die Zivilgesellschaft sinnstiftend einzubinden;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bekräftigt, dass es wichtig ist, dass sich die staatlichen Stellen </w:t>
            </w:r>
            <w:r>
              <w:rPr>
                <w:b/>
                <w:i/>
              </w:rPr>
              <w:t>sowohl</w:t>
            </w:r>
            <w:r>
              <w:t xml:space="preserve"> des Kosovo </w:t>
            </w:r>
            <w:r>
              <w:rPr>
                <w:b/>
                <w:i/>
              </w:rPr>
              <w:t>als auch Serbiens</w:t>
            </w:r>
            <w:r>
              <w:t xml:space="preserve"> konstruktiv </w:t>
            </w:r>
            <w:r>
              <w:rPr>
                <w:b/>
                <w:i/>
              </w:rPr>
              <w:t>um ein umfassendes</w:t>
            </w:r>
            <w:r>
              <w:t xml:space="preserve"> und rechtlich </w:t>
            </w:r>
            <w:r>
              <w:rPr>
                <w:b/>
                <w:i/>
              </w:rPr>
              <w:t>bindendes Normalisierungsabkommen</w:t>
            </w:r>
            <w:r>
              <w:t xml:space="preserve"> bemühen, </w:t>
            </w:r>
            <w:r>
              <w:rPr>
                <w:b/>
                <w:i/>
              </w:rPr>
              <w:t>das auf dem Grundsatz der gegenseitigen Anerkennung beruht und</w:t>
            </w:r>
            <w:r>
              <w:t xml:space="preserve"> mit dem Völkerrecht im Einklang steht; fordert </w:t>
            </w:r>
            <w:r>
              <w:rPr>
                <w:b/>
                <w:i/>
              </w:rPr>
              <w:t>das Kosovo und Serbien</w:t>
            </w:r>
            <w:r>
              <w:t xml:space="preserve"> auf, das Brüsseler Abkommen und das Ohrid-Abkommen umzusetzen</w:t>
            </w:r>
            <w:r>
              <w:rPr>
                <w:b/>
                <w:i/>
              </w:rPr>
              <w:t>, d. h. die Vereinigung/Gemeinschaft der Gemeinden mit serbischer Mehrheit zu gründen</w:t>
            </w:r>
            <w:r>
              <w:t xml:space="preserve">, </w:t>
            </w:r>
            <w:r>
              <w:rPr>
                <w:b/>
                <w:i/>
              </w:rPr>
              <w:t>seitens Serbiens keine Einwände gegen die Mitgliedschaft</w:t>
            </w:r>
            <w:r>
              <w:t xml:space="preserve"> des Kosovo </w:t>
            </w:r>
            <w:r>
              <w:rPr>
                <w:b/>
                <w:i/>
              </w:rPr>
              <w:t>in</w:t>
            </w:r>
            <w:r>
              <w:t xml:space="preserve"> regionalen und internationalen Organisationen </w:t>
            </w:r>
            <w:r>
              <w:rPr>
                <w:b/>
                <w:i/>
              </w:rPr>
              <w:t>zu erheben und keine</w:t>
            </w:r>
            <w:r>
              <w:t xml:space="preserve"> einseitigen Maßnahmen </w:t>
            </w:r>
            <w:r>
              <w:rPr>
                <w:b/>
                <w:i/>
              </w:rPr>
              <w:t>zu ergreifen</w:t>
            </w:r>
            <w:r>
              <w:t xml:space="preserve">, durch die der Dialog </w:t>
            </w:r>
            <w:r>
              <w:rPr>
                <w:b/>
                <w:i/>
              </w:rPr>
              <w:t>gefährdet</w:t>
            </w:r>
            <w:r>
              <w:t xml:space="preserve"> werden </w:t>
            </w:r>
            <w:r>
              <w:rPr>
                <w:b/>
                <w:i/>
              </w:rPr>
              <w:t>könnte</w:t>
            </w:r>
            <w:r>
              <w:t>;</w:t>
            </w:r>
          </w:p>
        </w:tc>
        <w:tc>
          <w:tcPr>
            <w:tcW w:w="4876" w:type="dxa"/>
            <w:tcBorders>
              <w:top w:val="nil"/>
              <w:left w:val="nil"/>
              <w:bottom w:val="nil"/>
              <w:right w:val="nil"/>
            </w:tcBorders>
          </w:tcPr>
          <w:p>
            <w:pPr>
              <w:pStyle w:val="Normal6a"/>
            </w:pPr>
            <w:r>
              <w:t>22.</w:t>
            </w:r>
            <w:r>
              <w:tab/>
            </w:r>
            <w:r>
              <w:t xml:space="preserve">bekräftigt, dass es wichtig ist, dass sich die staatlichen Stellen </w:t>
            </w:r>
            <w:r>
              <w:rPr>
                <w:b/>
                <w:i/>
              </w:rPr>
              <w:t>Serbiens und</w:t>
            </w:r>
            <w:r>
              <w:t xml:space="preserve"> des Kosovo konstruktiv </w:t>
            </w:r>
            <w:r>
              <w:rPr>
                <w:b/>
                <w:i/>
              </w:rPr>
              <w:t>und stetig um eine umfassende</w:t>
            </w:r>
            <w:r>
              <w:t xml:space="preserve"> und rechtlich </w:t>
            </w:r>
            <w:r>
              <w:rPr>
                <w:b/>
                <w:i/>
              </w:rPr>
              <w:t>bindende Normalisierung</w:t>
            </w:r>
            <w:r>
              <w:t xml:space="preserve"> bemühen, </w:t>
            </w:r>
            <w:r>
              <w:rPr>
                <w:b/>
                <w:i/>
              </w:rPr>
              <w:t>die</w:t>
            </w:r>
            <w:r>
              <w:t xml:space="preserve"> mit dem Völkerrecht </w:t>
            </w:r>
            <w:r>
              <w:rPr>
                <w:b/>
                <w:i/>
              </w:rPr>
              <w:t>und den Zusagen im Rahmen des von der EU geförderten Dialogs</w:t>
            </w:r>
            <w:r>
              <w:t xml:space="preserve"> im Einklang steht; fordert </w:t>
            </w:r>
            <w:r>
              <w:rPr>
                <w:b/>
                <w:i/>
              </w:rPr>
              <w:t>beide Seiten</w:t>
            </w:r>
            <w:r>
              <w:t xml:space="preserve"> auf, das Brüsseler Abkommen und das Ohrid-Abkommen </w:t>
            </w:r>
            <w:r>
              <w:rPr>
                <w:b/>
                <w:i/>
              </w:rPr>
              <w:t>sowie die dazugehörige Anlage betreffend die Durchführung umfassend</w:t>
            </w:r>
            <w:r>
              <w:t xml:space="preserve"> umzusetzen</w:t>
            </w:r>
            <w:r>
              <w:rPr>
                <w:b/>
                <w:i/>
              </w:rPr>
              <w:t>;</w:t>
            </w:r>
            <w:r>
              <w:t xml:space="preserve"> </w:t>
            </w:r>
            <w:r>
              <w:rPr>
                <w:b/>
                <w:i/>
              </w:rPr>
              <w:t>fordert Serbien insbesondere auf, mit der Erfüllung seiner eingegangenen Verpflichtungen im Zusammenhang mit der Anerkennung von Dokumenten und Symbolen zu beginnen</w:t>
            </w:r>
            <w:r>
              <w:t xml:space="preserve">, </w:t>
            </w:r>
            <w:r>
              <w:rPr>
                <w:b/>
                <w:i/>
              </w:rPr>
              <w:t>die Beteiligung</w:t>
            </w:r>
            <w:r>
              <w:t xml:space="preserve"> des Kosovo </w:t>
            </w:r>
            <w:r>
              <w:rPr>
                <w:b/>
                <w:i/>
              </w:rPr>
              <w:t>an</w:t>
            </w:r>
            <w:r>
              <w:t xml:space="preserve"> regionalen und internationalen Organisationen </w:t>
            </w:r>
            <w:r>
              <w:rPr>
                <w:b/>
                <w:i/>
              </w:rPr>
              <w:t>nicht zu behindern und sämtliche</w:t>
            </w:r>
            <w:r>
              <w:t xml:space="preserve"> einseitigen Maßnahmen, durch die der Dialog </w:t>
            </w:r>
            <w:r>
              <w:rPr>
                <w:b/>
                <w:i/>
              </w:rPr>
              <w:t>untergraben wird, zu vermeiden;</w:t>
            </w:r>
            <w:r>
              <w:t xml:space="preserve"> </w:t>
            </w:r>
            <w:r>
              <w:rPr>
                <w:b/>
                <w:i/>
              </w:rPr>
              <w:t>betont, dass die Umsetzung der Rechtsvorschriften zum Schutz der Rechte von Personen, die Minderheiten angehören, gestärkt</w:t>
            </w:r>
            <w:r>
              <w:t xml:space="preserve"> werden </w:t>
            </w:r>
            <w:r>
              <w:rPr>
                <w:b/>
                <w:i/>
              </w:rPr>
              <w:t>muss, unter anderem durch die Sicherstellung eines wirksamen und ungehinderten Zugangs zu Bildung, medizinischer Versorgung und öffentlichen Dienstleistungen, durch die Achtung der Sprach- und Eigentumsrechte, durch eine angemessene Vertretung in der zentralen und lokalen Verwaltung sowie durch den Schutz des traditionellen, religiösen und kulturellen Erbes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bekräftigt, dass es wichtig ist, dass sich die staatlichen Stellen sowohl des Kosovo als auch Serbiens konstruktiv um ein umfassendes und rechtlich bindendes Normalisierungsabkommen bemühen, das </w:t>
            </w:r>
            <w:r>
              <w:rPr>
                <w:b/>
                <w:i/>
              </w:rPr>
              <w:t>auf dem Grundsatz der gegenseitigen Anerkennung beruht und</w:t>
            </w:r>
            <w:r>
              <w:t xml:space="preserve"> mit dem Völkerrecht im Einklang steht; fordert das Kosovo und Serbien auf, das Brüsseler Abkommen und das Ohrid-Abkommen umzusetzen, d. h. die Vereinigung/Gemeinschaft der Gemeinden mit serbischer Mehrheit zu gründen</w:t>
            </w:r>
            <w:r>
              <w:rPr>
                <w:b/>
                <w:i/>
              </w:rPr>
              <w:t>, seitens Serbiens keine Einwände gegen die Mitgliedschaft des Kosovo in regionalen und internationalen Organisationen zu erheben</w:t>
            </w:r>
            <w:r>
              <w:t xml:space="preserve"> und keine einseitigen Maßnahmen zu ergreifen, durch die der Dialog gefährdet werden könnte;</w:t>
            </w:r>
          </w:p>
        </w:tc>
        <w:tc>
          <w:tcPr>
            <w:tcW w:w="4876" w:type="dxa"/>
            <w:tcBorders>
              <w:top w:val="nil"/>
              <w:left w:val="nil"/>
              <w:bottom w:val="nil"/>
              <w:right w:val="nil"/>
            </w:tcBorders>
          </w:tcPr>
          <w:p>
            <w:pPr>
              <w:pStyle w:val="Normal6a"/>
            </w:pPr>
            <w:r>
              <w:t>22.</w:t>
            </w:r>
            <w:r>
              <w:tab/>
            </w:r>
            <w:r>
              <w:t>bekräftigt, dass es wichtig ist, dass sich die staatlichen Stellen sowohl des Kosovo als auch Serbiens konstruktiv um ein umfassendes und rechtlich bindendes Normalisierungsabkommen bemühen, das mit dem Völkerrecht im Einklang steht; fordert das Kosovo und Serbien auf, das Brüsseler Abkommen und das Ohrid-Abkommen umzusetzen, d. h. die Vereinigung/Gemeinschaft der Gemeinden mit serbischer Mehrheit zu gründen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bekräftigt, dass es</w:t>
            </w:r>
            <w:r>
              <w:t xml:space="preserve"> wichtig </w:t>
            </w:r>
            <w:r>
              <w:rPr>
                <w:b/>
                <w:i/>
              </w:rPr>
              <w:t>ist</w:t>
            </w:r>
            <w:r>
              <w:t xml:space="preserve">, dass sich die staatlichen Stellen </w:t>
            </w:r>
            <w:r>
              <w:rPr>
                <w:b/>
                <w:i/>
              </w:rPr>
              <w:t>sowohl des Kosovo als auch</w:t>
            </w:r>
            <w:r>
              <w:t xml:space="preserve"> Serbiens konstruktiv um ein umfassendes und rechtlich bindendes Normalisierungsabkommen bemühen, das </w:t>
            </w:r>
            <w:r>
              <w:rPr>
                <w:b/>
                <w:i/>
              </w:rPr>
              <w:t>auf dem Grundsatz der gegenseitigen Anerkennung beruht und mit dem Völkerrecht im Einklang steht</w:t>
            </w:r>
            <w:r>
              <w:t xml:space="preserve">; fordert das Kosovo und Serbien auf, das Brüsseler Abkommen und das Ohrid-Abkommen umzusetzen, d. h. die Vereinigung/Gemeinschaft der Gemeinden mit serbischer Mehrheit zu gründen, </w:t>
            </w:r>
            <w:r>
              <w:rPr>
                <w:b/>
                <w:i/>
              </w:rPr>
              <w:t>seitens Serbiens keine Einwände gegen die Mitgliedschaft des Kosovo in regionalen und internationalen Organisationen zu erheben</w:t>
            </w:r>
            <w:r>
              <w:t xml:space="preserve"> und keine einseitigen Maßnahmen zu ergreifen, durch die der Dialog gefährdet werden könnte;</w:t>
            </w:r>
          </w:p>
        </w:tc>
        <w:tc>
          <w:tcPr>
            <w:tcW w:w="4876" w:type="dxa"/>
            <w:tcBorders>
              <w:top w:val="nil"/>
              <w:left w:val="nil"/>
              <w:bottom w:val="nil"/>
              <w:right w:val="nil"/>
            </w:tcBorders>
          </w:tcPr>
          <w:p>
            <w:pPr>
              <w:pStyle w:val="Normal6a"/>
            </w:pPr>
            <w:r>
              <w:t>22.</w:t>
            </w:r>
            <w:r>
              <w:tab/>
            </w:r>
            <w:r>
              <w:rPr>
                <w:b/>
                <w:i/>
              </w:rPr>
              <w:t>erachtet es nach wie vor als</w:t>
            </w:r>
            <w:r>
              <w:t xml:space="preserve"> wichtig, dass sich </w:t>
            </w:r>
            <w:r>
              <w:rPr>
                <w:b/>
                <w:i/>
              </w:rPr>
              <w:t>die Behörden des Kosovo und</w:t>
            </w:r>
            <w:r>
              <w:t xml:space="preserve"> die staatlichen Stellen Serbiens konstruktiv um ein umfassendes und rechtlich bindendes Normalisierungsabkommen bemühen, das </w:t>
            </w:r>
            <w:r>
              <w:rPr>
                <w:b/>
                <w:i/>
              </w:rPr>
              <w:t>für beide Seiten akzeptabel ist</w:t>
            </w:r>
            <w:r>
              <w:t>; fordert das Kosovo und Serbien auf, das Brüsseler Abkommen und das Ohrid-Abkommen umzusetzen, d. h. die Vereinigung/Gemeinschaft der Gemeinden mit serbischer Mehrheit zu gründen, und keine einseitigen Maßnahmen zu ergreifen, durch die der Dialog gefährdet werden könnte;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bekräftigt, dass es wichtig ist, dass sich die staatlichen Stellen sowohl des Kosovo als auch Serbiens konstruktiv um ein umfassendes und rechtlich bindendes Normalisierungsabkommen bemühen, das </w:t>
            </w:r>
            <w:r>
              <w:rPr>
                <w:b/>
                <w:i/>
              </w:rPr>
              <w:t>auf dem Grundsatz der gegenseitigen Anerkennung beruht und</w:t>
            </w:r>
            <w:r>
              <w:t xml:space="preserve"> mit dem Völkerrecht im Einklang steht; fordert das Kosovo und Serbien auf, das Brüsseler Abkommen und das Ohrid-Abkommen umzusetzen, d. h. die Vereinigung/Gemeinschaft der Gemeinden mit serbischer Mehrheit zu gründen</w:t>
            </w:r>
            <w:r>
              <w:rPr>
                <w:b/>
                <w:i/>
              </w:rPr>
              <w:t>, seitens Serbiens keine Einwände gegen die Mitgliedschaft des Kosovo in regionalen und internationalen Organisationen zu erheben</w:t>
            </w:r>
            <w:r>
              <w:t xml:space="preserve"> und keine einseitigen Maßnahmen zu ergreifen, durch die der Dialog gefährdet werden könnte;</w:t>
            </w:r>
          </w:p>
        </w:tc>
        <w:tc>
          <w:tcPr>
            <w:tcW w:w="4876" w:type="dxa"/>
            <w:tcBorders>
              <w:top w:val="nil"/>
              <w:left w:val="nil"/>
              <w:bottom w:val="nil"/>
              <w:right w:val="nil"/>
            </w:tcBorders>
          </w:tcPr>
          <w:p>
            <w:pPr>
              <w:pStyle w:val="Normal6a"/>
            </w:pPr>
            <w:r>
              <w:t>22.</w:t>
            </w:r>
            <w:r>
              <w:tab/>
            </w:r>
            <w:r>
              <w:t>bekräftigt, dass es wichtig ist, dass sich die staatlichen Stellen sowohl des Kosovo</w:t>
            </w:r>
            <w:r>
              <w:rPr>
                <w:b/>
                <w:i/>
              </w:rPr>
              <w:t>*</w:t>
            </w:r>
            <w:r>
              <w:t xml:space="preserve"> als auch Serbiens konstruktiv um ein umfassendes und rechtlich bindendes Normalisierungsabkommen bemühen, das mit dem Völkerrecht im Einklang steht; fordert das Kosovo und Serbien auf, das Brüsseler Abkommen und das Ohrid-Abkommen umzusetzen, d. h. die Vereinigung/Gemeinschaft der Gemeinden mit serbischer Mehrheit zu gründen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bekräftigt, dass es wichtig ist, dass sich die staatlichen Stellen sowohl des Kosovo als auch Serbiens konstruktiv um ein umfassendes und rechtlich bindendes Normalisierungsabkommen bemühen, das </w:t>
            </w:r>
            <w:r>
              <w:rPr>
                <w:b/>
                <w:i/>
              </w:rPr>
              <w:t>auf dem Grundsatz der gegenseitigen Anerkennung beruht und</w:t>
            </w:r>
            <w:r>
              <w:t xml:space="preserve">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22.</w:t>
            </w:r>
            <w:r>
              <w:tab/>
            </w:r>
            <w:r>
              <w:t>bekräftigt, dass es wichtig ist, dass sich die staatlichen Stellen sowohl des Kosovo als auch Serbiens konstruktiv um ein umfassendes und rechtlich bindendes Normalisierungsabkommen bemühen, das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bekräftigt, dass es wichtig ist, dass sich die staatlichen Stellen sowohl des Kosovo als auch Serbiens konstruktiv um ein umfassendes und rechtlich bindendes Normalisierungsabkommen bemühen, das </w:t>
            </w:r>
            <w:r>
              <w:rPr>
                <w:b/>
                <w:i/>
              </w:rPr>
              <w:t>auf dem Grundsatz der gegenseitigen Anerkennung beruht und</w:t>
            </w:r>
            <w:r>
              <w:t xml:space="preserve">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22.</w:t>
            </w:r>
            <w:r>
              <w:tab/>
            </w:r>
            <w:r>
              <w:t>bekräftigt, dass es wichtig ist, dass sich die staatlichen Stellen sowohl des Kosovo als auch Serbiens konstruktiv um ein umfassendes und rechtlich bindendes Normalisierungsabkommen bemühen, das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bekräftigt, dass es wichtig ist, dass sich die staatlichen Stellen sowohl des Kosovo als auch Serbiens konstruktiv um ein umfassendes und rechtlich bindendes Normalisierungsabkommen bemühen, das </w:t>
            </w:r>
            <w:r>
              <w:rPr>
                <w:b/>
                <w:i/>
              </w:rPr>
              <w:t>auf dem Grundsatz der gegenseitigen Anerkennung beruht und</w:t>
            </w:r>
            <w:r>
              <w:t xml:space="preserve">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c>
          <w:tcPr>
            <w:tcW w:w="4876" w:type="dxa"/>
            <w:tcBorders>
              <w:top w:val="nil"/>
              <w:left w:val="nil"/>
              <w:bottom w:val="nil"/>
              <w:right w:val="nil"/>
            </w:tcBorders>
          </w:tcPr>
          <w:p>
            <w:pPr>
              <w:pStyle w:val="Normal6a"/>
            </w:pPr>
            <w:r>
              <w:t>22.</w:t>
            </w:r>
            <w:r>
              <w:tab/>
            </w:r>
            <w:r>
              <w:t>bekräftigt, dass es wichtig ist, dass sich die staatlichen Stellen sowohl des Kosovo als auch Serbiens konstruktiv um ein umfassendes und rechtlich bindendes Normalisierungsabkommen bemühen, das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die gerichtlichen Stellen Serbiens auf, bei Fällen betreffend Kriegsverbrechen die Standards für ein faires Gerichtsverfahren einzuhalten und dafür zu sorgen, dass den Kriegsopfern Gerechtigkeit widerfährt;</w:t>
            </w:r>
            <w:r>
              <w:t xml:space="preserve"> </w:t>
            </w:r>
            <w:r>
              <w:rPr>
                <w:b/>
                <w:i/>
              </w:rPr>
              <w:t>fordert, dass die Leugnung von Kriegsverbrechen und die Verherrlichung von Kriegsverbrechern in das Strafgesetzbuch aufgenommen werden, um jedwede Leugnung von Kriegsverbrechen, die durch die Urteile des Internationalen Strafgerichtshofs für das ehemalige Jugoslawien und des Internationalen Strafgerichtshofs als solche festgestellt wurden, strafrechtlich zu 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bedauert, dass Serbien weiterhin versucht, sein Nachbarland Kosovo international zu isolieren, und zu diesem Zweck gegen dessen Anerkennung vorgeht und das Land von der Aufnahme in internationale Organisationen ausschließt;</w:t>
            </w:r>
            <w:r>
              <w:t xml:space="preserve"> </w:t>
            </w:r>
            <w:r>
              <w:rPr>
                <w:b/>
                <w:i/>
              </w:rPr>
              <w:t>fordert Serbien auf, seine Blockade in Bezug auf den Antrag des Kosovo auf Mitgliedschaft im Europarat aufzuheben, da dies andernfalls gegen das Abkommen zwischen dem Kosovo und Serbien von 2013 über die Normalisierung der Beziehungen verstoßen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verurteilt, dass die politische Führung Serbiens wiederholt negative, aggressive und chauvinistische Äußerungen gegenüber Nachbarländern tätigt, was die Bemühungen um gutnachbarschaftliche Beziehungen behindert;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betont, dass die europäische Integration nicht mit dem Konzept „Serbischen Welt“ (Srpski svet) vereinbar ist, das darauf abzielt, den Frieden und die Stabilität in der Region auszuhöhlen;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verurteilt aufs Schärfste, dass Serbien kürzlich Luft-Boden-Raketen des Typs CM-400AKG aus China erworben hat, und sieht darin eine Handlung, die die regionale Stabilität erschüttert und Spannungen verschärft;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Serbien auf, aktiver gegen die Leugnung von Kriegsverbrechen und gegen Geschichtsrevisionismus vorzugehen, insbesondere wenn es um die Kriege in Kroatien, Bosnien und Herzegowina sowie im Kosovo geht;</w:t>
            </w:r>
          </w:p>
        </w:tc>
        <w:tc>
          <w:tcPr>
            <w:tcW w:w="4876" w:type="dxa"/>
            <w:tcBorders>
              <w:top w:val="nil"/>
              <w:left w:val="nil"/>
              <w:bottom w:val="nil"/>
              <w:right w:val="nil"/>
            </w:tcBorders>
          </w:tcPr>
          <w:p>
            <w:pPr>
              <w:pStyle w:val="Normal6a"/>
            </w:pPr>
            <w:r>
              <w:t>23.</w:t>
            </w:r>
            <w:r>
              <w:tab/>
            </w:r>
            <w:r>
              <w:t xml:space="preserve">fordert Serbien auf, aktiver gegen die Leugnung von Kriegsverbrechen und gegen Geschichtsrevisionismus vorzugehen, insbesondere wenn es um die Kriege in Kroatien, Bosnien und Herzegowina sowie im Kosovo geht; </w:t>
            </w:r>
            <w:r>
              <w:rPr>
                <w:b/>
                <w:i/>
              </w:rPr>
              <w:t>fordert die staatlichen Stellen Serbiens auf, dafür zu sorgen, dass den Opfern Gerechtigkeit widerfährt, indem sie Gerichtsurteile zu Kriegsverbrechen anerkennen und achten, gegen Straffreiheit bei Kriegsverbrechen vorgehen, die Fälle von vermissten Personen weiterverfolgen, Grabstätten untersuchen und die inländischen Staatsanwälte dabei unterstützen, die Täter vor Gericht zu bringen;</w:t>
            </w:r>
            <w:r>
              <w:t xml:space="preserve"> </w:t>
            </w:r>
            <w:r>
              <w:rPr>
                <w:b/>
                <w:i/>
              </w:rPr>
              <w:t>verurteilt aufs Schärfste die weit verbreitete öffentliche Ablehnung internationaler Urteile wegen Kriegsverbrechen, einschließlich der Leugnung des Völkermords von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Serbien auf, aktiver gegen die Leugnung von Kriegsverbrechen und gegen Geschichtsrevisionismus vorzugehen, insbesondere wenn es um die Kriege in Kroatien, Bosnien und Herzegowina sowie im Kosovo geht;</w:t>
            </w:r>
          </w:p>
        </w:tc>
        <w:tc>
          <w:tcPr>
            <w:tcW w:w="4876" w:type="dxa"/>
            <w:tcBorders>
              <w:top w:val="nil"/>
              <w:left w:val="nil"/>
              <w:bottom w:val="nil"/>
              <w:right w:val="nil"/>
            </w:tcBorders>
          </w:tcPr>
          <w:p>
            <w:pPr>
              <w:pStyle w:val="Normal6a"/>
            </w:pPr>
            <w:r>
              <w:t>23.</w:t>
            </w:r>
            <w:r>
              <w:tab/>
            </w:r>
            <w:r>
              <w:t xml:space="preserve">fordert Serbien auf, aktiver gegen die Leugnung von Kriegsverbrechen und gegen Geschichtsrevisionismus vorzugehen, insbesondere wenn es um die Kriege in Kroatien, Bosnien und Herzegowina sowie im Kosovo geht; </w:t>
            </w:r>
            <w:r>
              <w:rPr>
                <w:b/>
                <w:i/>
              </w:rPr>
              <w:t>fordert die politischen Entscheidungsträger und staatlichen Stellen in Serbien auf, von Verleumdungskampagnen gegen Nachbarländer und -völker, auch in Form von Hetze, Abstand zu nehmen und diese zu verurteilen, und betont, dass solche Handlungen die Aussöhnung in der Region erschweren;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Serbien auf, aktiver gegen die Leugnung von Kriegsverbrechen und gegen Geschichtsrevisionismus vorzugehen, insbesondere wenn es um die Kriege in Kroatien, Bosnien und Herzegowina sowie im Kosovo geht;</w:t>
            </w:r>
          </w:p>
        </w:tc>
        <w:tc>
          <w:tcPr>
            <w:tcW w:w="4876" w:type="dxa"/>
            <w:tcBorders>
              <w:top w:val="nil"/>
              <w:left w:val="nil"/>
              <w:bottom w:val="nil"/>
              <w:right w:val="nil"/>
            </w:tcBorders>
          </w:tcPr>
          <w:p>
            <w:pPr>
              <w:pStyle w:val="Normal6a"/>
            </w:pPr>
            <w:r>
              <w:t>23.</w:t>
            </w:r>
            <w:r>
              <w:tab/>
            </w:r>
            <w:r>
              <w:t xml:space="preserve">fordert Serbien auf, aktiver gegen die Leugnung von Kriegsverbrechen und gegen Geschichtsrevisionismus vorzugehen, insbesondere wenn es um die Kriege in Kroatien, Bosnien und Herzegowina sowie im Kosovo geht; </w:t>
            </w:r>
            <w:r>
              <w:rPr>
                <w:b/>
                <w:i/>
              </w:rPr>
              <w:t>fordert die staatlichen Stellen Serbiens auf, dafür zu sorgen, dass den Opfern Gerechtigkeit widerfährt, indem sie Gerichtsurteile zu Kriegsverbrechen anerkennen und achten, gegen Straffreiheit bei Kriegsverbrechen vorgehen und die inländischen Staatsanwälte dabei unterstützen, die Täter vor Gericht zu 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Serbien auf, </w:t>
            </w:r>
            <w:r>
              <w:rPr>
                <w:b/>
                <w:i/>
              </w:rPr>
              <w:t>aktiver gegen die Leugnung von Kriegsverbrechen und gegen Geschichtsrevisionismus vorzugehen, insbesondere wenn es um die Kriege in Kroatien, Bosnien und Herzegowina sowie im Kosovo geht</w:t>
            </w:r>
            <w:r>
              <w:t>;</w:t>
            </w:r>
          </w:p>
        </w:tc>
        <w:tc>
          <w:tcPr>
            <w:tcW w:w="4876" w:type="dxa"/>
            <w:tcBorders>
              <w:top w:val="nil"/>
              <w:left w:val="nil"/>
              <w:bottom w:val="nil"/>
              <w:right w:val="nil"/>
            </w:tcBorders>
          </w:tcPr>
          <w:p>
            <w:pPr>
              <w:pStyle w:val="Normal6a"/>
            </w:pPr>
            <w:r>
              <w:t>23.</w:t>
            </w:r>
            <w:r>
              <w:tab/>
            </w:r>
            <w:r>
              <w:t xml:space="preserve">fordert Serbien auf, </w:t>
            </w:r>
            <w:r>
              <w:rPr>
                <w:b/>
                <w:i/>
              </w:rPr>
              <w:t>sich weiterhin an regionalen Aussöhnungsprozessen zu beteiligen, die auf gegenseitigem Respekt und einer sachlichen historischen Auseinandersetzung beruhen;</w:t>
            </w:r>
            <w:r>
              <w:t xml:space="preserve"> </w:t>
            </w:r>
            <w:r>
              <w:rPr>
                <w:b/>
                <w:i/>
              </w:rPr>
              <w:t>betont, dass die Deutung historischer Ereignisse in allen betroffenen Gesellschaften Gegenstand einer anhaltenden wissenschaftlichen und gesellschaftlichen Debatte ist und dass der Aussöhnung am besten durch einen inklusiven, nicht vorschreibenden Dialog gedient ist und nicht durch Vorgaben von außen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Serbien auf, aktiver gegen die Leugnung von Kriegsverbrechen </w:t>
            </w:r>
            <w:r>
              <w:rPr>
                <w:b/>
                <w:i/>
              </w:rPr>
              <w:t>und gegen Geschichtsrevisionismus</w:t>
            </w:r>
            <w:r>
              <w:t xml:space="preserve"> vorzugehen</w:t>
            </w:r>
            <w:r>
              <w:rPr>
                <w:b/>
                <w:i/>
              </w:rPr>
              <w:t>, insbesondere wenn es um die Kriege in Kroatien, Bosnien und Herzegowina sowie im Kosovo geht</w:t>
            </w:r>
            <w:r>
              <w:t>;</w:t>
            </w:r>
          </w:p>
        </w:tc>
        <w:tc>
          <w:tcPr>
            <w:tcW w:w="4876" w:type="dxa"/>
            <w:tcBorders>
              <w:top w:val="nil"/>
              <w:left w:val="nil"/>
              <w:bottom w:val="nil"/>
              <w:right w:val="nil"/>
            </w:tcBorders>
          </w:tcPr>
          <w:p>
            <w:pPr>
              <w:pStyle w:val="Normal6a"/>
            </w:pPr>
            <w:r>
              <w:t>23.</w:t>
            </w:r>
            <w:r>
              <w:tab/>
            </w:r>
            <w:r>
              <w:t>fordert Serbien auf, aktiver gegen die Leugnung von Kriegsverbrechen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Serbien auf, aktiver gegen die Leugnung von Kriegsverbrechen </w:t>
            </w:r>
            <w:r>
              <w:rPr>
                <w:b/>
                <w:i/>
              </w:rPr>
              <w:t>und gegen Geschichtsrevisionismus</w:t>
            </w:r>
            <w:r>
              <w:t xml:space="preserve"> vorzugehen</w:t>
            </w:r>
            <w:r>
              <w:rPr>
                <w:b/>
                <w:i/>
              </w:rPr>
              <w:t>, insbesondere wenn es um die Kriege in Kroatien, Bosnien und Herzegowina sowie im Kosovo geht</w:t>
            </w:r>
            <w:r>
              <w:t>;</w:t>
            </w:r>
          </w:p>
        </w:tc>
        <w:tc>
          <w:tcPr>
            <w:tcW w:w="4876" w:type="dxa"/>
            <w:tcBorders>
              <w:top w:val="nil"/>
              <w:left w:val="nil"/>
              <w:bottom w:val="nil"/>
              <w:right w:val="nil"/>
            </w:tcBorders>
          </w:tcPr>
          <w:p>
            <w:pPr>
              <w:pStyle w:val="Normal6a"/>
            </w:pPr>
            <w:r>
              <w:t>23.</w:t>
            </w:r>
            <w:r>
              <w:tab/>
            </w:r>
            <w:r>
              <w:t>fordert Serbien auf, aktiver gegen die Leugnung von Kriegsverbrechen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Serbien auf, </w:t>
            </w:r>
            <w:r>
              <w:rPr>
                <w:b/>
                <w:i/>
              </w:rPr>
              <w:t>aktiver gegen die Leugnung</w:t>
            </w:r>
            <w:r>
              <w:t xml:space="preserve"> von Kriegsverbrechen </w:t>
            </w:r>
            <w:r>
              <w:rPr>
                <w:b/>
                <w:i/>
              </w:rPr>
              <w:t>und gegen Geschichtsrevisionismus</w:t>
            </w:r>
            <w:r>
              <w:t xml:space="preserve"> vorzugehen, insbesondere wenn es um die Kriege in Kroatien, Bosnien und Herzegowina sowie im Kosovo geht;</w:t>
            </w:r>
          </w:p>
        </w:tc>
        <w:tc>
          <w:tcPr>
            <w:tcW w:w="4876" w:type="dxa"/>
            <w:tcBorders>
              <w:top w:val="nil"/>
              <w:left w:val="nil"/>
              <w:bottom w:val="nil"/>
              <w:right w:val="nil"/>
            </w:tcBorders>
          </w:tcPr>
          <w:p>
            <w:pPr>
              <w:pStyle w:val="Normal6a"/>
            </w:pPr>
            <w:r>
              <w:t>23.</w:t>
            </w:r>
            <w:r>
              <w:tab/>
            </w:r>
            <w:r>
              <w:t xml:space="preserve">fordert Serbien auf, </w:t>
            </w:r>
            <w:r>
              <w:rPr>
                <w:b/>
                <w:i/>
              </w:rPr>
              <w:t>bei der Aufklärung und strafrechtlichen Verfolgung</w:t>
            </w:r>
            <w:r>
              <w:t xml:space="preserve"> von Kriegsverbrechen</w:t>
            </w:r>
            <w:r>
              <w:rPr>
                <w:b/>
                <w:i/>
              </w:rPr>
              <w:t>, was auch von allen anderen Partnern in der Region erwartet wird, aktiver</w:t>
            </w:r>
            <w:r>
              <w:t xml:space="preserve"> vorzugehen, insbesondere wenn es um die Kriege in Kroatien, Bosnien und Herzegowina sowie im Kosovo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Serbien auf, </w:t>
            </w:r>
            <w:r>
              <w:rPr>
                <w:b/>
                <w:i/>
              </w:rPr>
              <w:t>aktiver gegen die Leugnung</w:t>
            </w:r>
            <w:r>
              <w:t xml:space="preserve"> von Kriegsverbrechen </w:t>
            </w:r>
            <w:r>
              <w:rPr>
                <w:b/>
                <w:i/>
              </w:rPr>
              <w:t>und gegen Geschichtsrevisionismus</w:t>
            </w:r>
            <w:r>
              <w:t xml:space="preserve"> vorzugehen, insbesondere wenn es um die Kriege in Kroatien, Bosnien und Herzegowina sowie im Kosovo geht;</w:t>
            </w:r>
          </w:p>
        </w:tc>
        <w:tc>
          <w:tcPr>
            <w:tcW w:w="4876" w:type="dxa"/>
            <w:tcBorders>
              <w:top w:val="nil"/>
              <w:left w:val="nil"/>
              <w:bottom w:val="nil"/>
              <w:right w:val="nil"/>
            </w:tcBorders>
          </w:tcPr>
          <w:p>
            <w:pPr>
              <w:pStyle w:val="Normal6a"/>
            </w:pPr>
            <w:r>
              <w:t>23.</w:t>
            </w:r>
            <w:r>
              <w:tab/>
            </w:r>
            <w:r>
              <w:t xml:space="preserve">fordert Serbien auf, </w:t>
            </w:r>
            <w:r>
              <w:rPr>
                <w:b/>
                <w:i/>
              </w:rPr>
              <w:t>bei der Aufklärung und strafrechtlichen Verfolgung</w:t>
            </w:r>
            <w:r>
              <w:t xml:space="preserve"> von Kriegsverbrechen</w:t>
            </w:r>
            <w:r>
              <w:rPr>
                <w:b/>
                <w:i/>
              </w:rPr>
              <w:t>, was auch von allen genannten Partnern erwartet wird, aktiver</w:t>
            </w:r>
            <w:r>
              <w:t xml:space="preserve"> vorzugehen, insbesondere wenn es um die Kriege in Kroatien, Bosnien und Herzegowina sowie im Kosovo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Serbien auf, aktiver gegen die Leugnung von Kriegsverbrechen </w:t>
            </w:r>
            <w:r>
              <w:rPr>
                <w:b/>
                <w:i/>
              </w:rPr>
              <w:t>und gegen Geschichtsrevisionismus</w:t>
            </w:r>
            <w:r>
              <w:t xml:space="preserve"> vorzugehen</w:t>
            </w:r>
            <w:r>
              <w:rPr>
                <w:b/>
                <w:i/>
              </w:rPr>
              <w:t>, insbesondere wenn es um die Kriege in Kroatien, Bosnien und Herzegowina sowie im Kosovo geht</w:t>
            </w:r>
            <w:r>
              <w:t>;</w:t>
            </w:r>
          </w:p>
        </w:tc>
        <w:tc>
          <w:tcPr>
            <w:tcW w:w="4876" w:type="dxa"/>
            <w:tcBorders>
              <w:top w:val="nil"/>
              <w:left w:val="nil"/>
              <w:bottom w:val="nil"/>
              <w:right w:val="nil"/>
            </w:tcBorders>
          </w:tcPr>
          <w:p>
            <w:pPr>
              <w:pStyle w:val="Normal6a"/>
            </w:pPr>
            <w:r>
              <w:t>23.</w:t>
            </w:r>
            <w:r>
              <w:tab/>
            </w:r>
            <w:r>
              <w:t xml:space="preserve">fordert Serbien </w:t>
            </w:r>
            <w:r>
              <w:rPr>
                <w:b/>
                <w:i/>
              </w:rPr>
              <w:t>sowie alle Westbalkanländer</w:t>
            </w:r>
            <w:r>
              <w:t xml:space="preserve"> auf, aktiver gegen die Leugnung von Kriegsverbrechen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Serbien auf, </w:t>
            </w:r>
            <w:r>
              <w:rPr>
                <w:b/>
                <w:i/>
              </w:rPr>
              <w:t>aktiver gegen die</w:t>
            </w:r>
            <w:r>
              <w:t xml:space="preserve"> Leugnung von Kriegsverbrechen und </w:t>
            </w:r>
            <w:r>
              <w:rPr>
                <w:b/>
                <w:i/>
              </w:rPr>
              <w:t>gegen</w:t>
            </w:r>
            <w:r>
              <w:t xml:space="preserve"> Geschichtsrevisionismus vorzugehen, insbesondere wenn es um die Kriege in Kroatien, Bosnien und Herzegowina sowie im Kosovo geht;</w:t>
            </w:r>
          </w:p>
        </w:tc>
        <w:tc>
          <w:tcPr>
            <w:tcW w:w="4876" w:type="dxa"/>
            <w:tcBorders>
              <w:top w:val="nil"/>
              <w:left w:val="nil"/>
              <w:bottom w:val="nil"/>
              <w:right w:val="nil"/>
            </w:tcBorders>
          </w:tcPr>
          <w:p>
            <w:pPr>
              <w:pStyle w:val="Normal6a"/>
            </w:pPr>
            <w:r>
              <w:t>23.</w:t>
            </w:r>
            <w:r>
              <w:tab/>
            </w:r>
            <w:r>
              <w:t xml:space="preserve">fordert Serbien auf, </w:t>
            </w:r>
            <w:r>
              <w:rPr>
                <w:b/>
                <w:i/>
              </w:rPr>
              <w:t>bei der Aufklärung und strafrechtlichen Verfolgung von</w:t>
            </w:r>
            <w:r>
              <w:t xml:space="preserve"> Leugnung von Kriegsverbrechen und Geschichtsrevisionismus </w:t>
            </w:r>
            <w:r>
              <w:rPr>
                <w:b/>
                <w:i/>
              </w:rPr>
              <w:t>aktiver</w:t>
            </w:r>
            <w:r>
              <w:t xml:space="preserve"> vorzugehen, insbesondere wenn es um die Kriege in Kroatien, Bosnien und Herzegowina sowie im Kosovo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dass insbesondere im Bildungs-, Medien-, Wissenschafts- und Sozialbereich die geschichtlichen Ereignisse aufgearbeitet und Diskriminierung sowie Vorurteile aus der kommunistischen Vergangenheit überwunden werden, damit der Hetze gegen nationale Minderheiten und Nachbarvölker ein Ende gesetzt werden kann;</w:t>
            </w:r>
            <w:r>
              <w:t xml:space="preserve"> </w:t>
            </w:r>
            <w:r>
              <w:rPr>
                <w:b/>
                <w:i/>
              </w:rPr>
              <w:t>missbilligt, dass die Regierung in jüngster Zeit gegen Nachbarstaaten gehetzt hat, die die Eröffnung des Clusters 3 der Beitrittsverhandlungen mit Serbien nicht unterstützt haben;</w:t>
            </w:r>
            <w:r>
              <w:t xml:space="preserve"> </w:t>
            </w:r>
            <w:r>
              <w:rPr>
                <w:b/>
                <w:i/>
              </w:rPr>
              <w:t>bedauert, dass kommunistische Symbole aus der Zeit Jugoslawiens, darunter Straßennamen und Denkmäler, nach wie vor im öffentlichen Raum präsent sind, und ist der Ansicht, dass dies die Demokratisierung des Landes erschwert;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bekräftigt seinen Standpunkt, dass es wichtig ist, Kriegsarchive zu öffnen und offenzulegen, und fordert erneut, dass die Archive des ehemaligen Jugoslawiens geöffnet werden, der Zugang zu den Akten der früheren jugoslawischen Behörde der staatlichen Sicherheit (UDBA – „Uprava državne bezbednost“) und des Dienstes für Gegenaufklärung der Jugoslawischen Volksarmee (KOS – „Kontraobaveštajna služba“) gewährleistet wird sowie auf Ersuchen der jeweiligen Nachfolgeländer die Akten an diese weitergegeben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bedauert, dass sich Serbien nicht aufrichtig darum bemüht hat, seine Vergangenheit aufzuarbeiten und Kriegsverbrechen wirksam zu untersuchen und strafrechtlich zu verfolgen, was sich darin zeigt, dass hochrangige Verdächtige nicht angeklagt wurden, seit 2023 kein Generalstaatsanwalt für Kriegsverbrechen im Amt ist und internationale Urteile zu Kriegsverbrechen in der Öffentlichkeit weitgehend geleugnet werden, einschließlich der Leugnung des Völkermords von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verurteilt, dass Präsident Aleksandar Vučić gegenüber Nachbarländern aggressive und aufwieglerische Äußerungen tätigt, etwa wenn er behauptet, Kroatien, Albanien und das Kosovo würden einen Angriff auf Serbien planen, obgleich es dafür keine Beweise gibt;</w:t>
            </w:r>
            <w:r>
              <w:t xml:space="preserve"> </w:t>
            </w:r>
            <w:r>
              <w:rPr>
                <w:b/>
                <w:i/>
              </w:rPr>
              <w:t>missbilligt, dass dies als vorgeschobener Grund dafür verwendet wird, um Überschallflugkörper von China zu kaufen, und dass damit der Friedensprozess in der Region hintertrieben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betont, dass die Region bei der Ahndung von Kriegsverbrechen konstruktiv zusammenarbeiten und Konflikte in Bezug auf die Zuständigkeiten verhindern muss, damit Kriegsverbrechen diskriminierungsfrei verfolgt werden können, und unterstreicht, dass alle diesbezüglichen offenen Fragen vollständig geklärt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Serbien auf, davon Abstand zu nehmen, in seinen Nachbarländern im Westbalkanraum destabilisierend zu wirken und separatistische Stimmen zu stärken, auch im Zusammenhang mit der verfassungswidrigen Begehung des Tages der Republika Srpska, durch die die Stabilität und territoriale Unversehrtheit von Bosnien und Herzegowina gefährdet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ist besorgt darüber, dass Serbiens anhaltender militärischer Aufbau in Verbindung mit einer zunehmend feindseligen Haltung gegenüber den Nachbarländern die Gefahr birgt, die Spannungen in der Region zu verschärfen;</w:t>
            </w:r>
            <w:r>
              <w:t xml:space="preserve"> </w:t>
            </w:r>
            <w:r>
              <w:rPr>
                <w:b/>
                <w:i/>
              </w:rPr>
              <w:t>nimmt mit Besorgnis die anhaltenden unbegründeten Behauptungen politischer Akteure Serbiens hinsichtlich mutmaßlicher externer militärischer Bedrohungen durch Nachbarländer sowie Darstellungen zur Kenntnis, die das Misstrauen zu vertiefen und die regionale Instabilität zu verschärfen drohen;</w:t>
            </w:r>
            <w:r>
              <w:t xml:space="preserve"> </w:t>
            </w:r>
            <w:r>
              <w:rPr>
                <w:b/>
                <w:i/>
              </w:rPr>
              <w:t>bedauert, dass militärische Ausrüstung aus Russland und China beschafft wird, was zusätzliche Bedenken hinsichtlich der strategischen Ausrichtung und der Transparenz aufwirft;</w:t>
            </w:r>
            <w:r>
              <w:t xml:space="preserve"> </w:t>
            </w:r>
            <w:r>
              <w:rPr>
                <w:b/>
                <w:i/>
              </w:rPr>
              <w:t>fordert Serbien auf, von eskalierenden Äußerungen abzusehen und sicherzustellen, dass seine Sicherheits- und Verteidigungspolitik mit den europäischen Werten und dem Grundsatz der gutnachbarschaftlichen Beziehungen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fordert die gerichtlichen Stellen Serbiens auf, bei Fällen betreffend Kriegsverbrechen die Standards für ein faires Gerichtsverfahren einzuhalten und dafür zu sorgen, dass den Kriegsopfern Gerechtigkeit widerfährt;</w:t>
            </w:r>
            <w:r>
              <w:t xml:space="preserve"> </w:t>
            </w:r>
            <w:r>
              <w:rPr>
                <w:b/>
                <w:i/>
              </w:rPr>
              <w:t>fordert, dass die Leugnung von Kriegsverbrechen und die Verherrlichung von Kriegsverbrechern in das Strafgesetzbuch aufgenommen werden, um jedwede Leugnung von Kriegsverbrechen, die durch die Urteile des Internationalen Strafgerichtshofs für das ehemalige Jugoslawien und des Internationalen Strafgerichtshofs als solche festgestellt wurden, strafrechtlich zu 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bekräftigt seinen Standpunkt, dass es wichtig ist, Kriegsarchive zu öffnen und offenzulegen, und fordert erneut, dass die Archive des ehemaligen Jugoslawiens geöffnet werden, der Zugang zu den Akten der früheren jugoslawischen Behörde der staatlichen Sicherheit (UDBA – „Uprava državne bezbednost“) und des Dienstes für Gegenaufklärung der Jugoslawischen Volksarmee (KOS – „Kontraobaveštajna služba“) gewährt wird sowie auf Ersuchen der jeweiligen Regierungen die Akten an diese weitergegeben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missbilligt, dass die regierende SNS-Partei und ihr nahestehende Medien weiterhin verurteilte Kriegsverbrecher wie Nikola Šainović, Vojislav Šešelj und Veselin Šljivančanin fördern und ihnen Raum für Geschichtsrevisionismus und Hetze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stellt fest, dass ungelöste Vermisstenfälle nach wie vor eine große Herausforderung darstellen; fordert Serbien nachdrücklich auf, seine Bemühungen um Aussöhnung zu verstärken und </w:t>
            </w:r>
            <w:r>
              <w:rPr>
                <w:b/>
                <w:i/>
              </w:rPr>
              <w:t>insbesondere in Bezug auf vermisste Personen</w:t>
            </w:r>
            <w:r>
              <w:t xml:space="preserve"> einen aktiveren Ansatz zu verfolgen;</w:t>
            </w:r>
          </w:p>
        </w:tc>
        <w:tc>
          <w:tcPr>
            <w:tcW w:w="4876" w:type="dxa"/>
            <w:tcBorders>
              <w:top w:val="nil"/>
              <w:left w:val="nil"/>
              <w:bottom w:val="nil"/>
              <w:right w:val="nil"/>
            </w:tcBorders>
          </w:tcPr>
          <w:p>
            <w:pPr>
              <w:pStyle w:val="Normal6a"/>
            </w:pPr>
            <w:r>
              <w:t>24.</w:t>
            </w:r>
            <w:r>
              <w:tab/>
            </w:r>
            <w:r>
              <w:t xml:space="preserve">stellt fest, dass ungelöste Vermisstenfälle nach wie vor eine große Herausforderung darstellen </w:t>
            </w:r>
            <w:r>
              <w:rPr>
                <w:b/>
                <w:i/>
              </w:rPr>
              <w:t>und der Normalisierung der Beziehungen erheblich im Wege stehen</w:t>
            </w:r>
            <w:r>
              <w:t xml:space="preserve">; fordert Serbien nachdrücklich auf, seine Bemühungen um Aussöhnung zu verstärken und einen aktiveren Ansatz zu verfolgen; </w:t>
            </w:r>
            <w:r>
              <w:rPr>
                <w:b/>
                <w:i/>
              </w:rPr>
              <w:t>fordert Serbien auf, bei den Ermittlungen der Justizbehörden der EU-Mitgliedstaaten zu Kriegsverbrechen, einschließlich solcher im Zusammenhang mit Verbrechen gegen vermisste Personen, uneingeschränkt zusammenzuarbeiten und alle einschlägigen Informationen zur Verfügung zu stellen, die deren Identifizierung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ungelöste Vermisstenfälle nach wie vor eine große Herausforderung darstellen; fordert Serbien nachdrücklich auf, seine Bemühungen um Aussöhnung zu verstärken und insbesondere in Bezug auf vermisste Personen einen aktiveren Ansatz zu verfolgen;</w:t>
            </w:r>
          </w:p>
        </w:tc>
        <w:tc>
          <w:tcPr>
            <w:tcW w:w="4876" w:type="dxa"/>
            <w:tcBorders>
              <w:top w:val="nil"/>
              <w:left w:val="nil"/>
              <w:bottom w:val="nil"/>
              <w:right w:val="nil"/>
            </w:tcBorders>
          </w:tcPr>
          <w:p>
            <w:pPr>
              <w:pStyle w:val="Normal6a"/>
            </w:pPr>
            <w:r>
              <w:t>24.</w:t>
            </w:r>
            <w:r>
              <w:tab/>
            </w:r>
            <w:r>
              <w:t xml:space="preserve">stellt fest, dass ungelöste Vermisstenfälle nach wie vor eine große Herausforderung darstellen; fordert Serbien nachdrücklich auf, seine Bemühungen um Aussöhnung zu verstärken und insbesondere in Bezug auf vermisste Personen einen aktiveren Ansatz zu verfolgen; </w:t>
            </w:r>
            <w:r>
              <w:rPr>
                <w:b/>
                <w:i/>
              </w:rPr>
              <w:t>missbilligt, dass Präsident Aleksandar Vučić kürzlich in einer Erklärung Kroatien, das Kosovo und Albanien vorgeworfen hat, ein Militärbündnis gegen Serbien zu schmieden, und weiterhin falsche Behauptungen verbreitet, wonach Serbien möglichen Angriffen seitens dieser Nachbarländer ausgesetzt sei;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ungelöste Vermisstenfälle nach wie vor eine große Herausforderung darstellen; fordert Serbien nachdrücklich auf, seine Bemühungen um Aussöhnung zu verstärken und insbesondere in Bezug auf vermisste Personen einen aktiveren Ansatz zu verfolgen;</w:t>
            </w:r>
          </w:p>
        </w:tc>
        <w:tc>
          <w:tcPr>
            <w:tcW w:w="4876" w:type="dxa"/>
            <w:tcBorders>
              <w:top w:val="nil"/>
              <w:left w:val="nil"/>
              <w:bottom w:val="nil"/>
              <w:right w:val="nil"/>
            </w:tcBorders>
          </w:tcPr>
          <w:p>
            <w:pPr>
              <w:pStyle w:val="Normal6a"/>
            </w:pPr>
            <w:r>
              <w:t>24.</w:t>
            </w:r>
            <w:r>
              <w:tab/>
            </w:r>
            <w:r>
              <w:t xml:space="preserve">stellt fest, dass ungelöste Vermisstenfälle nach wie vor eine große Herausforderung darstellen; fordert Serbien nachdrücklich auf, seine Bemühungen um Aussöhnung zu verstärken und insbesondere in Bezug auf vermisste Personen einen aktiveren Ansatz zu verfolgen; </w:t>
            </w:r>
            <w:r>
              <w:rPr>
                <w:b/>
                <w:i/>
              </w:rPr>
              <w:t>fordert, dass die offenen bilateralen Fragen erneut konstruktiv angegangen werden, insbesondere die Aufklärung von Fällen vermisster Personen, die Regelung von Nachlassangelegenheiten, die wirksame Verfolgung von Kriegsverbrechen und die Rückgabe von Kulturgütern;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ungelöste Vermisstenfälle nach wie vor eine große Herausforderung darstellen; fordert Serbien nachdrücklich auf, seine Bemühungen um Aussöhnung zu verstärken und insbesondere in Bezug auf vermisste Personen einen aktiveren Ansatz zu verfolgen;</w:t>
            </w:r>
          </w:p>
        </w:tc>
        <w:tc>
          <w:tcPr>
            <w:tcW w:w="4876" w:type="dxa"/>
            <w:tcBorders>
              <w:top w:val="nil"/>
              <w:left w:val="nil"/>
              <w:bottom w:val="nil"/>
              <w:right w:val="nil"/>
            </w:tcBorders>
          </w:tcPr>
          <w:p>
            <w:pPr>
              <w:pStyle w:val="Normal6a"/>
            </w:pPr>
            <w:r>
              <w:t>24.</w:t>
            </w:r>
            <w:r>
              <w:tab/>
            </w:r>
            <w:r>
              <w:t xml:space="preserve">stellt fest, dass ungelöste Vermisstenfälle nach wie vor eine große Herausforderung darstellen; fordert Serbien nachdrücklich auf, seine Bemühungen um Aussöhnung zu verstärken und insbesondere in Bezug auf vermisste Personen einen aktiveren Ansatz zu verfolgen </w:t>
            </w:r>
            <w:r>
              <w:rPr>
                <w:b/>
                <w:i/>
              </w:rPr>
              <w:t>und zu diesem Zweck vor allem mit anderen beteiligten Ländern sinnstiftend zusammenzuarbeiten sowie sich über Informationen auszutauschen, unter anderem durch die Gewährung von Zugang zu Unterlagen und Archiven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ungelöste Vermisstenfälle nach wie vor eine große Herausforderung darstellen; fordert Serbien nachdrücklich auf, seine Bemühungen um Aussöhnung zu verstärken und insbesondere in Bezug auf vermisste Personen einen aktiveren Ansatz zu verfolgen;</w:t>
            </w:r>
          </w:p>
        </w:tc>
        <w:tc>
          <w:tcPr>
            <w:tcW w:w="4876" w:type="dxa"/>
            <w:tcBorders>
              <w:top w:val="nil"/>
              <w:left w:val="nil"/>
              <w:bottom w:val="nil"/>
              <w:right w:val="nil"/>
            </w:tcBorders>
          </w:tcPr>
          <w:p>
            <w:pPr>
              <w:pStyle w:val="Normal6a"/>
            </w:pPr>
            <w:r>
              <w:t>24.</w:t>
            </w:r>
            <w:r>
              <w:tab/>
            </w:r>
            <w:r>
              <w:t xml:space="preserve">stellt fest, dass ungelöste Vermisstenfälle nach wie vor eine große Herausforderung darstellen; fordert Serbien nachdrücklich auf, seine Bemühungen um Aussöhnung zu verstärken und insbesondere in Bezug auf vermisste Personen einen aktiveren Ansatz zu verfolgen; </w:t>
            </w:r>
            <w:r>
              <w:rPr>
                <w:b/>
                <w:i/>
              </w:rPr>
              <w:t>fordert Serbien nachdrücklich auf, das seit Langem angekündigte Gesetz über vermisste Personen endlich auf wirklich inklusive und transparente Weise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stellt fest, dass ungelöste Vermisstenfälle nach wie vor eine große Herausforderung darstellen;</w:t>
            </w:r>
            <w:r>
              <w:t xml:space="preserve"> </w:t>
            </w:r>
            <w:r>
              <w:rPr>
                <w:b/>
                <w:i/>
              </w:rPr>
              <w:t>fordert</w:t>
            </w:r>
            <w:r>
              <w:t xml:space="preserve"> Serbien </w:t>
            </w:r>
            <w:r>
              <w:rPr>
                <w:b/>
                <w:i/>
              </w:rPr>
              <w:t>nachdrücklich auf, seine Bemühungen um Aussöhnung zu verstärken und insbesondere in Bezug auf vermisste</w:t>
            </w:r>
            <w:r>
              <w:t xml:space="preserve"> Personen </w:t>
            </w:r>
            <w:r>
              <w:rPr>
                <w:b/>
                <w:i/>
              </w:rPr>
              <w:t>einen aktiveren Ansatz zu verfolgen</w:t>
            </w:r>
            <w:r>
              <w:t>;</w:t>
            </w:r>
          </w:p>
        </w:tc>
        <w:tc>
          <w:tcPr>
            <w:tcW w:w="4876" w:type="dxa"/>
            <w:tcBorders>
              <w:top w:val="nil"/>
              <w:left w:val="nil"/>
              <w:bottom w:val="nil"/>
              <w:right w:val="nil"/>
            </w:tcBorders>
          </w:tcPr>
          <w:p>
            <w:pPr>
              <w:pStyle w:val="Normal6a"/>
            </w:pPr>
            <w:r>
              <w:t>24.</w:t>
            </w:r>
            <w:r>
              <w:tab/>
            </w:r>
            <w:r>
              <w:rPr>
                <w:b/>
                <w:i/>
              </w:rPr>
              <w:t>begrüßt, dass</w:t>
            </w:r>
            <w:r>
              <w:t xml:space="preserve"> Serbien </w:t>
            </w:r>
            <w:r>
              <w:rPr>
                <w:b/>
                <w:i/>
              </w:rPr>
              <w:t>eine aktive Rolle bei der Suche nach allen vermissten</w:t>
            </w:r>
            <w:r>
              <w:t xml:space="preserve"> Personen </w:t>
            </w:r>
            <w:r>
              <w:rPr>
                <w:b/>
                <w:i/>
              </w:rPr>
              <w:t>auf dem Gebiet des ehemaligen Jugoslawiens spielt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ungelöste Vermisstenfälle nach wie vor eine große Herausforderung darstellen; fordert Serbien nachdrücklich auf, seine Bemühungen um Aussöhnung zu verstärken und insbesondere in Bezug auf vermisste Personen einen aktiveren Ansatz zu verfolgen;</w:t>
            </w:r>
          </w:p>
        </w:tc>
        <w:tc>
          <w:tcPr>
            <w:tcW w:w="4876" w:type="dxa"/>
            <w:tcBorders>
              <w:top w:val="nil"/>
              <w:left w:val="nil"/>
              <w:bottom w:val="nil"/>
              <w:right w:val="nil"/>
            </w:tcBorders>
          </w:tcPr>
          <w:p>
            <w:pPr>
              <w:pStyle w:val="Normal6a"/>
            </w:pPr>
            <w:r>
              <w:t>24.</w:t>
            </w:r>
            <w:r>
              <w:tab/>
            </w:r>
            <w:r>
              <w:t xml:space="preserve">stellt fest, dass ungelöste Vermisstenfälle nach wie vor eine große Herausforderung darstellen </w:t>
            </w:r>
            <w:r>
              <w:rPr>
                <w:b/>
                <w:i/>
              </w:rPr>
              <w:t>und sich auch auf die Beziehungen zwischen den Ländern in der Region auswirken</w:t>
            </w:r>
            <w:r>
              <w:t>; fordert Serbien nachdrücklich auf, seine Bemühungen um Aussöhnung zu verstärken und insbesondere in Bezug auf vermisste Personen einen aktiveren Ansatz zu verfolgen;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ist besorgt über den Beschluss der staatlichen Stellen in Prishtina/Priština, dem serbischen Patriarchen, Seiner Heiligkeit Porfirije Perić, den Zutritt zu Kirchen im Kosovo und zum historischen Sitz des Patriarchats in Peć zu verweigern; stellt fest, dass diese Angelegenheit vom Vorsitzenden der Delegation des Europäischen Parlaments im Parlamentarischen Stabilisierungs- und Assoziationsausschuss EU-Serbien, Loucas Fourlas, in einem Schreiben an die Präsidenten der EU-Organe, nämlich António Costa, Ursula von der Leyen und Roberta Metsola, zur Sprache gebracht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stellt fest, dass Serbien im Verteidigungsbereich mit Drittländern zusammenarbeitet und auch militärische Ausrüstung aus der Türkei einführt;</w:t>
            </w:r>
            <w:r>
              <w:t xml:space="preserve"> </w:t>
            </w:r>
            <w:r>
              <w:rPr>
                <w:b/>
                <w:i/>
              </w:rPr>
              <w:t>betont, dass eine schrittweise Angleichung an die Gemeinsame Außen- und Sicherheitspolitik (GASP) der Union wichtig ist;</w:t>
            </w:r>
            <w:r>
              <w:t xml:space="preserve"> </w:t>
            </w:r>
            <w:r>
              <w:rPr>
                <w:b/>
                <w:i/>
              </w:rPr>
              <w:t>fordert Serbien auf, seine Abhängigkeit von aus der Türkei bezogenen Verteidigungsgütern zu verringern und seine Zusammenarbeit mit den Mitgliedstaaten der Union zu verstärken, um die Interoperabilität mit der EU zu verbessern;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bekräftigt seinen Standpunkt, dass es wichtig ist, Kriegsarchive zu öffnen und offenzulegen, und fordert erneut, dass die Archive des ehemaligen Jugoslawiens geöffnet werden, der Zugang zu den Akten der früheren jugoslawischen Behörde der staatlichen Sicherheit (UDBA – „Uprava državne bezbednost“) und des Dienstes für Gegenaufklärung der Jugoslawischen Volksarmee (KOS – „Kontraobaveštajna služba“) gewährleistet wird sowie auf Ersuchen der jeweiligen Nachfolgeländer die Akten an diese weitergegeben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bekräftigt seinen Standpunkt, dass es wichtig ist, Kriegsarchive zu öffnen und offenzulegen, und fordert erneut, dass die Archive des ehemaligen Jugoslawiens geöffnet werden, der Zugang zu den Akten der früheren jugoslawischen Behörde der staatlichen Sicherheit (UDBA – „Uprava državne bezbednost“) und des Dienstes für Gegenaufklärung der Jugoslawischen Volksarmee (KOS – „Kontraobaveštajna služba“) gewährt wird sowie auf Ersuchen der jeweiligen Regierungen die Akten an diese weitergegeben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stellt fest, dass in Serbien nach wie vor Propagandamedien und -netze des Kremls wie RT und Sputnik vertreten sind;</w:t>
            </w:r>
            <w:r>
              <w:t xml:space="preserve"> </w:t>
            </w:r>
            <w:r>
              <w:rPr>
                <w:b/>
                <w:i/>
              </w:rPr>
              <w:t>weist darauf hin, dass diese Netze dazu genutzt werden, die Sanktionen Europas gegen Russland zu umgehen und die Propaganda des Kremls im Westbalkanraum und darüber hinaus in Europa zu verbreiten;</w:t>
            </w:r>
            <w:r>
              <w:t xml:space="preserve"> </w:t>
            </w:r>
            <w:r>
              <w:rPr>
                <w:b/>
                <w:i/>
              </w:rPr>
              <w:t>ist besorgt darüber, dass diese Medien historische Missstände ausnutzen und damit die Gefahr bergen, erneut Spannungen in der Region zu schüren;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bekräftigt seine Forderung, die Archive, die die früheren Republiken Jugoslawiens betreffen, zu öffnen und Zugang zu den Akten des ehemaligen jugoslawischen Geheimdienstes (UDBA) und des Geheimdienstes der jugoslawischen Volksarmee (KOS) zu gewähren, damit die Verbrechen aus der Zeit des Kommunismus gründlich erforscht und aufgearbeitet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Geadis Geadi,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nimmt in Bezug auf den Dialog mit Prishtina/Priština zur Kenntnis, dass die Gemeinsame Kommission für vermisste Personen eingerichtet wurde und ihre erste Sitzung am 22. Januar 2026 in Brüssel unter Beteiligung des serbischen Verhandlungsführers stattfand.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fordert die staatlichen Stellen Serbiens auf, ihre Bemühungen um eine diskriminierungsfreie Behandlung nationaler Minderheiten zu verstärken und Ermittlungen sowie die Verurteilung von Hassverbrechen aktiv voranzutreiben;</w:t>
            </w:r>
            <w:r>
              <w:t xml:space="preserve"> </w:t>
            </w:r>
            <w:r>
              <w:rPr>
                <w:b/>
                <w:i/>
              </w:rPr>
              <w:t>fordert Serbien auf, dafür Sorge zu tragen, dass Minderheiten die gleichen Chancen erhalten und im politischen und kulturellen Leben, in den öffentlichen Medien, in der Verwaltung sowie in der Justiz angemessen vertreten sind;</w:t>
            </w:r>
            <w:r>
              <w:t xml:space="preserve"> </w:t>
            </w:r>
            <w:r>
              <w:rPr>
                <w:b/>
                <w:i/>
              </w:rPr>
              <w:t>fordert Serbien auf, das Kulturerbe, die Sprachen und die Traditionen seiner nationalen Minderheiten zu schützen und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fordert die Europäische Union auf, unverzüglich tätig zu werden, indem sie den notwendigen Druck auf die staatlichen Stellen des Kosovo ausübt, damit der Patriarch von Serbien ungehinderten Zugang zu den Heiligen Kirchen erhält und seine religiösen Pflichten ungehindert ausüben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weist darauf hin, dass in Serbien Lager für umstürzlerische Aktivitäten unterhalten werden, in denen russische Staatsbürger Personen – unter anderem aus Moldau und Serbien – darin ausbilden, Wahlen zu stören, Chaos zu stiften und die öffentliche Ordnung in Moldau, Frankreich und Deutschland zu gefährden;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begrüßt, dass Serbien eine aktive Rolle bei der Suche nach allen vermissten Personen auf dem Gebiet des ehemaligen Jugoslawiens spielt;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fordert die Regierung Serbiens auf, der kroatischen Minderheit in Serbien die gleichen Rechte zu gewähren, wie sie die serbische Minderheit in Kroatien genießt;</w:t>
            </w:r>
            <w:r>
              <w:t xml:space="preserve"> </w:t>
            </w:r>
            <w:r>
              <w:rPr>
                <w:b/>
                <w:i/>
              </w:rPr>
              <w:t>fordert Serbien auf, sich aufrichtig zu engagieren, wenn es darum geht, noch offene Fragen in Bezug auf den Status der kroatischen Minderheit in Serbien zu lösen, insbesondere was die diskriminierungsfreie Verwendung der kroatischen Sprache in der Bildung, der öffentlichen Verwaltung und der besonderen Sphäre der Medien sowie die Achtung des kroatischen Kulturerbes und der kroatischen Tradition in Serbien betrifft;</w:t>
            </w:r>
            <w:r>
              <w:t xml:space="preserve"> </w:t>
            </w:r>
            <w:r>
              <w:rPr>
                <w:b/>
                <w:i/>
              </w:rPr>
              <w:t>fordert die Regierung Serbiens auf, das Recht auf Unterricht in kroatischer Sprache, einen eigenen Medienraum, finanzielle Mittel und angemessene Einrichtungen für die kroatische Gemeinschaft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fordert die Glaubensführer des Landes auf, Botschaften zu verbreiten, die gutnachbarschaftliche Beziehungen und das Verständnis zwischen den verschiedenen Ländern und Religionen in der Region fördern, sowie aktiv dazu beizutragen, eine Kultur der Konfrontation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nimmt mit Befriedigung die uneingeschränkte und unerschütterliche Unterstützung der Republik Zypern, eines EU-Mitgliedstaats, bei ihren Bemühungen zur Beendigung der illegalen Besetzung durch die Türkei von 37 % ihres Hoheitsgebiets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ist der Ansicht, dass die Regierung Serbiens durch ihr Untätigbleiben bei der Verhinderung dieser Aktivitäten zum Komplizen der Regierung Russlands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 xml:space="preserve">bedauert die Maßnahmen Serbiens, mit denen eine Aneignung des kroatischen Kulturerbes und des Ursprungs seiner literarischen Tradition bezweckt und der Status der kroatischen Sprache infrage gestellt wird; </w:t>
            </w:r>
            <w:r>
              <w:t xml:space="preserve"> </w:t>
            </w:r>
            <w:r>
              <w:rPr>
                <w:b/>
                <w:i/>
              </w:rPr>
              <w:t>fordert Serbien auf, eine positive Atmosphäre für die Bildung in Minderheitensprachen zu schaffen und beklagt den Verstoß gegen Minderheitenrechte in diesem Bereich;</w:t>
            </w:r>
            <w:r>
              <w:t xml:space="preserve"> </w:t>
            </w:r>
            <w:r>
              <w:rPr>
                <w:b/>
                <w:i/>
              </w:rPr>
              <w:t>fordert die zuständigen staatlichen Stellen auf, sicherzustellen, dass Hindernisse, die den Betrieb von Bildungseinrichtungen in kroatischer Sprache beeinträchtigen, umgehend beseitigt werden, und der kroatischen Minderheit im Einklang mit den grundlegenden Minderheitenrechten einen gleichberechtigten und diskriminierungsfreien Zugang zu Bildung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bekräftigt, dass Serbien die Transparenz bei der Prüfung ausländischer Direktinvestitionen verbessern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weist warnend darauf hin, dass die wesentlichen Minderheitenrechte, darunter das Recht auf Bildung, Kultur, Zugang zu Informationen sowie die amtliche Verwendung von Sprache und Schrift, nicht wirksam ausgeübt werden können, wenn nicht genügend Mittel für Minderheitengemeinschaften bereitgestellt werden;</w:t>
            </w:r>
            <w:r>
              <w:t xml:space="preserve"> </w:t>
            </w:r>
            <w:r>
              <w:rPr>
                <w:b/>
                <w:i/>
              </w:rPr>
              <w:t>betont, dass ohne ausreichende Finanzmittel der ordnungsgemäße Betrieb der nationalen Minderheitenräte gefährdet ist, was wiederum eine wirksame Vertretung erschwert;</w:t>
            </w:r>
            <w:r>
              <w:t xml:space="preserve"> </w:t>
            </w:r>
            <w:r>
              <w:rPr>
                <w:b/>
                <w:i/>
              </w:rPr>
              <w:t>fordert die staatlichen Stellen Serbiens auf, eine angemessene und nachhaltige Finanzierung sicherzustellen und im Einklang mit den europäischen Standards zum Schutz von Minderheiten und zu den Grundrechte entschlossen gegen Hetze, die sich gegen Kroaten richtet, vorzugehen und diese zu verurteilen;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nimmt mit großer Besorgnis zur Kenntnis, dass Dmitry Iordanidi, eine Person, die Verbindungen zu den Geheimdiensten Russlands hat und zuvor aus Belgien ausgewiesen wurde, in die Vorauswahl für die Leitung der OSZE-Mission in Serbien aufgenommen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24f.</w:t>
            </w:r>
            <w:r>
              <w:tab/>
            </w:r>
            <w:r>
              <w:rPr>
                <w:b/>
                <w:i/>
              </w:rPr>
              <w:t>fordert, dass offene Fragen hinsichtlich der Stellung der Kroaten und der katholischen Kirche geklärt werden und dass im Einklang mit den europäischen Standards zu Minderheitenrechten und zum Schutz des kulturellen Erbes Bemühungen zur Wiederbelebung wichtiger Institutionen unternommen werden, die eine wesentliche Rolle bei der Unterstützung der katholischen Gemeinschaft und der Bewahrung der kroatischen nationalen Identität spielen;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w:t>
            </w:r>
            <w:r>
              <w:t xml:space="preserve"> </w:t>
            </w:r>
            <w:r>
              <w:rPr>
                <w:b/>
                <w:i/>
              </w:rPr>
              <w:t>stellt mit Besorgnis fest, dass die Kommission im Januar 2026 dennoch die erste Auszahlung von Mitteln an Serbien im Rahmen der Reform- und Wachstumsfazilität für den Westbalkan genehmigt hat;</w:t>
            </w:r>
            <w:r>
              <w:t xml:space="preserve"> </w:t>
            </w:r>
            <w:r>
              <w:rPr>
                <w:b/>
                <w:i/>
              </w:rPr>
              <w:t>fordert die Kommission auf, darzulegen, inwiefern die Voraussetzungen erfüllt wurden;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w:t>
            </w:r>
            <w:r>
              <w:rPr>
                <w:b/>
                <w:i/>
              </w:rPr>
              <w:t>und</w:t>
            </w:r>
            <w:r>
              <w:t xml:space="preserve"> sämtliche Verpflichtungen im Bereich der Menschenrechte erfüllt werden; stellt mit Besorgnis fest, dass die Kommission im Januar 2026 dennoch die erste Auszahlung von Mitteln an Serbien im Rahmen der Reform- und Wachstumsfazilität für den Westbalkan genehmigt hat; fordert die Kommission auf, darzulegen, inwiefern die Voraussetzungen erfüllt wurden;</w:t>
            </w:r>
          </w:p>
        </w:tc>
        <w:tc>
          <w:tcPr>
            <w:tcW w:w="4876" w:type="dxa"/>
            <w:tcBorders>
              <w:top w:val="nil"/>
              <w:left w:val="nil"/>
              <w:bottom w:val="nil"/>
              <w:right w:val="nil"/>
            </w:tcBorders>
          </w:tcPr>
          <w:p>
            <w:pPr>
              <w:pStyle w:val="Normal6a"/>
            </w:pPr>
            <w:r>
              <w:t>25.</w:t>
            </w:r>
            <w:r>
              <w:tab/>
            </w:r>
            <w:r>
              <w:t>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w:t>
            </w:r>
            <w:r>
              <w:rPr>
                <w:b/>
                <w:i/>
              </w:rPr>
              <w:t>,</w:t>
            </w:r>
            <w:r>
              <w:t xml:space="preserve"> sämtliche Verpflichtungen im Bereich der Menschenrechte erfüllt werden </w:t>
            </w:r>
            <w:r>
              <w:rPr>
                <w:b/>
                <w:i/>
              </w:rPr>
              <w:t>und sich konstruktiv für die Normalisierung der Beziehungen zum Kosovo eingesetzt wird</w:t>
            </w:r>
            <w:r>
              <w:t xml:space="preserve">; stellt mit Besorgnis fest, dass die Kommission im Januar 2026 dennoch die erste Auszahlung von Mitteln an Serbien im Rahmen der Reform- und Wachstumsfazilität für den Westbalkan genehmigt hat; fordert die Kommission auf, darzulegen, inwiefern die Voraussetzungen erfüllt wurden; </w:t>
            </w:r>
            <w:r>
              <w:rPr>
                <w:b/>
                <w:i/>
              </w:rPr>
              <w:t>ist der Ansicht, dass mit den Finanzmitteln Europas die demokratischen Reformen des Landes stärker unterstützt werden sollten;</w:t>
            </w:r>
            <w:r>
              <w:t xml:space="preserve"> </w:t>
            </w:r>
            <w:r>
              <w:rPr>
                <w:b/>
                <w:i/>
              </w:rPr>
              <w:t>fordert in diesem Zusammenhang, dass die entsprechenden bestehenden sowie künftigen EU-Mittel umgeschichtet werden, um mehr Mittel für die Unterstützung von Justizreformen und Maßnahmen zur Korruptionsbekämpfung bereitzustellen;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stellt mit Besorgnis fest, dass die Kommission im Januar 2026 dennoch die erste Auszahlung von Mitteln an Serbien im Rahmen der Reform- und Wachstumsfazilität für den Westbalkan genehmigt hat; fordert die Kommission auf, darzulegen, inwiefern die Voraussetzungen erfüllt wurden;</w:t>
            </w:r>
          </w:p>
        </w:tc>
        <w:tc>
          <w:tcPr>
            <w:tcW w:w="4876" w:type="dxa"/>
            <w:tcBorders>
              <w:top w:val="nil"/>
              <w:left w:val="nil"/>
              <w:bottom w:val="nil"/>
              <w:right w:val="nil"/>
            </w:tcBorders>
          </w:tcPr>
          <w:p>
            <w:pPr>
              <w:pStyle w:val="Normal6a"/>
            </w:pPr>
            <w:r>
              <w:t>25.</w:t>
            </w:r>
            <w:r>
              <w:tab/>
            </w:r>
            <w:r>
              <w:t>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w:t>
            </w:r>
            <w:r>
              <w:rPr>
                <w:b/>
                <w:i/>
              </w:rPr>
              <w:t>, was im Falle Serbiens offensichtlich nicht in der erforderlichen Weise passiert ist</w:t>
            </w:r>
            <w:r>
              <w:t xml:space="preserve">; stellt mit Besorgnis fest, dass die Kommission im Januar 2026 dennoch die erste Auszahlung von Mitteln an Serbien im Rahmen der Reform- und Wachstumsfazilität für den Westbalkan genehmigt hat; fordert die Kommission auf, darzulegen, inwiefern die Voraussetzungen erfüllt wurden; </w:t>
            </w:r>
            <w:r>
              <w:rPr>
                <w:b/>
                <w:i/>
              </w:rPr>
              <w:t>ist der Ansicht, dass die Serbien gewährten Mittel ein völlig falsches Signal aussenden, auch an andere Länder, die eine EU-Mitgliedschaft anstreben, und zwar dass es möglich ist, EU-Mittel zu erhalten, ohne echte Fortschritte bei den Reformen zu erzielen, die für den EU-Beitrittsprozess erforderlich sind;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stellt mit Besorgnis fest, dass die Kommission im Januar 2026 dennoch die erste Auszahlung von Mitteln an Serbien im Rahmen der Reform- und Wachstumsfazilität für den Westbalkan genehmigt hat; fordert die Kommission auf, darzulegen, inwiefern die Voraussetzungen erfüllt wurden;</w:t>
            </w:r>
          </w:p>
        </w:tc>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stellt mit Besorgnis fest, dass die Kommission im Januar 2026 dennoch die erste Auszahlung von Mitteln an Serbien im Rahmen der Reform- und Wachstumsfazilität für den Westbalkan genehmigt hat; fordert die Kommission auf, darzulegen, inwiefern die Voraussetzungen erfüllt wurden; </w:t>
            </w:r>
            <w:r>
              <w:rPr>
                <w:b/>
                <w:i/>
              </w:rPr>
              <w:t>fordert Serbien auf, sein Arbeitsrecht anzupassen, um die vollständige Einhaltung der Europäischen Sozialcharta in Bezug auf die Höchstarbeitszeit sicherzustellen, insbesondere durch die Abschaffung von Vorschriften, die eine wöchentliche Arbeitszeit von bis zu 60 Stunden für Fahrzeugbesatzungen im Straßenverkehr und von bis zu 84 Stunden für Beschäftigte in der Binnenschifffahrt zulassen;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w:t>
            </w:r>
            <w:r>
              <w:rPr>
                <w:b/>
                <w:i/>
              </w:rPr>
              <w:t>sämtliche</w:t>
            </w:r>
            <w:r>
              <w:t xml:space="preserve"> Verpflichtungen im Bereich der Menschenrechte erfüllt werden; stellt mit Besorgnis fest, dass die Kommission im Januar 2026 </w:t>
            </w:r>
            <w:r>
              <w:rPr>
                <w:b/>
                <w:i/>
              </w:rPr>
              <w:t>dennoch</w:t>
            </w:r>
            <w:r>
              <w:t xml:space="preserve"> die erste Auszahlung von Mitteln an Serbien im Rahmen der Reform- und Wachstumsfazilität für den Westbalkan genehmigt hat; fordert die Kommission auf, </w:t>
            </w:r>
            <w:r>
              <w:rPr>
                <w:b/>
                <w:i/>
              </w:rPr>
              <w:t>darzulegen, inwiefern die</w:t>
            </w:r>
            <w:r>
              <w:t xml:space="preserve"> Voraussetzungen </w:t>
            </w:r>
            <w:r>
              <w:rPr>
                <w:b/>
                <w:i/>
              </w:rPr>
              <w:t>erfüllt wurden</w:t>
            </w:r>
            <w:r>
              <w:t>;</w:t>
            </w:r>
          </w:p>
        </w:tc>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w:t>
            </w:r>
            <w:r>
              <w:rPr>
                <w:b/>
                <w:i/>
              </w:rPr>
              <w:t>die</w:t>
            </w:r>
            <w:r>
              <w:t xml:space="preserve"> Verpflichtungen im Bereich der Menschenrechte erfüllt werden; stellt mit Besorgnis fest, dass die Kommission im Januar 2026 die erste Auszahlung von Mitteln an Serbien im Rahmen der Reform- und Wachstumsfazilität für den Westbalkan genehmigt hat; fordert die Kommission auf, </w:t>
            </w:r>
            <w:r>
              <w:rPr>
                <w:b/>
                <w:i/>
              </w:rPr>
              <w:t>unverzüglich eine detaillierte und überprüfbare Begründung in Bezug auf die Erfüllung der</w:t>
            </w:r>
            <w:r>
              <w:t xml:space="preserve"> Voraussetzungen </w:t>
            </w:r>
            <w:r>
              <w:rPr>
                <w:b/>
                <w:i/>
              </w:rPr>
              <w:t>zu veröffentlichen, auch was die Rechtsstaatlichkeit, die Medienfreiheit, das Funktionieren demokratischer Institutionen und die Fortschritte bei der Normalisierung der Beziehungen zum Kosovo betrifft, sowie die Garantien gegen Betrug, Korruption und Interessenkonflikte offenzulegen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w:t>
            </w:r>
            <w:r>
              <w:rPr>
                <w:b/>
                <w:i/>
              </w:rPr>
              <w:t>stellt mit Besorgnis fest, dass</w:t>
            </w:r>
            <w:r>
              <w:t xml:space="preserve"> die Kommission </w:t>
            </w:r>
            <w:r>
              <w:rPr>
                <w:b/>
                <w:i/>
              </w:rPr>
              <w:t>im Januar 2026 dennoch die erste</w:t>
            </w:r>
            <w:r>
              <w:t xml:space="preserve"> Auszahlung von Mitteln an Serbien im Rahmen der Reform- und Wachstumsfazilität für den Westbalkan </w:t>
            </w:r>
            <w:r>
              <w:rPr>
                <w:b/>
                <w:i/>
              </w:rPr>
              <w:t>genehmigt hat;</w:t>
            </w:r>
            <w:r>
              <w:t xml:space="preserve"> </w:t>
            </w:r>
            <w:r>
              <w:rPr>
                <w:b/>
                <w:i/>
              </w:rPr>
              <w:t>fordert die</w:t>
            </w:r>
            <w:r>
              <w:t xml:space="preserve"> Kommission </w:t>
            </w:r>
            <w:r>
              <w:rPr>
                <w:b/>
                <w:i/>
              </w:rPr>
              <w:t>auf, darzulegen, inwiefern die Voraussetzungen erfüllt wurden</w:t>
            </w:r>
            <w:r>
              <w:t>;</w:t>
            </w:r>
          </w:p>
        </w:tc>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w:t>
            </w:r>
            <w:r>
              <w:rPr>
                <w:b/>
                <w:i/>
              </w:rPr>
              <w:t>fordert</w:t>
            </w:r>
            <w:r>
              <w:t xml:space="preserve"> die Kommission </w:t>
            </w:r>
            <w:r>
              <w:rPr>
                <w:b/>
                <w:i/>
              </w:rPr>
              <w:t>auf, sicherzustellen, dass diese Voraussetzungen erfüllt sind, wenn sie die</w:t>
            </w:r>
            <w:r>
              <w:t xml:space="preserve"> Auszahlung von Mitteln an Serbien im Rahmen der Reform- und Wachstumsfazilität für den Westbalkan </w:t>
            </w:r>
            <w:r>
              <w:rPr>
                <w:b/>
                <w:i/>
              </w:rPr>
              <w:t>prüft;</w:t>
            </w:r>
            <w:r>
              <w:t xml:space="preserve"> </w:t>
            </w:r>
            <w:r>
              <w:rPr>
                <w:b/>
                <w:i/>
              </w:rPr>
              <w:t>betont, dass es besser wäre, den Blick auf die Zukunft zu richten, anstatt die Bewertung der</w:t>
            </w:r>
            <w:r>
              <w:t xml:space="preserve"> Kommission </w:t>
            </w:r>
            <w:r>
              <w:rPr>
                <w:b/>
                <w:i/>
              </w:rPr>
              <w:t>vom Januar 2026 zu bemängeln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w:t>
            </w:r>
            <w:r>
              <w:rPr>
                <w:b/>
                <w:i/>
              </w:rPr>
              <w:t>stellt mit Besorgnis fest, dass</w:t>
            </w:r>
            <w:r>
              <w:t xml:space="preserve"> die Kommission </w:t>
            </w:r>
            <w:r>
              <w:rPr>
                <w:b/>
                <w:i/>
              </w:rPr>
              <w:t>im Januar 2026 dennoch die erste</w:t>
            </w:r>
            <w:r>
              <w:t xml:space="preserve"> Auszahlung von Mitteln an Serbien im Rahmen der Reform- und Wachstumsfazilität für den Westbalkan </w:t>
            </w:r>
            <w:r>
              <w:rPr>
                <w:b/>
                <w:i/>
              </w:rPr>
              <w:t>genehmigt hat</w:t>
            </w:r>
            <w:r>
              <w:t xml:space="preserve">; </w:t>
            </w:r>
            <w:r>
              <w:rPr>
                <w:b/>
                <w:i/>
              </w:rPr>
              <w:t>fordert die Kommission auf, darzulegen, inwiefern die Voraussetzungen erfüllt wurden;</w:t>
            </w:r>
          </w:p>
        </w:tc>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w:t>
            </w:r>
            <w:r>
              <w:rPr>
                <w:b/>
                <w:i/>
              </w:rPr>
              <w:t>fordert</w:t>
            </w:r>
            <w:r>
              <w:t xml:space="preserve"> die Kommission </w:t>
            </w:r>
            <w:r>
              <w:rPr>
                <w:b/>
                <w:i/>
              </w:rPr>
              <w:t>auf, sicherzustellen, dass diese Voraussetzungen erfüllt sind, wenn sie die</w:t>
            </w:r>
            <w:r>
              <w:t xml:space="preserve"> Auszahlung von Mitteln an Serbien im Rahmen der Reform- und Wachstumsfazilität für den Westbalkan </w:t>
            </w:r>
            <w:r>
              <w:rPr>
                <w:b/>
                <w:i/>
              </w:rPr>
              <w:t>prüft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w:t>
            </w:r>
            <w:r>
              <w:rPr>
                <w:b/>
                <w:i/>
              </w:rPr>
              <w:t>stellt mit Besorgnis fest, dass</w:t>
            </w:r>
            <w:r>
              <w:t xml:space="preserve"> die Kommission </w:t>
            </w:r>
            <w:r>
              <w:rPr>
                <w:b/>
                <w:i/>
              </w:rPr>
              <w:t>im Januar 2026 dennoch die erste</w:t>
            </w:r>
            <w:r>
              <w:t xml:space="preserve"> Auszahlung von Mitteln an Serbien im Rahmen der Reform- und Wachstumsfazilität für den Westbalkan </w:t>
            </w:r>
            <w:r>
              <w:rPr>
                <w:b/>
                <w:i/>
              </w:rPr>
              <w:t>genehmigt hat</w:t>
            </w:r>
            <w:r>
              <w:t xml:space="preserve">; </w:t>
            </w:r>
            <w:r>
              <w:rPr>
                <w:b/>
                <w:i/>
              </w:rPr>
              <w:t>fordert die Kommission auf, darzulegen, inwiefern die Voraussetzungen erfüllt wurden;</w:t>
            </w:r>
          </w:p>
        </w:tc>
        <w:tc>
          <w:tcPr>
            <w:tcW w:w="4876" w:type="dxa"/>
            <w:tcBorders>
              <w:top w:val="nil"/>
              <w:left w:val="nil"/>
              <w:bottom w:val="nil"/>
              <w:right w:val="nil"/>
            </w:tcBorders>
          </w:tcPr>
          <w:p>
            <w:pPr>
              <w:pStyle w:val="Normal6a"/>
            </w:pPr>
            <w:r>
              <w:t>25.</w:t>
            </w:r>
            <w:r>
              <w:tab/>
            </w:r>
            <w:r>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und sämtliche Verpflichtungen im Bereich der Menschenrechte erfüllt werden; </w:t>
            </w:r>
            <w:r>
              <w:rPr>
                <w:b/>
                <w:i/>
              </w:rPr>
              <w:t>fordert</w:t>
            </w:r>
            <w:r>
              <w:t xml:space="preserve"> die Kommission </w:t>
            </w:r>
            <w:r>
              <w:rPr>
                <w:b/>
                <w:i/>
              </w:rPr>
              <w:t>auf, sicherzustellen, dass diese Voraussetzungen erfüllt sind, wenn sie die</w:t>
            </w:r>
            <w:r>
              <w:t xml:space="preserve"> Auszahlung von Mitteln an Serbien im Rahmen der Reform- und Wachstumsfazilität für den Westbalkan </w:t>
            </w:r>
            <w:r>
              <w:rPr>
                <w:b/>
                <w:i/>
              </w:rPr>
              <w:t>prüft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erneut, dass die entsprechenden EU-Mittel, einschließlich der Mittel aus dem Wachstumsplan für den Westbalkan, umgeschichtet werden, damit mehr Mittel für die Unterstützung von Justizreformen, Maßnahmen zur Korruptionsbekämpfung sowie für unabhängige Medien, Organisationen der Zivilgesellschaft und der unabhängigen Kulturbranche bereitgestellt werden können und deren wichtige Arbeit gefördert wird, und vertritt die Auffassung, dass die über die Regierung Serbiens geleistete Unterstützung unverzüglich ausgesetzt werden sollte, da in den Bereichen Rechtsstaatlichkeit, Medienfreiheit und Wahlbedingungen keine eindeutigen und glaubhaften Fortschritte zu verzeichnen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stellt fest, dass der EU-Beitrittsprozess auf der Angleichung der nationalen Rechtsvorschriften an den EU-Besitzstand beruht;</w:t>
            </w:r>
            <w:r>
              <w:t xml:space="preserve"> </w:t>
            </w:r>
            <w:r>
              <w:rPr>
                <w:b/>
                <w:i/>
              </w:rPr>
              <w:t>betont, dass weitere Anstrengungen erforderlich sind, um die Reform der öffentlichen Finanzverwaltung und der öffentlichen Verwaltung umzusetzen und die fortbestehenden Engpässe bei den Verwaltungskapazitäten durch dauerhafte EU-Investitionen in einen hochwertigen Rahmen für den Kapazitätsaufbau und den Wissensaustausch – auf der Grundlage bestehender Modelle für bewährte Verfahren etablierter EU- und internationaler Partner – anzugehen, was für eine wirksame Umsetzung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Serbien auf, seine Anstrengungen zu intensivieren und mehr in die sozioökonomische Entwicklung seiner Grenzregionen zu investieren, um der Entvölkerung entgegenzuwirken und sicherzustellen, dass die Einwohner Zugang zu grundlegenden Dienstleistungen, Beschäftigungsmöglichkeiten, medizinischer Versorgung und Bildung haben;</w:t>
            </w:r>
            <w:r>
              <w:t xml:space="preserve"> </w:t>
            </w:r>
            <w:r>
              <w:rPr>
                <w:b/>
                <w:i/>
              </w:rPr>
              <w:t>betont, dass die Programme für grenzübergreifende Zusammenarbeit im Rahmen des IPA III das Potenzial bergen, eine entscheidende Rolle bei der Förderung eines langfristigen und nachhaltigen Wachstums in der Region zu spielen;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stellt fest, dass die Europäische Staatsanwaltschaft (EUStA) eine gesonderte Ermittlung wegen der möglichen missbräuchlichen Verwendung von EU-Mitteln für die Sanierung des Bahnhofs Novi Sad im Zeitraum 2021-2024 eingeleitet hat;</w:t>
            </w:r>
            <w:r>
              <w:t xml:space="preserve"> </w:t>
            </w:r>
            <w:r>
              <w:rPr>
                <w:b/>
                <w:i/>
              </w:rPr>
              <w:t>bringt seine Besorgnis darüber zum Ausdruck, dass EU-Mittel generell ein Korruptionsrisiko mit sich bringen und dass mit der Bereitstellung hoher Summen an EU-Mitteln für Serbien der Korruption Vorschub geleistet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die EU und die Westbalkanländer auf, einen Rahmen für eine Zusammenarbeit zwischen der Europäischen Staatsanwaltschaft (EUStA) und ihren Entsprechungen in den Westbalkanländern zu schaffen, damit die EUStA ihre Zuständigkeiten im Zusammenhang mit Mitteln aus dem IPA III und der Wachstumsfazilität für den Westbalkan in den Empfängerländern wirksam wahrnehmen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Serbien auf, den Arbeitsschutz zu stärken und zu diesem Zweck konkrete nationale Maßnahmen zu psychosozialen und aufkommenden Risiken, auch in der Gig-Ökonomie und der Plattformarbeit, auf den Weg zu bringen sowie den Arbeitnehmern ein wirksames Recht auf Nichterreichbarkeit zuzusichern;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zieht die Sinnhaftigkeit der Fortsetzung umfangreicher Finanzhilfen, insbesondere jener, die im Rahmen des Instruments für Heranführungshilfe (IPA III) gewährt werden, in Zweifel, darunter eine Finanzierungsvereinbarung über 219,9 Mio. EUR für den Zeitraum 2025-2027;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nimmt die Erklärungen der staatlichen Stellen Serbiens zu den Sprengstoffen zur Kenntnis, die kurz vor der Wahl 2026 in Ungarn in der Nähe einer Gasrohrleitung an der serbisch-ungarischen Grenze gefunden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Dan Barna, Helmut Brandstätter, Marjan Šarec, 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dass die im Rahmen des Instruments „NDICI/Europa in der Welt“ bereitgestellten Mittel nur unter strengen rechtsstaatlichen Auflagen ausgezahlt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fordert die EU und die Westbalkanländer auf, einen Rahmen für eine ertragreiche Zusammenarbeit zwischen der Europäischen Staatsanwaltschaft (EUStA) und den Bewerberländern zu schaffen;</w:t>
            </w:r>
            <w:r>
              <w:t xml:space="preserve"> </w:t>
            </w:r>
            <w:r>
              <w:rPr>
                <w:b/>
                <w:i/>
              </w:rPr>
              <w:t>fordert Serbien nachdrücklich auf, rasch bilaterale Arbeitsvereinbarungen mit der EUStA zu schließen, um die enge Zusammenarbeit und die Verfolgung der missbräuchlichen Verwendung von EU-Mitteln zu erleichtern, unter anderem durch die Entsendung nationaler Verbindungsbeamter zur EUStA;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fordert Serbien auf, dafür Sorge zu tragen, dass Hausangestellte vollständig in die Arbeitsschutzgesetzgebung einbezogen und in der Praxis wirksam geschützt werden, unter anderem durch angemessene Arbeitsaufsichts- und Durchsetzungsmechanismen, und die Aufsicht durch die Arbeitsaufsichtsstelle auf alle Gruppen von Selbstständigen auszuweiten, nicht nur auf diejenigen, die auf Baustellen tätig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ist besorgt über den Umfang und die Bandbreite der vergebenen Aufträge, die vom bestehenden Rechtsrahmen für die Vergabe öffentlicher Aufträge ausgenommen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befürwortet den Vorschlag der Kommission, Verhandlungen mit Albanien, Bosnien und Herzegowina, dem Kosovo, Montenegro, Nordmazedonien und Serbien aufzunehmen, um diese Länder in die EU-Regelung „Roaming zu Inlandspreisen“ einzubeziehen;</w:t>
            </w:r>
            <w:r>
              <w:t xml:space="preserve"> </w:t>
            </w:r>
            <w:r>
              <w:rPr>
                <w:b/>
                <w:i/>
              </w:rPr>
              <w:t>betont, dass die Ausweitung der Regelung „Roaming zu Inlandspreisen“ auf die Westbalkanländer sowohl für die Bürgerinnen und Bürger als auch für die Unternehmen greifbare Vorteile mit sich bringen würde, denn dadurch würden nicht nur die Kontakte zwischen den Menschen gefördert und Wirtschaftsbeziehungen gestärkt, sondern auch der Bildungsaustausch würde unterstützt und der Tourismus begünstigt;</w:t>
            </w:r>
            <w:r>
              <w:t xml:space="preserve"> </w:t>
            </w:r>
            <w:r>
              <w:rPr>
                <w:b/>
                <w:i/>
              </w:rPr>
              <w:t>stellt fest, dass diese Initiative auf bestehenden freiwilligen Roaming-Vereinbarungen und auf der auf dem Gipfeltreffen in Tirana gebilligten regionalen Roaming-Vereinbarung für den Westbalkanraum aufbaut; fordert, dass die Verhandlungsmandate rasch angenommen werden und dass die bilateralen Abkommen mit den Partnerländern im Westbalkanraum zeitnah abgeschlossen werden, damit diese Länder rasch und wirksam in den EU-Raum „Roaming zu Inlandspreisen“ integriert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fordert Serbien auf, die Arbeitsaufsicht und die Präventionsmaßnahmen am Arbeitsplatz im Hinblick auf klimabedingte berufliche Risiken, darunter Hitze, Umweltverschmutzung und andere gesundheitsschädliche Umweltbedingungen, durch strengere Kontrollmechanismen, Risikobewertungen sowie Beratung und Schulungen für Arbeitgeber und Arbeitnehmer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fordert Serbien auf, für Lohngleichheit zwischen Frauen und Männern zu sorgen und zu diesem Zweck in der Privatwirtschaft transparente, objektive und geschlechtsneutrale Systeme zur Einstufung von Arbeitsplätzen und zur Vergütung anzunehmen sowie wirksame Maßnahmen anzunehmen, die messbare Fortschritte bei der Verringerung des geschlechtsspezifischen Lohngefälles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fordert Serbien auf, die Vereinigungsfreiheit und den sozialen Dialog zu stärken und zu diesem Zweck aktive Maßnahmen zu ergreifen, um insbesondere in Branchen mit geringer Gewerkschaftsdichte und in neuen Wirtschaftszweigen die gewerkschaftliche Organisation zu fördern und überhöhte Mindestmitgliederzahlen für Arbeitgeberverbände zu senken, sowie dafür zu sorgen, dass auch in der Privatwirtschaft und zu Fragen im Zusammenhang mit dem digitalen Wandel gemeinsame Konsultationen wirksam gefördert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fordert Serbien auf, Tarifverhandlungen wirksamer zu unterstützen, auch für Selbstständige, die wirtschaftlich abhängig sind oder sich in einer mit Arbeitnehmern vergleichbaren Situation befinden, um die missbräuchliche Nutzung von Scheinselbstständigkeit zu verhindern und sicherzustellen, dass alle Arbeitnehmer ihre Arbeitsbedingungen durch kollektive Maßnahmen und Verhandlungen verbessern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fordert Serbien auf, seine Rechtsvorschriften zum Streikrecht mit der Europäischen Sozialcharta in Einklang zu bringen, indem es ungerechtfertigte Streikverbote in Teilen des Gesundheitswesens aufhebt, den zu weit gefassten Kreis der Wirtschaftszweige, in denen das Streikrecht eingeschränkt werden darf, eingrenzt und sicherstellt, dass Arbeitnehmer und Gewerkschaften bei Beschlüssen über die Mindestdienstleistungen während Streiks gleichberechtigt mit den Arbeitgebern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fordert Serbien auf, seine Anstrengungen zur Verringerung des geschlechtsspezifischen Beschäftigungsgefälles zu verstärken und messbare Fortschritte bei der Vertretung von Frauen in Führungspositionen zu erzielen, insbesondere in den größten börsennotierten Unternehmen, und zu diesem Zweck unter anderem gezielt Gleichstellungsmaßnahmen zu ergreifen und regelmäßig aufgeschlüsselte Daten zu veröffentlichen;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25i.</w:t>
            </w:r>
            <w:r>
              <w:tab/>
            </w:r>
            <w:r>
              <w:rPr>
                <w:b/>
                <w:i/>
              </w:rPr>
              <w:t>stellt fest, dass der soziale Dialog und die Konsultation der Sozialpartner nach wie vor unzureichend sind, und fordert die staatlichen Stellen auf, die Tarifverhandlungen sowohl rechtlich als auch in der Praxis zu stärken, den dreigliedrigen und zweigliedrigen sozialen Dialog zu fördern und die Fazilität für den Westbalkan zur Unterstützung des Kapazitätsaufbaus der Sozialpartner zu nutzen, wobei die Auszahlung dieser Mittel weiterhin an die Einbeziehung der Sozialpartner in die Ausarbeitung der Reformagenda geknüpft sein muss;</w:t>
            </w:r>
            <w:r>
              <w:t xml:space="preserve"> </w:t>
            </w:r>
            <w:r>
              <w:rPr>
                <w:b/>
                <w:i/>
              </w:rPr>
              <w:t>fordert die staatlichen Stellen ferner auf, das Arbeitsrecht so zu reformieren, dass es mit dem Besitzstand der EU im Sozialbereich und dem Streikgesetz in Übereinstimmung mit den Übereinkommen der IAO 87 und 98 in Einklang steht, und sich nicht in die Vereinigungsfreiheit und die Arbeit der Gewerkschaften einzumischen;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betont, dass es von strategischer Bedeutung ist, die Konnektivität zwischen Serbien und den Mitgliedstaaten der Union insbesondere dadurch zu verbessern, dass die Eisenbahnachse Budapest-Belgrad-Skopje-Thessaloniki als Teil des Transeuropäischen Verkehrsnetzes (TEN-V) und des Korridors Westbalkan-östliches Mittelmeer weiterentwickelt und modernisiert wird;</w:t>
            </w:r>
            <w:r>
              <w:t xml:space="preserve"> </w:t>
            </w:r>
            <w:r>
              <w:rPr>
                <w:b/>
                <w:i/>
              </w:rPr>
              <w:t>betont, dass die Beschleunigung einschlägiger Investitionen zur wirtschaftlichen Konvergenz, zu nachhaltiger Mobilität und zu intensiveren Handelsströmen zwischen der Union und Serbien beitragen kann;</w:t>
            </w:r>
            <w:r>
              <w:t xml:space="preserve"> </w:t>
            </w:r>
            <w:r>
              <w:rPr>
                <w:b/>
                <w:i/>
              </w:rPr>
              <w:t>fordert die Kommission und Serbien auf, ihre Zusammenarbeit bei der Gestaltung, Finanzierung und Umsetzung einschlägiger Projekte zu intensivieren und gleichzeitig die Einhaltung der Umwelt-, Vergabe- und Transparenzstandards der Union sicherzustellen;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fordert Serbien auf, seine Bemühungen um die Übernahme des einschlägigen Besitzstands in den Bereichen Umwelt- und Klimaschutz zu verstärken und dafür zu sorgen, dass die Umweltschutznormen ordnungsgemäß angewandt werden, indem es unter anderem seine administrativen und technischen Kapazitäten auf allen Regierungsebenen erheblich ausbaut und dabei die Koordinierung zwischen den zuständigen staatlichen Stellen verbessert sowie die Zersplitterung der Zuständigkeiten im Umweltbereich angeht;</w:t>
            </w:r>
            <w:r>
              <w:t xml:space="preserve"> </w:t>
            </w:r>
            <w:r>
              <w:rPr>
                <w:b/>
                <w:i/>
              </w:rPr>
              <w:t>fordert die staatlichen Stellen Serbiens nachdrücklich auf, die Transparenz und die Umweltverträglichkeitsprüfung bei allen Investitionen – auch aus China und Russland –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begrüßt die Annahme des Gesetzes über die Umweltverträglichkeitsprüfung und des Gesetzes über die strategische Umweltprüfung;</w:t>
            </w:r>
            <w:r>
              <w:t xml:space="preserve"> </w:t>
            </w:r>
            <w:r>
              <w:rPr>
                <w:b/>
                <w:i/>
              </w:rPr>
              <w:t>betont jedoch, dass eine wirksame Umsetzung nach wie vor von entscheidender Bedeutung ist, und dass insbesondere dafür gesorgt werden muss, dass alle Projekte umfassenden und transparenten Prüfungsverfahren unterzogen werden, die Beteiligung der Öffentlichkeit rechtzeitig und sinnstiftend erfolgt und keine Verwaltungspraktiken – einschließlich vorläufiger Stellungnahmen – es ermöglichen, dass Projekte keiner umfassenden Umweltprüfung unterzogen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nimmt die politisch heiklen Entwicklungen in Bezug auf das Öl- und Gasunternehmen „Naftna Industrija Srbije“ (NIS) und die Umgestaltung seiner Eigentümerstruktur im Zusammenhang mit den von den Vereinigten Staaten verhängten Sanktionen und der Mehrheitsbeteiligung der NIS an den russischen Unternehmen Gazprom und Gazprom Neft zur Kenntnis</w:t>
            </w:r>
            <w:r>
              <w:t>;</w:t>
            </w:r>
          </w:p>
        </w:tc>
        <w:tc>
          <w:tcPr>
            <w:tcW w:w="4876" w:type="dxa"/>
            <w:tcBorders>
              <w:top w:val="nil"/>
              <w:left w:val="nil"/>
              <w:bottom w:val="nil"/>
              <w:right w:val="nil"/>
            </w:tcBorders>
          </w:tcPr>
          <w:p>
            <w:pPr>
              <w:pStyle w:val="Normal6a"/>
            </w:pPr>
            <w:r>
              <w:t>26.</w:t>
            </w:r>
            <w:r>
              <w:tab/>
            </w:r>
            <w:r>
              <w:rPr>
                <w:b/>
                <w:i/>
              </w:rPr>
              <w:t>begrüßt die Bemühungen um eine Entflechtung des Unternehmens „Srbijagas“ sowie weitere Maßnahmen zur Erreichung der Energieunabhängigkeit und zur Diversifizierung der Energiequellen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nimmt die politisch heiklen Entwicklungen in Bezug auf das Öl- und Gasunternehmen „Naftna Industrija Srbije“ (NIS) und die Umgestaltung seiner Eigentümerstruktur im Zusammenhang mit den von den Vereinigten Staaten verhängten Sanktionen und der Mehrheitsbeteiligung der NIS an den russischen Unternehmen Gazprom und Gazprom Neft zur Kenntnis;</w:t>
            </w:r>
          </w:p>
        </w:tc>
        <w:tc>
          <w:tcPr>
            <w:tcW w:w="4876" w:type="dxa"/>
            <w:tcBorders>
              <w:top w:val="nil"/>
              <w:left w:val="nil"/>
              <w:bottom w:val="nil"/>
              <w:right w:val="nil"/>
            </w:tcBorders>
          </w:tcPr>
          <w:p>
            <w:pPr>
              <w:pStyle w:val="Normal6a"/>
            </w:pPr>
            <w:r>
              <w:t>26.</w:t>
            </w:r>
            <w:r>
              <w:tab/>
            </w:r>
            <w:r>
              <w:t xml:space="preserve">nimmt die politisch heiklen Entwicklungen in Bezug auf das Öl- und Gasunternehmen „Naftna Industrija Srbije“ (NIS) und die Umgestaltung seiner Eigentümerstruktur im Zusammenhang mit den von den Vereinigten Staaten verhängten Sanktionen und der Mehrheitsbeteiligung der NIS an den russischen Unternehmen Gazprom und Gazprom Neft zur Kenntnis; </w:t>
            </w:r>
            <w:r>
              <w:rPr>
                <w:b/>
                <w:i/>
              </w:rPr>
              <w:t>nimmt das Engagement und die Unterstützung der EU und Kroatiens bei der Suche nach einer nachhaltigen Lösung für diese Krise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nimmt die politisch heiklen Entwicklungen in Bezug auf das Öl- und Gasunternehmen</w:t>
            </w:r>
            <w:r>
              <w:t xml:space="preserve"> „Naftna Industrija Srbije“ (NIS) </w:t>
            </w:r>
            <w:r>
              <w:rPr>
                <w:b/>
                <w:i/>
              </w:rPr>
              <w:t>und die Umgestaltung seiner Eigentümerstruktur im Zusammenhang mit den von den Vereinigten Staaten verhängten Sanktionen und der Mehrheitsbeteiligung der NIS an den</w:t>
            </w:r>
            <w:r>
              <w:t xml:space="preserve"> russischen Unternehmen Gazprom und Gazprom Neft </w:t>
            </w:r>
            <w:r>
              <w:rPr>
                <w:b/>
                <w:i/>
              </w:rPr>
              <w:t>zur Kenntnis</w:t>
            </w:r>
            <w:r>
              <w:t>;</w:t>
            </w:r>
          </w:p>
        </w:tc>
        <w:tc>
          <w:tcPr>
            <w:tcW w:w="4876" w:type="dxa"/>
            <w:tcBorders>
              <w:top w:val="nil"/>
              <w:left w:val="nil"/>
              <w:bottom w:val="nil"/>
              <w:right w:val="nil"/>
            </w:tcBorders>
          </w:tcPr>
          <w:p>
            <w:pPr>
              <w:pStyle w:val="Normal6a"/>
            </w:pPr>
            <w:r>
              <w:t>26.</w:t>
            </w:r>
            <w:r>
              <w:tab/>
            </w:r>
            <w:r>
              <w:rPr>
                <w:b/>
                <w:i/>
              </w:rPr>
              <w:t>ist der Ansicht, dass die Eigentümerstruktur des Öl- und Gasunternehmens</w:t>
            </w:r>
            <w:r>
              <w:t xml:space="preserve"> „Naftna Industrija Srbije“ (NIS) </w:t>
            </w:r>
            <w:r>
              <w:rPr>
                <w:b/>
                <w:i/>
              </w:rPr>
              <w:t>Anlass zu ernster Besorgnis gibt, da die</w:t>
            </w:r>
            <w:r>
              <w:t xml:space="preserve"> russischen Unternehmen Gazprom und Gazprom Neft </w:t>
            </w:r>
            <w:r>
              <w:rPr>
                <w:b/>
                <w:i/>
              </w:rPr>
              <w:t>eine kontrollierende Beteiligung daran haben, und ist der Ansicht, dass dies in krassem Widerspruch zu den strategischen Interessen und energiepolitischen Zielen der EU steht</w:t>
            </w:r>
            <w:r>
              <w:t xml:space="preserve">; </w:t>
            </w:r>
            <w:r>
              <w:rPr>
                <w:b/>
                <w:i/>
              </w:rPr>
              <w:t>begrüßt nachdrücklich die diesbezüglichen Sanktionen der USA;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nimmt die </w:t>
            </w:r>
            <w:r>
              <w:rPr>
                <w:b/>
                <w:i/>
              </w:rPr>
              <w:t>politisch heiklen</w:t>
            </w:r>
            <w:r>
              <w:t xml:space="preserve"> Entwicklungen </w:t>
            </w:r>
            <w:r>
              <w:rPr>
                <w:b/>
                <w:i/>
              </w:rPr>
              <w:t>in Bezug auf das Öl- und Gasunternehmen</w:t>
            </w:r>
            <w:r>
              <w:t xml:space="preserve"> „Naftna Industrija Srbije“ (NIS) und </w:t>
            </w:r>
            <w:r>
              <w:rPr>
                <w:b/>
                <w:i/>
              </w:rPr>
              <w:t>die Umgestaltung</w:t>
            </w:r>
            <w:r>
              <w:t xml:space="preserve"> seiner Eigentümerstruktur </w:t>
            </w:r>
            <w:r>
              <w:rPr>
                <w:b/>
                <w:i/>
              </w:rPr>
              <w:t>im Zusammenhang mit den von den Vereinigten Staaten verhängten Sanktionen und der Mehrheitsbeteiligung der NIS an den russischen Unternehmen Gazprom und Gazprom Neft</w:t>
            </w:r>
            <w:r>
              <w:t xml:space="preserve"> zur Kenntnis;</w:t>
            </w:r>
          </w:p>
        </w:tc>
        <w:tc>
          <w:tcPr>
            <w:tcW w:w="4876" w:type="dxa"/>
            <w:tcBorders>
              <w:top w:val="nil"/>
              <w:left w:val="nil"/>
              <w:bottom w:val="nil"/>
              <w:right w:val="nil"/>
            </w:tcBorders>
          </w:tcPr>
          <w:p>
            <w:pPr>
              <w:pStyle w:val="Normal6a"/>
            </w:pPr>
            <w:r>
              <w:t>26.</w:t>
            </w:r>
            <w:r>
              <w:tab/>
            </w:r>
            <w:r>
              <w:t xml:space="preserve">nimmt die Entwicklungen </w:t>
            </w:r>
            <w:r>
              <w:rPr>
                <w:b/>
                <w:i/>
              </w:rPr>
              <w:t>im Zusammenhang mit dem Unternehmen</w:t>
            </w:r>
            <w:r>
              <w:t xml:space="preserve"> „Naftna Industrija Srbije“ (NIS) und seiner Eigentümerstruktur zur Kenntnis; </w:t>
            </w:r>
            <w:r>
              <w:rPr>
                <w:b/>
                <w:i/>
              </w:rPr>
              <w:t>weist darauf hin, dass die Energiewirtschaft Serbiens und seine Partnerschaftsvereinbarungen souveräne Beschlüsse im Hinblick auf die Energiesicherheit darstellen;</w:t>
            </w:r>
            <w:r>
              <w:t xml:space="preserve"> </w:t>
            </w:r>
            <w:r>
              <w:rPr>
                <w:b/>
                <w:i/>
              </w:rPr>
              <w:t>betont, dass Sanktionsregelungen von Drittländern für EU-Bewerberländer nicht automatisch Verpflichtungen begründen und nicht als Maßstab für die Beitrittskriterien der EU herangezogen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begrüßt den Vorschlag der Kommission, Verhandlungen mit Albanien, Bosnien und Herzegowina, dem Kosovo, Montenegro, Nordmazedonien und Serbien im Hinblick auf ihre Einbeziehung in die EU-Regelung für „Roaming zu Inlandspreisen“ aufzunehmen;</w:t>
            </w:r>
            <w:r>
              <w:t xml:space="preserve"> </w:t>
            </w:r>
            <w:r>
              <w:rPr>
                <w:b/>
                <w:i/>
              </w:rPr>
              <w:t>betont, dass durch die Ausweitung des Geltungsbereichs der Regelung „Roaming zu Inlandspreisen“ auf den Westbalkanraum sowohl den Bürgerinnen und Bürgern als auch den Unternehmen konkrete Vorteile entstünden sowie dadurch die zwischenmenschlichen Kontakte gefördert, die wirtschaftlichen Beziehungen gestärkt, der Austausch zwischen Bildungseinrichtungen unterstützt und der Tourismus begünstigt würden;</w:t>
            </w:r>
            <w:r>
              <w:t xml:space="preserve"> </w:t>
            </w:r>
            <w:r>
              <w:rPr>
                <w:b/>
                <w:i/>
              </w:rPr>
              <w:t>stellt fest, dass diese Initiative auf bestehenden freiwilligen Roaming-Vereinbarungen und auf der auf dem Gipfeltreffen in Tirana gebilligten regionalen Roaming-Vereinbarung für den Westbalkanraum aufbaut; fordert, dass die Verhandlungsmandate rasch angenommen werden und dass die bilateralen Abkommen mit den Partnerländern im Westbalkanraum zeitnah abgeschlossen werden, damit diese Länder rasch und wirksam in den EU-Raum „Roaming zu Inlandspreisen“ integriert werden können;</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bedauert, dass Serbien weiterhin Abkommen mit Russland über Gaslieferungen abschließt, ohne sich an die Ziele der GASP der EU anzupassen, und dadurch seine strategische Abhängigkeit von einem einzigen Lieferanten verstärkt;</w:t>
            </w:r>
            <w:r>
              <w:t xml:space="preserve"> </w:t>
            </w:r>
            <w:r>
              <w:rPr>
                <w:b/>
                <w:i/>
              </w:rPr>
              <w:t>fordert die staatlichen Stellen Serbiens auf, ihre Bemühungen zur Diversifizierung der Gasversorgungsquellen dringend zu verstärken und zu diesem Zweck unter anderem die regionale Vernetzung auszubauen, in erneuerbare Energieträger zu investieren und die EU-Strategie zur Diversifizierung der Energieversorgung zu übernehmen;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nimmt mit Besorgnis die beständige Abwanderung serbischer Bürger ins Ausland zur Kenntnis, die sich negativ auf die wirtschaftliche und soziale Entwicklung des Landes auswirken könnte;</w:t>
            </w:r>
            <w:r>
              <w:t xml:space="preserve"> </w:t>
            </w:r>
            <w:r>
              <w:rPr>
                <w:b/>
                <w:i/>
              </w:rPr>
              <w:t>fordert die serbische Regierung auf, gezielte und wirksame Maßnahmen zu ergreifen, um die serbischen Bürger wieder ins Land zu holen, etwa indem angemessene finanzielle Anreize und bessere Beschäftigungs- und Lebensbedingungen geschaffen werden;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bedauert, dass trotz der Bemühungen Serbiens, seine Energieversorgung von Russland unabhängig zu machen, die jüngsten Gespräche zwischen Präsident Aleksandar Vučić und Wladimir Putin zu einem neuen Gasimportabkommen mit Russland geführt haben, was die Fortschritte des Landes bei der Angleichung an die EU-Energiepolitik zunichtemacht und ernsthafte Zweifel an der Absicht Serbiens aufwirft, seine strategische Abhängigkeit von Energielieferungen aus Russland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stellt fest, dass Serbien im wirtschaftlichen Bereich gut vorbereitet ist, was makroökonomische Sicherheit und Stabilität, Haushaltsdisziplin sowie die Statistik betrifft;</w:t>
            </w:r>
            <w:r>
              <w:t xml:space="preserve"> </w:t>
            </w:r>
            <w:r>
              <w:rPr>
                <w:b/>
                <w:i/>
              </w:rPr>
              <w:t>stellt fest, dass hinsichtlich der Grünen Agenda, des Umweltschutzes, des Klimawandels und des transeuropäischen Netzes zufriedenstellende Fortschritte erzielt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ist der Ansicht, dass die Weigerung Serbiens, sich den Sanktionen gegen Russland anzuschließen, eine inakzeptable Abkehr von der gemeinsamen Linie der EU darstellt, und vertritt die Auffassung, dass dadurch die Glaubwürdigkeit des Beitrittsprozesses des Landes grundlegend untergraben wird;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bekräftigt, dass es wichtig ist, die Energieversorgung Serbiens weiter zu diversifizieren, um seine Abhängigkeit von Russland zu verringern;</w:t>
            </w:r>
            <w:r>
              <w:t xml:space="preserve"> </w:t>
            </w:r>
            <w:r>
              <w:rPr>
                <w:b/>
                <w:i/>
              </w:rPr>
              <w:t>stellt fest, dass die Diversifizierung der Energieversorgung als Teil der strategischen Ausrichtung des Landes betrachtet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begrüßt die Bemühungen um eine Entflechtung des Unternehmens „Srbijagas“ und die Förderung von Reformen, die auf die Stärkung der Energieunabhängigkeit und die Diversifizierung der Energiequellen abzielen, insbesondere durch die Verringerung der Abhängigkeit von dominanten Lieferanten aus Drittländern;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begrüßt die Maßnahmen, die die staatlichen Stellen Serbiens am 5. April 2026 ergriffen haben, um den Terroranschlag auf die serbisch-ungarische Gasrohrleitung „Turkish Stream“ in der Nähe von Trešnjevac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nimmt mit Bedauern die demografischen Herausforderungen zur Kenntnis, denen Serbien aufgrund der alternden Bevölkerung und der niedrigen Geburtenraten gegenübersteht, die durch die Abwanderung junger Menschen aufgrund politischer Unsicherheit und sozioökonomischer Schwierigkeiten noch verschärft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begrüßt die Bemühungen um eine Entflechtung des Unternehmens „Srbijagas“ sowie weitere Maßnahmen zur Erreichung der Energieunabhängigkeit und zur Diversifizierung der Energiequellen;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hält es für ein unerlässliches sicherheitspolitisches Ziel, dass Serbien sich von der Versorgung mit russischer Energie lossagt;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bekräftigt, dass es insbesondere mit Blick auf Bergbauprojekte wichtig ist, Umweltstandards in Serbien zu schützen, und dass gleichzeitig die Rechte der ortsansässigen Gemeinschaften uneingeschränkt geachtet werden müssen;</w:t>
            </w:r>
          </w:p>
        </w:tc>
        <w:tc>
          <w:tcPr>
            <w:tcW w:w="4876" w:type="dxa"/>
            <w:tcBorders>
              <w:top w:val="nil"/>
              <w:left w:val="nil"/>
              <w:bottom w:val="nil"/>
              <w:right w:val="nil"/>
            </w:tcBorders>
          </w:tcPr>
          <w:p>
            <w:pPr>
              <w:pStyle w:val="Normal6a"/>
            </w:pPr>
            <w:r>
              <w:t>27.</w:t>
            </w:r>
            <w:r>
              <w:tab/>
            </w:r>
            <w:r>
              <w:t xml:space="preserve">bekräftigt, dass es insbesondere mit Blick auf Bergbauprojekte wichtig ist, Umweltstandards in Serbien zu schützen, und dass gleichzeitig die Rechte der ortsansässigen Gemeinschaften uneingeschränkt geachtet werden müssen; </w:t>
            </w:r>
            <w:r>
              <w:rPr>
                <w:b/>
                <w:i/>
              </w:rPr>
              <w:t>begrüßt die Vereinbarung zwischen der Europäischen Union und der Republik Serbien über eine strategische Partnerschaft zu nachhaltigen Rohstoffen, Wertschöpfungsketten für Batterien und Elektrofahrzeugen;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bekräftigt, dass es insbesondere mit Blick auf Bergbauprojekte wichtig ist, Umweltstandards in Serbien zu schützen, und dass gleichzeitig die Rechte der ortsansässigen Gemeinschaften uneingeschränkt geachtet werden müssen;</w:t>
            </w:r>
          </w:p>
        </w:tc>
        <w:tc>
          <w:tcPr>
            <w:tcW w:w="4876" w:type="dxa"/>
            <w:tcBorders>
              <w:top w:val="nil"/>
              <w:left w:val="nil"/>
              <w:bottom w:val="nil"/>
              <w:right w:val="nil"/>
            </w:tcBorders>
          </w:tcPr>
          <w:p>
            <w:pPr>
              <w:pStyle w:val="Normal6a"/>
            </w:pPr>
            <w:r>
              <w:t>27.</w:t>
            </w:r>
            <w:r>
              <w:tab/>
            </w:r>
            <w:r>
              <w:t xml:space="preserve">bekräftigt, dass es insbesondere mit Blick auf Bergbauprojekte wichtig ist, Umweltstandards in Serbien zu schützen, und dass gleichzeitig die Rechte der ortsansässigen Gemeinschaften uneingeschränkt geachtet werden müssen; </w:t>
            </w:r>
            <w:r>
              <w:rPr>
                <w:b/>
                <w:i/>
              </w:rPr>
              <w:t>begrüßt die Vereinbarung zwischen der Europäischen Union und der Republik Serbien über eine strategische Partnerschaft zu nachhaltigen Rohstoffen, Wertschöpfungsketten für Batterien und Elektrofahrzeugen;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bekräftigt, dass es insbesondere mit Blick auf Bergbauprojekte wichtig ist, </w:t>
            </w:r>
            <w:r>
              <w:rPr>
                <w:b/>
                <w:i/>
              </w:rPr>
              <w:t>Umweltstandards</w:t>
            </w:r>
            <w:r>
              <w:t xml:space="preserve"> in Serbien </w:t>
            </w:r>
            <w:r>
              <w:rPr>
                <w:b/>
                <w:i/>
              </w:rPr>
              <w:t>zu schützen</w:t>
            </w:r>
            <w:r>
              <w:t>, und dass gleichzeitig die Rechte der ortsansässigen Gemeinschaften uneingeschränkt geachtet werden müssen;</w:t>
            </w:r>
          </w:p>
        </w:tc>
        <w:tc>
          <w:tcPr>
            <w:tcW w:w="4876" w:type="dxa"/>
            <w:tcBorders>
              <w:top w:val="nil"/>
              <w:left w:val="nil"/>
              <w:bottom w:val="nil"/>
              <w:right w:val="nil"/>
            </w:tcBorders>
          </w:tcPr>
          <w:p>
            <w:pPr>
              <w:pStyle w:val="Normal6a"/>
            </w:pPr>
            <w:r>
              <w:t>27.</w:t>
            </w:r>
            <w:r>
              <w:tab/>
            </w:r>
            <w:r>
              <w:t xml:space="preserve">bekräftigt, dass es insbesondere mit Blick auf Bergbauprojekte wichtig ist, </w:t>
            </w:r>
            <w:r>
              <w:rPr>
                <w:b/>
                <w:i/>
              </w:rPr>
              <w:t>die Umwelt- und Naturschutzstandards</w:t>
            </w:r>
            <w:r>
              <w:t xml:space="preserve"> in Serbien </w:t>
            </w:r>
            <w:r>
              <w:rPr>
                <w:b/>
                <w:i/>
              </w:rPr>
              <w:t>vollständig einzuhalten, insbesondere auch in Gebieten mit hohem ökologischen Wert wie Schutzgebieten und Urwäldern im Osten Serbiens</w:t>
            </w:r>
            <w:r>
              <w:t>, und dass gleichzeitig die Rechte der ortsansässigen Gemeinschaften uneingeschränkt geachtet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ist besorgt über die gemeldeten Umweltschäden und sozialen Auswirkungen im Zusammenhang mit groß angelegten Rohstoffförderungsprojekten, insbesondere seit dem Verkauf des Bergbau- und Verhüttungskomplexes RTB Bor an das chinesische Unternehmen Zijin im Jahr 2018, was zur Folge hatte, dass in den Gemeinden Bor und Majdanpek verstärkt Kupfer, Gold und andere seltene Rohstoffe abgebaut werden;</w:t>
            </w:r>
            <w:r>
              <w:t xml:space="preserve"> </w:t>
            </w:r>
            <w:r>
              <w:rPr>
                <w:b/>
                <w:i/>
              </w:rPr>
              <w:t>betont, dass solche Aktivitäten ernsthafte Besorgnis hinsichtlich ihrer Auswirkungen auf die Gemeinschaften vor Ort hervorgerufen haben, darunter die Vertreibung von Angehörigen der rumänischen Minderheit, wodurch sich die ethnische Zusammensetzung des Gebiets verändert und verfassungsrechtliche Garantien ausgehebelt werden;</w:t>
            </w:r>
            <w:r>
              <w:t xml:space="preserve"> </w:t>
            </w:r>
            <w:r>
              <w:rPr>
                <w:b/>
                <w:i/>
              </w:rPr>
              <w:t>betont, dass Serbien bei der Genehmigung und Umsetzung solcher Projekte dafür sorgen muss, dass seine verfassungsmäßige Ordnung uneingeschränkt gewahrt wird, die Umweltstandards konsequent eingehalten werden und die Rechte lokaler und nationaler Minderheiten geschützt werden;</w:t>
            </w:r>
            <w:r>
              <w:t xml:space="preserve"> </w:t>
            </w:r>
            <w:r>
              <w:rPr>
                <w:b/>
                <w:i/>
              </w:rPr>
              <w:t>fordert die staatlichen Stellen Serbiens auf, bei der Vergabe öffentlicher Aufträge, Privatisierungen und Konzessionsverfahren, an denen ausländische Unternehmen in Staatsbesitz, einschließlich chinesischer Auftragnehmer, beteiligt sind, für uneingeschränkte Transparenz, Rechenschaftspflicht und Sorgfaltspflicht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Serbien auf, die Angleichung an die Vogelschutzrichtlinie und die Habitat-Richtlinie zu beschleunigen und die Bemühungen zur Ermittlung und vorläufigen Ausweisung von Gebieten für Natura 2000 deutlich zu verstärken, um den wesentlichen Verpflichtungen gemäß Kapitel 27 nachzukommen, sowie Schutzgebiete auszuweiten und wirksam zu verwalten, einschließlich einer verstärkten Strafverfolgung bei Wildtierkriminalität;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die Kommission auf, die neuen EU- und EWR-Vorschriften zu überdenken, mit denen der Aufenthalt von Lkw-Fahrern aus Montenegro, Serbien, Bosnien und Herzegowina sowie Nordmazedonien in der EU auf 90 Tage innerhalb eines Halbjahres beschränkt wird, wodurch die Existenzgrundlage der Menschen in den Bewerberländern gefährdet wird und die Lieferketten in der EU möglicherweise gestört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ist besorgt über die schwerwiegenden Auswirkungen auf die Umwelt und die öffentliche Gesundheit, einschließlich der Luft-, Boden- und Wasserverschmutzung, die durch Bergbau- und Industrieaktivitäten chinesischer Investoren verursacht werden, insbesondere im Zusammenhang mit den Aktivitäten des Unternehmens Zijin Mining in Serbien;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betont, dass es für Serbien von grundlegender strategischer Bedeutung ist, dass wichtige Energieunternehmen weiterhin in staatlichem Besitz bleiben, da dies ein entscheidendes Instrument darstellt, um die Energiesouveränität sicherzustellen, die Bürgerinnen und Bürger vor Preisschwankungen zu schützen und einen koordinierten grünen Wandel zu 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bekräftigt sein Bedauern darüber, dass nichts gegen die Verschmutzung des Flusses Dragovištica, die durch die in der Region betriebenen Bergwerke verursacht wird, sowie gegen die negativen Folgen für die Gesundheit der örtlichen Bevölkerung und für die Umwelt unternommen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Serbien auf, Investitionen aus Drittländern ordnungsgemäß und transparent zu prüfen und zu bewerten, insbesondere im Hinblick auf Umweltstandards und Nachhaltigkeit;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Serbien auf, die in der Vereinbarung über die Zusammenarbeit mit Bulgarien im Bereich des Umweltschutzes festgelegten Maßnahmen unverzüglich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begrüßt die Vereinbarung zwischen der EU und Serbien, mit der eine strategische Partnerschaft für nachhaltige Rohstoffe, Batterie-Wertschöpfungsketten und Elektrofahrzeuge ins Leben gerufen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Serbien auf, die grenzüberschreitende Zusammenarbeit mit Nachbarländern zu vertiefen, insbesondere im Bereich der grenzüberschreitenden Straßeninfrastruktur;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warnt davor, weitere intransparente Privatisierungsverfahren in strategischen Branchen durchzuführen;</w:t>
            </w:r>
            <w:r>
              <w:t xml:space="preserve"> </w:t>
            </w:r>
            <w:r>
              <w:rPr>
                <w:b/>
                <w:i/>
              </w:rPr>
              <w:t>fordert Serbien nachdrücklich auf, dafür zu sorgen, dass jede Umstrukturierung bzw. Umwandlung staatlicher Unternehmen in privatrechtliche Unternehmen unter vollständiger Einhaltung der Grundsätze des sozialen Dialogs erfolgt, wobei eine sinnstiftende Einbindung der Gewerkschaften und der Arbeitnehmervertreter in die Beschlussfassung sichergestellt sein muss, um eine Aushöhlung der Arbeitnehmerrechte und den Verlust der öffentlichen Kontrolle über wesentliche Dienstleistungen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bekräftigt, dass bei der grenzüberschreitenden Zusammenarbeit mit Nachbarländern weitere Fortschritte erzielt werden müssen;</w:t>
            </w:r>
            <w:r>
              <w:t xml:space="preserve"> </w:t>
            </w:r>
            <w:r>
              <w:rPr>
                <w:b/>
                <w:i/>
              </w:rPr>
              <w:t>fordert Serbien nachdrücklich auf, die in der Vereinbarung über die Zusammenarbeit mit Bulgarien im Bereich des Umweltschutzes festgelegten Maßnahmen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nimmt zur Kenntnis, dass die EU Serbien beträchtliche finanzielle Unterstützung zukommen lässt;</w:t>
            </w:r>
            <w:r>
              <w:t xml:space="preserve"> </w:t>
            </w:r>
            <w:r>
              <w:rPr>
                <w:b/>
                <w:i/>
              </w:rPr>
              <w:t>fordert die Kommission auf, die Mittel der Steuerzahler der EU optimal zu verwenden und die notwendigen Voraussetzungen für die Verbesserung der strategischen Wettbewerbsfähigkeit von Unternehmen aus der EU auf dem Markt Serbiens zu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betont, dass die regionale Anbindung an die EU ordnungsgemäß umgesetzt und geplant werden sollte, um die Wirtschafts- und Investitionsförderung zu erleichtern, was den europäischen Unternehmen und Steuerzahlern zugutekommen wird;</w:t>
            </w:r>
            <w:r>
              <w:t xml:space="preserve"> </w:t>
            </w:r>
            <w:r>
              <w:rPr>
                <w:b/>
                <w:i/>
              </w:rPr>
              <w:t>fordert Serbien auf, die rechtlichen und wirtschaftlichen Hindernisse zu beseitigen, die den Betrieb der Gasverbindungsleitung zwischen Serbien und Bulgarien (IBS) verhindern;</w:t>
            </w:r>
            <w:r>
              <w:t xml:space="preserve"> </w:t>
            </w:r>
            <w:r>
              <w:rPr>
                <w:b/>
                <w:i/>
              </w:rPr>
              <w:t>weist darauf hin, dass mit transeuropäischen Energie- und Verkehrsnetzen die Versorgungssicherheit gestärkt wird, Abhängigkeiten verringert werden und die wirtschaftlichen sowie zwischenmenschlichen Verbindungen verbessert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beauftragt seine Präsidentin, diese Entschließung dem Präsidenten des Europäischen Rates, der Kommission, der Hohen Vertreterin der Union für Außen- und Sicherheitspolitik und Vizepräsidentin der Kommission, den Regierungen und Parlamenten der Mitgliedstaaten </w:t>
            </w:r>
            <w:r>
              <w:rPr>
                <w:b/>
                <w:i/>
              </w:rPr>
              <w:t>sowie</w:t>
            </w:r>
            <w:r>
              <w:t xml:space="preserve"> dem Präsidenten, der Regierung und der Nationalversammlung Serbiens zu übermitteln.</w:t>
            </w:r>
          </w:p>
        </w:tc>
        <w:tc>
          <w:tcPr>
            <w:tcW w:w="4876" w:type="dxa"/>
            <w:tcBorders>
              <w:top w:val="nil"/>
              <w:left w:val="nil"/>
              <w:bottom w:val="nil"/>
              <w:right w:val="nil"/>
            </w:tcBorders>
          </w:tcPr>
          <w:p>
            <w:pPr>
              <w:pStyle w:val="Normal6a"/>
            </w:pPr>
            <w:r>
              <w:t>28.</w:t>
            </w:r>
            <w:r>
              <w:tab/>
            </w:r>
            <w:r>
              <w:t>beauftragt seine Präsidentin, diese Entschließung dem Präsidenten des Europäischen Rates, der Kommission, der Hohen Vertreterin der Union für Außen- und Sicherheitspolitik und Vizepräsidentin der Kommission, den Regierungen und Parlamenten der Mitgliedstaaten</w:t>
            </w:r>
            <w:r>
              <w:rPr>
                <w:b/>
                <w:i/>
              </w:rPr>
              <w:t>,</w:t>
            </w:r>
            <w:r>
              <w:t xml:space="preserve"> dem Präsidenten, der Regierung und der Nationalversammlung Serbiens </w:t>
            </w:r>
            <w:r>
              <w:rPr>
                <w:b/>
                <w:i/>
              </w:rPr>
              <w:t>sowie dem Vorsitzenden und dem Generalsekretär der Organisation für Sicherheit und Zusammenarbeit in Europa</w:t>
            </w:r>
            <w:r>
              <w:t xml:space="preserve">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beauftragt seine Präsidentin, diese Entschließung dem Präsidenten des Europäischen Rates, der Kommission</w:t>
            </w:r>
            <w:r>
              <w:rPr>
                <w:b/>
                <w:i/>
              </w:rPr>
              <w:t>,</w:t>
            </w:r>
            <w:r>
              <w:t xml:space="preserve"> der Hohen Vertreterin der Union für Außen- und Sicherheitspolitik und Vizepräsidentin der Kommission</w:t>
            </w:r>
            <w:r>
              <w:rPr>
                <w:b/>
                <w:i/>
              </w:rPr>
              <w:t>, den</w:t>
            </w:r>
            <w:r>
              <w:t xml:space="preserve"> Regierungen und </w:t>
            </w:r>
            <w:r>
              <w:rPr>
                <w:b/>
                <w:i/>
              </w:rPr>
              <w:t>Parlamenten</w:t>
            </w:r>
            <w:r>
              <w:t xml:space="preserve"> der Mitgliedstaaten sowie </w:t>
            </w:r>
            <w:r>
              <w:rPr>
                <w:b/>
                <w:i/>
              </w:rPr>
              <w:t>dem</w:t>
            </w:r>
            <w:r>
              <w:t xml:space="preserve"> Präsidenten, </w:t>
            </w:r>
            <w:r>
              <w:rPr>
                <w:b/>
                <w:i/>
              </w:rPr>
              <w:t>der</w:t>
            </w:r>
            <w:r>
              <w:t xml:space="preserve"> Regierung und </w:t>
            </w:r>
            <w:r>
              <w:rPr>
                <w:b/>
                <w:i/>
              </w:rPr>
              <w:t>der</w:t>
            </w:r>
            <w:r>
              <w:t xml:space="preserve"> Nationalversammlung Serbiens </w:t>
            </w:r>
            <w:r>
              <w:rPr>
                <w:b/>
                <w:i/>
              </w:rPr>
              <w:t>zu übermitteln</w:t>
            </w:r>
            <w:r>
              <w:t>.</w:t>
            </w:r>
          </w:p>
        </w:tc>
        <w:tc>
          <w:tcPr>
            <w:tcW w:w="4876" w:type="dxa"/>
            <w:tcBorders>
              <w:top w:val="nil"/>
              <w:left w:val="nil"/>
              <w:bottom w:val="nil"/>
              <w:right w:val="nil"/>
            </w:tcBorders>
          </w:tcPr>
          <w:p>
            <w:pPr>
              <w:pStyle w:val="Normal6a"/>
            </w:pPr>
            <w:r>
              <w:t>28.</w:t>
            </w:r>
            <w:r>
              <w:tab/>
            </w:r>
            <w:r>
              <w:t xml:space="preserve">beauftragt seine Präsidentin, diese Entschließung dem Präsidenten des Europäischen Rates, der Kommission </w:t>
            </w:r>
            <w:r>
              <w:rPr>
                <w:b/>
                <w:i/>
              </w:rPr>
              <w:t>und</w:t>
            </w:r>
            <w:r>
              <w:t xml:space="preserve"> der Hohen Vertreterin der Union für Außen- und Sicherheitspolitik und Vizepräsidentin der Kommission </w:t>
            </w:r>
            <w:r>
              <w:rPr>
                <w:b/>
                <w:i/>
              </w:rPr>
              <w:t>zu übermitteln, sie ins Serbische übersetzen zu lassen und an die</w:t>
            </w:r>
            <w:r>
              <w:t xml:space="preserve"> Regierungen und </w:t>
            </w:r>
            <w:r>
              <w:rPr>
                <w:b/>
                <w:i/>
              </w:rPr>
              <w:t>Parlamente</w:t>
            </w:r>
            <w:r>
              <w:t xml:space="preserve"> der Mitgliedstaaten sowie </w:t>
            </w:r>
            <w:r>
              <w:rPr>
                <w:b/>
                <w:i/>
              </w:rPr>
              <w:t>an den</w:t>
            </w:r>
            <w:r>
              <w:t xml:space="preserve"> Präsidenten, </w:t>
            </w:r>
            <w:r>
              <w:rPr>
                <w:b/>
                <w:i/>
              </w:rPr>
              <w:t>die</w:t>
            </w:r>
            <w:r>
              <w:t xml:space="preserve"> Regierung und </w:t>
            </w:r>
            <w:r>
              <w:rPr>
                <w:b/>
                <w:i/>
              </w:rPr>
              <w:t>die</w:t>
            </w:r>
            <w:r>
              <w:t xml:space="preserve"> Nationalversammlung Serbiens </w:t>
            </w:r>
            <w:r>
              <w:rPr>
                <w:b/>
                <w:i/>
              </w:rPr>
              <w:t>weiterzuleiten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betont, dass die vollständige und ordnungsgemäße Umsetzung der kürzlich angenommenen Rechtsvorschriften zur Umweltverträglichkeitsprüfung (UVP) und zur strategischen Umweltprüfung (SUP) in der Praxis weiterhin oberste Priorität hat;</w:t>
            </w:r>
            <w:r>
              <w:t xml:space="preserve"> </w:t>
            </w:r>
            <w:r>
              <w:rPr>
                <w:b/>
                <w:i/>
              </w:rPr>
              <w:t>stellt fest, dass trotz Fortschritten bei der Rechtsangleichung weiterhin Bedenken hinsichtlich der Transparenz, der Beteiligung der Öffentlichkeit und der Gefahr bestehen, dass Projekte ohne umfassende Umweltprüfung durchgeführt werden;</w:t>
            </w:r>
            <w:r>
              <w:t xml:space="preserve"> </w:t>
            </w:r>
            <w:r>
              <w:rPr>
                <w:b/>
                <w:i/>
              </w:rPr>
              <w:t>betont, dass eine wirksame Umsetzung für die Wahrung der Glaubhaftigkeit der Umweltpolitik von entscheidender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begrüßt den Vorschlag der Kommission, Verhandlungen über die Ausweitung der EU-Regelung „Roaming zu Inlandspreisen“ auf die Westbalkanländer aufzunehmen. und fordert, dass die Verhandlungen rasch abgeschlossen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fordert, dass weitere Anstrengungen unternommen werden, um die Angleichung an die Vogelschutzrichtlinie und die Habitat-Richtlinie voranzutreiben und die Einrichtung von Natura 2000 zu beschleunigen;</w:t>
            </w:r>
            <w:r>
              <w:t xml:space="preserve"> </w:t>
            </w:r>
            <w:r>
              <w:rPr>
                <w:b/>
                <w:i/>
              </w:rPr>
              <w:t>stellt fest, dass bei der Ermittlung und Vorbereitung von Standorten nach wie vor nur begrenzt Fortschritte erzielt wurden, was die Gefahr birgt, dass Serbien die grundlegenden Anforderungen an die biologische Vielfalt gemäß Kapitel 27 nur mit Verzögerung erfüllen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28c.</w:t>
            </w:r>
            <w:r>
              <w:tab/>
            </w:r>
            <w:r>
              <w:rPr>
                <w:b/>
                <w:i/>
              </w:rPr>
              <w:t>ist besorgt über den zunehmenden Druck der Rohstoffindustrie auf Gebiete mit hoher biologischer Vielfalt, darunter Schutzgebiete und Urwaldökosysteme;</w:t>
            </w:r>
            <w:r>
              <w:t xml:space="preserve"> </w:t>
            </w:r>
            <w:r>
              <w:rPr>
                <w:b/>
                <w:i/>
              </w:rPr>
              <w:t>erachtet es als wichtig, dafür zu sorgen, dass solche Gebiete wirksam geschützt werden und dass keine Projekte genehmigt werden, bei denen die Umweltvorschriften nicht vollständig eingehalten und keine soliden Prüfungsverfahren durchgeführt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88</w:t>
    </w:r>
    <w:r>
      <w:fldChar w:fldCharType="end"/>
    </w:r>
    <w:r>
      <w:t>/</w:t>
    </w:r>
    <w:r>
      <w:fldChar w:fldCharType="begin"/>
    </w:r>
    <w:r>
      <w:instrText xml:space="preserve"> NUMPAGES </w:instrText>
    </w:r>
    <w:r>
      <w:fldChar w:fldCharType="separate"/>
    </w:r>
    <w:r>
      <w:t>88</w:t>
    </w:r>
    <w:r>
      <w:fldChar w:fldCharType="end"/>
    </w:r>
    <w:r>
      <w:tab/>
    </w:r>
    <w:r>
      <w:rPr>
        <w:rStyle w:val="HideTWBExt"/>
      </w:rPr>
      <w:t>&lt;PathFdR&gt;</w:t>
    </w:r>
    <w:r>
      <w:t>AM\1341076DE.docx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AM\1341076DE.docx</w:t>
    </w:r>
    <w:r>
      <w:rPr>
        <w:rStyle w:val="HideTWBExt"/>
      </w:rPr>
      <w:t>&lt;/PathFdR&gt;</w:t>
    </w:r>
    <w:r>
      <w:tab/>
    </w:r>
    <w:r>
      <w:fldChar w:fldCharType="begin"/>
    </w:r>
    <w:r>
      <w:instrText xml:space="preserve"> PAGE </w:instrText>
    </w:r>
    <w:r>
      <w:fldChar w:fldCharType="separate"/>
    </w:r>
    <w:r>
      <w:t>87</w:t>
    </w:r>
    <w:r>
      <w:fldChar w:fldCharType="end"/>
    </w:r>
    <w:r>
      <w:t>/</w:t>
    </w:r>
    <w:r>
      <w:fldChar w:fldCharType="begin"/>
    </w:r>
    <w:r>
      <w:instrText xml:space="preserve"> NUMPAGES </w:instrText>
    </w:r>
    <w:r>
      <w:fldChar w:fldCharType="separate"/>
    </w:r>
    <w:r>
      <w:t>88</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AM\1341076DE.docx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88</Pages>
  <Words>14763</Words>
  <Characters>102359</Characters>
  <Application>Microsoft Office Word</Application>
  <DocSecurity>0</DocSecurity>
  <Lines>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491115</vt:lpwstr>
  </property>
  <property fmtid="{D5CDD505-2E9C-101B-9397-08002B2CF9AE}" pid="7" name="dmxml.render.traceId">
    <vt:lpwstr>6a0adca024e04191f09c0b83b38347d1</vt:lpwstr>
  </property>
  <property fmtid="{D5CDD505-2E9C-101B-9397-08002B2CF9AE}" pid="8" name="FooterPath">
    <vt:lpwstr>AM\1341076DE.docx</vt:lpwstr>
  </property>
  <property fmtid="{D5CDD505-2E9C-101B-9397-08002B2CF9AE}" pid="9" name="PE Number">
    <vt:lpwstr>786.972</vt:lpwstr>
  </property>
  <property fmtid="{D5CDD505-2E9C-101B-9397-08002B2CF9AE}" pid="10" name="UID">
    <vt:lpwstr>eu.europa.europarl-DIN1-2026-0000095280_02.00-de-01.00_text-xml</vt:lpwstr>
  </property>
</Properties>
</file>