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Eiropas Parlaments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Ārlietu komiteja</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GROZĪJUMI Nr.</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Ziņojuma projekts</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Komisijas 2025. gada ziņojums par Serbiju</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Grozījums Nr.</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mudina Serbijas iestādes paplašināt sabiedriskās apraides pakalpojumu pieejamību visās minoritāšu valodās visā valstī un nodrošināt vienlīdzīgu piekļuvi medijiem visām kopienām, balstoties uz Vojvodinas reģiona labāko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aicina Serbijas iestādes, valstij cenšoties pievienoties Eiropas Savienībai, noteikt par prioritāti pilnīgu, efektīvu un konsekventu pašreizējā tiesiskā un politiskā satvara īstenošanu, lai aizsargātu personas, kas pieder pie nacionālajām minoritātēm, saskaņā ar tās saistībām, kas noteiktas Eiropas Padomes Vispārējā konvencijā par nacionālo minoritāšu aizsardzību, un attiecīgajām Eiropas normām;</w:t>
            </w:r>
            <w:r>
              <w:t xml:space="preserve"> </w:t>
            </w:r>
            <w:r>
              <w:rPr>
                <w:b/>
                <w:i/>
              </w:rPr>
              <w:t>mudina iestādes panākt konkrētu un izmērāmu progresu visās galvenajās jomās, tostarp izglītībā, valsts pārvaldē, mediju pieejamībā un reliģijas brīvībā, stiprinot izpildes mehānismus, novēršot diskriminējošu praksi un nosakot skaidrus termiņus, ieviešot regulāru uzraudzību un pārredzamu ziņošanu, lai minoritātes savas tiesības varētu efektīvi izmantot praksē;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atkārtoti pauž bažas par Likuma par pastāvīgu un pagaidu uzturēšanos ierobežojošu un patvaļīgu izpildi saistībā ar tūkstošiem albāņu adrešu padarīšanu par neaktīvām Serbijas dienvidos;</w:t>
            </w:r>
            <w:r>
              <w:t xml:space="preserve"> </w:t>
            </w:r>
            <w:r>
              <w:rPr>
                <w:b/>
                <w:i/>
              </w:rPr>
              <w:t>aicina Iekšlietu ministrijas Iekšējās kontroles nodaļu un prokuratūru izmeklēt policijas iecirkņu darbības Bujanovacā, Preševā un Medvedā;</w:t>
            </w:r>
            <w:r>
              <w:t xml:space="preserve"> </w:t>
            </w:r>
            <w:r>
              <w:rPr>
                <w:b/>
                <w:i/>
              </w:rPr>
              <w:t>mudina Iekšlietu ministriju pēc iespējas drīzāk publiskot visaptverošu statistiku par pilsoņiem, kuriem no 2011. gada līdz 2024. gadam Medvedā, Bujanovacā un Preševā padarīts neaktīvs pilsoņa statuss, ar dalījumu pēc viņu valstspiederības/etniskās piederības;</w:t>
            </w:r>
            <w:r>
              <w:t xml:space="preserve"> </w:t>
            </w:r>
            <w:r>
              <w:rPr>
                <w:b/>
                <w:i/>
              </w:rPr>
              <w:t>uzsver, ka Publiskās pārvaldes un vietējo pašvaldību ministrijai ir jāaptur process, kurā no vienotā vēlētāju saraksta tiek svītroti pilsoņi ar neaktīvām adresēm;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pauž visstingrāko nožēlu par nesen notikušajām traucējošajām policijas darbībām universitātes telpās, tostarp kratīšanu un Belgradas Universitātes rektora Vladan Đokić iekšējās dokumentācijas izņemšanu un pret viņu veikto izmeklēšanu, kas tika pārraidītas tiešraidē valdību atbalstošos televīzijas kanālos, tādējādi norādot uz to, cik lielā mērā problēma ir politizēta, kas neatbilst institucionālās autonomijas, taisnīga procesa un tiesiskuma principiem;</w:t>
            </w:r>
            <w:r>
              <w:t xml:space="preserve"> </w:t>
            </w:r>
            <w:r>
              <w:rPr>
                <w:b/>
                <w:i/>
              </w:rPr>
              <w:t>aicina attiecīgās iestādes veikt mērķtiecīgu, pārredzamu un juridiski pamatotu izmeklēšanu pēc Filozofijas fakultātes studentes traģiskās nāves;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atkārto, ka labas kaimiņattiecības un reģionālā sadarbība joprojām ir būtiski paplašināšanās procesa elementi;</w:t>
            </w:r>
            <w:r>
              <w:t xml:space="preserve"> </w:t>
            </w:r>
            <w:r>
              <w:rPr>
                <w:b/>
                <w:i/>
              </w:rPr>
              <w:t>aicina Serbiju pārtraukt ierobežot reģionālo pilsoniskās sabiedrības aktīvistu un mākslinieku ieceļošanu, jo šāda prakse apdraud reģionālo dialogu un sadarbību;</w:t>
            </w:r>
            <w:r>
              <w:t xml:space="preserve"> </w:t>
            </w:r>
            <w:r>
              <w:rPr>
                <w:b/>
                <w:i/>
              </w:rPr>
              <w:t>uzsver, ka Serbijai ir svarīgi attīstīt labas kaimiņattiecības, īstenot divpusējus nolīgumus un atrisināt vēl neatrisinātos divpusējos jautājumus ar kaimiņvalstīm;</w:t>
            </w:r>
            <w:r>
              <w:t xml:space="preserve"> </w:t>
            </w:r>
            <w:r>
              <w:rPr>
                <w:b/>
                <w:i/>
              </w:rPr>
              <w:t>norāda uz Serbijas dalību reģionālās iniciatīvās un aktīvo iesaistīšanos Jaunajā izaugsmes plānā Rietumbalkāniem un kopējā reģionālajā tirgū;</w:t>
            </w:r>
            <w:r>
              <w:t xml:space="preserve"> </w:t>
            </w:r>
            <w:r>
              <w:rPr>
                <w:b/>
                <w:i/>
              </w:rPr>
              <w:t>uzsver, ka nacionālo minoritāšu tiesību ievērošana ir būtisks nosacījums Serbijas virzībai uz Eiropu;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atkārto, ka Serbijai ir jāatturas no Rietumbalkānu kaimiņvalstu iekšpolitikas ietekmēšanas, arī attiecībā uz nekonstitucionālajām Serbu Republikas dienas svinībām Bosnijā un Hercegovinā;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18.i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18.i</w:t>
            </w:r>
            <w:r>
              <w:tab/>
            </w:r>
            <w:r>
              <w:rPr>
                <w:b/>
                <w:i/>
              </w:rPr>
              <w:t>atkārto, ka Serbijai ir jābeidz ietekmēt Rietumbalkānu kaimiņvalstu iekšpolitiku, arī attiecībā uz nekonstitucionālajām Serbu Republikas dienas svinībām Bosnijā un Hercegovinā un Bosnijas un Hercegovinas tiesas lēmumu apšaubīšanu;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18.j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18.j</w:t>
            </w:r>
            <w:r>
              <w:tab/>
            </w:r>
            <w:r>
              <w:rPr>
                <w:b/>
                <w:i/>
              </w:rPr>
              <w:t>pauž bažas par Serbijas iestāžu popularizēto naratīvu, kas kaimiņvalstis attēlo kā nenovēršamu militāru apdraudējumu Serbijai;</w:t>
            </w:r>
            <w:r>
              <w:t xml:space="preserve"> </w:t>
            </w:r>
            <w:r>
              <w:rPr>
                <w:b/>
                <w:i/>
              </w:rPr>
              <w:t>uzsver, ka šāda retorika var nevajadzīgi saasināt spriedzi reģionā un apdraudēt labas kaimiņattiecības;</w:t>
            </w:r>
            <w:r>
              <w:t xml:space="preserve"> </w:t>
            </w:r>
            <w:r>
              <w:rPr>
                <w:b/>
                <w:i/>
              </w:rPr>
              <w:t>aicina Serbijas iestādes atturēties no destabilizējošiem naratīviem un konstruktīvi iesaistīties reģionālajā drošības dialogā un sadarbībā saskaņā ar ES vērtībām un uzņemtajām saistībām;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sagaida, ka Kosova un Serbija pilnībā sadarbosies un veiks</w:t>
            </w:r>
            <w:r>
              <w:t xml:space="preserve"> visus </w:t>
            </w:r>
            <w:r>
              <w:rPr>
                <w:b/>
                <w:i/>
              </w:rPr>
              <w:t>vajadzīgos pasākumus, lai ātri sauktu pie atbildības tos, kas</w:t>
            </w:r>
            <w:r>
              <w:t xml:space="preserve"> 2023. </w:t>
            </w:r>
            <w:r>
              <w:rPr>
                <w:b/>
                <w:i/>
              </w:rPr>
              <w:t>gadā izdarīja teroristisku uzbrukumu Banjskā;</w:t>
            </w:r>
            <w:r>
              <w:t xml:space="preserve"> </w:t>
            </w:r>
            <w:r>
              <w:rPr>
                <w:b/>
                <w:i/>
              </w:rPr>
              <w:t>pauž nožēlu par to, ka Serbija joprojām nav saukusi pie atbildības vainīgos, jo īpaši “Srpska Lista” priekšsēdētāja vietnieku Milan Radoičić</w:t>
            </w:r>
            <w:r>
              <w:t>;</w:t>
            </w:r>
          </w:p>
        </w:tc>
        <w:tc>
          <w:tcPr>
            <w:tcW w:w="4876" w:type="dxa"/>
            <w:tcBorders>
              <w:top w:val="nil"/>
              <w:left w:val="nil"/>
              <w:bottom w:val="nil"/>
              <w:right w:val="nil"/>
            </w:tcBorders>
          </w:tcPr>
          <w:p>
            <w:pPr>
              <w:pStyle w:val="Normal6a"/>
            </w:pPr>
            <w:r>
              <w:t>19.</w:t>
            </w:r>
            <w:r>
              <w:tab/>
            </w:r>
            <w:r>
              <w:rPr>
                <w:b/>
                <w:i/>
              </w:rPr>
              <w:t>aicina visas puses sadarboties, lai likumīgu tiesas procesu ceļā noskaidrotu</w:t>
            </w:r>
            <w:r>
              <w:t xml:space="preserve"> visus </w:t>
            </w:r>
            <w:r>
              <w:rPr>
                <w:b/>
                <w:i/>
              </w:rPr>
              <w:t>faktus saistībā ar</w:t>
            </w:r>
            <w:r>
              <w:t xml:space="preserve"> 2023. </w:t>
            </w:r>
            <w:r>
              <w:rPr>
                <w:b/>
                <w:i/>
              </w:rPr>
              <w:t>gada Banjskas incidentu;</w:t>
            </w:r>
            <w:r>
              <w:t xml:space="preserve"> </w:t>
            </w:r>
            <w:r>
              <w:rPr>
                <w:b/>
                <w:i/>
              </w:rPr>
              <w:t>atgādina, ka kriminālprocesā ir jāievēro taisnīga procesa princips un nevainīguma prezumpcija;</w:t>
            </w:r>
            <w:r>
              <w:t xml:space="preserve"> </w:t>
            </w:r>
            <w:r>
              <w:rPr>
                <w:b/>
                <w:i/>
              </w:rPr>
              <w:t>uzsver, ka tiesvedība ir Serbijas valsts iestāžu ekskluzīvā kompetencē un tai jābūt brīvai no ārēja politiskā spiediena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sagaida, ka </w:t>
            </w:r>
            <w:r>
              <w:rPr>
                <w:b/>
                <w:i/>
              </w:rPr>
              <w:t>Kosova un</w:t>
            </w:r>
            <w:r>
              <w:t xml:space="preserve"> Serbija </w:t>
            </w:r>
            <w:r>
              <w:rPr>
                <w:b/>
                <w:i/>
              </w:rPr>
              <w:t>pilnībā sadarbosies un</w:t>
            </w:r>
            <w:r>
              <w:t xml:space="preserve"> veiks visus vajadzīgos pasākumus</w:t>
            </w:r>
            <w:r>
              <w:rPr>
                <w:b/>
                <w:i/>
              </w:rPr>
              <w:t>, lai</w:t>
            </w:r>
            <w:r>
              <w:t xml:space="preserve"> ātri sauktu pie atbildības tos, kas 2023. gadā izdarīja teroristisku uzbrukumu Banjskā; pauž nožēlu par to, ka Serbija joprojām nav saukusi pie atbildības vainīgos, jo īpaši “Srpska Lista” priekšsēdētāja vietnieku Milan Radoičić;</w:t>
            </w:r>
          </w:p>
        </w:tc>
        <w:tc>
          <w:tcPr>
            <w:tcW w:w="4876" w:type="dxa"/>
            <w:tcBorders>
              <w:top w:val="nil"/>
              <w:left w:val="nil"/>
              <w:bottom w:val="nil"/>
              <w:right w:val="nil"/>
            </w:tcBorders>
          </w:tcPr>
          <w:p>
            <w:pPr>
              <w:pStyle w:val="Normal6a"/>
            </w:pPr>
            <w:r>
              <w:t>19.</w:t>
            </w:r>
            <w:r>
              <w:tab/>
            </w:r>
            <w:r>
              <w:t xml:space="preserve">sagaida, ka Serbija veiks visus vajadzīgos pasākumus </w:t>
            </w:r>
            <w:r>
              <w:rPr>
                <w:b/>
                <w:i/>
              </w:rPr>
              <w:t>un pilnībā sadarbosies ar Kosovu, lai beidzot</w:t>
            </w:r>
            <w:r>
              <w:t xml:space="preserve"> ātri sauktu pie atbildības tos, kas 2023. gadā izdarīja teroristisku uzbrukumu Banjskā; pauž nožēlu par to, ka Serbija joprojām nav saukusi pie atbildības vainīgos, jo īpaši </w:t>
            </w:r>
            <w:r>
              <w:rPr>
                <w:b/>
                <w:i/>
              </w:rPr>
              <w:t>agrāko </w:t>
            </w:r>
            <w:r>
              <w:t>"Srpska Lista" priekšsēdētāja vietnieku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sagaida, ka Kosova un Serbija pilnībā sadarbosies un veiks visus vajadzīgos pasākumus, lai ātri sauktu pie atbildības tos, kas 2023. gadā izdarīja teroristisku uzbrukumu Banjskā; pauž nožēlu par to, ka Serbija joprojām nav saukusi pie atbildības vainīgos, jo īpaši “Srpska Lista” priekšsēdētāja vietnieku Milan Radoičić;</w:t>
            </w:r>
          </w:p>
        </w:tc>
        <w:tc>
          <w:tcPr>
            <w:tcW w:w="4876" w:type="dxa"/>
            <w:tcBorders>
              <w:top w:val="nil"/>
              <w:left w:val="nil"/>
              <w:bottom w:val="nil"/>
              <w:right w:val="nil"/>
            </w:tcBorders>
          </w:tcPr>
          <w:p>
            <w:pPr>
              <w:pStyle w:val="Normal6a"/>
            </w:pPr>
            <w:r>
              <w:t>19.</w:t>
            </w:r>
            <w:r>
              <w:tab/>
            </w:r>
            <w:r>
              <w:t>sagaida, ka Kosova</w:t>
            </w:r>
            <w:r>
              <w:rPr>
                <w:b/>
                <w:i/>
              </w:rPr>
              <w:t>*</w:t>
            </w:r>
            <w:r>
              <w:rPr>
                <w:b/>
                <w:i/>
                <w:vertAlign w:val="superscript"/>
              </w:rPr>
              <w:t>1a</w:t>
            </w:r>
            <w:r>
              <w:t xml:space="preserve"> un Serbija pilnībā sadarbosies un veiks visus vajadzīgos pasākumus, lai ātri sauktu pie atbildības tos, kas 2023. gadā izdarīja teroristisku uzbrukumu Banjskā; pauž nožēlu par to, ka Serbija joprojām nav saukusi pie atbildības vainīgos, jo īpaši “Srpska Lista” priekšsēdētāja vietnieku Milan Radoičić;</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Šis nosaukums neskar nostājas par statusu un atbilst ANO Drošības padomes Rezolūcijai Nr. 1244/99 un Starptautiskās Tiesas atzinumam par Kosovas neatkarības deklarāciju.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sagaida, ka Kosova un Serbija pilnībā sadarbosies un veiks visus vajadzīgos pasākumus, lai ātri sauktu pie atbildības tos, kas 2023. gadā izdarīja teroristisku uzbrukumu Banjskā; pauž nožēlu par to, ka Serbija joprojām nav saukusi pie atbildības vainīgos, jo īpaši “Srpska Lista” priekšsēdētāja vietnieku Milan Radoičić;</w:t>
            </w:r>
          </w:p>
        </w:tc>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2023. gadā izdarīja teroristisku uzbrukumu Banjskā; pauž nožēlu par to, ka Serbija joprojām nav saukusi pie atbildības vainīgos, jo īpaši </w:t>
            </w:r>
            <w:r>
              <w:rPr>
                <w:b/>
                <w:i/>
              </w:rPr>
              <w:t>agrāko </w:t>
            </w:r>
            <w:r>
              <w:t>"Srpska Lista" priekšsēdētāja vietnieku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2023. gadā izdarīja teroristisku uzbrukumu Banjskā; pauž nožēlu par to, ka Serbija joprojām nav saukusi pie atbildības vainīgos, jo īpaši </w:t>
            </w:r>
            <w:r>
              <w:rPr>
                <w:b/>
                <w:i/>
              </w:rPr>
              <w:t>“Srpska Lista” priekšsēdētāja vietnieku</w:t>
            </w:r>
            <w:r>
              <w:t xml:space="preserve"> Milan Radoičić;</w:t>
            </w:r>
          </w:p>
        </w:tc>
        <w:tc>
          <w:tcPr>
            <w:tcW w:w="4876" w:type="dxa"/>
            <w:tcBorders>
              <w:top w:val="nil"/>
              <w:left w:val="nil"/>
              <w:bottom w:val="nil"/>
              <w:right w:val="nil"/>
            </w:tcBorders>
          </w:tcPr>
          <w:p>
            <w:pPr>
              <w:pStyle w:val="Normal6a"/>
            </w:pPr>
            <w:r>
              <w:t>19.</w:t>
            </w:r>
            <w:r>
              <w:tab/>
            </w:r>
            <w:r>
              <w:t>sagaida, ka Kosova un Serbija pilnībā sadarbosies un veiks visus vajadzīgos pasākumus, lai ātri sauktu pie atbildības tos, kas 2023. gadā izdarīja teroristisku uzbrukumu Banjskā; pauž nožēlu par to, ka Serbija joprojām nav saukusi pie atbildības vainīgos, jo īpaši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2023. gadā </w:t>
            </w:r>
            <w:r>
              <w:rPr>
                <w:b/>
                <w:i/>
              </w:rPr>
              <w:t>izdarīja teroristisku uzbrukumu</w:t>
            </w:r>
            <w:r>
              <w:t xml:space="preserve"> Banjskā; pauž nožēlu par to, ka Serbija joprojām nav saukusi pie atbildības vainīgos, jo īpaši “Srpska Lista” priekšsēdētāja vietnieku Milan Radoičić;</w:t>
            </w:r>
          </w:p>
        </w:tc>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w:t>
            </w:r>
            <w:r>
              <w:rPr>
                <w:b/>
                <w:i/>
              </w:rPr>
              <w:t>vainīgi</w:t>
            </w:r>
            <w:r>
              <w:t xml:space="preserve"> 2023. gadā Banjskā </w:t>
            </w:r>
            <w:r>
              <w:rPr>
                <w:b/>
                <w:i/>
              </w:rPr>
              <w:t>notikušajā incidentā</w:t>
            </w:r>
            <w:r>
              <w:t xml:space="preserve">; pauž nožēlu par to, ka Serbija joprojām nav saukusi pie atbildības vainīgos, jo īpaši </w:t>
            </w:r>
            <w:r>
              <w:rPr>
                <w:b/>
                <w:i/>
              </w:rPr>
              <w:t>agrāko </w:t>
            </w:r>
            <w:r>
              <w:t>"Srpska Lista" priekšsēdētāja vietnieku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2023. gadā izdarīja teroristisku uzbrukumu Banjskā; </w:t>
            </w:r>
            <w:r>
              <w:rPr>
                <w:b/>
                <w:i/>
              </w:rPr>
              <w:t>pauž nožēlu par</w:t>
            </w:r>
            <w:r>
              <w:t xml:space="preserve"> to, ka Serbija joprojām nav saukusi pie atbildības vainīgos, jo īpaši “Srpska Lista” priekšsēdētāja vietnieku Milan Radoičić;</w:t>
            </w:r>
          </w:p>
        </w:tc>
        <w:tc>
          <w:tcPr>
            <w:tcW w:w="4876" w:type="dxa"/>
            <w:tcBorders>
              <w:top w:val="nil"/>
              <w:left w:val="nil"/>
              <w:bottom w:val="nil"/>
              <w:right w:val="nil"/>
            </w:tcBorders>
          </w:tcPr>
          <w:p>
            <w:pPr>
              <w:pStyle w:val="Normal6a"/>
            </w:pPr>
            <w:r>
              <w:t>19.</w:t>
            </w:r>
            <w:r>
              <w:tab/>
            </w:r>
            <w:r>
              <w:t xml:space="preserve">sagaida, ka Kosova un Serbija pilnībā sadarbosies un veiks visus vajadzīgos pasākumus, lai ātri sauktu pie atbildības tos, kas 2023. gadā izdarīja teroristisku uzbrukumu Banjskā; </w:t>
            </w:r>
            <w:r>
              <w:rPr>
                <w:b/>
                <w:i/>
              </w:rPr>
              <w:t>nosoda</w:t>
            </w:r>
            <w:r>
              <w:t xml:space="preserve"> to, ka Serbija joprojām nav saukusi pie atbildības vainīgos, jo īpaši “Srpska Lista” priekšsēdētāja vietnieku Milan Radoičić;</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atgādina, ka reģionālā sadarbība un labas kaimiņattiecības joprojām ir būtiskas paplašināšanās procesa sastāvdaļas;</w:t>
            </w:r>
            <w:r>
              <w:t xml:space="preserve"> </w:t>
            </w:r>
            <w:r>
              <w:rPr>
                <w:b/>
                <w:i/>
              </w:rPr>
              <w:t>aicina Serbiju turpināt līdzdalību vairākās reģionālās sadarbības iniciatīvās, kas vienlaikus kalpo kā forums dialogam un stiprina labas kaimiņattiecības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uzsver, ka Kosova ir neatņemama Serbijas daļa un ka tās neatkarības atzīšana ir smags Serbijas teritoriālās integritātes pārkāpums;</w:t>
            </w:r>
            <w:r>
              <w:t xml:space="preserve"> </w:t>
            </w:r>
            <w:r>
              <w:rPr>
                <w:b/>
                <w:i/>
              </w:rPr>
              <w:t>uzsver, ka šī atzīšana ir arī radījusi bīstamu precedentu, ko Krievija ir izmantojusi savu nelikumīgo aneksiju attaisnošanai;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19.a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atzīst Serbijas svarīgo lomu Rietumbalkānu reģionā, tajā pašā laikā stingri nosoda jebkādas darbības vai mēģinājumus, kuru mērķis ir nostiprināt ietekmes sfēru, kas apdraudētu kaimiņvalstu suverenitāti un teritoriālo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atgādina, ka attiecību normalizēšana ar Kosovu un Belgradas un Prištinas dialoga saistību īstenošana joprojām ir neatņemama Serbijas Eiropas perspektīvas sastāvdaļa;</w:t>
            </w:r>
          </w:p>
        </w:tc>
        <w:tc>
          <w:tcPr>
            <w:tcW w:w="4876" w:type="dxa"/>
            <w:tcBorders>
              <w:top w:val="nil"/>
              <w:left w:val="nil"/>
              <w:bottom w:val="nil"/>
              <w:right w:val="nil"/>
            </w:tcBorders>
          </w:tcPr>
          <w:p>
            <w:pPr>
              <w:pStyle w:val="Normal6a"/>
            </w:pPr>
            <w:r>
              <w:t>20.</w:t>
            </w:r>
            <w:r>
              <w:tab/>
            </w:r>
            <w:r>
              <w:t xml:space="preserve">atgādina, ka attiecību normalizēšana ar Kosovu un Belgradas un Prištinas dialoga saistību īstenošana joprojām ir neatņemama Serbijas Eiropas perspektīvas sastāvdaļa; </w:t>
            </w:r>
            <w:r>
              <w:rPr>
                <w:b/>
                <w:i/>
              </w:rPr>
              <w:t>atzinīgi vērtē Serbijas konstruktīvo līdzdalību dialogā un visu galveno saistību, kas noteiktas 2013. gada Briseles nolīgumā, izpildi; pauž nožēlu, ka pat pēc 13 gadiem Prištinas iestādes nav pat sākušas īstenot vienīgo pienākumu, kas izriet no Briseles nolīguma, proti serbu pašvaldību kopienas izveidi, kas ir būtiska serbu izdzīvošanai Kosovas un Metohijas autonomajā provincē;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atgādina, ka attiecību normalizēšana ar Kosovu un Belgradas un Prištinas dialoga saistību īstenošana joprojām ir neatņemama Serbijas Eiropas perspektīvas sastāvdaļa;</w:t>
            </w:r>
          </w:p>
        </w:tc>
        <w:tc>
          <w:tcPr>
            <w:tcW w:w="4876" w:type="dxa"/>
            <w:tcBorders>
              <w:top w:val="nil"/>
              <w:left w:val="nil"/>
              <w:bottom w:val="nil"/>
              <w:right w:val="nil"/>
            </w:tcBorders>
          </w:tcPr>
          <w:p>
            <w:pPr>
              <w:pStyle w:val="Normal6a"/>
            </w:pPr>
            <w:r>
              <w:t>20.</w:t>
            </w:r>
            <w:r>
              <w:tab/>
            </w:r>
            <w:r>
              <w:t>atgādina, ka attiecību normalizēšana ar Kosovu</w:t>
            </w:r>
            <w:r>
              <w:rPr>
                <w:b/>
                <w:i/>
              </w:rPr>
              <w:t>*</w:t>
            </w:r>
            <w:r>
              <w:t xml:space="preserve"> un Belgradas un Prištinas dialoga saistību īstenošana joprojām ir neatņemama Serbijas Eiropas perspektīvas sastāvdaļa; </w:t>
            </w:r>
            <w:r>
              <w:rPr>
                <w:b/>
                <w:i/>
              </w:rPr>
              <w:t>atzinīgi vērtē Serbijas konstruktīvo līdzdalību dialogā un 2013. gada Briseles nolīgumā iekļauto saistību izpildi;</w:t>
            </w:r>
            <w:r>
              <w:t xml:space="preserve"> </w:t>
            </w:r>
            <w:r>
              <w:rPr>
                <w:b/>
                <w:i/>
              </w:rPr>
              <w:t>pauž nožēlu par to, ka pat pēc 13 gadiem Prištinas iestādes nav pat sākušas īstenot vienīgo pienākumu, kas izriet no Briseles nolīguma, proti, serbu pašvaldību kopienas izveidi, kas ir būtiska serbu izdzīvošanai Kosovas un Metohijas autonomajā provincē;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atgādina, ka attiecību normalizēšana ar Kosovu un Belgradas un Prištinas dialoga saistību īstenošana joprojām ir neatņemama Serbijas Eiropas perspektīvas sastāvdaļa;</w:t>
            </w:r>
          </w:p>
        </w:tc>
        <w:tc>
          <w:tcPr>
            <w:tcW w:w="4876" w:type="dxa"/>
            <w:tcBorders>
              <w:top w:val="nil"/>
              <w:left w:val="nil"/>
              <w:bottom w:val="nil"/>
              <w:right w:val="nil"/>
            </w:tcBorders>
          </w:tcPr>
          <w:p>
            <w:pPr>
              <w:pStyle w:val="Normal6a"/>
            </w:pPr>
            <w:r>
              <w:t>20.</w:t>
            </w:r>
            <w:r>
              <w:tab/>
            </w:r>
            <w:r>
              <w:t xml:space="preserve">atgādina, ka attiecību normalizēšana ar Kosovu un Belgradas un Prištinas dialoga saistību īstenošana joprojām ir neatņemama Serbijas Eiropas perspektīvas sastāvdaļa; </w:t>
            </w:r>
            <w:r>
              <w:rPr>
                <w:b/>
                <w:i/>
              </w:rPr>
              <w:t>norāda, ka labu kaimiņattiecību nodrošināšana pieder pie saistībām, kas Serbijai jāizpilda ceļā uz pievienošanos ES, un tāpēc gaida, ka Serbija spers praktiskus soļus ceļā uz attiecību normalizāciju ar Kosovu;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atgādina, ka attiecību normalizēšana ar Kosovu un Belgradas un Prištinas dialoga saistību īstenošana joprojām ir neatņemama Serbijas Eiropas perspektīvas sastāvdaļa;</w:t>
            </w:r>
          </w:p>
        </w:tc>
        <w:tc>
          <w:tcPr>
            <w:tcW w:w="4876" w:type="dxa"/>
            <w:tcBorders>
              <w:top w:val="nil"/>
              <w:left w:val="nil"/>
              <w:bottom w:val="nil"/>
              <w:right w:val="nil"/>
            </w:tcBorders>
          </w:tcPr>
          <w:p>
            <w:pPr>
              <w:pStyle w:val="Normal6a"/>
            </w:pPr>
            <w:r>
              <w:t>20.</w:t>
            </w:r>
            <w:r>
              <w:tab/>
            </w:r>
            <w:r>
              <w:t xml:space="preserve">atgādina, ka attiecību normalizēšana ar Kosovu un Belgradas un Prištinas dialoga saistību īstenošana joprojām ir neatņemama Serbijas Eiropas perspektīvas sastāvdaļa; </w:t>
            </w:r>
            <w:r>
              <w:rPr>
                <w:b/>
                <w:i/>
              </w:rPr>
              <w:t>atzinīgi vērtē Serbijas konstruktīvo līdzdalību dialogā un 2013. gada Briseles nolīgumā iekļauto galveno saistību izpildi;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atkārtoti aicina Serbijas iestādes turpināt centienus likvidēt bijušo komunistisko slepeno dienestu paliekas, padarot to lietas pieejamas sabiedrībai, tādējādi sperot soli pretī Serbijas demokratizācijai un izlīgumam ar kaimiņvalstīm;</w:t>
            </w:r>
            <w:r>
              <w:t xml:space="preserve"> </w:t>
            </w:r>
            <w:r>
              <w:rPr>
                <w:b/>
                <w:i/>
              </w:rPr>
              <w:t>aicina Serbiju stiprināt pēctecības procesu un saistību izpildi attiecībā uz bijušās Dienvidslāvijas kopējā arhīva sadalīšanu;</w:t>
            </w:r>
            <w:r>
              <w:t xml:space="preserve"> </w:t>
            </w:r>
            <w:r>
              <w:rPr>
                <w:b/>
                <w:i/>
              </w:rPr>
              <w:t>šajā sakarībā atkārtoti uzsver, ka būtiska nozīme ir pilnīgai piekļuvei visiem arhīva materiāliem, jo īpaši bijušās Dienvidslāvijas slepeno dienestu (UDBA) un Dienvidslāvijas Tautas armijas slepeno dienestu (KOS) materiāliem;</w:t>
            </w:r>
            <w:r>
              <w:t xml:space="preserve"> </w:t>
            </w:r>
            <w:r>
              <w:rPr>
                <w:b/>
                <w:i/>
              </w:rPr>
              <w:t>atkārtoti aicina iestādes atvieglot piekļuvi tiem arhīviem, kas attiecas uz bijušajām Dienvidslāvijas republikām, un nodot tos atpakaļ attiecīgajām valdībām, ja šīs valdības to pieprasa;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atzinīgi vērtē Serbijas konstruktīvo līdzdalību dialogā un no 2013. gada Briseles nolīguma izrietošo galveno saistību īstenošanu;</w:t>
            </w:r>
            <w:r>
              <w:t xml:space="preserve"> </w:t>
            </w:r>
            <w:r>
              <w:rPr>
                <w:b/>
                <w:i/>
              </w:rPr>
              <w:t>pauž nožēlu par to, ka vairāk nekā 13 gadu laikā Prištinas iestādes nav sākušas serbu pašvaldību kopienas izveidi, kas ir būtisks elements serbu kopienas aizsardzībai Kosovā;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atkārto, ka labas kaimiņattiecības un reģionālā sadarbība joprojām ir būtiski paplašināšanās procesa elementi;</w:t>
            </w:r>
            <w:r>
              <w:t xml:space="preserve"> </w:t>
            </w:r>
            <w:r>
              <w:rPr>
                <w:b/>
                <w:i/>
              </w:rPr>
              <w:t>uzsver, ka ir svarīgi, lai Serbija veidotu labas kaimiņattiecības, jo īpaši īstenojot nolīgumus ar ES dalībvalstīm;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pauž nožēlu par to, ka, neraugoties uz vairākkārtējiem Eiropas Komisijas brīdinājumiem, ka nepieciešams sākt veidot serbu vairākuma pašvaldību apvienību/kopienu, Kosova šajā jomā joprojām nav panākusi progresu;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pauž nožēlu par tā dēvētās serbu pasaules koncepcijas popularizēšanu un politizēšanu, kas apdraud kaimiņvalstu suverenitāti, teritoriālo integritāti un stabilitāti;</w:t>
            </w:r>
            <w:r>
              <w:t xml:space="preserve"> </w:t>
            </w:r>
            <w:r>
              <w:rPr>
                <w:b/>
                <w:i/>
              </w:rPr>
              <w:t>uzsver, ka šādi naratīvi ir pretrunā labu kaimiņattiecību un reģionālās sadarbības principiem, kas ir pievienošanās ES procesa pamatelementi;</w:t>
            </w:r>
            <w:r>
              <w:t xml:space="preserve"> </w:t>
            </w:r>
            <w:r>
              <w:rPr>
                <w:b/>
                <w:i/>
              </w:rPr>
              <w:t>aicina Serbijas iestādes atturēties no retorikas un darbībām, kas var provocēt reģionālos saspīlējumus;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20.c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stingri nosoda regulāros naida runas gadījumus, naidīgo retoriku un musinošos naratīvus, kas vērsti pret tās kaimiņvalstīm, jo īpaši Bulgāriju, Horvātiju, Kosovu un Albāniju, tostarp no valsts amatpersonu un mediju puses;</w:t>
            </w:r>
            <w:r>
              <w:t xml:space="preserve"> </w:t>
            </w:r>
            <w:r>
              <w:rPr>
                <w:b/>
                <w:i/>
              </w:rPr>
              <w:t>uzsver, ka šāds diskurss nav saderīgs ar Eiropas vērtībām un apdraud uzticēšanos, izlīgumu un reģionālo stabilitāti;</w:t>
            </w:r>
            <w:r>
              <w:t xml:space="preserve"> </w:t>
            </w:r>
            <w:r>
              <w:rPr>
                <w:b/>
                <w:i/>
              </w:rPr>
              <w:t>aicina Serbijas iestādes aktīvi vērsties pret naida runu, nodrošināt pārskatatbildību un veicināt cieņpilnu un konstruktīvu dialogu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21.a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atkārtoti aicina uzlabot dialoga procesa kvalitāti, kas panākams ar sieviešu līdzdalību, lielāku atklātību pret sabiedrību un jēgpilnu pilsoniskās sabiedrības iesaisti;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w:t>
            </w:r>
            <w:r>
              <w:rPr>
                <w:b/>
                <w:i/>
              </w:rPr>
              <w:t>gan</w:t>
            </w:r>
            <w:r>
              <w:t xml:space="preserve"> Kosovas</w:t>
            </w:r>
            <w:r>
              <w:rPr>
                <w:b/>
                <w:i/>
              </w:rPr>
              <w:t>, gan Serbijas</w:t>
            </w:r>
            <w:r>
              <w:t xml:space="preserve"> iestāžu konstruktīva iesaistīšanās </w:t>
            </w:r>
            <w:r>
              <w:rPr>
                <w:b/>
                <w:i/>
              </w:rPr>
              <w:t>nolūkā panākt</w:t>
            </w:r>
            <w:r>
              <w:t xml:space="preserve"> visaptverošu juridiski saistošu </w:t>
            </w:r>
            <w:r>
              <w:rPr>
                <w:b/>
                <w:i/>
              </w:rPr>
              <w:t>un uz savstarpēju atzīšanu balstītu normalizācijas nolīgumu</w:t>
            </w:r>
            <w:r>
              <w:t xml:space="preserve"> saskaņā ar starptautiskajām tiesībām; aicina </w:t>
            </w:r>
            <w:r>
              <w:rPr>
                <w:b/>
                <w:i/>
              </w:rPr>
              <w:t>gan Kosovu, gan Serbiju</w:t>
            </w:r>
            <w:r>
              <w:t xml:space="preserve"> īstenot Briseles </w:t>
            </w:r>
            <w:r>
              <w:rPr>
                <w:b/>
                <w:i/>
              </w:rPr>
              <w:t>un</w:t>
            </w:r>
            <w:r>
              <w:t xml:space="preserve"> Ohridas </w:t>
            </w:r>
            <w:r>
              <w:rPr>
                <w:b/>
                <w:i/>
              </w:rPr>
              <w:t>pamatnolīgumus, tostarp izveidot Serbu vairākuma pašvaldību asociāciju/kopienu un atcelt Serbijas iebildumus pret</w:t>
            </w:r>
            <w:r>
              <w:t xml:space="preserve"> Kosovas dalību </w:t>
            </w:r>
            <w:r>
              <w:rPr>
                <w:b/>
                <w:i/>
              </w:rPr>
              <w:t>reģionālās un starptautiskās</w:t>
            </w:r>
            <w:r>
              <w:t xml:space="preserve"> organizācijās</w:t>
            </w:r>
            <w:r>
              <w:rPr>
                <w:b/>
                <w:i/>
              </w:rPr>
              <w:t>, kā arī</w:t>
            </w:r>
            <w:r>
              <w:t xml:space="preserve"> izvairīties no vienpusējām darbībām, </w:t>
            </w:r>
            <w:r>
              <w:rPr>
                <w:b/>
                <w:i/>
              </w:rPr>
              <w:t>kuras varētu apdraudēt dialoga procesu</w:t>
            </w:r>
            <w:r>
              <w:t>;</w:t>
            </w:r>
          </w:p>
        </w:tc>
        <w:tc>
          <w:tcPr>
            <w:tcW w:w="4876" w:type="dxa"/>
            <w:tcBorders>
              <w:top w:val="nil"/>
              <w:left w:val="nil"/>
              <w:bottom w:val="nil"/>
              <w:right w:val="nil"/>
            </w:tcBorders>
          </w:tcPr>
          <w:p>
            <w:pPr>
              <w:pStyle w:val="Normal6a"/>
            </w:pPr>
            <w:r>
              <w:t>22.</w:t>
            </w:r>
            <w:r>
              <w:tab/>
            </w:r>
            <w:r>
              <w:t xml:space="preserve">vēlreiz uzsver, cik svarīga ir </w:t>
            </w:r>
            <w:r>
              <w:rPr>
                <w:b/>
                <w:i/>
              </w:rPr>
              <w:t>Serbijas un</w:t>
            </w:r>
            <w:r>
              <w:t xml:space="preserve"> Kosovas iestāžu konstruktīva </w:t>
            </w:r>
            <w:r>
              <w:rPr>
                <w:b/>
                <w:i/>
              </w:rPr>
              <w:t>un ilgstoša</w:t>
            </w:r>
            <w:r>
              <w:t xml:space="preserve"> iesaistīšanās</w:t>
            </w:r>
            <w:r>
              <w:rPr>
                <w:b/>
                <w:i/>
              </w:rPr>
              <w:t>, lai panāktu</w:t>
            </w:r>
            <w:r>
              <w:t xml:space="preserve"> visaptverošu </w:t>
            </w:r>
            <w:r>
              <w:rPr>
                <w:b/>
                <w:i/>
              </w:rPr>
              <w:t>un</w:t>
            </w:r>
            <w:r>
              <w:t xml:space="preserve"> juridiski saistošu </w:t>
            </w:r>
            <w:r>
              <w:rPr>
                <w:b/>
                <w:i/>
              </w:rPr>
              <w:t>normalizāciju</w:t>
            </w:r>
            <w:r>
              <w:t xml:space="preserve"> saskaņā ar starptautiskajām tiesībām </w:t>
            </w:r>
            <w:r>
              <w:rPr>
                <w:b/>
                <w:i/>
              </w:rPr>
              <w:t>un saistībām, ko tās uzņēmušās ES veicinātajā dialogā</w:t>
            </w:r>
            <w:r>
              <w:t>; aicina </w:t>
            </w:r>
            <w:r>
              <w:rPr>
                <w:b/>
                <w:i/>
              </w:rPr>
              <w:t>abas puses pilnībā</w:t>
            </w:r>
            <w:r>
              <w:t xml:space="preserve"> īstenot Briseles </w:t>
            </w:r>
            <w:r>
              <w:rPr>
                <w:b/>
                <w:i/>
              </w:rPr>
              <w:t>nolīgumu,</w:t>
            </w:r>
            <w:r>
              <w:t xml:space="preserve"> Ohridas </w:t>
            </w:r>
            <w:r>
              <w:rPr>
                <w:b/>
                <w:i/>
              </w:rPr>
              <w:t>nolīgumu un tā īstenošanas pielikumu;</w:t>
            </w:r>
            <w:r>
              <w:t xml:space="preserve"> </w:t>
            </w:r>
            <w:r>
              <w:rPr>
                <w:b/>
                <w:i/>
              </w:rPr>
              <w:t>jo īpaši aicina Serbiju sākt pildīt apņemšanos atzīt dokumentus un simbolus, nekavēt</w:t>
            </w:r>
            <w:r>
              <w:t xml:space="preserve"> Kosovas dalību </w:t>
            </w:r>
            <w:r>
              <w:rPr>
                <w:b/>
                <w:i/>
              </w:rPr>
              <w:t>reģionālajās un starptautiskajās</w:t>
            </w:r>
            <w:r>
              <w:t xml:space="preserve"> organizācijās </w:t>
            </w:r>
            <w:r>
              <w:rPr>
                <w:b/>
                <w:i/>
              </w:rPr>
              <w:t>un</w:t>
            </w:r>
            <w:r>
              <w:t xml:space="preserve"> izvairīties no </w:t>
            </w:r>
            <w:r>
              <w:rPr>
                <w:b/>
                <w:i/>
              </w:rPr>
              <w:t>jebkādām</w:t>
            </w:r>
            <w:r>
              <w:t xml:space="preserve"> vienpusējām darbībām, </w:t>
            </w:r>
            <w:r>
              <w:rPr>
                <w:b/>
                <w:i/>
              </w:rPr>
              <w:t>kas apdraud dialogu;</w:t>
            </w:r>
            <w:r>
              <w:t xml:space="preserve"> </w:t>
            </w:r>
            <w:r>
              <w:rPr>
                <w:b/>
                <w:i/>
              </w:rPr>
              <w:t>uzsver, ka ir jāstiprina to tiesību aktu īstenošana, kas aizsargā minoritāšu kopienām piederošo cilvēku tiesības, tostarp nodrošinot efektīvu un nepārtrauktu piekļuvi izglītībai, veselības aprūpei un sabiedriskajiem pakalpojumiem, valodas un īpašuma tiesību ievērošanu, pienācīgu pārstāvību centrālajā un vietējā pārvaldē un tradicionālā, reliģiskā un kultūras mantojuma aizsardzību</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gan Kosovas, gan Serbijas iestāžu konstruktīva iesaistīšanās nolūkā panākt visaptverošu juridiski saistošu </w:t>
            </w:r>
            <w:r>
              <w:rPr>
                <w:b/>
                <w:i/>
              </w:rPr>
              <w:t>un uz savstarpēju atzīšanu balstītu</w:t>
            </w:r>
            <w:r>
              <w:t xml:space="preserve"> normalizācijas nolīgumu saskaņā ar starptautiskajām tiesībām; aicina gan Kosovu, gan Serbiju īstenot Briseles un Ohridas pamatnolīgumus, tostarp izveidot Serbu vairākuma pašvaldību asociāciju/kopienu </w:t>
            </w:r>
            <w:r>
              <w:rPr>
                <w:b/>
                <w:i/>
              </w:rPr>
              <w:t>un atcelt Serbijas iebildumus pret Kosovas dalību reģionālās un starptautiskās organizācijās</w:t>
            </w:r>
            <w:r>
              <w:t>,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vēlreiz uzsver, cik svarīga ir gan Kosovas, gan Serbijas iestāžu konstruktīva iesaistīšanās nolūkā panākt visaptverošu juridiski saistošu normalizācijas nolīgumu saskaņā ar starptautiskajām tiesībām; aicina gan Kosovu, gan Serbiju īstenot Briseles un Ohridas pamatnolīgumus, tostarp izveidot Serbu vairākuma pašvaldību asociāciju/kopienu, kā arī izvairīties no vienpusējām darbībām, kuras varētu apdraudēt dialoga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w:t>
            </w:r>
            <w:r>
              <w:rPr>
                <w:b/>
                <w:i/>
              </w:rPr>
              <w:t>gan</w:t>
            </w:r>
            <w:r>
              <w:t xml:space="preserve"> Kosovas</w:t>
            </w:r>
            <w:r>
              <w:rPr>
                <w:b/>
                <w:i/>
              </w:rPr>
              <w:t>, gan</w:t>
            </w:r>
            <w:r>
              <w:t xml:space="preserve"> Serbijas iestāžu konstruktīva iesaistīšanās nolūkā panākt visaptverošu juridiski saistošu </w:t>
            </w:r>
            <w:r>
              <w:rPr>
                <w:b/>
                <w:i/>
              </w:rPr>
              <w:t>un uz savstarpēju atzīšanu balstītu</w:t>
            </w:r>
            <w:r>
              <w:t xml:space="preserve"> normalizācijas nolīgumu </w:t>
            </w:r>
            <w:r>
              <w:rPr>
                <w:b/>
                <w:i/>
              </w:rPr>
              <w:t>saskaņā ar starptautiskajām tiesībām</w:t>
            </w:r>
            <w:r>
              <w:t>;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 xml:space="preserve">vēlreiz uzsver </w:t>
            </w:r>
            <w:r>
              <w:rPr>
                <w:b/>
                <w:i/>
              </w:rPr>
              <w:t>to</w:t>
            </w:r>
            <w:r>
              <w:t xml:space="preserve">, cik svarīga ir Kosovas </w:t>
            </w:r>
            <w:r>
              <w:rPr>
                <w:b/>
                <w:i/>
              </w:rPr>
              <w:t>un</w:t>
            </w:r>
            <w:r>
              <w:t xml:space="preserve"> Serbijas iestāžu konstruktīva iesaistīšanās nolūkā panākt visaptverošu juridiski saistošu normalizācijas nolīgumu</w:t>
            </w:r>
            <w:r>
              <w:rPr>
                <w:b/>
                <w:i/>
              </w:rPr>
              <w:t>, kas ir pieņemams abām pusēm</w:t>
            </w:r>
            <w:r>
              <w:t>;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gan Kosovas, gan Serbijas iestāžu konstruktīva iesaistīšanās nolūkā panākt visaptverošu juridiski saistošu </w:t>
            </w:r>
            <w:r>
              <w:rPr>
                <w:b/>
                <w:i/>
              </w:rPr>
              <w:t>un uz savstarpēju atzīšanu balstītu</w:t>
            </w:r>
            <w:r>
              <w:t xml:space="preserve"> normalizācijas nolīgumu saskaņā ar starptautiskajām tiesībām; aicina gan Kosovu, gan Serbiju īstenot Briseles un Ohridas pamatnolīgumus, tostarp izveidot Serbu vairākuma pašvaldību asociāciju/kopienu </w:t>
            </w:r>
            <w:r>
              <w:rPr>
                <w:b/>
                <w:i/>
              </w:rPr>
              <w:t>un atcelt Serbijas iebildumus pret Kosovas dalību reģionālās un starptautiskās organizācijās</w:t>
            </w:r>
            <w:r>
              <w:t>,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vēlreiz uzsver, cik svarīga ir gan Kosovas</w:t>
            </w:r>
            <w:r>
              <w:rPr>
                <w:b/>
                <w:i/>
              </w:rPr>
              <w:t>*</w:t>
            </w:r>
            <w:r>
              <w:t>, gan Serbijas iestāžu konstruktīva iesaistīšanās nolūkā panākt visaptverošu juridiski saistošu normalizācijas nolīgumu saskaņā ar starptautiskajām tiesībām; aicina gan Kosovu, gan Serbiju īstenot Briseles un Ohridas pamatnolīgumus, tostarp izveidot Serbu vairākuma pašvaldību asociāciju/kopienu, kā arī izvairīties no vienpusējām darbībām, kuras varētu apdraudēt dialoga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gan Kosovas, gan Serbijas iestāžu konstruktīva iesaistīšanās nolūkā panākt visaptverošu juridiski saistošu </w:t>
            </w:r>
            <w:r>
              <w:rPr>
                <w:b/>
                <w:i/>
              </w:rPr>
              <w:t>un uz savstarpēju atzīšanu balstītu</w:t>
            </w:r>
            <w:r>
              <w:t xml:space="preserve">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vēlreiz uzsver, cik svarīga ir gan Kosovas, gan Serbijas iestāžu konstruktīva iesaistīšanās nolūkā panākt visaptverošu juridiski saistošu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gan Kosovas, gan Serbijas iestāžu konstruktīva iesaistīšanās nolūkā panākt visaptverošu juridiski saistošu </w:t>
            </w:r>
            <w:r>
              <w:rPr>
                <w:b/>
                <w:i/>
              </w:rPr>
              <w:t>un uz savstarpēju atzīšanu balstītu</w:t>
            </w:r>
            <w:r>
              <w:t xml:space="preserve">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vēlreiz uzsver, cik svarīga ir gan Kosovas, gan Serbijas iestāžu konstruktīva iesaistīšanās nolūkā panākt visaptverošu juridiski saistošu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vēlreiz uzsver, cik svarīga ir gan Kosovas, gan Serbijas iestāžu konstruktīva iesaistīšanās nolūkā panākt visaptverošu juridiski saistošu </w:t>
            </w:r>
            <w:r>
              <w:rPr>
                <w:b/>
                <w:i/>
              </w:rPr>
              <w:t>un uz savstarpēju atzīšanu balstītu</w:t>
            </w:r>
            <w:r>
              <w:t xml:space="preserve">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c>
          <w:tcPr>
            <w:tcW w:w="4876" w:type="dxa"/>
            <w:tcBorders>
              <w:top w:val="nil"/>
              <w:left w:val="nil"/>
              <w:bottom w:val="nil"/>
              <w:right w:val="nil"/>
            </w:tcBorders>
          </w:tcPr>
          <w:p>
            <w:pPr>
              <w:pStyle w:val="Normal6a"/>
            </w:pPr>
            <w:r>
              <w:t>22.</w:t>
            </w:r>
            <w:r>
              <w:tab/>
            </w:r>
            <w:r>
              <w:t>vēlreiz uzsver, cik svarīga ir gan Kosovas, gan Serbijas iestāžu konstruktīva iesaistīšanās nolūkā panākt visaptverošu juridiski saistošu normalizācijas nolīgumu saskaņā ar starptautiskajām tiesībām; aicina gan Kosovu, gan Serbiju īstenot Briseles un Ohridas pamatnolīgumus, tostarp izveidot Serbu vairākuma pašvaldību asociāciju/kopienu un atcelt Serbijas iebildumus pret Kosovas dalību reģionālās un starptautiskās organizācijās, kā arī izvairīties no vienpusējām darbībām, kuras varētu apdraudēt dialoga procesu;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aicina Serbijas tiesu iestādes nodrošināt, ka kara noziegumu lietās tiek ievērotas normas, kas attiecas uz taisnīgu tiesu un taisnīgumu karā cietušajiem;</w:t>
            </w:r>
            <w:r>
              <w:t xml:space="preserve"> </w:t>
            </w:r>
            <w:r>
              <w:rPr>
                <w:b/>
                <w:i/>
              </w:rPr>
              <w:t>aicina Kriminālkodeksā iekļaut kara noziegumu noliegšanu un kara noziedznieku slavināšanu, lai ar kriminālvajāšanu vērstos pret jebkādu tādu kara noziegumu noliegšanu, kuri konstatēti Starptautiskā Kara noziegumu tribunāla bijušajai Dienvidslāvijai spriedumos un Starptautiskās Tiesas spriedumos;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pauž nožēlu par to, ka Serbija joprojām mēģina izolēt savu kaimiņvalsti Kosovu no starptautiskās vides, rīkojot kampaņas pret tās atzīšanu vai izslēdzot valsti no starptautiskām organizācijām;</w:t>
            </w:r>
            <w:r>
              <w:t xml:space="preserve"> </w:t>
            </w:r>
            <w:r>
              <w:rPr>
                <w:b/>
                <w:i/>
              </w:rPr>
              <w:t>aicina Serbiju izbeigt bloķēt Kosovas pieteikumu kļūt par Eiropas Padomes dalībvalsti, kas ir pretrunā Kosovas un Serbijas 2013. gada nolīgumam par attiecību normalizēšanu;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nosoda vairākkārt novēroto Serbijas politisko līderu negatīvo, agresīvo un šovinistisko retoriku, kas vērsta pret kaimiņvalstīm un kas apdraud centienus panākt labas kaimiņattiecības;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uzsver, ka integrācija Eiropā nevar būt saderīga ar serbu pasaules (Srpski svet) koncepciju, kuras mērķis ir apdraudēt mieru un stabilitāti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22.c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stingri nosoda to, ka Serbija nesen veikusi Ķīnas CM-400AKG “gaiss-zeme” ballistisko raķešu iegādi, un norāda, ka šī rīcība apdraud reģionālo stabilitāti un palielina spriedzi;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Serbiju aktīvāk vērsties pret kara noziegumu noliegšanu un vēstures revizionismu,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vērsties pret kara noziegumu noliegšanu un vēstures revizionismu, jo īpaši attiecībā uz kariem Horvātijā, Bosnijā un Hercegovinā un Kosovā; </w:t>
            </w:r>
            <w:r>
              <w:rPr>
                <w:b/>
                <w:i/>
              </w:rPr>
              <w:t>aicina Serbijas iestādes panākt taisnīgumu cietušajiem, proti, atzīt un izpildīt tiesas spriedumus par kara noziegumiem, cīnīties pret nesodāmību par kara noziegumiem, izmeklēt bezvēsts pazudušo personu lietas, izmeklēt apbedījumu vietas un atbalstīt valsts prokurorus vainīgo saukšanā pie atbildības;</w:t>
            </w:r>
            <w:r>
              <w:t xml:space="preserve"> </w:t>
            </w:r>
            <w:r>
              <w:rPr>
                <w:b/>
                <w:i/>
              </w:rPr>
              <w:t>stingri nosoda plaši izplatītos gadījumus, kad tiek publiski noliegti starptautiski spriedumi par kara noziegumiem, tostarp Srebreņicas genocīda noliegšanu;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Serbiju aktīvāk vērsties pret kara noziegumu noliegšanu un vēstures revizionismu,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vērsties pret kara noziegumu noliegšanu un vēstures revizionismu, jo īpaši attiecībā uz kariem Horvātijā, Bosnijā un Hercegovinā un Kosovā; </w:t>
            </w:r>
            <w:r>
              <w:rPr>
                <w:b/>
                <w:i/>
              </w:rPr>
              <w:t>aicina Serbijas politiskos līderus un valsts iestādes neīstenot un nosodīt kampaņas, kas nomelno kaimiņvalstis un kaimiņtautas, tostarp ar musinošas retorikas palīdzību, un uzsver, ka šādas darbības apdraud reģionālo izlīgumu;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aicina Serbiju aktīvāk vērsties pret kara noziegumu noliegšanu un vēstures revizionismu,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vērsties pret kara noziegumu noliegšanu un vēstures revizionismu, jo īpaši attiecībā uz kariem Horvātijā, Bosnijā un Hercegovinā un Kosovā; </w:t>
            </w:r>
            <w:r>
              <w:rPr>
                <w:b/>
                <w:i/>
              </w:rPr>
              <w:t>aicina Serbijas iestādes panākt taisnīgumu cietušajiem, proti, atzīt un izpildīt tiesas spriedumus par kara noziegumiem, cīnīties pret nesodāmību par kara noziegumiem un atbalstīt valsts prokurorus vainīgo saukšanā pie atbildības;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aicina</w:t>
            </w:r>
            <w:r>
              <w:t xml:space="preserve"> Serbiju </w:t>
            </w:r>
            <w:r>
              <w:rPr>
                <w:b/>
                <w:i/>
              </w:rPr>
              <w:t>aktīvāk vērsties pret kara noziegumu noliegšanu</w:t>
            </w:r>
            <w:r>
              <w:t xml:space="preserve"> un vēstures </w:t>
            </w:r>
            <w:r>
              <w:rPr>
                <w:b/>
                <w:i/>
              </w:rPr>
              <w:t>revizionismu, jo īpaši attiecībā uz kariem Horvātijā, Bosnijā un Hercegovinā un Kosovā</w:t>
            </w:r>
            <w:r>
              <w:t>;</w:t>
            </w:r>
          </w:p>
        </w:tc>
        <w:tc>
          <w:tcPr>
            <w:tcW w:w="4876" w:type="dxa"/>
            <w:tcBorders>
              <w:top w:val="nil"/>
              <w:left w:val="nil"/>
              <w:bottom w:val="nil"/>
              <w:right w:val="nil"/>
            </w:tcBorders>
          </w:tcPr>
          <w:p>
            <w:pPr>
              <w:pStyle w:val="Normal6a"/>
            </w:pPr>
            <w:r>
              <w:t>23.</w:t>
            </w:r>
            <w:r>
              <w:tab/>
            </w:r>
            <w:r>
              <w:rPr>
                <w:b/>
                <w:i/>
              </w:rPr>
              <w:t>mudina</w:t>
            </w:r>
            <w:r>
              <w:t xml:space="preserve"> Serbiju </w:t>
            </w:r>
            <w:r>
              <w:rPr>
                <w:b/>
                <w:i/>
              </w:rPr>
              <w:t>turpināt iesaistīties reģionālā izlīguma procesos, kas balstās uz savstarpēju cieņu</w:t>
            </w:r>
            <w:r>
              <w:t xml:space="preserve"> un vēstures </w:t>
            </w:r>
            <w:r>
              <w:rPr>
                <w:b/>
                <w:i/>
              </w:rPr>
              <w:t>faktu izmeklēšanu;</w:t>
            </w:r>
            <w:r>
              <w:t xml:space="preserve"> </w:t>
            </w:r>
            <w:r>
              <w:rPr>
                <w:b/>
                <w:i/>
              </w:rPr>
              <w:t>uzsver, ka par vēstures notikumu interpretāciju visās skartajās sabiedrībās joprojām norisinās zinātniska un sabiedriska diskusija, un ka izlīgumu vislabāk var panākt ar iekļaujošu, nepreskriptīvu dialogu, nevis ar ārējiem mandātiem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vērsties pret kara noziegumu noliegšanu </w:t>
            </w:r>
            <w:r>
              <w:rPr>
                <w:b/>
                <w:i/>
              </w:rPr>
              <w:t>un vēstures revizionismu, jo īpaši attiecībā uz kariem Horvātijā, Bosnijā un Hercegovinā un Kosovā</w:t>
            </w:r>
            <w:r>
              <w:t>;</w:t>
            </w:r>
          </w:p>
        </w:tc>
        <w:tc>
          <w:tcPr>
            <w:tcW w:w="4876" w:type="dxa"/>
            <w:tcBorders>
              <w:top w:val="nil"/>
              <w:left w:val="nil"/>
              <w:bottom w:val="nil"/>
              <w:right w:val="nil"/>
            </w:tcBorders>
          </w:tcPr>
          <w:p>
            <w:pPr>
              <w:pStyle w:val="Normal6a"/>
            </w:pPr>
            <w:r>
              <w:t>23.</w:t>
            </w:r>
            <w:r>
              <w:tab/>
            </w:r>
            <w:r>
              <w:t>aicina Serbiju aktīvāk vērsties pret kara noziegumu noliegšanu;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vērsties pret kara noziegumu noliegšanu </w:t>
            </w:r>
            <w:r>
              <w:rPr>
                <w:b/>
                <w:i/>
              </w:rPr>
              <w:t>un vēstures revizionismu, jo īpaši attiecībā uz kariem Horvātijā, Bosnijā un Hercegovinā un Kosovā</w:t>
            </w:r>
            <w:r>
              <w:t>;</w:t>
            </w:r>
          </w:p>
        </w:tc>
        <w:tc>
          <w:tcPr>
            <w:tcW w:w="4876" w:type="dxa"/>
            <w:tcBorders>
              <w:top w:val="nil"/>
              <w:left w:val="nil"/>
              <w:bottom w:val="nil"/>
              <w:right w:val="nil"/>
            </w:tcBorders>
          </w:tcPr>
          <w:p>
            <w:pPr>
              <w:pStyle w:val="Normal6a"/>
            </w:pPr>
            <w:r>
              <w:t>23.</w:t>
            </w:r>
            <w:r>
              <w:tab/>
            </w:r>
            <w:r>
              <w:t>aicina Serbiju aktīvāk vērsties pret kara noziegumu noliegšanu;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w:t>
            </w:r>
            <w:r>
              <w:rPr>
                <w:b/>
                <w:i/>
              </w:rPr>
              <w:t>vērsties pret kara noziegumu noliegšanu un vēstures revizionismu</w:t>
            </w:r>
            <w:r>
              <w:t>,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w:t>
            </w:r>
            <w:r>
              <w:rPr>
                <w:b/>
                <w:i/>
              </w:rPr>
              <w:t>izmeklēt kara noziegumus un saukt pie atbildības par tiem, kas tiek gaidīts arī no visiem pārējiem partneriem reģionā</w:t>
            </w:r>
            <w:r>
              <w:t>, jo īpaši attiecībā uz kariem Horvātijā, Bosnijā un Hercegovinā un Kosovā;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w:t>
            </w:r>
            <w:r>
              <w:rPr>
                <w:b/>
                <w:i/>
              </w:rPr>
              <w:t>vērsties pret kara noziegumu noliegšanu un vēstures revizionismu</w:t>
            </w:r>
            <w:r>
              <w:t>,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w:t>
            </w:r>
            <w:r>
              <w:rPr>
                <w:b/>
                <w:i/>
              </w:rPr>
              <w:t>izmeklēt kara noziegumus un saukt pie atbildības par tiem, kas tiek gaidīts arī no visiem minētajiem partneriem</w:t>
            </w:r>
            <w:r>
              <w:t>, jo īpaši attiecībā uz kariem Horvātijā, Bosnijā un Hercegovinā un Kosovā;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vērsties pret kara noziegumu noliegšanu </w:t>
            </w:r>
            <w:r>
              <w:rPr>
                <w:b/>
                <w:i/>
              </w:rPr>
              <w:t>un vēstures revizionismu, jo īpaši attiecībā uz kariem Horvātijā, Bosnijā un Hercegovinā un Kosovā</w:t>
            </w:r>
            <w:r>
              <w:t>;</w:t>
            </w:r>
          </w:p>
        </w:tc>
        <w:tc>
          <w:tcPr>
            <w:tcW w:w="4876" w:type="dxa"/>
            <w:tcBorders>
              <w:top w:val="nil"/>
              <w:left w:val="nil"/>
              <w:bottom w:val="nil"/>
              <w:right w:val="nil"/>
            </w:tcBorders>
          </w:tcPr>
          <w:p>
            <w:pPr>
              <w:pStyle w:val="Normal6a"/>
            </w:pPr>
            <w:r>
              <w:t>23.</w:t>
            </w:r>
            <w:r>
              <w:tab/>
            </w:r>
            <w:r>
              <w:t xml:space="preserve">aicina Serbiju </w:t>
            </w:r>
            <w:r>
              <w:rPr>
                <w:b/>
                <w:i/>
              </w:rPr>
              <w:t>kopā ar visiem Rietumbalkāniem</w:t>
            </w:r>
            <w:r>
              <w:t xml:space="preserve"> aktīvāk vērsties pret kara noziegumu noliegšanu;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aicina Serbiju aktīvāk </w:t>
            </w:r>
            <w:r>
              <w:rPr>
                <w:b/>
                <w:i/>
              </w:rPr>
              <w:t>vērsties pret</w:t>
            </w:r>
            <w:r>
              <w:t xml:space="preserve"> kara noziegumu noliegšanu un vēstures revizionismu, jo īpaši attiecībā uz kariem Horvātijā, Bosnijā un Hercegovinā un Kosovā;</w:t>
            </w:r>
          </w:p>
        </w:tc>
        <w:tc>
          <w:tcPr>
            <w:tcW w:w="4876" w:type="dxa"/>
            <w:tcBorders>
              <w:top w:val="nil"/>
              <w:left w:val="nil"/>
              <w:bottom w:val="nil"/>
              <w:right w:val="nil"/>
            </w:tcBorders>
          </w:tcPr>
          <w:p>
            <w:pPr>
              <w:pStyle w:val="Normal6a"/>
            </w:pPr>
            <w:r>
              <w:t>23.</w:t>
            </w:r>
            <w:r>
              <w:tab/>
            </w:r>
            <w:r>
              <w:t xml:space="preserve">aicina Serbiju aktīvāk </w:t>
            </w:r>
            <w:r>
              <w:rPr>
                <w:b/>
                <w:i/>
              </w:rPr>
              <w:t>izmeklēt</w:t>
            </w:r>
            <w:r>
              <w:t xml:space="preserve"> kara noziegumu noliegšanu un vēstures revizionismu </w:t>
            </w:r>
            <w:r>
              <w:rPr>
                <w:b/>
                <w:i/>
              </w:rPr>
              <w:t>un saukt pie atbildības par tiem</w:t>
            </w:r>
            <w:r>
              <w:t>, jo īpaši attiecībā uz kariem Horvātijā, Bosnijā un Hercegovinā un Kosovā;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aicina panākt izlīgumu par vēstures notikumiem un pārvarēt diskrimināciju un aizspriedumus, kas saglabājušies no komunistiskās pagātnes, it īpaši izglītības, mediju, akadēmiskajā un sociālajā sfērā, jo tas ir priekšnoteikums, lai izskaustu naida runu pret nacionālajām minoritātēm un kaimiņvalstīm;</w:t>
            </w:r>
            <w:r>
              <w:t xml:space="preserve"> </w:t>
            </w:r>
            <w:r>
              <w:rPr>
                <w:b/>
                <w:i/>
              </w:rPr>
              <w:t>šajā sakarībā pauž nožēlu par valdības neseno musinošo retoriku, kas vērsta pret kaimiņvalstīm, kuras neatbalstīja 3. sarunu kopas atvēršanu ar šo valsti;</w:t>
            </w:r>
            <w:r>
              <w:t xml:space="preserve"> </w:t>
            </w:r>
            <w:r>
              <w:rPr>
                <w:b/>
                <w:i/>
              </w:rPr>
              <w:t>pauž nožēlu par to, ka sabiedriskās vietās joprojām ir redzami Dienvidslāvijas komunistiskie simboli, tostarp ielu nosaukumi un pieminekļi, jo to klātbūtne apdraud Serbijas demokratizāciju;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vēlreiz pauž nostāju, ka ir svarīgi atvērt un publicēt kara laika arhīvus, un vēlreiz aicina atvērt bijušās Dienvidslāvijas arhīvus un jo īpaši garantēt piekļuvi bijušās Dienvidslāvijas slepenā dienesta (UDBA) un Dienvidslāvijas Tautas armijas pretizlūkošanas dienesta (KOS) lietām, kā arī pēc attiecīgo bijušo Dienvidslāvijas valstu pieprasījuma nodot lietas tām atpakaļ;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pauž nožēlu par to, ka Serbija nav paudusi patiesu apņemšanos pievērsties savai pagātnei un efektīvi izmeklēt kara noziegumus un saukt pie atbildības par tiem, par ko liecina tas, ka tā nav saukusi pie atbildības augsta līmeņa aizdomās turētās personas, ka kopš 2023. gada kara noziegumu galvenā prokurora amatā nav neviena cilvēka un ka tiek plaši un publiski noliegti starptautiski spriedumi par kara noziegumiem, arī Srebreņicas genocīds;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nosoda agresīvo un musinošo retoriku, ko prezidents Vučić izmanto pret kaimiņvalstīm, bez pierādījumiem apgalvojot, ka Horvātija, Albānija un Kosova gatavojas Serbijai uzbrukt;</w:t>
            </w:r>
            <w:r>
              <w:t xml:space="preserve"> </w:t>
            </w:r>
            <w:r>
              <w:rPr>
                <w:b/>
                <w:i/>
              </w:rPr>
              <w:t>pauž nožēlu par to, ka ar šādu ieganstu iegādātas Ķīnas virsskaņas raķetes un apdraudēts miera veidošanas process reģionā;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uzsver, ka kara noziegumu izskatīšanai ir nepieciešama jēgpilna reģionālā sadarbība, izvairoties no jurisdikciju konfliktiem un nodrošinot, ka par kara noziegumiem vainīgos sauc pie atbildības bez jebkādas diskriminācijas, un uzsver, ka visi neatrisinātie jautājumi šajā sakarā ir pilnībā jāatrisina;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aicina Serbiju atturēties no destabilizējošas un provokatīvas separātiskas retorikas Rietumbalkānu kaimiņvalstīs, tostarp attiecībā uz Serbu Republikas dienas nekonstitucionālajām svinībām, kas apdraud Bosnijas un Hercegovinas stabilitāti un teritoriālo integritāti;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pauž bažas par to, ka Serbijas pašreizējā militāro spēku palielināšana apvienojumā ar arvien naidīgāku retoriku pret kaimiņvalstīm var saasināt reģionālo spriedzi;</w:t>
            </w:r>
            <w:r>
              <w:t xml:space="preserve"> </w:t>
            </w:r>
            <w:r>
              <w:rPr>
                <w:b/>
                <w:i/>
              </w:rPr>
              <w:t>ar bažām norāda uz Serbijas politisko dalībnieku nemitīgajiem nepamatotajiem apgalvojumiem par iespējamiem ārējiem militāriem draudiem no kaimiņvalstīm, kā arī uz naratīviem, kas var padziļināt neuzticēšanos un provocēt reģionālo nestabilitāti;</w:t>
            </w:r>
            <w:r>
              <w:t xml:space="preserve"> </w:t>
            </w:r>
            <w:r>
              <w:rPr>
                <w:b/>
                <w:i/>
              </w:rPr>
              <w:t>pauž nožēlu par militārā aprīkojuma iegādi no Krievijas un Ķīnas, kas palielina bažas par stratēģisko saskaņošanu un pārredzamību;</w:t>
            </w:r>
            <w:r>
              <w:t xml:space="preserve"> </w:t>
            </w:r>
            <w:r>
              <w:rPr>
                <w:b/>
                <w:i/>
              </w:rPr>
              <w:t>aicina Serbiju atturēties no eskalējošiem naratīviem un raudzīties, lai tās drošības un aizsardzības politika būtu pieskaņota Eiropas vērtībām un veicinātu labas kaimiņattiecības;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aicina Serbijas tiesu iestādes nodrošināt, ka kara noziegumu lietās tiek ievērotas normas, kas attiecas uz taisnīgu tiesu un taisnīgumu karā cietušajiem;</w:t>
            </w:r>
            <w:r>
              <w:t xml:space="preserve"> </w:t>
            </w:r>
            <w:r>
              <w:rPr>
                <w:b/>
                <w:i/>
              </w:rPr>
              <w:t>aicina Kriminālkodeksā iekļaut kara noziegumu noliegšanu un kara noziedznieku slavināšanu, lai ar kriminālvajāšanu vērstos pret jebkādu tādu kara noziegumu noliegšanu, kuri konstatēti Starptautiskā Kara noziegumu tribunāla bijušajai Dienvidslāvijai spriedumos un Starptautiskās Tiesas spriedumos;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vēlreiz pauž nostāju, ka ir svarīgi atvērt un publicēt kara laika arhīvus, un vēlreiz aicina atvērt bijušās Dienvidslāvijas arhīvus un jo īpaši nodrošināt piekļuvi bijušās Dienvidslāvijas slepenā dienesta (UDBA) un Dienvidslāvijas Tautas armijas pretizlūkošanas dienesta (KOS) lietām, kā arī pēc attiecīgo valdību pieprasījuma nodot lietas tām atpakaļ;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23.c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pauž nožēlu par to, ka valdošā partija SNS un saistītie mediju kanāli joprojām popularizē notiesātus kara noziedzniekus, to vidū Nikola Šainović, Vojislav Šešelj un Veselin Šljivančanin, tādējādi ļaujot viņiem īstenot vēstures revizionismu un naida runu;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w:t>
            </w:r>
            <w:r>
              <w:rPr>
                <w:b/>
                <w:i/>
              </w:rPr>
              <w:t>, jo īpaši attiecībā uz</w:t>
            </w:r>
            <w:r>
              <w:t xml:space="preserve"> bezvēsts pazudušām personām;</w:t>
            </w:r>
          </w:p>
        </w:tc>
        <w:tc>
          <w:tcPr>
            <w:tcW w:w="4876" w:type="dxa"/>
            <w:tcBorders>
              <w:top w:val="nil"/>
              <w:left w:val="nil"/>
              <w:bottom w:val="nil"/>
              <w:right w:val="nil"/>
            </w:tcBorders>
          </w:tcPr>
          <w:p>
            <w:pPr>
              <w:pStyle w:val="Normal6a"/>
            </w:pPr>
            <w:r>
              <w:t>24.</w:t>
            </w:r>
            <w:r>
              <w:tab/>
            </w:r>
            <w:r>
              <w:t xml:space="preserve">norāda, ka neizskatītas un nepabeigtas „pazudušo personu” lietas joprojām ir nopietna problēma </w:t>
            </w:r>
            <w:r>
              <w:rPr>
                <w:b/>
                <w:i/>
              </w:rPr>
              <w:t>un būtisks šķērslis attiecību normalizēšanai</w:t>
            </w:r>
            <w:r>
              <w:t>; mudina Serbiju pastiprināt izlīguma centienus un īstenot aktīvāku pieeju</w:t>
            </w:r>
            <w:r>
              <w:rPr>
                <w:b/>
                <w:i/>
              </w:rPr>
              <w:t>;</w:t>
            </w:r>
            <w:r>
              <w:t xml:space="preserve"> </w:t>
            </w:r>
            <w:r>
              <w:rPr>
                <w:b/>
                <w:i/>
              </w:rPr>
              <w:t>aicina Serbiju pilnībā sadarboties ar ES dalībvalstu tiesu iestādēm, kas izmeklē kara noziegumus, tostarp noziegumus pret</w:t>
            </w:r>
            <w:r>
              <w:t> bezvēsts pazudušām personām</w:t>
            </w:r>
            <w:r>
              <w:rPr>
                <w:b/>
                <w:i/>
              </w:rPr>
              <w:t>, un sniegt visu attiecīgo informāciju, kas ļautu šīs personas identificēt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t xml:space="preserve">norāda, ka neizskatītas un nepabeigtas „pazudušo personu” lietas joprojām ir nopietna problēma; mudina Serbiju pastiprināt izlīguma centienus un īstenot aktīvāku pieeju, jo īpaši attiecībā uz bezvēsts pazudušām personām; </w:t>
            </w:r>
            <w:r>
              <w:rPr>
                <w:b/>
                <w:i/>
              </w:rPr>
              <w:t>pauž nožēlu par neseno prezidenta Vučić paziņojumu, kurā viņš apsūdzēja Horvātiju, Kosovu un Albāniju, ka tās izveidojušas militāru aliansi pret Serbiju, un nepatiesu apgalvojumu turpmāko izplatīšanu par to, ka minētās kaimiņvalstis varētu Serbijai uzbrukt;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t xml:space="preserve">norāda, ka neizskatītas un nepabeigtas „pazudušo personu” lietas joprojām ir nopietna problēma; mudina Serbiju pastiprināt izlīguma centienus un īstenot aktīvāku pieeju, jo īpaši attiecībā uz bezvēsts pazudušām personām; </w:t>
            </w:r>
            <w:r>
              <w:rPr>
                <w:b/>
                <w:i/>
              </w:rPr>
              <w:t>aicina no jauna un konstruktīvi iesaistīties neatrisinātu divpusēju problēmjautājumu risināšanā, jo īpaši bezvēsts pazudušo personu lietu risināšanā, pēctecības jautājumu risināšanā, efektīvā kriminālvajāšanā par kara noziegumiem un kultūras īpašumu atgūšanā;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r>
              <w:rPr>
                <w:b/>
                <w:i/>
              </w:rPr>
              <w:t>, īstenojot jēgpilnu divpusēju sadarbību ar citām attiecīgajām valstīm, ātri apmainoties ar informāciju, tostarp nodrošinot piekļuvi dokumentiem un arhīviem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t xml:space="preserve">norāda, ka neizskatītas un nepabeigtas „pazudušo personu” lietas joprojām ir nopietna problēma; mudina Serbiju pastiprināt izlīguma centienus un īstenot aktīvāku pieeju, jo īpaši attiecībā uz bezvēsts pazudušām personām; </w:t>
            </w:r>
            <w:r>
              <w:rPr>
                <w:b/>
                <w:i/>
              </w:rPr>
              <w:t>mudina Serbiju beidzot pieņemt sen pasludināto Likumu par bezvēsts pazudušām personām patiesi iekļaujošā un pārredzamā veidā;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norāda, ka neizskatītas un nepabeigtas „</w:t>
            </w:r>
            <w:r>
              <w:t>pazudušo personu</w:t>
            </w:r>
            <w:r>
              <w:rPr>
                <w:b/>
                <w:i/>
              </w:rPr>
              <w:t>” lietas joprojām ir nopietna problēma</w:t>
            </w:r>
            <w:r>
              <w:t xml:space="preserve">; </w:t>
            </w:r>
            <w:r>
              <w:rPr>
                <w:b/>
                <w:i/>
              </w:rPr>
              <w:t>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rPr>
                <w:b/>
                <w:i/>
              </w:rPr>
              <w:t>atzinīgi vērtē Serbijas aktīvo lomu visu bezvēsts</w:t>
            </w:r>
            <w:r>
              <w:t xml:space="preserve"> pazudušo personu </w:t>
            </w:r>
            <w:r>
              <w:rPr>
                <w:b/>
                <w:i/>
              </w:rPr>
              <w:t>meklēšanā bijušās Dienvidslāvijas teritorijā</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norāda, ka neizskatītas un nepabeigtas „pazudušo personu” lietas joprojām ir nopietna problēma; mudina Serbiju pastiprināt izlīguma centienus un īstenot aktīvāku pieeju, jo īpaši attiecībā uz bezvēsts pazudušām personām;</w:t>
            </w:r>
          </w:p>
        </w:tc>
        <w:tc>
          <w:tcPr>
            <w:tcW w:w="4876" w:type="dxa"/>
            <w:tcBorders>
              <w:top w:val="nil"/>
              <w:left w:val="nil"/>
              <w:bottom w:val="nil"/>
              <w:right w:val="nil"/>
            </w:tcBorders>
          </w:tcPr>
          <w:p>
            <w:pPr>
              <w:pStyle w:val="Normal6a"/>
            </w:pPr>
            <w:r>
              <w:t>24.</w:t>
            </w:r>
            <w:r>
              <w:tab/>
            </w:r>
            <w:r>
              <w:t>norāda, ka neizskatītas un nepabeigtas „pazudušo personu” lietas joprojām ir nopietna problēma</w:t>
            </w:r>
            <w:r>
              <w:rPr>
                <w:b/>
                <w:i/>
              </w:rPr>
              <w:t>, kas ietekmē arī attiecības starp reģiona valstīm</w:t>
            </w:r>
            <w:r>
              <w:t>; mudina Serbiju pastiprināt izlīguma centienus un īstenot aktīvāku pieeju, jo īpaši attiecībā uz bezvēsts pazudušām personām;</w:t>
            </w:r>
            <w:r>
              <w:rPr>
                <w:b/>
                <w:i/>
              </w:rPr>
              <w:t> </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pauž nopietnas bažas par Prištinas iestāžu lēmumu aizliegt Serbijas patriarham Viņa Svētībai Porfirije ieiet baznīcās Kosovā un vēsturiskajā patriarhāta mītnē Pečā; norāda, ka par šo problēmu Eiropas Parlamenta Delegācijas ES un Serbijas Stabilizācijas un asociācijas parlamentārajā komitejā priekšsēdētājs Loucas Fourlas rakstīja vēstulē Eiropas iestāžu priekšsēdētājiem, proti, Antoniu Koštam, Urzulai fon der Leienai un Robertai Metsolai;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norāda uz Serbijas sadarbību ar trešām valstīm aizsardzības jomā, tostarp militārā aprīkojuma importu no Turcijas;</w:t>
            </w:r>
            <w:r>
              <w:t xml:space="preserve"> </w:t>
            </w:r>
            <w:r>
              <w:rPr>
                <w:b/>
                <w:i/>
              </w:rPr>
              <w:t>uzsver, ka ir svarīgi turpināt pakāpeniski pieskaņoties ES kopējai ārpolitikai un drošības politikai (KĀDP).</w:t>
            </w:r>
            <w:r>
              <w:t xml:space="preserve"> </w:t>
            </w:r>
            <w:r>
              <w:rPr>
                <w:b/>
                <w:i/>
              </w:rPr>
              <w:t>mudina Serbiju samazināt atkarību no aizsardzības aprīkojuma iegādes no Turcijas un stiprināt sadarbību ar ES dalībvalstīm, tādējādi veicinot sadarbspēju ar 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vēlreiz pauž nostāju, ka ir svarīgi atvērt un publicēt kara laika arhīvus, un vēlreiz aicina atvērt bijušās Dienvidslāvijas arhīvus un jo īpaši garantēt piekļuvi bijušās Dienvidslāvijas slepenā dienesta (UDBA) un Dienvidslāvijas Tautas armijas pretizlūkošanas dienesta (KOS) lietām, kā arī pēc attiecīgo bijušo Dienvidslāvijas valstu pieprasījuma nodot lietas tām atpakaļ;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vēlreiz pauž nostāju, ka ir svarīgi atvērt un publicēt kara laika arhīvus, un vēlreiz aicina atvērt bijušās Dienvidslāvijas arhīvus un jo īpaši nodrošināt piekļuvi bijušās Dienvidslāvijas slepenā dienesta (UDBA) un Dienvidslāvijas Tautas armijas pretizlūkošanas dienesta (KOS) lietām, kā arī pēc attiecīgo valdību pieprasījuma nodot lietas tām atpakaļ;</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norāda, ka Serbijā joprojām darbojas Kremļa propagandas kanāli un tīkli, piemēram, "RT" un "Sputnik";</w:t>
            </w:r>
            <w:r>
              <w:t xml:space="preserve"> </w:t>
            </w:r>
            <w:r>
              <w:rPr>
                <w:b/>
                <w:i/>
              </w:rPr>
              <w:t>atgādina, ka šie tīkli tiek izmantoti, lai apietu Eiropas sankcijas pret Krieviju un izplatītu Kremļa naratīvu Rietumbalkānos un citviet Eiropā;</w:t>
            </w:r>
            <w:r>
              <w:t xml:space="preserve"> </w:t>
            </w:r>
            <w:r>
              <w:rPr>
                <w:b/>
                <w:i/>
              </w:rPr>
              <w:t>pauž bažas par to, ka šie kanāli mērķtiecīgi izmanto vēsturiskās pārestības un var atjaunot saspīlējumu reģionos;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atkārtoti aicina atvērt arhīvus, kas attiecas uz bijušajām Dienvidslāvijas republikām, un nodrošināt piekļuvi bijušā Dienvidslāvijas slepenā dienesta (UDBA) un Dienvidslāvijas Tautas armijas slepenā dienesta (KOS) lietām, lai veiktu padziļinātu izmeklēšanu un pievērstos komunisma laika noziegumiem;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attiecībā uz Prištinas dialogu vērš uzmanību uz to, ka ir nodibināta Apvienotā komisija bezvēsts pazudušu personu jautājumos un ka tai 2026. gada 22. janvārī bija pirmā sanāksme Briselē, piedaloties Serbijas galvenajam sarunu vedējam;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aicina Serbijas iestādes pastiprināt centienus, lai nodrošinātu nediskriminējošu attieksmi pret nacionālajām minoritātēm, un aktīvi veikt izmeklēšanu un notiesāšanu par noziegumiem, kuri pastrādāti naida dēļ;</w:t>
            </w:r>
            <w:r>
              <w:t xml:space="preserve"> </w:t>
            </w:r>
            <w:r>
              <w:rPr>
                <w:b/>
                <w:i/>
              </w:rPr>
              <w:t>aicina Serbiju nodrošināt, lai minoritāšu grupām būtu vienlīdzīgas iespējas un atbilstīga pārstāvība politiskajā un kultūras dzīvē, sabiedriskajos medijos, valsts pārvaldē un tiesu iestādēs;</w:t>
            </w:r>
            <w:r>
              <w:t xml:space="preserve"> </w:t>
            </w:r>
            <w:r>
              <w:rPr>
                <w:b/>
                <w:i/>
              </w:rPr>
              <w:t>aicina Serbiju aizsargāt un veicināt tās nacionālo minoritāšu kultūras mantojumu, valodas un tradīcijas;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prasa Eiropas Savienībai nekavējoties rīkoties un izdarīt nepieciešamo spiedienu uz Kosovas iestādēm, lai Serbijas patriarhs varētu brīvi piekļūt svētajām baznīcām un bez ierobežojumiem pildīt savus reliģiskos pienākumus;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atgādina, ka Serbijā atrodas destruktīvas nometnes, kurās Krievijas pilsoņi apmāca personas, tostarp personas no Moldovas un Serbijas, veikt uzbrukumus vēlēšanām, izraisīt haosu un apdraudēt sabiedrisko kārtību Moldovā, Francijā un Vācijā;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atzinīgi vērtē Serbijas aktīvo lomu visu bezvēsts pazudušo personu meklēšanā bijušās Dienvidslāvijas teritorijā;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aicina Serbijas valdību nodrošināt horvātu minoritātei Serbijā vienlīdzīgas tiesības, kādas ir serbu minoritātei Horvātijā;</w:t>
            </w:r>
            <w:r>
              <w:t xml:space="preserve"> </w:t>
            </w:r>
            <w:r>
              <w:rPr>
                <w:b/>
                <w:i/>
              </w:rPr>
              <w:t>aicina Serbiju izrādīt patiesu apņemšanos atrisināt vēl neatrisinātos jautājumus saistībā ar horvātu minoritātes statusu Serbijā, jo īpaši attiecībā uz horvātu valodas nediskriminējošu lietošanu izglītībā, valsts pārvaldē un īpaši paredzētā mediju telpā, kā arī cieņu pret horvātu kultūras mantojumu un tradīcijām Serbijā;</w:t>
            </w:r>
            <w:r>
              <w:t xml:space="preserve"> </w:t>
            </w:r>
            <w:r>
              <w:rPr>
                <w:b/>
                <w:i/>
              </w:rPr>
              <w:t>aicina Serbijas valdību nodrošināt tiesības uz izglītību horvātu valodā, horvātu kopienai īpaši paredzētu mediju telpu, finansējumu un piemērotus mehānismus;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prasa valsts reliģiskajiem līderiem popularizēt vēstījumu, kas veicina labas kaimiņattiecības un sapratni starp dažādām reģiona valstīm un reliģijām, kā arī aktīvi iesaistīties konfrontācijas kultūras novēršanā;</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ar gandarījumu vērš uzmanību uz ES dalībvalsts Kipras Republikas pilnīgo un nelokāmo atbalstu tās centienos pielikt punktu pašreizējam stāvoklim, kurā Turcija ir nelikumīgi okupējusi 37 % Kipras teritorijas;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uzskata, ka, neiesaistoties šo darbību novēršanā, Serbijas valdība ir uzskatāma par Krievijas valdības sabiedroto;</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pauž nožēlu par Serbijas darbībām, tai piesavinoties horvātu kultūras mantojumu un literārās tradīcijas izcelsmi un apšaubot horvātu valodas statusu;</w:t>
            </w:r>
            <w:r>
              <w:t xml:space="preserve"> </w:t>
            </w:r>
            <w:r>
              <w:rPr>
                <w:b/>
                <w:i/>
              </w:rPr>
              <w:t>aicina Serbiju radīt pozitīvu gaisotni izglītībai minoritāšu valodās un pauž nožēlu par minoritāšu tiesību pārkāpumiem šajā jomā;</w:t>
            </w:r>
            <w:r>
              <w:t xml:space="preserve"> </w:t>
            </w:r>
            <w:r>
              <w:rPr>
                <w:b/>
                <w:i/>
              </w:rPr>
              <w:t>prasa kompetentajām iestādēm nodrošināt, lai steidzami tiktu novērsti šķēršļi, kas liedz izglītības iestādēm darboties horvātu valodā, un garantēt, lai horvātu minoritātei ir vienlīdzīga un nediskriminējoša piekļuve izglītībai saskaņā ar minoritāšu pamattiesībām;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atgādina, ka Serbijai ir jāstiprina pārredzamība attiecībā uz ārvalstu tiešo ieguldījumu izskatīšanu;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brīdina, ka nepietiekams finansējums minoritāšu kopienām grauj galveno minoritāšu tiesību, tostarp izglītības, kultūras, piekļuves informācijai un valodas un alfabēta oficiālas izmantošanas, efektīvu īstenošanu;</w:t>
            </w:r>
            <w:r>
              <w:t xml:space="preserve"> </w:t>
            </w:r>
            <w:r>
              <w:rPr>
                <w:b/>
                <w:i/>
              </w:rPr>
              <w:t>uzsver, ka bez atbilstošiem finanšu resursiem ir apdraudēta normāla nacionālo minoritāšu padomju darbība, tādējādi ierobežojot efektīvu pārstāvību;</w:t>
            </w:r>
            <w:r>
              <w:t xml:space="preserve"> </w:t>
            </w:r>
            <w:r>
              <w:rPr>
                <w:b/>
                <w:i/>
              </w:rPr>
              <w:t>prasa Serbijas iestādēm nodrošināt pienācīgu un ilgtspējīgu finansējumu un izlēmīgi rīkoties, lai saskaņā ar Eiropas standartiem par minoritāšu aizsardzību un pamattiesībām novērstu un nosodītu naida runu, kas vērsta pret horvātiem;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ar dziļām bažām vērš uzmanību uz to, ka vadītāja priekšatlasē EDSO misijai Serbijā ir izraudzīts Dmitry Iordanidi, kurš ir saistīts ar Krievijas izlūkošanas dienestiem un ir iepriekš izraidīts no Beļģijas;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24.f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24.f</w:t>
            </w:r>
            <w:r>
              <w:tab/>
            </w:r>
            <w:r>
              <w:rPr>
                <w:b/>
                <w:i/>
              </w:rPr>
              <w:t>prasa pievērsties neatrisinātajiem jautājumiem par horvātu stāvokli un katoļu baznīcu, tostarp centieniem atjaunot galvenās iestādes, kurām ir būtiska loma katoļu kopienas atbalstīšanā un horvātu nacionālās identitātes saglabāšanā saskaņā ar Eiropas standartiem par minoritāšu tiesībām un kultūras mantojuma aizsardzību;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w:t>
            </w:r>
            <w:r>
              <w:t xml:space="preserve"> </w:t>
            </w:r>
            <w:r>
              <w:rPr>
                <w:b/>
                <w:i/>
              </w:rPr>
              <w:t>ar bažām norāda, ka 2026. gada janvārī Komisija tomēr apstiprināja līdzekļu pirmo izmaksāšanu Serbijai Rietumbalkānu reformu un izaugsmes mehānisma ietvaros;</w:t>
            </w:r>
            <w:r>
              <w:t xml:space="preserve"> </w:t>
            </w:r>
            <w:r>
              <w:rPr>
                <w:b/>
                <w:i/>
              </w:rPr>
              <w:t>aicina Komisiju paskaidrot, kā bija izpildīti priekšnosacījumi;</w:t>
            </w:r>
          </w:p>
        </w:tc>
        <w:tc>
          <w:tcPr>
            <w:tcW w:w="4876" w:type="dxa"/>
            <w:tcBorders>
              <w:top w:val="nil"/>
              <w:left w:val="nil"/>
              <w:bottom w:val="nil"/>
              <w:right w:val="nil"/>
            </w:tcBorders>
          </w:tcPr>
          <w:p>
            <w:pPr>
              <w:pStyle w:val="Normal6a"/>
            </w:pPr>
            <w:r>
              <w:rPr>
                <w:b/>
                <w:i/>
              </w:rPr>
              <w:t>svītrots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ar bažām norāda, ka 2026. gada janvārī Komisija tomēr apstiprināja līdzekļu pirmo izmaksāšanu Serbijai Rietumbalkānu reformu un izaugsmes mehānisma ietvaros; aicina Komisiju paskaidrot, kā bija izpildīti priekšnosacījumi;</w:t>
            </w:r>
          </w:p>
        </w:tc>
        <w:tc>
          <w:tcPr>
            <w:tcW w:w="4876" w:type="dxa"/>
            <w:tcBorders>
              <w:top w:val="nil"/>
              <w:left w:val="nil"/>
              <w:bottom w:val="nil"/>
              <w:right w:val="nil"/>
            </w:tcBorders>
          </w:tcPr>
          <w:p>
            <w:pPr>
              <w:pStyle w:val="Normal6a"/>
            </w:pPr>
            <w:r>
              <w:t>25.</w:t>
            </w:r>
            <w:r>
              <w:tab/>
            </w:r>
            <w: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w:t>
            </w:r>
            <w:r>
              <w:rPr>
                <w:b/>
                <w:i/>
              </w:rPr>
              <w:t>, kā arī konstruktīva iesaistīšanās attiecību ar Kosovu normalizēšanā</w:t>
            </w:r>
            <w:r>
              <w:t xml:space="preserve">; ar bažām norāda, ka 2026. gada janvārī Komisija tomēr apstiprināja līdzekļu pirmo izmaksāšanu Serbijai Rietumbalkānu reformu un izaugsmes mehānisma ietvaros; aicina Komisiju paskaidrot, kā bija izpildīti priekšnosacījumi; </w:t>
            </w:r>
            <w:r>
              <w:rPr>
                <w:b/>
                <w:i/>
              </w:rPr>
              <w:t>uzskata, ka ar Eiropas finansējumu būtu labāk jāatbalsta valsts demokrātiskās reformas;</w:t>
            </w:r>
            <w:r>
              <w:t xml:space="preserve"> </w:t>
            </w:r>
            <w:r>
              <w:rPr>
                <w:b/>
                <w:i/>
              </w:rPr>
              <w:t>šajā kontekstā aicina pārplānot attiecīgo pašreizējo un turpmāko ES finansējumu, lai vairāk līdzekļu novirzītu tiesu iestāžu reformu un korupcijas apkarošanas pasākumu atbalstam;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ar bažām norāda, ka 2026. gada janvārī Komisija tomēr apstiprināja līdzekļu pirmo izmaksāšanu Serbijai Rietumbalkānu reformu un izaugsmes mehānisma ietvaros; aicina Komisiju paskaidrot, kā bija izpildīti priekšnosacījumi;</w:t>
            </w:r>
          </w:p>
        </w:tc>
        <w:tc>
          <w:tcPr>
            <w:tcW w:w="4876" w:type="dxa"/>
            <w:tcBorders>
              <w:top w:val="nil"/>
              <w:left w:val="nil"/>
              <w:bottom w:val="nil"/>
              <w:right w:val="nil"/>
            </w:tcBorders>
          </w:tcPr>
          <w:p>
            <w:pPr>
              <w:pStyle w:val="Normal6a"/>
            </w:pPr>
            <w:r>
              <w:t>25.</w:t>
            </w:r>
            <w:r>
              <w:tab/>
            </w:r>
            <w: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w:t>
            </w:r>
            <w:r>
              <w:rPr>
                <w:b/>
                <w:i/>
              </w:rPr>
              <w:t>, un Serbijas gadījumā šie mehānismi nav pietiekami ievēroti</w:t>
            </w:r>
            <w:r>
              <w:t xml:space="preserve">; ar bažām norāda, ka 2026. gada janvārī Komisija tomēr apstiprināja līdzekļu pirmo izmaksāšanu Serbijai Rietumbalkānu reformu un izaugsmes mehānisma ietvaros; aicina Komisiju paskaidrot, kā bija izpildīti priekšnosacījumi; </w:t>
            </w:r>
            <w:r>
              <w:rPr>
                <w:b/>
                <w:i/>
              </w:rPr>
              <w:t>uzskata, ka Serbijai piešķirtie līdzekļi rada absolūti nepareizu iespaidu, arī citām valstīm, kas vēlas iestāties ES, proti, rodas iespaids, ka ir iespējams saņemt ES līdzekļus, nepanākot faktisku progresu reformās, kas nepieciešamas, lai kļūtu par ES dalībvalsti;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ar bažām norāda, ka 2026. gada janvārī Komisija tomēr apstiprināja līdzekļu pirmo izmaksāšanu Serbijai Rietumbalkānu reformu un izaugsmes mehānisma ietvaros; aicina Komisiju paskaidrot, kā bija izpildīti priekšnosacījumi;</w:t>
            </w:r>
          </w:p>
        </w:tc>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ar bažām norāda, ka 2026. gada janvārī Komisija tomēr apstiprināja līdzekļu pirmo izmaksāšanu Serbijai Rietumbalkānu reformu un izaugsmes mehānisma ietvaros; aicina Komisiju paskaidrot, kā bija izpildīti priekšnosacījumi; </w:t>
            </w:r>
            <w:r>
              <w:rPr>
                <w:b/>
                <w:i/>
              </w:rPr>
              <w:t>prasa Serbijai grozīt tās darba tiesību aktus, lai nodrošinātu pilnīgu atbilstību Eiropas Sociālajai hartai attiecībā uz maksimālo darba laiku, jo īpaši likvidējot noteikumus, saskaņā ar kuriem nedēļas darba laiks var sasniegt 60 stundas transportlīdzekļu apkalpes locekļiem ceļu transportā un 84 stundas iekšzemes ūdensceļu transporta apkalpes locekļiem;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w:t>
            </w:r>
            <w:r>
              <w:rPr>
                <w:b/>
                <w:i/>
              </w:rPr>
              <w:t>visu</w:t>
            </w:r>
            <w:r>
              <w:t xml:space="preserve"> saistību izpilde cilvēktiesību jomā; ar bažām norāda, ka 2026. gada janvārī Komisija </w:t>
            </w:r>
            <w:r>
              <w:rPr>
                <w:b/>
                <w:i/>
              </w:rPr>
              <w:t>tomēr</w:t>
            </w:r>
            <w:r>
              <w:t xml:space="preserve"> apstiprināja līdzekļu pirmo izmaksāšanu Serbijai Rietumbalkānu reformu un izaugsmes mehānisma ietvaros; </w:t>
            </w:r>
            <w:r>
              <w:rPr>
                <w:b/>
                <w:i/>
              </w:rPr>
              <w:t>aicina Komisiju paskaidrot, kā bija izpildīti priekšnosacījumi</w:t>
            </w:r>
            <w:r>
              <w:t>;</w:t>
            </w:r>
          </w:p>
        </w:tc>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saistību izpilde cilvēktiesību jomā; ar bažām norāda, ka 2026. gada janvārī Komisija apstiprināja līdzekļu pirmo izmaksāšanu Serbijai Rietumbalkānu reformu un izaugsmes mehānisma ietvaros; </w:t>
            </w:r>
            <w:r>
              <w:rPr>
                <w:b/>
                <w:i/>
              </w:rPr>
              <w:t>prasa Komisijai nekavējoties publicēt detalizētu un pārbaudāmu pamatojumu par priekšnosacījumu izpildi, tostarp attiecībā uz tiesiskumu, mediju brīvību, demokrātisku iestāžu darbību un progresu attiecību ar Kosovu normalizēšanā, kā arī par garantijām pret krāpšanu, korupciju un interešu konfliktiem</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ar bažām norāda, ka 2026. gada janvārī Komisija tomēr apstiprināja</w:t>
            </w:r>
            <w:r>
              <w:t xml:space="preserve"> līdzekļu </w:t>
            </w:r>
            <w:r>
              <w:rPr>
                <w:b/>
                <w:i/>
              </w:rPr>
              <w:t>pirmo izmaksāšanu</w:t>
            </w:r>
            <w:r>
              <w:t xml:space="preserve"> Serbijai Rietumbalkānu reformu un izaugsmes mehānisma </w:t>
            </w:r>
            <w:r>
              <w:rPr>
                <w:b/>
                <w:i/>
              </w:rPr>
              <w:t>ietvaros;</w:t>
            </w:r>
            <w:r>
              <w:t xml:space="preserve"> </w:t>
            </w:r>
            <w:r>
              <w:rPr>
                <w:b/>
                <w:i/>
              </w:rPr>
              <w:t>aicina Komisiju paskaidrot, kā bija izpildīti priekšnosacījumi</w:t>
            </w:r>
            <w:r>
              <w:t>;</w:t>
            </w:r>
          </w:p>
        </w:tc>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prasa Komisijai nodrošināt, ka šie priekšnosacījumi ir izpildīti, kad tā pārbauda ikvienu</w:t>
            </w:r>
            <w:r>
              <w:t xml:space="preserve"> līdzekļu </w:t>
            </w:r>
            <w:r>
              <w:rPr>
                <w:b/>
                <w:i/>
              </w:rPr>
              <w:t>izmaksāšanas gadījumu</w:t>
            </w:r>
            <w:r>
              <w:t xml:space="preserve"> Serbijai </w:t>
            </w:r>
            <w:r>
              <w:rPr>
                <w:b/>
                <w:i/>
              </w:rPr>
              <w:t>no</w:t>
            </w:r>
            <w:r>
              <w:t> Rietumbalkānu reformu un izaugsmes mehānisma</w:t>
            </w:r>
            <w:r>
              <w:rPr>
                <w:b/>
                <w:i/>
              </w:rPr>
              <w:t>;</w:t>
            </w:r>
            <w:r>
              <w:t xml:space="preserve"> </w:t>
            </w:r>
            <w:r>
              <w:rPr>
                <w:b/>
                <w:i/>
              </w:rPr>
              <w:t>uzsver, ka labāk būtu koncentrēties uz nākotni, nevis kritizēt Komisijas 2026. gada janvāra novērtējumu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ar bažām norāda, ka 2026. gada janvārī Komisija tomēr apstiprināja</w:t>
            </w:r>
            <w:r>
              <w:t xml:space="preserve"> līdzekļu </w:t>
            </w:r>
            <w:r>
              <w:rPr>
                <w:b/>
                <w:i/>
              </w:rPr>
              <w:t>pirmo izmaksāšanu</w:t>
            </w:r>
            <w:r>
              <w:t xml:space="preserve"> Serbijai Rietumbalkānu reformu un izaugsmes mehānisma </w:t>
            </w:r>
            <w:r>
              <w:rPr>
                <w:b/>
                <w:i/>
              </w:rPr>
              <w:t>ietvaros</w:t>
            </w:r>
            <w:r>
              <w:t xml:space="preserve">; </w:t>
            </w:r>
            <w:r>
              <w:rPr>
                <w:b/>
                <w:i/>
              </w:rPr>
              <w:t>aicina Komisiju paskaidrot, kā bija izpildīti priekšnosacījumi;</w:t>
            </w:r>
          </w:p>
        </w:tc>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prasa Komisijai nodrošināt, ka šie priekšnosacījumi ir izpildīti, kad tā pārbauda ikvienu</w:t>
            </w:r>
            <w:r>
              <w:t xml:space="preserve"> līdzekļu </w:t>
            </w:r>
            <w:r>
              <w:rPr>
                <w:b/>
                <w:i/>
              </w:rPr>
              <w:t>izmaksāšanas gadījumu</w:t>
            </w:r>
            <w:r>
              <w:t xml:space="preserve"> Serbijai </w:t>
            </w:r>
            <w:r>
              <w:rPr>
                <w:b/>
                <w:i/>
              </w:rPr>
              <w:t>no</w:t>
            </w:r>
            <w:r>
              <w:t> Rietumbalkānu reformu un izaugsmes mehānisma;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ar bažām norāda, ka 2026. gada janvārī Komisija tomēr apstiprināja</w:t>
            </w:r>
            <w:r>
              <w:t xml:space="preserve"> līdzekļu </w:t>
            </w:r>
            <w:r>
              <w:rPr>
                <w:b/>
                <w:i/>
              </w:rPr>
              <w:t>pirmo izmaksāšanu</w:t>
            </w:r>
            <w:r>
              <w:t xml:space="preserve"> Serbijai Rietumbalkānu reformu un izaugsmes mehānisma </w:t>
            </w:r>
            <w:r>
              <w:rPr>
                <w:b/>
                <w:i/>
              </w:rPr>
              <w:t>ietvaros</w:t>
            </w:r>
            <w:r>
              <w:t xml:space="preserve">; </w:t>
            </w:r>
            <w:r>
              <w:rPr>
                <w:b/>
                <w:i/>
              </w:rPr>
              <w:t>aicina Komisiju paskaidrot, kā bija izpildīti priekšnosacījumi;</w:t>
            </w:r>
          </w:p>
        </w:tc>
        <w:tc>
          <w:tcPr>
            <w:tcW w:w="4876" w:type="dxa"/>
            <w:tcBorders>
              <w:top w:val="nil"/>
              <w:left w:val="nil"/>
              <w:bottom w:val="nil"/>
              <w:right w:val="nil"/>
            </w:tcBorders>
          </w:tcPr>
          <w:p>
            <w:pPr>
              <w:pStyle w:val="Normal6a"/>
            </w:pPr>
            <w:r>
              <w:t>25.</w:t>
            </w:r>
            <w:r>
              <w:tab/>
            </w:r>
            <w:r>
              <w:t xml:space="preserve">atgādina, ka atbalsts no reformu un izaugsmes plānam paredzētajiem līdzekļiem ir atkarīgs no tā, vai tiek ievēroti efektīvi demokrātiskie mehānismi, tostarp daudzpartiju parlamentārā sistēma, brīvas un godīgas vēlēšanas, plurālistiski mediji, neatkarīga tiesu vara, tiesiskums un visu saistību izpilde cilvēktiesību jomā; </w:t>
            </w:r>
            <w:r>
              <w:rPr>
                <w:b/>
                <w:i/>
              </w:rPr>
              <w:t>prasa Komisijai nodrošināt, ka šie priekšnosacījumi ir izpildīti, kad tā pārbauda ikvienu</w:t>
            </w:r>
            <w:r>
              <w:t xml:space="preserve"> līdzekļu </w:t>
            </w:r>
            <w:r>
              <w:rPr>
                <w:b/>
                <w:i/>
              </w:rPr>
              <w:t>izmaksāšanas gadījumu</w:t>
            </w:r>
            <w:r>
              <w:t xml:space="preserve"> Serbijai </w:t>
            </w:r>
            <w:r>
              <w:rPr>
                <w:b/>
                <w:i/>
              </w:rPr>
              <w:t>no</w:t>
            </w:r>
            <w:r>
              <w:t> Rietumbalkānu reformu un izaugsmes mehānisma;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atgādina tā prasību par to, lai attiecīgais ES finansējums, tostarp no Rietumbalkānu izaugsmes plāna, tiktu pārplānots, lai novirzītu vairāk līdzekļu tiesu iestāžu reformu, korupcijas apkarošanas pasākumu, kā arī neatkarīgu mediju un pilsoniskās sabiedrības organizāciju un neatkarīgās kultūras nozares atbalstam, tā atbalstot to svarīgo darbu, un lai atbalsts, kas sniegts ar Serbijas valdības starpniecību, tiktu nekavējoties apturēts, ja nav nepārprotama un ticama progresa tiesiskuma, mediju brīvības un vēlēšanu nosacījumu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norāda, ka pievienošanās ES procesa pamatā ir valstu tiesību aktu tuvināšana ES acquis;</w:t>
            </w:r>
            <w:r>
              <w:t xml:space="preserve"> </w:t>
            </w:r>
            <w:r>
              <w:rPr>
                <w:b/>
                <w:i/>
              </w:rPr>
              <w:t>uzsver, ka arī turpmāk ir jāīsteno valsts finanšu pārvaldības un valsts pārvaldes reformas, kā arī jānovērš ilgstošie administratīvo spēju ierobežojumi ar pastāvīgu ES ieguldījumu augstas kvalitātes spēju pilnveides un zināšanu apmaiņas sistēmās, kas balstās uz esošiem labas prakses modeļiem, ko īsteno ilgstoši ES un starptautiskie partneri, jo tās ir būtiskas efektīvai īstenošanai;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aicina Serbiju pastiprināt centienus un palielināt ieguldījumus tās pierobežas reģionu sociālekonomiskajā attīstībā, lai novērstu iedzīvotāju skaita samazināšanos un nodrošinātu iedzīvotājiem piekļuvi pamatpakalpojumiem, tostarp darba iespējām, veselības aprūpei un izglītībai;</w:t>
            </w:r>
            <w:r>
              <w:t xml:space="preserve"> </w:t>
            </w:r>
            <w:r>
              <w:rPr>
                <w:b/>
                <w:i/>
              </w:rPr>
              <w:t>uzsver IPA III pārrobežu sadarbības programmu potenciālu kā galveno instrumentu ilgtspējīgas reģionālās izaugsmes veicināšanai ilgtermiņā;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norāda, ka Eiropas Prokuratūra (EPPO) ir uzsākusi atsevišķu izmeklēšanu par ES līdzekļu iespējamu ļaunprātīgu izmantošanu Novisadas dzelzceļa stacijas renovācijai 2021.–2024. gadā;</w:t>
            </w:r>
            <w:r>
              <w:t xml:space="preserve"> </w:t>
            </w:r>
            <w:r>
              <w:rPr>
                <w:b/>
                <w:i/>
              </w:rPr>
              <w:t>pauž bažas par to, ka ES līdzekļi rada korupcijas risku un ka milzīga ES finansējuma piešķiršana Serbijai veicina korupciju;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aicina ES un Rietumbalkānu valstis izstrādāt satvaru sadarbībai starp Eiropas Prokuratūru (EPPO) un analogām institūcijām Rietumbalkānu valstīs, lai EPPO varētu efektīvi izmantot savas pilnvaras saistībā ar IPA III un Rietumbalkānu reformu un izaugsmes mehānisma līdzekļiem saņēmējās valstīs;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prasa Serbijai pastiprināt darba aizsardzības pasākumus, pieņemot konkrētas valsts mēroga nostādnes par psihosociāliem un jauniem riskiem, tostarp gadījumdarbu un platformu ekonomikā, un garantējot darba ņēmējiem īstenojamas tiesības būt bezsaistē;</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apšauba, vai ir vērts arī turpmāk sniegt būtisku finansējumu, jo īpaši no Pirmspievienošanās palīdzības instrumenta (IPA III), tostarp saskaņā ar finansēšanas nolīgumu 219,9 miljonu EUR vērtībā laika periodam no 2025. gada līdz 2027. gadam;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pieņem zināšanai Serbijas varas iestāžu apgalvojumus par sprāgstvielām, kas tika atrastas netālu no gāzes cauruļvada uz Serbijas-Ungārijas robežas neilgi pirms 2026. gada vēlēšanām Ungārijā;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prasa, lai finansējums saskaņā ar instrumentu "Eiropa pasaulē" tiktu izmaksāts, stingri ievērojot nosacījumu par tiesiskuma ievērošanu;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prasa ES un Rietumbalkānu valstīm izveidot sistēmu efektīvai sadarbībai starp Eiropas Prokuratūru (EPPO) un pievienošanās sarunvalstīm;</w:t>
            </w:r>
            <w:r>
              <w:t xml:space="preserve"> </w:t>
            </w:r>
            <w:r>
              <w:rPr>
                <w:b/>
                <w:i/>
              </w:rPr>
              <w:t>mudina Serbiju ātri noslēgt divpusējas darba vienošanās ar EPPO, lai veicinātu ciešu sadarbību attiecībā uz ES līdzekļu ļaunprātīgu izmantošanu un saukšanu pie atbildības par to, cita starpā norīkojot valstu sadarbības koordinatorus darbā EPPO;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prasa Serbijai nodrošināt, ka uz mājsaimniecībā nodarbinātām personām pilnā mērā attiecas darba aizsardzības tiesību akti un šīs personas ir efektīvi aizsargātas arī praksē, tostarp ieviešot atbilstošus darba inspekcijas un izpildes mehānismus, kā arī prasa darba inspekcijas pārbaudēs ietvert visas pašnodarbinātu darba ņēmēju kategorijas, nevis tikai tos pašnodarbinātos darba ņēmējus, kas strādā būvlaukumos;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pauž bažas par to piešķirto līgumu apjomu un darbības jomu, uz kuriem neattiecas pašreizējais tiesiskais regulējums publiskā iepirkuma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atzinīgi vērtē Komisijas priekšlikumu sākt sarunas ar Albāniju, Bosniju un Hercegovinu, Kosovu, Melnkalni, Ziemeļmaķedoniju un Serbiju, lai tās integrētu ES “viesabonēšana kā mājās” režīmā;</w:t>
            </w:r>
            <w:r>
              <w:t xml:space="preserve"> </w:t>
            </w:r>
            <w:r>
              <w:rPr>
                <w:b/>
                <w:i/>
              </w:rPr>
              <w:t>uzsver, ka “viesabonēšana kā mājās” zonas paplašināšana uz Rietumbalkāniem sniegtu taustāmus ieguvumus gan iedzīvotājiem, gan uzņēmumiem, veicinot cilvēku savstarpējos kontaktus, stiprinot ekonomiskās saites, atbalstot izglītības apmaiņu un veicinot tūrismu;</w:t>
            </w:r>
            <w:r>
              <w:t xml:space="preserve"> </w:t>
            </w:r>
            <w:r>
              <w:rPr>
                <w:b/>
                <w:i/>
              </w:rPr>
              <w:t>norāda, ka šīs iniciatīvas pamatā ir jau pastāvošie brīvprātīgie viesabonēšanas noteikumi un Rietumbalkānu reģionālie viesabonēšanas noteikumi, kas apstiprināti Tirānas samitā; prasa ātri pieņemt sarunu pilnvaras un laicīgi noslēgt divpusējus nolīgumus ar Rietumbalkānu partneriem, lai nodrošinātu, ka tie tiek ātri un efektīvi iekļauti ES “viesabonēšana kā mājās” zonā;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prasa Serbijai uzlabot darba inspekcijas un darba vietas profilakses pasākumus attiecībā uz arodriskiem, kas saistīti ar klimatu, tostarp karstumu, piesārņojumu un citiem kaitnieciskiem vides apstākļiem, un to īstenot, ieviešot iedarbīgākus uzraudzības mehānismus, riska novērtējumu, kā arī norādījumus un apmācību darba devējiem un darba ņēmējiem;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prasa Serbijai nodrošināt vienādu darba samaksu sievietēm un vīriešiem, izveidojot pārredzamas, objektīvas un dzimumneitrālas darba klasificēšanas un atalgojuma sistēmas privātajā sektorā un pieņemot efektīvus pasākumus, ar ko panākt izmērāmu progresu vīriešu un sieviešu darba samaksas atšķirību mazināšanā;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25.e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25.e</w:t>
            </w:r>
            <w:r>
              <w:tab/>
            </w:r>
            <w:r>
              <w:rPr>
                <w:b/>
                <w:i/>
              </w:rPr>
              <w:t>prasa Serbijai stiprināt biedrošanās brīvību un sociālo dialogu, aktīvi īstenojot pasākumus, kas veicinātu arodbiedrību izveidi, jo īpaši nozarēs, kurās ir maz arodbiedrību, un jaunās nozarēs, kā arī pazeminot pārmērīgi stingras dalības robežvērtības darba devēju organizācijām un nodrošinot, ka efektīvi tiek veicinātas kopīgas konsultācijas, tostarp arī privātajā sektorā un par jautājumiem, kas saistīti ar digitālo pārkārtošanos;</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25.f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prasa Serbijai efektīvāk popularizēt koplīguma sarunas, tostarp pašnodarbinātu personu vidū, kuras ir ekonomiski atkarīgas vai atrodas darba ņēmējiem pielīdzināmā situācijā, lai tādējādi novērstu fiktīvu pašnodarbinātību un nodrošinātu, ka visi darba ņēmēji spēj uzlabot savus apstākļus kolektīvas rīcības un sarunu ceļā;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25.g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prasa Serbijai tās tiesību aktus par tiesībām streikot saskaņot ar Eiropas Sociālo hartu, atceļot nepamatotus aizliegumus streikot noteiktās veselības aprūpes nozares jomās, sašaurinot pārmērīgi plašo nozaru klāstu, kur tiesības streikot var tikt ierobežotas, un nodrošinot, ka darba ņēmēji un arodbiedrības var līdzvērtīgi darba ņēmējiem iesaistīties lēmumos par minimālo pakalpojumu apjomu streiku laikā;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25.h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prasa Serbijai pastiprināt centienus, lai mazinātu dzimumu nodarbinātības atšķirību un veicinātu izmērāmu progresu sieviešu pārstāvībai vadošos amatos, jo īpaši lielākajos biržā kotētajos uzņēmumos, tostarp ar mērķtiecīgiem līdztiesības pasākumiem un pa dzimumiem sadalītu datu regulāru publicēšanu;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25.i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norāda, ka sociālais dialogs un apspriešanās ar sociālajiem partneriem joprojām ir nepietiekami, un aicina iestādes gan ar tiesību aktiem, gan praksē stiprināt koplīguma sarunas, veicināt trīspusēju un divpusēju sociālo dialogu un izmantot Rietumbalkānu mehānismu, lai atbalstītu sociālo partneru spēju veidošanu, taču līdzekļu piešķiršanai ir jābūt atkarīgai no tā, vai reformu programmas sagatavošanā ir iesaistījušies sociālie partneri;</w:t>
            </w:r>
            <w:r>
              <w:t xml:space="preserve"> </w:t>
            </w:r>
            <w:r>
              <w:rPr>
                <w:b/>
                <w:i/>
              </w:rPr>
              <w:t>aicina iestādēm veikt reformas darba tiesībās, lai tās saskaņotu ar ES sociālās jomas acquis, un tiesību aktus par streikošanu saskaņot ar SDO konvencijām Nr. 87 un 98, kā arī netraucēt biedrošanās brīvībai un arodbiedrību darbībai;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uzsver, cik stratēģiski nozīmīgi ir stiprināt savienojamību starp Serbiju un ES dalībvalstīm, jo īpaši turpinot izbūvēt un atjaunot dzelzceļa līniju Budapešta-Belgrada-Skopje-Saloniki kā daļu no Eiropas transporta tīkla (TEN-T) un Rietumbalkānu-Vidusjūras austrumdaļas koridora;</w:t>
            </w:r>
            <w:r>
              <w:t xml:space="preserve"> </w:t>
            </w:r>
            <w:r>
              <w:rPr>
                <w:b/>
                <w:i/>
              </w:rPr>
              <w:t>uzsver, ka, paātrinot attiecīgas investīcijas, var veicināt ekonomikas konverģenci, ilgtspējīgu mobilitāti un stiprināt tirdzniecības plūsmu starp Savienību un Serbiju;</w:t>
            </w:r>
            <w:r>
              <w:t xml:space="preserve"> </w:t>
            </w:r>
            <w:r>
              <w:rPr>
                <w:b/>
                <w:i/>
              </w:rPr>
              <w:t>prasa Komisijai un Serbijai pastiprināt sadarbību attiecīgu projektu plānošanā, finansēšanā un īstenošanā, vienlaikus nodrošinot atbilstību Savienības standartiem attiecībā uz vidi, publisko iepirkumu un pārredzamību;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aicina Serbiju pastiprināt centienus attiecīgā vides un klimata acquis transponēšanā un nodrošināt pareizu vides aizsardzības standartu piemērošanu, arī ievērojami uzlabojot savas administratīvās un tehniskās spējas visos pārvaldes līmeņos, tostarp uzlabojot koordināciju starp kompetentajām iestādēm un risinot atbildības sadrumstalotību vides jomā;</w:t>
            </w:r>
            <w:r>
              <w:t xml:space="preserve"> </w:t>
            </w:r>
            <w:r>
              <w:rPr>
                <w:b/>
                <w:i/>
              </w:rPr>
              <w:t>mudina Serbijas iestādes uzlabot visu investīciju, arī Ķīnas un Krievijas investīciju, pārredzamību un ietekmes uz vidi novērtējumu;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25.d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atzinīgi vērtē Likuma par ietekmes uz vidi novērtējumu un Likuma par stratēģisko vides novērtējumu pieņemšanu;</w:t>
            </w:r>
            <w:r>
              <w:t xml:space="preserve"> </w:t>
            </w:r>
            <w:r>
              <w:rPr>
                <w:b/>
                <w:i/>
              </w:rPr>
              <w:t>tomēr uzsver, ka joprojām būtiska ir efektīva īstenošana, jo īpaši nodrošinot, ka visos projektos ir pilnīgas un pārredzamas novērtēšanas procedūras, ka sabiedrības līdzdalība ir jēgpilna un norit savlaicīgi un ka neviena administratīvā prakse, tostarp provizoriski atzinumi, nepieļauj, ka projekti apiet visaptverošu vides kontroli;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norāda uz politiski sensitīvajām norisēm saistībā ar naftas un gāzes uzņēmumu Naftna Industrija Srbije (NIS) un tā īpašumtiesību struktūras pārveidi, ņemot vērā Amerikas Savienoto Valstu noteiktās sankcijas un to, ka NIS akciju kontrolpakete pieder Krievijas uzņēmumiem Gazprom un Gazprom Neft</w:t>
            </w:r>
            <w:r>
              <w:t>;</w:t>
            </w:r>
          </w:p>
        </w:tc>
        <w:tc>
          <w:tcPr>
            <w:tcW w:w="4876" w:type="dxa"/>
            <w:tcBorders>
              <w:top w:val="nil"/>
              <w:left w:val="nil"/>
              <w:bottom w:val="nil"/>
              <w:right w:val="nil"/>
            </w:tcBorders>
          </w:tcPr>
          <w:p>
            <w:pPr>
              <w:pStyle w:val="Normal6a"/>
            </w:pPr>
            <w:r>
              <w:t>26.</w:t>
            </w:r>
            <w:r>
              <w:tab/>
            </w:r>
            <w:r>
              <w:rPr>
                <w:b/>
                <w:i/>
              </w:rPr>
              <w:t>atzinīgi vērtē pasākumus, kuru mērķis ir nodalīt dabasgāzes piegādātāju "Srbijagas", un citus pasākumus, lai nodrošinātu enerģētisko neatkarību un enerģijas avotu dažādošanu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norāda uz politiski sensitīvajām norisēm saistībā ar naftas un gāzes uzņēmumu Naftna Industrija Srbije (NIS) un tā īpašumtiesību struktūras pārveidi, ņemot vērā Amerikas Savienoto Valstu noteiktās sankcijas un to, ka NIS akciju kontrolpakete pieder Krievijas uzņēmumiem Gazprom un Gazprom Neft;</w:t>
            </w:r>
          </w:p>
        </w:tc>
        <w:tc>
          <w:tcPr>
            <w:tcW w:w="4876" w:type="dxa"/>
            <w:tcBorders>
              <w:top w:val="nil"/>
              <w:left w:val="nil"/>
              <w:bottom w:val="nil"/>
              <w:right w:val="nil"/>
            </w:tcBorders>
          </w:tcPr>
          <w:p>
            <w:pPr>
              <w:pStyle w:val="Normal6a"/>
            </w:pPr>
            <w:r>
              <w:t>26.</w:t>
            </w:r>
            <w:r>
              <w:tab/>
            </w:r>
            <w:r>
              <w:t xml:space="preserve">norāda uz politiski sensitīvajām norisēm saistībā ar naftas un gāzes uzņēmumu Naftna Industrija Srbije (NIS) un tā īpašumtiesību struktūras pārveidi, ņemot vērā Amerikas Savienoto Valstu noteiktās sankcijas un to, ka NIS akciju kontrolpakete pieder Krievijas uzņēmumiem Gazprom un Gazprom Neft; </w:t>
            </w:r>
            <w:r>
              <w:rPr>
                <w:b/>
                <w:i/>
              </w:rPr>
              <w:t>norāda uz ES un Horvātijas iesaistīšanos un atbalstu, lai rastu ilgtspējīgu risinājumu šai krīzei;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norāda uz politiski sensitīvajām norisēm saistībā ar</w:t>
            </w:r>
            <w:r>
              <w:t xml:space="preserve"> naftas un gāzes </w:t>
            </w:r>
            <w:r>
              <w:rPr>
                <w:b/>
                <w:i/>
              </w:rPr>
              <w:t>uzņēmumu</w:t>
            </w:r>
            <w:r>
              <w:t xml:space="preserve"> Naftna Industrija Srbije (NIS) </w:t>
            </w:r>
            <w:r>
              <w:rPr>
                <w:b/>
                <w:i/>
              </w:rPr>
              <w:t>un tā</w:t>
            </w:r>
            <w:r>
              <w:t xml:space="preserve"> īpašumtiesību </w:t>
            </w:r>
            <w:r>
              <w:rPr>
                <w:b/>
                <w:i/>
              </w:rPr>
              <w:t>struktūras pārveidi</w:t>
            </w:r>
            <w:r>
              <w:t xml:space="preserve">, ņemot vērā </w:t>
            </w:r>
            <w:r>
              <w:rPr>
                <w:b/>
                <w:i/>
              </w:rPr>
              <w:t>Amerikas Savienoto Valstu noteiktās sankcijas un to, ka NIS akciju kontrolpakete pieder</w:t>
            </w:r>
            <w:r>
              <w:t xml:space="preserve"> Krievijas uzņēmumiem Gazprom </w:t>
            </w:r>
            <w:r>
              <w:rPr>
                <w:b/>
                <w:i/>
              </w:rPr>
              <w:t>un</w:t>
            </w:r>
            <w:r>
              <w:t xml:space="preserve"> Gazprom Neft;</w:t>
            </w:r>
          </w:p>
        </w:tc>
        <w:tc>
          <w:tcPr>
            <w:tcW w:w="4876" w:type="dxa"/>
            <w:tcBorders>
              <w:top w:val="nil"/>
              <w:left w:val="nil"/>
              <w:bottom w:val="nil"/>
              <w:right w:val="nil"/>
            </w:tcBorders>
          </w:tcPr>
          <w:p>
            <w:pPr>
              <w:pStyle w:val="Normal6a"/>
            </w:pPr>
            <w:r>
              <w:t>26.</w:t>
            </w:r>
            <w:r>
              <w:tab/>
            </w:r>
            <w:r>
              <w:rPr>
                <w:b/>
                <w:i/>
              </w:rPr>
              <w:t>uzskata, ka</w:t>
            </w:r>
            <w:r>
              <w:t xml:space="preserve"> naftas un gāzes </w:t>
            </w:r>
            <w:r>
              <w:rPr>
                <w:b/>
                <w:i/>
              </w:rPr>
              <w:t>uzņēmuma "</w:t>
            </w:r>
            <w:r>
              <w:t>Naftna Industrija Srbije</w:t>
            </w:r>
            <w:r>
              <w:rPr>
                <w:b/>
                <w:i/>
              </w:rPr>
              <w:t>"</w:t>
            </w:r>
            <w:r>
              <w:t xml:space="preserve"> (NIS) īpašumtiesību </w:t>
            </w:r>
            <w:r>
              <w:rPr>
                <w:b/>
                <w:i/>
              </w:rPr>
              <w:t>struktūra raisa ievērojamas bažas</w:t>
            </w:r>
            <w:r>
              <w:t xml:space="preserve">, ņemot vērā </w:t>
            </w:r>
            <w:r>
              <w:rPr>
                <w:b/>
                <w:i/>
              </w:rPr>
              <w:t>to, ka</w:t>
            </w:r>
            <w:r>
              <w:t xml:space="preserve"> Krievijas uzņēmumiem </w:t>
            </w:r>
            <w:r>
              <w:rPr>
                <w:b/>
                <w:i/>
              </w:rPr>
              <w:t>"</w:t>
            </w:r>
            <w:r>
              <w:t>Gazprom</w:t>
            </w:r>
            <w:r>
              <w:rPr>
                <w:b/>
                <w:i/>
              </w:rPr>
              <w:t>" un "</w:t>
            </w:r>
            <w:r>
              <w:t>Gazprom Neft</w:t>
            </w:r>
            <w:r>
              <w:rPr>
                <w:b/>
                <w:i/>
              </w:rPr>
              <w:t>" tajos ir kontrolējoša līdzdalība, un uzskata, ka tas pilnībā ir pretrunā ES stratēģiskajām interesēm un enerģētikas politikas mērķiem</w:t>
            </w:r>
            <w:r>
              <w:t xml:space="preserve">; </w:t>
            </w:r>
            <w:r>
              <w:rPr>
                <w:b/>
                <w:i/>
              </w:rPr>
              <w:t>ļoti atzinīgi vērtē sankcijas, ko ASV ir piemērojusi;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norāda uz politiski sensitīvajām norisēm saistībā ar naftas un gāzes uzņēmumu Naftna Industrija Srbije (NIS)</w:t>
            </w:r>
            <w:r>
              <w:t xml:space="preserve"> un tā </w:t>
            </w:r>
            <w:r>
              <w:rPr>
                <w:b/>
                <w:i/>
              </w:rPr>
              <w:t>īpašumtiesību struktūras pārveidi, ņemot vērā Amerikas Savienoto</w:t>
            </w:r>
            <w:r>
              <w:t xml:space="preserve"> Valstu </w:t>
            </w:r>
            <w:r>
              <w:rPr>
                <w:b/>
                <w:i/>
              </w:rPr>
              <w:t>noteiktās sankcijas un to, ka NIS akciju kontrolpakete pieder Krievijas uzņēmumiem Gazprom un Gazprom Neft</w:t>
            </w:r>
            <w:r>
              <w:t>;</w:t>
            </w:r>
          </w:p>
        </w:tc>
        <w:tc>
          <w:tcPr>
            <w:tcW w:w="4876" w:type="dxa"/>
            <w:tcBorders>
              <w:top w:val="nil"/>
              <w:left w:val="nil"/>
              <w:bottom w:val="nil"/>
              <w:right w:val="nil"/>
            </w:tcBorders>
          </w:tcPr>
          <w:p>
            <w:pPr>
              <w:pStyle w:val="Normal6a"/>
            </w:pPr>
            <w:r>
              <w:t>26.</w:t>
            </w:r>
            <w:r>
              <w:tab/>
            </w:r>
            <w:r>
              <w:rPr>
                <w:b/>
                <w:i/>
              </w:rPr>
              <w:t>pieņem zināšanai norises NIS un tā īpašumtiesības struktūrā;</w:t>
            </w:r>
            <w:r>
              <w:t xml:space="preserve"> </w:t>
            </w:r>
            <w:r>
              <w:rPr>
                <w:b/>
                <w:i/>
              </w:rPr>
              <w:t>atgādina, ka Serbijas enerģētikas sektors</w:t>
            </w:r>
            <w:r>
              <w:t xml:space="preserve"> un tā </w:t>
            </w:r>
            <w:r>
              <w:rPr>
                <w:b/>
                <w:i/>
              </w:rPr>
              <w:t>partnerības nolīgumi atspoguļo suverēnus lēmumus attiecībā uz enerģētisko drošību;</w:t>
            </w:r>
            <w:r>
              <w:t xml:space="preserve"> </w:t>
            </w:r>
            <w:r>
              <w:rPr>
                <w:b/>
                <w:i/>
              </w:rPr>
              <w:t>norāda, ka trešo</w:t>
            </w:r>
            <w:r>
              <w:t xml:space="preserve"> valstu </w:t>
            </w:r>
            <w:r>
              <w:rPr>
                <w:b/>
                <w:i/>
              </w:rPr>
              <w:t>sankciju režīmi neuzliek automātiskas saistības ES kandidātvalstīm un tos nevajadzētu uztvert kā kritēriju, lai varētu pievienoties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Komisijas priekšlikumu sākt sarunas ar Albāniju, Bosniju un Hercegovinu, Kosovu, Melnkalni, Ziemeļmaķedoniju un Serbiju, lai tās integrētu ES “viesabonēšana kā mājās” režīmā;</w:t>
            </w:r>
            <w:r>
              <w:t xml:space="preserve"> </w:t>
            </w:r>
            <w:r>
              <w:rPr>
                <w:b/>
                <w:i/>
              </w:rPr>
              <w:t>uzsver, ka “viesabonēšana kā mājās” zonas paplašināšana uz Rietumbalkāniem sniegtu taustāmus ieguvumus gan iedzīvotājiem, gan uzņēmumiem, veicinot cilvēku savstarpējos kontaktus, stiprinot ekonomiskās saites, atbalstot izglītības apmaiņu un veicinot tūrismu;</w:t>
            </w:r>
            <w:r>
              <w:t xml:space="preserve"> </w:t>
            </w:r>
            <w:r>
              <w:rPr>
                <w:b/>
                <w:i/>
              </w:rPr>
              <w:t>norāda, ka šīs iniciatīvas pamatā ir jau pastāvošie brīvprātīgie viesabonēšanas noteikumi un Rietumbalkānu reģionālie viesabonēšanas noteikumi, kas apstiprināti Tirānas samitā; prasa ātri pieņemt sarunu pilnvaras un laicīgi noslēgt divpusējus nolīgumus ar Rietumbalkānu partneriem, lai nodrošinātu, ka tie tiek ātri un efektīvi iekļauti ES “viesabonēšana kā mājās” zonā;</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pauž nožēlu, ka Serbija joprojām slēdz gāzes piegādes nolīgumus ar Krieviju, vienlaikus nenodrošinot atbilstību ES KĀDP mērķiem un tādējādi vairojot tās stratēģisko atkarību no viena piegādātāja;</w:t>
            </w:r>
            <w:r>
              <w:t xml:space="preserve"> </w:t>
            </w:r>
            <w:r>
              <w:rPr>
                <w:b/>
                <w:i/>
              </w:rPr>
              <w:t>prasa Serbijas iestādēm steidzami rīkoties, lai dažādotu gāzes piegādes avotus, tostarp ar uzlabotu reģionālo savienotību, investīcijām atjaunojamā enerģijā un saskaņošanu ar ES enerģijas dažādošanas stratēģiju;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ar bažām norāda, ka daudz Serbijas pilsoņu regulāri izceļo, lai apmestos ārvalstīs, un ka tas var negatīvi ietekmēt Serbijas ekonomiku un sociālo attīstību;</w:t>
            </w:r>
            <w:r>
              <w:t xml:space="preserve"> </w:t>
            </w:r>
            <w:r>
              <w:rPr>
                <w:b/>
                <w:i/>
              </w:rPr>
              <w:t>prasa Serbijas valdībai pieņemt mērķtiecīgus un efektīvus pasākumus, lai iedvesmotu Serbijas pilsoņus atgriezties savā valstī, cita starpā nodrošinot piemērotus ekonomiskos stimulus un uzlabojot nodarbinātību un dzīves apstākļus;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pauž nožēlu, ka par spīti Serbijas centieniem dažādot enerģijas piegādi un nesaņemt to tikai no Krievijas, nesenajās sarunās ar Vladimiru Putinu prezidents Aleksandrs Vučičs noslēdza jaunu gāzes importa vienošanos ar Krieviju, graujot Serbijas progresu saskaņošanā ar ES enerģētikas politiku un radot pamatīgas šaubas par Serbijas apņemšanos mazināt tās stratēģisko atkarību no Krievijas enerģijas avotiem;</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norāda, ka Serbija ir labi sagatavojusies ekonomikas jomā, proti, saistībā ar makroekonomikas drošību un stabilitāti, fiskālo disciplīnu un statistiku;</w:t>
            </w:r>
            <w:r>
              <w:t xml:space="preserve"> </w:t>
            </w:r>
            <w:r>
              <w:rPr>
                <w:b/>
                <w:i/>
              </w:rPr>
              <w:t>norāda, ka ir panākts labs progress attiecībā uz zaļo programmu, vides aizsardzību, klimata pārmaiņām un Eiropas komunikāciju tīklu;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uzskata, ka Serbijas nevēlēšanās pievienoties sankcijām pret Krieviju ir nepieņemama atkāpšanās no ES vienotās nostājas, un uzskata, ka tas pamatīgi grauj valsts pievienošanās procesa ticamību;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atkārto, ka ir svarīgi arī turpmāk dažādot Serbijas energoapgādi, lai samazinātu tās atkarību no Krievijas;</w:t>
            </w:r>
            <w:r>
              <w:t xml:space="preserve"> </w:t>
            </w:r>
            <w:r>
              <w:rPr>
                <w:b/>
                <w:i/>
              </w:rPr>
              <w:t>norāda, ka enerģijas dažādošanu var uztvert kā daļu no valsts stratēģiskās ievirzes;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pasākumus, kuru mērķis ir nodalīt dabasgāzes piegādātāju "Srbijagas", un pasākumus reformu veicināšanai ar mērķi stiprināt enerģētisko neatkarību un dažādot enerģijas avotus, jo īpaši mazinot atkarību no dominējošiem trešo valstu piegādātājiem;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atzinīgi vērtē pasākumus, ko 2026. gada 5. aprīlī īstenoja Serbijas iestādes, lai novērstu teroristu uzbrukumu Serbijas-Ungārijas gāzes cauruļvadam, tā dēvētajam Turkish Stream, netālo no Tresnjevac;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ar nožēlu norāda uz Serbijas demogrāfiskajām problēmām, ko rada sabiedrības novecošana un zemie dzimstības rādītāji un ko vēl vairāk pasliktina jauniešu masveida izceļošana, ko veicina politiskā nedrošība un sociālekonomiskās problēmas;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atzinīgi vērtē pasākumus, kuru mērķis ir nodalīt dabasgāzes piegādātāju "Srbijagas", un citus pasākumus, lai nodrošinātu enerģētisko neatkarību un enerģijas avotu dažādošanu;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26.b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uzskata, ka būtisks Serbijas drošības politikas mērķis ir pārtraukt enerģijas piegādi no Krievijas;</w:t>
            </w:r>
            <w:r>
              <w:t xml:space="preserve"> </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atkārtoti uzsver, ka ir svarīgi aizsargāt vides standartus Serbijā, jo īpaši attiecībā uz kalnrūpniecības projektiem, vienlaikus pilnībā ievērojot vietējo pašvaldību tiesības;</w:t>
            </w:r>
          </w:p>
        </w:tc>
        <w:tc>
          <w:tcPr>
            <w:tcW w:w="4876" w:type="dxa"/>
            <w:tcBorders>
              <w:top w:val="nil"/>
              <w:left w:val="nil"/>
              <w:bottom w:val="nil"/>
              <w:right w:val="nil"/>
            </w:tcBorders>
          </w:tcPr>
          <w:p>
            <w:pPr>
              <w:pStyle w:val="Normal6a"/>
            </w:pPr>
            <w:r>
              <w:t>27.</w:t>
            </w:r>
            <w:r>
              <w:tab/>
            </w:r>
            <w:r>
              <w:t xml:space="preserve">atkārtoti uzsver, ka ir svarīgi aizsargāt vides standartus Serbijā, jo īpaši attiecībā uz kalnrūpniecības projektiem, vienlaikus pilnībā ievērojot vietējo pašvaldību tiesības; </w:t>
            </w:r>
            <w:r>
              <w:rPr>
                <w:b/>
                <w:i/>
              </w:rPr>
              <w:t>atzinīgi vērtē Eiropas Savienības un Serbijas Republikas saprašanās memorandu par stratēģisku partnerību ilgtspējīgu izejvielu, bateriju vērtības ķēžu un elektrificētu transportlīdzekļu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atkārtoti uzsver, ka ir svarīgi aizsargāt vides standartus Serbijā, jo īpaši attiecībā uz kalnrūpniecības projektiem, vienlaikus pilnībā ievērojot vietējo pašvaldību tiesības;</w:t>
            </w:r>
          </w:p>
        </w:tc>
        <w:tc>
          <w:tcPr>
            <w:tcW w:w="4876" w:type="dxa"/>
            <w:tcBorders>
              <w:top w:val="nil"/>
              <w:left w:val="nil"/>
              <w:bottom w:val="nil"/>
              <w:right w:val="nil"/>
            </w:tcBorders>
          </w:tcPr>
          <w:p>
            <w:pPr>
              <w:pStyle w:val="Normal6a"/>
            </w:pPr>
            <w:r>
              <w:t>27.</w:t>
            </w:r>
            <w:r>
              <w:tab/>
            </w:r>
            <w:r>
              <w:t xml:space="preserve">atkārtoti uzsver, ka ir svarīgi aizsargāt vides standartus Serbijā, jo īpaši attiecībā uz kalnrūpniecības projektiem, vienlaikus pilnībā ievērojot vietējo pašvaldību tiesības; </w:t>
            </w:r>
            <w:r>
              <w:rPr>
                <w:b/>
                <w:i/>
              </w:rPr>
              <w:t>atzinīgi vērtē Eiropas Savienības un Serbijas Republikas saprašanās memorandu par stratēģisku partnerību ilgtspējīgu izejvielu, bateriju vērtības ķēžu un elektrificētu transportlīdzekļu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atkārtoti uzsver, ka ir svarīgi </w:t>
            </w:r>
            <w:r>
              <w:rPr>
                <w:b/>
                <w:i/>
              </w:rPr>
              <w:t>aizsargāt</w:t>
            </w:r>
            <w:r>
              <w:t xml:space="preserve"> vides standartus Serbijā, </w:t>
            </w:r>
            <w:r>
              <w:rPr>
                <w:b/>
                <w:i/>
              </w:rPr>
              <w:t>jo īpaši</w:t>
            </w:r>
            <w:r>
              <w:t xml:space="preserve"> attiecībā uz kalnrūpniecības projektiem, vienlaikus pilnībā ievērojot vietējo pašvaldību tiesības;</w:t>
            </w:r>
          </w:p>
        </w:tc>
        <w:tc>
          <w:tcPr>
            <w:tcW w:w="4876" w:type="dxa"/>
            <w:tcBorders>
              <w:top w:val="nil"/>
              <w:left w:val="nil"/>
              <w:bottom w:val="nil"/>
              <w:right w:val="nil"/>
            </w:tcBorders>
          </w:tcPr>
          <w:p>
            <w:pPr>
              <w:pStyle w:val="Normal6a"/>
            </w:pPr>
            <w:r>
              <w:t>27.</w:t>
            </w:r>
            <w:r>
              <w:tab/>
            </w:r>
            <w:r>
              <w:t xml:space="preserve">atkārtoti uzsver, ka ir svarīgi </w:t>
            </w:r>
            <w:r>
              <w:rPr>
                <w:b/>
                <w:i/>
              </w:rPr>
              <w:t>pilnībā ievērot</w:t>
            </w:r>
            <w:r>
              <w:t xml:space="preserve"> vides </w:t>
            </w:r>
            <w:r>
              <w:rPr>
                <w:b/>
                <w:i/>
              </w:rPr>
              <w:t>un dabas aizsardzības</w:t>
            </w:r>
            <w:r>
              <w:t xml:space="preserve"> standartus Serbijā, </w:t>
            </w:r>
            <w:r>
              <w:rPr>
                <w:b/>
                <w:i/>
              </w:rPr>
              <w:t>galvenokārt</w:t>
            </w:r>
            <w:r>
              <w:t xml:space="preserve"> attiecībā uz kalnrūpniecības projektiem</w:t>
            </w:r>
            <w:r>
              <w:rPr>
                <w:b/>
                <w:i/>
              </w:rPr>
              <w:t>, jo īpaši teritorijās ar lielu bioloģisko daudzveidību, piemēram, aizsargājamās teritorijās un vecos mežos Serbijas austrumos</w:t>
            </w:r>
            <w:r>
              <w:t>, vienlaikus pilnībā ievērojot vietējo pašvaldību tiesības;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pauž bažas par ziņoto vides degradāciju un sociālo ietekmi, kas saistītas ar liela mēroga ieguves rūpniecības projektiem, jo īpaši pēc tam, kad 2018. gadā kalnrūpniecības un kausēšanas komplekss "RTB Bor" tika pārdots Ķīnas uzņēmumam "Zijin", tā veicinot aktīvāku vara, zelta un citu retzemju metālu ieguvi Bor un Majdanpek reģionos;</w:t>
            </w:r>
            <w:r>
              <w:t xml:space="preserve"> </w:t>
            </w:r>
            <w:r>
              <w:rPr>
                <w:b/>
                <w:i/>
              </w:rPr>
              <w:t>uzsver, ka šādi pasākumi ir radījuši nopietnas bažas par to ietekmi uz vietējiem iedzīvotājiem, tostarp attiecībā uz rumāņu minoritātes pārstāvju pārvietošanu, tādējādi mainot reģiona etnisko sastāvu un neievērojot konstitucionālās garantijas;</w:t>
            </w:r>
            <w:r>
              <w:t xml:space="preserve"> </w:t>
            </w:r>
            <w:r>
              <w:rPr>
                <w:b/>
                <w:i/>
              </w:rPr>
              <w:t>uzsver, ka, apstiprinot un īstenojot šādus projektus, Serbijai ir pilnībā jāievēro tās konstitucionālā kārtība, jānodrošina stingra atbilstība vides standartiem un jāaizsargā vietējo un nacionālo minoritāšu tiesības;</w:t>
            </w:r>
            <w:r>
              <w:t xml:space="preserve"> </w:t>
            </w:r>
            <w:r>
              <w:rPr>
                <w:b/>
                <w:i/>
              </w:rPr>
              <w:t>aicina Serbijas iestādes nodrošināt pilnīgu pārredzamību un pārskatatbildību un ievērot pienācīgu rūpību publiskā iepirkuma, privatizācijas un koncesiju procedūrās, kurās iesaistīti trešām valstīm piederoši uzņēmumi, tostarp Ķīnas darbuzņēmēji;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Verts/ALE grupas vārdā</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prasa Serbijai paātrināt saskaņošanu ar Putnu direktīvu un Dzīvotņu direktīvu un ievērojami aktīvāk rīkoties, lai noteiktu un iepriekš izraudzītos Natura 2000 tīkla vietas un tādējādi atbilstu 27. sadaļas pamatprasībām, kā arī prasa paplašināt un efektīvi pārvaldīt aizsargājamās teritorijas, tostarp stiprināt tiesībaizsardzību attiecībā uz noziegumu pret dzīvo dabu;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prasa Komisijai pārskatīt jaunos ES IIS noteikumus, kas ierobežo kravas automobiļu no Melnkalnes, Serbijas, Bosnijas un Ziemeļmaķedonijas uzturēšanos ES līdz 90 dienām pusgada laikā, tādējādi apdraudot kandidātvalstu iedzīvotāju iztiku un, iespējams, radot traucējumus piegādes ķēdēs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pauž bažas par būtisko ietekmi uz vidi un sabiedrības veselību, tostarp par gaisa, augsnes un ūdens piesārņojumu, ko veicina kalnrūpniecība un rūpnieciskās darbības, kurās iesaistīti Ķīnas investori, jo īpaši tie, kas saistīti ar "Zijin Mining" darbībām Serbijā;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uzsver, ka fakts, ka galvenie enerģētikas uzņēmumi pastāvīgi ir valsts īpašumā, ir būtiska stratēģiska Serbijas priekšrocība, jo ar šo būtisko rīku var nodrošināt enerģijas suverenitāti, aizsargāt iedzīvotājus no cenu svārstībām un pārvaldīt koordinētu zaļo pārkārtošanos;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atkārtoti pauž nožēlu par rīcības trūkumu saistībā ar Dragovišticas upes piesārņojumu, ko rada raktuves, kuras darbojas šajā reģionā, un par kaitīgo ietekmi uz vietējo iedzīvotāju veselību un vidi;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prasa Serbijai pienācīgi un pārredzami pārbaudīt un izvērtēt investīcijas no trešām valstīm, jo īpaši attiecībā uz vides standartiem un ilgtspēju;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aicina Serbiju nekavējoties īstenot pasākumus, kas noteikti saprašanās memorandā par sadarbību vides aizsardzības jomā ar Bulgāriju;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atzinīgi vērtē ES un Serbijas saprašanās memorandu par stratēģisku partnerību ilgtspējīgu izejvielu, bateriju vērtības ķēžu un elektrificētu transportlīdzekļu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mudina Serbiju padziļināt pārrobežu sadarbību ar kaimiņvalstīm, sevišķi pārrobežu ceļu infrastruktūras jomā;</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brīdina, ka stratēģiskās nozarēs nedrīkst īstenot nekādus turpmākus nepārredzamus privatizācijas procesus;</w:t>
            </w:r>
            <w:r>
              <w:t xml:space="preserve"> </w:t>
            </w:r>
            <w:r>
              <w:rPr>
                <w:b/>
                <w:i/>
              </w:rPr>
              <w:t>mudina Serbiju nodrošināt, ka valstij piederošu uzņēmumu pārstrukturēšana vai korporatizācija tiek īstenota, nodrošinot pilnīgu atbilstību sociāla dialoga principiem, garantējot arodbiedrību un darba devēju pārstāvju jēgpilnu iesaistīšanos lēmumu pieņemšanas procesā, lai novērstu darba devēju tiesību vājināšanos un valsts kontroles zudumu pār būtiskiem pakalpojumiem;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uzsver, ka ir vajadzīgs turpmāks progress pārrobežu sadarbībā ar kaimiņvalstīm;</w:t>
            </w:r>
            <w:r>
              <w:t xml:space="preserve"> </w:t>
            </w:r>
            <w:r>
              <w:rPr>
                <w:b/>
                <w:i/>
              </w:rPr>
              <w:t>mudina Serbiju sākt īstenot darbības, kas izklāstītas saprašanās memorandā par sadarbību vides aizsardzības jomā ar Bulgāriju;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norāda, ka Serbija saņem ievērojamu ES finansiālo atbalstu;</w:t>
            </w:r>
            <w:r>
              <w:t xml:space="preserve"> </w:t>
            </w:r>
            <w:r>
              <w:rPr>
                <w:b/>
                <w:i/>
              </w:rPr>
              <w:t>aicina Komisiju nodrošināt, lai ES nodokļu maksātāju nauda tiktu izmantota maksimāli noderīgi un lai tiktu īstenoti nepieciešamie nosacījumi, lai uzlabotu ES uzņēmumu stratēģisko konkurētspēju Serbijas tirgū;</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27.c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uzsver, ka reģionālā savienotība ar ES būtu pienācīgi jātransponē un jāplāno, lai veicinātu uzņēmumu un investīciju popularizēšanu, no kā iegūs Eiropas uzņēmumi un nodokļu maksātāji;</w:t>
            </w:r>
            <w:r>
              <w:t xml:space="preserve"> </w:t>
            </w:r>
            <w:r>
              <w:rPr>
                <w:b/>
                <w:i/>
              </w:rPr>
              <w:t>prasa Serbijai likvidēt juridiskos un komerciālos šķēršlus, kas traucē Serbijas-Bulgārijas gāzes starpsavienojuma (IBS) darbību;</w:t>
            </w:r>
            <w:r>
              <w:t xml:space="preserve"> </w:t>
            </w:r>
            <w:r>
              <w:rPr>
                <w:b/>
                <w:i/>
              </w:rPr>
              <w:t>atgādina, ka Eiropas enerģētikas tīkls un Eiropas transporta tīkls stiprina piegādes drošību, mazina atkarību un uzlabo ekonomiku un cilvēku savstarpējo saziņu;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uzdod priekšsēdētājai šo rezolūciju nosūtīt Eiropadomes priekšsēdētājam, Komisijai, Komisijas priekšsēdētājas </w:t>
            </w:r>
            <w:r>
              <w:rPr>
                <w:b/>
                <w:i/>
              </w:rPr>
              <w:t>vietniecei</w:t>
            </w:r>
            <w:r>
              <w:t xml:space="preserve"> / Savienības </w:t>
            </w:r>
            <w:r>
              <w:rPr>
                <w:b/>
                <w:i/>
              </w:rPr>
              <w:t>Augstajai pārstāvei</w:t>
            </w:r>
            <w:r>
              <w:t xml:space="preserve"> ārlietās un drošības politikas jautājumos, dalībvalstu valdībām un parlamentiem, </w:t>
            </w:r>
            <w:r>
              <w:rPr>
                <w:b/>
                <w:i/>
              </w:rPr>
              <w:t>kā arī</w:t>
            </w:r>
            <w:r>
              <w:t xml:space="preserve"> Serbijas prezidentam, valdībai un Nacionālajai asamblejai</w:t>
            </w:r>
            <w:r>
              <w:rPr>
                <w:b/>
                <w:i/>
              </w:rPr>
              <w:t>.</w:t>
            </w:r>
          </w:p>
        </w:tc>
        <w:tc>
          <w:tcPr>
            <w:tcW w:w="4876" w:type="dxa"/>
            <w:tcBorders>
              <w:top w:val="nil"/>
              <w:left w:val="nil"/>
              <w:bottom w:val="nil"/>
              <w:right w:val="nil"/>
            </w:tcBorders>
          </w:tcPr>
          <w:p>
            <w:pPr>
              <w:pStyle w:val="Normal6a"/>
            </w:pPr>
            <w:r>
              <w:t>28.</w:t>
            </w:r>
            <w:r>
              <w:tab/>
            </w:r>
            <w:r>
              <w:t xml:space="preserve">uzdod priekšsēdētājai šo rezolūciju nosūtīt Eiropadomes priekšsēdētājam, Komisijai, Komisijas priekšsēdētājas </w:t>
            </w:r>
            <w:r>
              <w:rPr>
                <w:b/>
                <w:i/>
              </w:rPr>
              <w:t>vietniekam</w:t>
            </w:r>
            <w:r>
              <w:t xml:space="preserve"> / Savienības </w:t>
            </w:r>
            <w:r>
              <w:rPr>
                <w:b/>
                <w:i/>
              </w:rPr>
              <w:t>Augstajam pārstāvim</w:t>
            </w:r>
            <w:r>
              <w:t xml:space="preserve"> ārlietās un drošības politikas jautājumos, dalībvalstu valdībām un parlamentiem, Serbijas prezidentam, valdībai un Nacionālajai Asamblejai </w:t>
            </w:r>
            <w:r>
              <w:rPr>
                <w:b/>
                <w:i/>
              </w:rPr>
              <w:t>un Eiropas Drošības un sadarbības organizācijas priekšsēdētājam un ģenerālsekretāram;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 punkts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uzdod priekšsēdētājai šo rezolūciju nosūtīt Eiropadomes priekšsēdētājam, Komisijai, Komisijas priekšsēdētājas vietniecei / Savienības Augstajai pārstāvei ārlietās un drošības politikas jautājumos, dalībvalstu valdībām un parlamentiem, kā arī Serbijas prezidentam, valdībai un Nacionālajai asamblejai.</w:t>
            </w:r>
          </w:p>
        </w:tc>
        <w:tc>
          <w:tcPr>
            <w:tcW w:w="4876" w:type="dxa"/>
            <w:tcBorders>
              <w:top w:val="nil"/>
              <w:left w:val="nil"/>
              <w:bottom w:val="nil"/>
              <w:right w:val="nil"/>
            </w:tcBorders>
          </w:tcPr>
          <w:p>
            <w:pPr>
              <w:pStyle w:val="Normal6a"/>
            </w:pPr>
            <w:r>
              <w:t>28.</w:t>
            </w:r>
            <w:r>
              <w:tab/>
            </w:r>
            <w:r>
              <w:t xml:space="preserve">uzdod priekšsēdētājai šo rezolūciju nosūtīt Eiropadomes priekšsēdētājam, Komisijai, Komisijas priekšsēdētājas vietniecei / Savienības Augstajai pārstāvei ārlietās un drošības politikas jautājumos, </w:t>
            </w:r>
            <w:r>
              <w:rPr>
                <w:b/>
                <w:i/>
              </w:rPr>
              <w:t>iztulkot šo rezolūciju serbu valodā un nosūtīt to</w:t>
            </w:r>
            <w:r>
              <w:t xml:space="preserve"> dalībvalstu valdībām un parlamentiem, kā arī Serbijas prezidentam, valdībai un Nacionālajai asamblejai.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uzsver, ka galvenā prioritāte joprojām ir nesen pieņemtā Likuma par ietekmes uz vidi novērtējumu (IVN) un Likuma par stratēģisko vides novērtējumu (SVN) pilnīga un pienācīga īstenošana praksē;</w:t>
            </w:r>
            <w:r>
              <w:t xml:space="preserve"> </w:t>
            </w:r>
            <w:r>
              <w:rPr>
                <w:b/>
                <w:i/>
              </w:rPr>
              <w:t>norāda, ka, neskatoties uz progresu tiesību aktu saskaņošanā, pastāv bažas par pārredzamību, sabiedrības līdzdalību un to, ka projekti varētu turpināties bez visaptverošas vides kontroles;</w:t>
            </w:r>
            <w:r>
              <w:t xml:space="preserve"> </w:t>
            </w:r>
            <w:r>
              <w:rPr>
                <w:b/>
                <w:i/>
              </w:rPr>
              <w:t>uzsver, ka efektīva īstenošana ir svarīga, lai saglabātu vides pārvaldības ticamību;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28.a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atzinīgi vērtē Komisijas priekšlikumu sākt sarunas, lai ES režīmu “viesabonēšana kā mājās” attiecinātu uz Rietumbalkāniem, un aicina ātri pabeigt sarunas;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28.b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prasa turpināt centienus, lai uzlabotu saskaņotību ar Putnu direktīvu un Dzīvotņu direktīvu un paātrinātu sagatavošanos Natura 2000 tīklam;</w:t>
            </w:r>
            <w:r>
              <w:t xml:space="preserve"> </w:t>
            </w:r>
            <w:r>
              <w:rPr>
                <w:b/>
                <w:i/>
              </w:rPr>
              <w:t>norāda, ka progress teritoriju noteikšanā un sagatavošanā ir minimāls, tā radot risku, ka Serbijas atbilstība biodaudzveidības prasībām saskaņā ar 27. sadaļu tiks nodrošināta ar kavēšanos;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Grozījums Nr.</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Rezolūcijas priekšlikums</w:t>
      </w:r>
      <w:r>
        <w:rPr>
          <w:rStyle w:val="HideTWBExt"/>
        </w:rPr>
        <w:t>&lt;/DocAmend&gt;</w:t>
      </w:r>
    </w:p>
    <w:p>
      <w:pPr>
        <w:pStyle w:val="NormalBold"/>
      </w:pPr>
      <w:r>
        <w:rPr>
          <w:rStyle w:val="HideTWBExt"/>
        </w:rPr>
        <w:t>&lt;Article&gt;</w:t>
      </w:r>
      <w:r>
        <w:t>28.c punkts (jauns)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Rezolūcijas priekšlikums</w:t>
            </w:r>
          </w:p>
        </w:tc>
        <w:tc>
          <w:tcPr>
            <w:tcW w:w="4876" w:type="dxa"/>
            <w:tcBorders>
              <w:top w:val="nil"/>
              <w:left w:val="nil"/>
              <w:bottom w:val="nil"/>
              <w:right w:val="nil"/>
            </w:tcBorders>
          </w:tcPr>
          <w:p>
            <w:pPr>
              <w:pStyle w:val="AmColumnHeading"/>
            </w:pPr>
            <w:r>
              <w:t>Grozījums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pauž bažas par pieaugošo spiedienu, ko ieguves rūpniecība rada uz teritorijām ar lielu bioloģisko daudzveidību, tostarp uz aizsargājamām teritorijām un senu mežu ekosistēmām;</w:t>
            </w:r>
            <w:r>
              <w:t xml:space="preserve"> </w:t>
            </w:r>
            <w:r>
              <w:rPr>
                <w:b/>
                <w:i/>
              </w:rPr>
              <w:t>uzsver, cik svarīgi ir nodrošināt, ka šādas teritorijas ir efektīvi aizsargātas un ka netiek apstiprināts neviens projekts, kas pilnā mērā neatbilst vides tiesību aktiem un stingrām novērtēšanas procedūrām.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76</w:t>
    </w:r>
    <w:r>
      <w:fldChar w:fldCharType="end"/>
    </w:r>
    <w:r>
      <w:t>/</w:t>
    </w:r>
    <w:r>
      <w:fldChar w:fldCharType="begin"/>
    </w:r>
    <w:r>
      <w:instrText xml:space="preserve"> NUMPAGES </w:instrText>
    </w:r>
    <w:r>
      <w:fldChar w:fldCharType="separate"/>
    </w:r>
    <w:r>
      <w:t>77</w:t>
    </w:r>
    <w:r>
      <w:fldChar w:fldCharType="end"/>
    </w:r>
    <w:r>
      <w:tab/>
    </w:r>
    <w:r>
      <w:rPr>
        <w:rStyle w:val="HideTWBExt"/>
      </w:rPr>
      <w:t>&lt;PathFdR&gt;</w:t>
    </w:r>
    <w:r>
      <w:t>AM\1341076LV.docx</w:t>
    </w:r>
    <w:r>
      <w:rPr>
        <w:rStyle w:val="HideTWBExt"/>
      </w:rPr>
      <w:t>&lt;/PathFdR&gt;</w:t>
    </w:r>
  </w:p>
  <w:p>
    <w:pPr>
      <w:pStyle w:val="EPFooter2"/>
    </w:pPr>
    <w:r>
      <w:t>LV</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AM\1341076LV.docx</w:t>
    </w:r>
    <w:r>
      <w:rPr>
        <w:rStyle w:val="HideTWBExt"/>
      </w:rPr>
      <w:t>&lt;/PathFdR&gt;</w:t>
    </w:r>
    <w:r>
      <w:tab/>
    </w:r>
    <w:r>
      <w:fldChar w:fldCharType="begin"/>
    </w:r>
    <w:r>
      <w:instrText xml:space="preserve"> PAGE </w:instrText>
    </w:r>
    <w:r>
      <w:fldChar w:fldCharType="separate"/>
    </w:r>
    <w:r>
      <w:t>77</w:t>
    </w:r>
    <w:r>
      <w:fldChar w:fldCharType="end"/>
    </w:r>
    <w:r>
      <w:t>/</w:t>
    </w:r>
    <w:r>
      <w:fldChar w:fldCharType="begin"/>
    </w:r>
    <w:r>
      <w:instrText xml:space="preserve"> NUMPAGES </w:instrText>
    </w:r>
    <w:r>
      <w:fldChar w:fldCharType="separate"/>
    </w:r>
    <w:r>
      <w:t>77</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LV</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AM\1341076LV.docx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LV</w:t>
    </w:r>
    <w:r>
      <w:tab/>
    </w:r>
    <w:r>
      <w:rPr>
        <w:rStyle w:val="EPFooter2Motto"/>
      </w:rPr>
      <w:t>Vienoti daudzveidībā</w:t>
    </w:r>
    <w:r>
      <w:tab/>
    </w:r>
    <w:r>
      <w:t>LV</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v-LV"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77</Pages>
  <Words>12314</Words>
  <Characters>85072</Characters>
  <Application>Microsoft Office Word</Application>
  <DocSecurity>0</DocSecurity>
  <Lines>1</Lines>
  <Paragraphs>1351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488661</vt:lpwstr>
  </property>
  <property fmtid="{D5CDD505-2E9C-101B-9397-08002B2CF9AE}" pid="7" name="dmxml.render.traceId">
    <vt:lpwstr>6a0421780719e2ceaa4564fa1a37d5c8</vt:lpwstr>
  </property>
  <property fmtid="{D5CDD505-2E9C-101B-9397-08002B2CF9AE}" pid="8" name="FooterPath">
    <vt:lpwstr>AM\1341076LV.docx</vt:lpwstr>
  </property>
  <property fmtid="{D5CDD505-2E9C-101B-9397-08002B2CF9AE}" pid="9" name="PE Number">
    <vt:lpwstr>786.972</vt:lpwstr>
  </property>
  <property fmtid="{D5CDD505-2E9C-101B-9397-08002B2CF9AE}" pid="10" name="UID">
    <vt:lpwstr>eu.europa.europarl-DIN1-2026-0000095280_02.00-lv-01.00_text-xml</vt:lpwstr>
  </property>
</Properties>
</file>