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4.2.0 -->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804"/>
        <w:gridCol w:w="2268"/>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hRule="exact" w:val="1417"/>
          <w:jc w:val="center"/>
        </w:trPr>
        <w:tc>
          <w:tcPr>
            <w:tcW w:w="6804" w:type="dxa"/>
            <w:tcBorders>
              <w:top w:val="nil"/>
              <w:left w:val="nil"/>
              <w:bottom w:val="nil"/>
              <w:right w:val="nil"/>
            </w:tcBorders>
            <w:vAlign w:val="center"/>
          </w:tcPr>
          <w:p>
            <w:pPr>
              <w:pStyle w:val="EPName"/>
            </w:pPr>
            <w:r>
              <w:t>Europees Parlement</w:t>
            </w:r>
          </w:p>
          <w:p>
            <w:pPr>
              <w:pStyle w:val="EPTerm"/>
              <w:jc w:val="left"/>
            </w:pPr>
            <w:r>
              <w:t>2024-2029</w:t>
            </w:r>
          </w:p>
        </w:tc>
        <w:tc>
          <w:tcPr>
            <w:tcW w:w="2268" w:type="dxa"/>
            <w:tcBorders>
              <w:top w:val="nil"/>
              <w:left w:val="nil"/>
              <w:bottom w:val="nil"/>
              <w:right w:val="nil"/>
            </w:tcBorders>
            <w:vAlign w:val="top"/>
          </w:tcPr>
          <w:p>
            <w:pPr>
              <w:pStyle w:val="EPLogo"/>
              <w:jc w:val="right"/>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6pt;height:50.11pt">
                  <v:imagedata r:id="rId4" o:title=""/>
                </v:shape>
              </w:pict>
            </w:r>
          </w:p>
        </w:tc>
      </w:tr>
    </w:tbl>
    <w:p>
      <w:pPr>
        <w:pStyle w:val="LineTop"/>
      </w:pPr>
      <w:r>
        <w:t xml:space="preserve"> </w:t>
      </w:r>
    </w:p>
    <w:p>
      <w:pPr>
        <w:pStyle w:val="EPBody"/>
      </w:pPr>
      <w:r>
        <w:rPr>
          <w:rStyle w:val="HideTWBExt"/>
        </w:rPr>
        <w:t>&lt;Commission&gt;</w:t>
      </w:r>
      <w:r>
        <w:rPr>
          <w:rStyle w:val="HideTWBInt"/>
        </w:rPr>
        <w:t>{AFET}</w:t>
      </w:r>
      <w:r>
        <w:t>Commissie buitenlandse zaken</w:t>
      </w:r>
      <w:r>
        <w:rPr>
          <w:rStyle w:val="HideTWBExt"/>
        </w:rPr>
        <w:t>&lt;/Commission&gt;</w:t>
      </w:r>
    </w:p>
    <w:p>
      <w:pPr>
        <w:pStyle w:val="LineBottom"/>
      </w:pPr>
      <w:r>
        <w:t xml:space="preserve"> </w:t>
      </w:r>
    </w:p>
    <w:p>
      <w:pPr>
        <w:pStyle w:val="CoverReference"/>
      </w:pPr>
      <w:r>
        <w:rPr>
          <w:rStyle w:val="HideTWBExt"/>
        </w:rPr>
        <w:t>&lt;RefProc&gt;</w:t>
      </w:r>
      <w:r>
        <w:t>2025/2255</w:t>
      </w:r>
      <w:r>
        <w:rPr>
          <w:rStyle w:val="HideTWBExt"/>
        </w:rPr>
        <w:t>&lt;/RefProc&gt;</w:t>
      </w:r>
      <w:r>
        <w:rPr>
          <w:rStyle w:val="HideTWBExt"/>
        </w:rPr>
        <w:t>&lt;RefTypeProc&gt;</w:t>
      </w:r>
      <w:r>
        <w:t>(INI)</w:t>
      </w:r>
      <w:r>
        <w:rPr>
          <w:rStyle w:val="HideTWBExt"/>
        </w:rPr>
        <w:t>&lt;/RefTypeProc&gt;</w:t>
      </w:r>
    </w:p>
    <w:p>
      <w:pPr>
        <w:pStyle w:val="CoverDate"/>
      </w:pPr>
      <w:r>
        <w:rPr>
          <w:rStyle w:val="HideTWBExt"/>
        </w:rPr>
        <w:t>&lt;Date&gt;</w:t>
      </w:r>
      <w:r>
        <w:rPr>
          <w:rStyle w:val="HideTWBInt"/>
        </w:rPr>
        <w:t>{13/04/2026}</w:t>
      </w:r>
      <w:r>
        <w:t>13.4.2026</w:t>
      </w:r>
      <w:r>
        <w:rPr>
          <w:rStyle w:val="HideTWBExt"/>
        </w:rPr>
        <w:t>&lt;/Date&gt;</w:t>
      </w:r>
    </w:p>
    <w:p>
      <w:pPr>
        <w:pStyle w:val="CoverDocType"/>
      </w:pPr>
      <w:r>
        <w:rPr>
          <w:rStyle w:val="HideTWBExt"/>
        </w:rPr>
        <w:t>&lt;TypeAM&gt;</w:t>
      </w:r>
      <w:r>
        <w:t>AMENDEMENTEN</w:t>
      </w:r>
      <w:r>
        <w:rPr>
          <w:rStyle w:val="HideTWBExt"/>
        </w:rPr>
        <w:t>&lt;/TypeAM&gt;</w:t>
      </w:r>
    </w:p>
    <w:p>
      <w:pPr>
        <w:pStyle w:val="CoverDocType24a"/>
      </w:pPr>
      <w:r>
        <w:rPr>
          <w:rStyle w:val="HideTWBExt"/>
        </w:rPr>
        <w:t>&lt;RangeAM&gt;</w:t>
      </w:r>
      <w:r>
        <w:t>374</w:t>
      </w:r>
      <w:r>
        <w:t xml:space="preserve"> - </w:t>
      </w:r>
      <w:r>
        <w:t>531</w:t>
      </w:r>
      <w:r>
        <w:rPr>
          <w:rStyle w:val="HideTWBExt"/>
        </w:rPr>
        <w:t>&lt;/RangeAM&gt;</w:t>
      </w:r>
    </w:p>
    <w:p>
      <w:pPr>
        <w:pStyle w:val="CoverBold"/>
      </w:pPr>
      <w:r>
        <w:rPr>
          <w:rStyle w:val="HideTWBExt"/>
        </w:rPr>
        <w:t>&lt;TitreType&gt;</w:t>
      </w:r>
      <w:r>
        <w:t>Ontwerpverslag</w:t>
      </w:r>
      <w:r>
        <w:rPr>
          <w:rStyle w:val="HideTWBExt"/>
        </w:rPr>
        <w:t>&lt;/TitreType&gt;</w:t>
      </w:r>
    </w:p>
    <w:p>
      <w:pPr>
        <w:pStyle w:val="CoverBold"/>
      </w:pPr>
      <w:r>
        <w:rPr>
          <w:rStyle w:val="HideTWBExt"/>
        </w:rPr>
        <w:t>&lt;Rapporteur&gt;</w:t>
      </w:r>
      <w:r>
        <w:t>Tonino Picula</w:t>
      </w:r>
      <w:r>
        <w:rPr>
          <w:rStyle w:val="HideTWBExt"/>
        </w:rPr>
        <w:t>&lt;/Rapporteur&gt;</w:t>
      </w:r>
    </w:p>
    <w:p>
      <w:pPr>
        <w:pStyle w:val="CoverNormal24a"/>
      </w:pPr>
      <w:r>
        <w:rPr>
          <w:rStyle w:val="HideTWBExt"/>
        </w:rPr>
        <w:t>&lt;DocRefPE&gt;</w:t>
      </w:r>
      <w:r>
        <w:t>(PE784.230v01-00)</w:t>
      </w:r>
      <w:r>
        <w:rPr>
          <w:rStyle w:val="HideTWBExt"/>
        </w:rPr>
        <w:t>&lt;/DocRefPE&gt;</w:t>
      </w:r>
    </w:p>
    <w:p>
      <w:pPr>
        <w:pStyle w:val="CoverNormal"/>
      </w:pPr>
      <w:r>
        <w:rPr>
          <w:rStyle w:val="HideTWBExt"/>
        </w:rPr>
        <w:t>&lt;Titre&gt;</w:t>
      </w:r>
      <w:r>
        <w:t>Commissieverslag 2025 over Servië</w:t>
      </w:r>
      <w:r>
        <w:rPr>
          <w:rStyle w:val="HideTWBExt"/>
        </w:rPr>
        <w:t>&lt;/Titre&gt;</w:t>
      </w:r>
    </w:p>
    <w:p>
      <w:pPr>
        <w:pStyle w:val="CoverNormal24a"/>
      </w:pPr>
      <w:r>
        <w:rPr>
          <w:rStyle w:val="HideTWBExt"/>
        </w:rPr>
        <w:t>&lt;DocRef&gt;</w:t>
      </w:r>
      <w:r>
        <w:t>(2025/2255(INI))</w:t>
      </w:r>
      <w:r>
        <w:rPr>
          <w:rStyle w:val="HideTWBExt"/>
        </w:rPr>
        <w:t>&lt;/DocRef&gt;</w:t>
      </w:r>
    </w:p>
    <w:p>
      <w:r>
        <w:br w:type="page"/>
      </w:r>
      <w:r>
        <w:t>AM_Com_NonLegReport</w:t>
      </w:r>
    </w:p>
    <w:p>
      <w:pPr>
        <w:pStyle w:val="AmNumberTabs"/>
      </w:pPr>
      <w:r>
        <w:br w:type="page"/>
      </w:r>
      <w:r>
        <w:rPr>
          <w:rStyle w:val="HideTWBExt"/>
        </w:rPr>
        <w:t>&lt;RepeatBlock-Amend&gt;</w:t>
      </w:r>
      <w:r>
        <w:rPr>
          <w:rStyle w:val="HideTWBExt"/>
        </w:rPr>
        <w:t>&lt;Amend&gt;</w:t>
      </w:r>
      <w:r>
        <w:t>Amendement</w:t>
      </w:r>
      <w:r>
        <w:tab/>
      </w:r>
      <w:r>
        <w:tab/>
      </w:r>
      <w:r>
        <w:rPr>
          <w:rStyle w:val="HideTWBExt"/>
        </w:rPr>
        <w:t>&lt;NumAm&gt;</w:t>
      </w:r>
      <w:r>
        <w:t>374</w:t>
      </w:r>
      <w:r>
        <w:rPr>
          <w:rStyle w:val="HideTWBExt"/>
        </w:rPr>
        <w:t>&lt;/NumAm&gt;</w:t>
      </w:r>
    </w:p>
    <w:p>
      <w:pPr>
        <w:pStyle w:val="NormalBold"/>
      </w:pPr>
      <w:r>
        <w:rPr>
          <w:rStyle w:val="HideTWBExt"/>
          <w:b w:val="0"/>
        </w:rPr>
        <w:t>&lt;RepeatBlock-By&gt;</w:t>
      </w:r>
      <w:r>
        <w:rPr>
          <w:rStyle w:val="HideTWBExt"/>
          <w:b w:val="0"/>
        </w:rPr>
        <w:t>&lt;Members&gt;</w:t>
      </w:r>
      <w:r>
        <w:t>Şerban Dimitrie Sturdza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18 septies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18 septies.</w:t>
            </w:r>
            <w:r>
              <w:tab/>
            </w:r>
            <w:r>
              <w:rPr>
                <w:b/>
                <w:i/>
              </w:rPr>
              <w:t>dringt er bij de Servische autoriteiten op aan om de beschikbaarheid van openbare omroepdiensten in alle minderheidstalen in het hele land uit te breiden en er zo voor te zorgen dat alle gemeenschappen gelijke toegang tot de media hebben, met de beste praktijken uit de regio Vojvodina als goed voorbeeld;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375</w:t>
      </w:r>
      <w:r>
        <w:rPr>
          <w:rStyle w:val="HideTWBExt"/>
        </w:rPr>
        <w:t>&lt;/NumAm&gt;</w:t>
      </w:r>
    </w:p>
    <w:p>
      <w:pPr>
        <w:pStyle w:val="NormalBold"/>
      </w:pPr>
      <w:r>
        <w:rPr>
          <w:rStyle w:val="HideTWBExt"/>
          <w:b w:val="0"/>
        </w:rPr>
        <w:t>&lt;RepeatBlock-By&gt;</w:t>
      </w:r>
      <w:r>
        <w:rPr>
          <w:rStyle w:val="HideTWBExt"/>
          <w:b w:val="0"/>
        </w:rPr>
        <w:t>&lt;Members&gt;</w:t>
      </w:r>
      <w:r>
        <w:t>Şerban Dimitrie Sturdza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18 octies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18 octies.</w:t>
            </w:r>
            <w:r>
              <w:tab/>
            </w:r>
            <w:r>
              <w:rPr>
                <w:b/>
                <w:i/>
              </w:rPr>
              <w:t>verzoekt de Servische autoriteiten in het kader van het EU-toetredingsproces prioriteit te geven aan de volledige, doeltreffende en consistente uitvoering van het bestaande rechts- en beleidskader voor de bescherming van personen die tot nationale minderheden behoren, in overeenstemming met hun verplichtingen uit hoofde van het Kaderverdrag van de Raad van Europa inzake de bescherming van nationale minderheden en de relevante Europese normen;</w:t>
            </w:r>
            <w:r>
              <w:t xml:space="preserve"> </w:t>
            </w:r>
            <w:r>
              <w:rPr>
                <w:b/>
                <w:i/>
              </w:rPr>
              <w:t>dringt er bij de autoriteiten op aan te zorgen voor concrete en meetbare vooruitgang in alle belangrijke sectoren, waaronder onderwijs, openbaar bestuur, toegang tot de media en vrijheid van godsdienst, door de handhavingsmechanismen te versterken, discriminerende praktijken te voorkomen en te zorgen voor duidelijke tijdschema’s, regelmatige monitoring en transparante verslaglegging, teneinde de daadwerkelijke uitoefening van de rechten van minderheden in de praktijk te waarborgen;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376</w:t>
      </w:r>
      <w:r>
        <w:rPr>
          <w:rStyle w:val="HideTWBExt"/>
        </w:rPr>
        <w:t>&lt;/NumAm&gt;</w:t>
      </w:r>
    </w:p>
    <w:p>
      <w:pPr>
        <w:pStyle w:val="NormalBold"/>
      </w:pPr>
      <w:r>
        <w:rPr>
          <w:rStyle w:val="HideTWBExt"/>
          <w:b w:val="0"/>
        </w:rPr>
        <w:t>&lt;RepeatBlock-By&gt;</w:t>
      </w:r>
      <w:r>
        <w:rPr>
          <w:rStyle w:val="HideTWBExt"/>
          <w:b w:val="0"/>
        </w:rPr>
        <w:t>&lt;Members&gt;</w:t>
      </w:r>
      <w:r>
        <w:t>Vladimir Prebilič</w:t>
      </w:r>
      <w:r>
        <w:rPr>
          <w:rStyle w:val="HideTWBExt"/>
          <w:b w:val="0"/>
        </w:rPr>
        <w:t>&lt;/Members&gt;</w:t>
      </w:r>
    </w:p>
    <w:p>
      <w:r>
        <w:rPr>
          <w:rStyle w:val="HideTWBExt"/>
          <w:b w:val="0"/>
        </w:rPr>
        <w:t>&lt;AuNomDe&gt;</w:t>
      </w:r>
      <w:r>
        <w:rPr>
          <w:rStyle w:val="HideTWBInt"/>
        </w:rPr>
        <w:t>{Verts/ALE}</w:t>
      </w:r>
      <w:r>
        <w:t>namens de Verts/ALE-Fractie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18 octies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18 octies.</w:t>
            </w:r>
            <w:r>
              <w:tab/>
            </w:r>
            <w:r>
              <w:rPr>
                <w:b/>
                <w:i/>
              </w:rPr>
              <w:t>herhaalt zijn bezorgdheid over het feit dat het adres van duizenden Albanezen in het zuiden van Servië is geschrapt als gevolg van de restrictieve en willekeurige toepassing van de wet inzake permanent en tijdelijk verblijf;</w:t>
            </w:r>
            <w:r>
              <w:t xml:space="preserve"> </w:t>
            </w:r>
            <w:r>
              <w:rPr>
                <w:b/>
                <w:i/>
              </w:rPr>
              <w:t>roept de interne controle-eenheid van het ministerie van Binnenlandse Zaken en het openbaar ministerie op om het optreden van de politie in Bujanovac, Preševo en Medveđa te onderzoeken;</w:t>
            </w:r>
            <w:r>
              <w:t xml:space="preserve"> </w:t>
            </w:r>
            <w:r>
              <w:rPr>
                <w:b/>
                <w:i/>
              </w:rPr>
              <w:t>roept het ministerie van Binnenlandse Zaken op om zo snel mogelijk uitgebreide statistieken te publiceren over het aantal burgers van wie het adres tussen 2011 en 2024 in Medveđa, Bujanovac en Preševo is geschrapt, uitgesplitst naar nationaliteit/etnische afkomst;</w:t>
            </w:r>
            <w:r>
              <w:t xml:space="preserve"> </w:t>
            </w:r>
            <w:r>
              <w:rPr>
                <w:b/>
                <w:i/>
              </w:rPr>
              <w:t>onderstreept dat het ministerie van Openbaar Bestuur en Lokaal Zelfbestuur het proces waarbij burgers met een geschrapt adres uit de kiezerslijst worden verwijderd een halt moet toeroepen;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377</w:t>
      </w:r>
      <w:r>
        <w:rPr>
          <w:rStyle w:val="HideTWBExt"/>
        </w:rPr>
        <w:t>&lt;/NumAm&gt;</w:t>
      </w:r>
    </w:p>
    <w:p>
      <w:pPr>
        <w:pStyle w:val="NormalBold"/>
      </w:pPr>
      <w:r>
        <w:rPr>
          <w:rStyle w:val="HideTWBExt"/>
          <w:b w:val="0"/>
        </w:rPr>
        <w:t>&lt;RepeatBlock-By&gt;</w:t>
      </w:r>
      <w:r>
        <w:rPr>
          <w:rStyle w:val="HideTWBExt"/>
          <w:b w:val="0"/>
        </w:rPr>
        <w:t>&lt;Members&gt;</w:t>
      </w:r>
      <w:r>
        <w:t>Vladimir Prebilič</w:t>
      </w:r>
      <w:r>
        <w:rPr>
          <w:rStyle w:val="HideTWBExt"/>
          <w:b w:val="0"/>
        </w:rPr>
        <w:t>&lt;/Members&gt;</w:t>
      </w:r>
    </w:p>
    <w:p>
      <w:r>
        <w:rPr>
          <w:rStyle w:val="HideTWBExt"/>
          <w:b w:val="0"/>
        </w:rPr>
        <w:t>&lt;AuNomDe&gt;</w:t>
      </w:r>
      <w:r>
        <w:rPr>
          <w:rStyle w:val="HideTWBInt"/>
        </w:rPr>
        <w:t>{Verts/ALE}</w:t>
      </w:r>
      <w:r>
        <w:t>namens de Verts/ALE-Fractie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18 nonies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18 nonies.</w:t>
            </w:r>
            <w:r>
              <w:tab/>
            </w:r>
            <w:r>
              <w:rPr>
                <w:b/>
                <w:i/>
              </w:rPr>
              <w:t>veroordeelt ten zeerste dat de politie onlangs de gebouwen van de universiteit is binnengedrongen om daar onder meer huiszoekingen te verrichten, interne documenten in beslag te nemen en een onderzoek in te stellen tegen de rector van de Universiteit van Belgrado, Vladan Đokić, en dat dit live werd uitgezonden op regeringsgezinde televisiezenders, en is van mening dat dit een mate van politieke instrumentalisering vormt die onverenigbaar is met de beginselen van institutionele autonomie, eerlijke rechtsbedeling en de rechtsstaat;</w:t>
            </w:r>
            <w:r>
              <w:t xml:space="preserve"> </w:t>
            </w:r>
            <w:r>
              <w:rPr>
                <w:b/>
                <w:i/>
              </w:rPr>
              <w:t>verzoekt de bevoegde autoriteiten een gericht, transparant en juridisch onderbouwd onderzoek uit te voeren naar aanleiding van de tragische dood van een student aan de Faculteit Filosofie;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378</w:t>
      </w:r>
      <w:r>
        <w:rPr>
          <w:rStyle w:val="HideTWBExt"/>
        </w:rPr>
        <w:t>&lt;/NumAm&gt;</w:t>
      </w:r>
    </w:p>
    <w:p>
      <w:pPr>
        <w:pStyle w:val="NormalBold"/>
      </w:pPr>
      <w:r>
        <w:rPr>
          <w:rStyle w:val="HideTWBExt"/>
          <w:b w:val="0"/>
        </w:rPr>
        <w:t>&lt;RepeatBlock-By&gt;</w:t>
      </w:r>
      <w:r>
        <w:rPr>
          <w:rStyle w:val="HideTWBExt"/>
          <w:b w:val="0"/>
        </w:rPr>
        <w:t>&lt;Members&gt;</w:t>
      </w:r>
      <w:r>
        <w:t>Vladimir Prebilič</w:t>
      </w:r>
      <w:r>
        <w:rPr>
          <w:rStyle w:val="HideTWBExt"/>
          <w:b w:val="0"/>
        </w:rPr>
        <w:t>&lt;/Members&gt;</w:t>
      </w:r>
    </w:p>
    <w:p>
      <w:r>
        <w:rPr>
          <w:rStyle w:val="HideTWBExt"/>
          <w:b w:val="0"/>
        </w:rPr>
        <w:t>&lt;AuNomDe&gt;</w:t>
      </w:r>
      <w:r>
        <w:rPr>
          <w:rStyle w:val="HideTWBInt"/>
        </w:rPr>
        <w:t>{Verts/ALE}</w:t>
      </w:r>
      <w:r>
        <w:t>namens de Verts/ALE-Fractie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18 nonies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18 nonies.</w:t>
            </w:r>
            <w:r>
              <w:tab/>
            </w:r>
            <w:r>
              <w:rPr>
                <w:b/>
                <w:i/>
              </w:rPr>
              <w:t>herhaalt dat goede nabuurschapsbetrekkingen en regionale samenwerking essentiële bestanddelen van het uitbreidingsproces zijn;</w:t>
            </w:r>
            <w:r>
              <w:t xml:space="preserve"> </w:t>
            </w:r>
            <w:r>
              <w:rPr>
                <w:b/>
                <w:i/>
              </w:rPr>
              <w:t>roept Servië op om een einde te maken aan de binnenkomstbeperkingen voor maatschappelijke activisten en kunstenaars uit de regio, aangezien dit de regionale dialoog en samenwerking ondermijnt;</w:t>
            </w:r>
            <w:r>
              <w:t xml:space="preserve"> </w:t>
            </w:r>
            <w:r>
              <w:rPr>
                <w:b/>
                <w:i/>
              </w:rPr>
              <w:t>benadrukt dat het van belang is dat Servië goede nabuurschapsbetrekkingen ontwikkelt, bilaterale overeenkomsten ten uitvoer legt en een oplossing vindt voor onopgeloste bilaterale kwesties met zijn buurlanden;</w:t>
            </w:r>
            <w:r>
              <w:t xml:space="preserve"> </w:t>
            </w:r>
            <w:r>
              <w:rPr>
                <w:b/>
                <w:i/>
              </w:rPr>
              <w:t>wijst op de deelname van Servië aan regionale initiatieven en de actieve betrokkenheid van Servië bij het groeiplan voor de Westelijke Balkan en de gemeenschappelijke regionale markt;</w:t>
            </w:r>
            <w:r>
              <w:t xml:space="preserve"> </w:t>
            </w:r>
            <w:r>
              <w:rPr>
                <w:b/>
                <w:i/>
              </w:rPr>
              <w:t>benadrukt dat eerbiediging van de rechten van nationale minderheden een essentiële voorwaarde is voor voortgang in het Europese toetredingstraject van Servië;</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379</w:t>
      </w:r>
      <w:r>
        <w:rPr>
          <w:rStyle w:val="HideTWBExt"/>
        </w:rPr>
        <w:t>&lt;/NumAm&gt;</w:t>
      </w:r>
    </w:p>
    <w:p>
      <w:pPr>
        <w:pStyle w:val="NormalBold"/>
      </w:pPr>
      <w:r>
        <w:rPr>
          <w:rStyle w:val="HideTWBExt"/>
          <w:b w:val="0"/>
        </w:rPr>
        <w:t>&lt;RepeatBlock-By&gt;</w:t>
      </w:r>
      <w:r>
        <w:rPr>
          <w:rStyle w:val="HideTWBExt"/>
          <w:b w:val="0"/>
        </w:rPr>
        <w:t>&lt;Members&gt;</w:t>
      </w:r>
      <w:r>
        <w:t>Tonino Picula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18 quinquies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18 quinquies.</w:t>
            </w:r>
            <w:r>
              <w:tab/>
            </w:r>
            <w:r>
              <w:rPr>
                <w:b/>
                <w:i/>
              </w:rPr>
              <w:t>herhaalt dat Servië zich moet onthouden van inmenging in de binnenlandse politiek van zijn buurlanden op de Westelijke Balkan, onder meer met betrekking tot de ongrondwettelijke viering van de Dag van de Servische Republiek in Bosnië en Herzegovina;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380</w:t>
      </w:r>
      <w:r>
        <w:rPr>
          <w:rStyle w:val="HideTWBExt"/>
        </w:rPr>
        <w:t>&lt;/NumAm&gt;</w:t>
      </w:r>
    </w:p>
    <w:p>
      <w:pPr>
        <w:pStyle w:val="NormalBold"/>
      </w:pPr>
      <w:r>
        <w:rPr>
          <w:rStyle w:val="HideTWBExt"/>
          <w:b w:val="0"/>
        </w:rPr>
        <w:t>&lt;RepeatBlock-By&gt;</w:t>
      </w:r>
      <w:r>
        <w:rPr>
          <w:rStyle w:val="HideTWBExt"/>
          <w:b w:val="0"/>
        </w:rPr>
        <w:t>&lt;Members&gt;</w:t>
      </w:r>
      <w:r>
        <w:t>Vladimir Prebilič</w:t>
      </w:r>
      <w:r>
        <w:rPr>
          <w:rStyle w:val="HideTWBExt"/>
          <w:b w:val="0"/>
        </w:rPr>
        <w:t>&lt;/Members&gt;</w:t>
      </w:r>
    </w:p>
    <w:p>
      <w:r>
        <w:rPr>
          <w:rStyle w:val="HideTWBExt"/>
          <w:b w:val="0"/>
        </w:rPr>
        <w:t>&lt;AuNomDe&gt;</w:t>
      </w:r>
      <w:r>
        <w:rPr>
          <w:rStyle w:val="HideTWBInt"/>
        </w:rPr>
        <w:t>{Verts/ALE}</w:t>
      </w:r>
      <w:r>
        <w:t>namens de Verts/ALE-Fractie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18 decies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18 decies.</w:t>
            </w:r>
            <w:r>
              <w:tab/>
            </w:r>
            <w:r>
              <w:rPr>
                <w:b/>
                <w:i/>
              </w:rPr>
              <w:t>herhaalt dat Servië zich moet onthouden van inmenging in de binnenlandse politiek van zijn buurlanden op de Westelijke Balkan, onder meer met betrekking tot de ongrondwettelijke viering van de Dag van de Servische Republiek in Bosnië en Herzegovina en het in twijfel trekken van rechterlijke uitspraken in Bosnië en Herzegovina;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381</w:t>
      </w:r>
      <w:r>
        <w:rPr>
          <w:rStyle w:val="HideTWBExt"/>
        </w:rPr>
        <w:t>&lt;/NumAm&gt;</w:t>
      </w:r>
    </w:p>
    <w:p>
      <w:pPr>
        <w:pStyle w:val="NormalBold"/>
      </w:pPr>
      <w:r>
        <w:rPr>
          <w:rStyle w:val="HideTWBExt"/>
          <w:b w:val="0"/>
        </w:rPr>
        <w:t>&lt;RepeatBlock-By&gt;</w:t>
      </w:r>
      <w:r>
        <w:rPr>
          <w:rStyle w:val="HideTWBExt"/>
          <w:b w:val="0"/>
        </w:rPr>
        <w:t>&lt;Members&gt;</w:t>
      </w:r>
      <w:r>
        <w:t>Vladimir Prebilič</w:t>
      </w:r>
      <w:r>
        <w:rPr>
          <w:rStyle w:val="HideTWBExt"/>
          <w:b w:val="0"/>
        </w:rPr>
        <w:t>&lt;/Members&gt;</w:t>
      </w:r>
    </w:p>
    <w:p>
      <w:r>
        <w:rPr>
          <w:rStyle w:val="HideTWBExt"/>
          <w:b w:val="0"/>
        </w:rPr>
        <w:t>&lt;AuNomDe&gt;</w:t>
      </w:r>
      <w:r>
        <w:rPr>
          <w:rStyle w:val="HideTWBInt"/>
        </w:rPr>
        <w:t>{Verts/ALE}</w:t>
      </w:r>
      <w:r>
        <w:t>namens de Verts/ALE-Fractie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18 undecies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18 undecies.</w:t>
            </w:r>
            <w:r>
              <w:tab/>
            </w:r>
            <w:r>
              <w:rPr>
                <w:b/>
                <w:i/>
              </w:rPr>
              <w:t>uit zijn bezorgdheid over het door de Servische autoriteiten gepropageerde narratief waarbij buurlanden worden afgeschilderd als een onmiddellijke militaire bedreiging voor Servië;</w:t>
            </w:r>
            <w:r>
              <w:t xml:space="preserve"> </w:t>
            </w:r>
            <w:r>
              <w:rPr>
                <w:b/>
                <w:i/>
              </w:rPr>
              <w:t>onderstreept dat dergelijke retoriek de spanningen in de regio onnodig dreigt te doen toenemen en goede nabuurschapsbetrekkingen dreigt te ondermijnen;</w:t>
            </w:r>
            <w:r>
              <w:t xml:space="preserve"> </w:t>
            </w:r>
            <w:r>
              <w:rPr>
                <w:b/>
                <w:i/>
              </w:rPr>
              <w:t>verzoekt de Servische autoriteiten zich te onthouden van destabiliserende narratieven en constructief deel te nemen aan de regionale veiligheidsdialoog en regionale samenwerking, in overeenstemming met de waarden en verbintenissen van de EU;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382</w:t>
      </w:r>
      <w:r>
        <w:rPr>
          <w:rStyle w:val="HideTWBExt"/>
        </w:rPr>
        <w:t>&lt;/NumAm&gt;</w:t>
      </w:r>
    </w:p>
    <w:p>
      <w:pPr>
        <w:pStyle w:val="NormalBold"/>
      </w:pPr>
      <w:r>
        <w:rPr>
          <w:rStyle w:val="HideTWBExt"/>
          <w:b w:val="0"/>
        </w:rPr>
        <w:t>&lt;RepeatBlock-By&gt;</w:t>
      </w:r>
      <w:r>
        <w:rPr>
          <w:rStyle w:val="HideTWBExt"/>
          <w:b w:val="0"/>
        </w:rPr>
        <w:t>&lt;Members&gt;</w:t>
      </w:r>
      <w:r>
        <w:t>Hans Neuhoff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19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19.</w:t>
            </w:r>
            <w:r>
              <w:tab/>
            </w:r>
            <w:r>
              <w:rPr>
                <w:b/>
                <w:i/>
              </w:rPr>
              <w:t>verwacht van Kosovo en Servië dat ze hun volledige medewerking verlenen en alle nodige maatregelen nemen</w:t>
            </w:r>
            <w:r>
              <w:t xml:space="preserve"> om de </w:t>
            </w:r>
            <w:r>
              <w:rPr>
                <w:b/>
                <w:i/>
              </w:rPr>
              <w:t>daders van de terroristische aanslag</w:t>
            </w:r>
            <w:r>
              <w:t xml:space="preserve"> van 2023 </w:t>
            </w:r>
            <w:r>
              <w:rPr>
                <w:b/>
                <w:i/>
              </w:rPr>
              <w:t>in Banjska snel voor de rechter te brengen;</w:t>
            </w:r>
            <w:r>
              <w:t xml:space="preserve"> </w:t>
            </w:r>
            <w:r>
              <w:rPr>
                <w:b/>
                <w:i/>
              </w:rPr>
              <w:t>betreurt dat</w:t>
            </w:r>
            <w:r>
              <w:t xml:space="preserve"> Servië </w:t>
            </w:r>
            <w:r>
              <w:rPr>
                <w:b/>
                <w:i/>
              </w:rPr>
              <w:t>nog steeds geen vervolging heeft ingesteld tegen de schuldigen, met name Milan Radoičić, de vicevoorzitter van Srpska Lista</w:t>
            </w:r>
            <w:r>
              <w:t>;</w:t>
            </w:r>
          </w:p>
        </w:tc>
        <w:tc>
          <w:tcPr>
            <w:tcW w:w="4876" w:type="dxa"/>
            <w:tcBorders>
              <w:top w:val="nil"/>
              <w:left w:val="nil"/>
              <w:bottom w:val="nil"/>
              <w:right w:val="nil"/>
            </w:tcBorders>
          </w:tcPr>
          <w:p>
            <w:pPr>
              <w:pStyle w:val="Normal6a"/>
            </w:pPr>
            <w:r>
              <w:t>19.</w:t>
            </w:r>
            <w:r>
              <w:tab/>
            </w:r>
            <w:r>
              <w:rPr>
                <w:b/>
                <w:i/>
              </w:rPr>
              <w:t>verzoekt alle partijen samen te werken</w:t>
            </w:r>
            <w:r>
              <w:t xml:space="preserve"> om de </w:t>
            </w:r>
            <w:r>
              <w:rPr>
                <w:b/>
                <w:i/>
              </w:rPr>
              <w:t>feiten rond het Banjska-incident</w:t>
            </w:r>
            <w:r>
              <w:t xml:space="preserve"> van 2023 </w:t>
            </w:r>
            <w:r>
              <w:rPr>
                <w:b/>
                <w:i/>
              </w:rPr>
              <w:t>volledig vast te stellen door middel van rechtmatige gerechtelijke procedures;</w:t>
            </w:r>
            <w:r>
              <w:t xml:space="preserve"> </w:t>
            </w:r>
            <w:r>
              <w:rPr>
                <w:b/>
                <w:i/>
              </w:rPr>
              <w:t>herinnert eraan dat bij strafprocedures het beginsel van een eerlijke rechtsgang en het vermoeden van onschuld moeten worden geëerbiedigd;</w:t>
            </w:r>
            <w:r>
              <w:t xml:space="preserve"> </w:t>
            </w:r>
            <w:r>
              <w:rPr>
                <w:b/>
                <w:i/>
              </w:rPr>
              <w:t>benadrukt dat gerechtelijke procedures onder de exclusieve bevoegdheid van de nationale autoriteiten van</w:t>
            </w:r>
            <w:r>
              <w:t xml:space="preserve"> Servië </w:t>
            </w:r>
            <w:r>
              <w:rPr>
                <w:b/>
                <w:i/>
              </w:rPr>
              <w:t>vallen en vrij moeten zijn van externe politieke druk</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383</w:t>
      </w:r>
      <w:r>
        <w:rPr>
          <w:rStyle w:val="HideTWBExt"/>
        </w:rPr>
        <w:t>&lt;/NumAm&gt;</w:t>
      </w:r>
    </w:p>
    <w:p>
      <w:pPr>
        <w:pStyle w:val="NormalBold"/>
      </w:pPr>
      <w:r>
        <w:rPr>
          <w:rStyle w:val="HideTWBExt"/>
          <w:b w:val="0"/>
        </w:rPr>
        <w:t>&lt;RepeatBlock-By&gt;</w:t>
      </w:r>
      <w:r>
        <w:rPr>
          <w:rStyle w:val="HideTWBExt"/>
          <w:b w:val="0"/>
        </w:rPr>
        <w:t>&lt;Members&gt;</w:t>
      </w:r>
      <w:r>
        <w:t>Vladimir Prebilič</w:t>
      </w:r>
      <w:r>
        <w:rPr>
          <w:rStyle w:val="HideTWBExt"/>
          <w:b w:val="0"/>
        </w:rPr>
        <w:t>&lt;/Members&gt;</w:t>
      </w:r>
    </w:p>
    <w:p>
      <w:r>
        <w:rPr>
          <w:rStyle w:val="HideTWBExt"/>
          <w:b w:val="0"/>
        </w:rPr>
        <w:t>&lt;AuNomDe&gt;</w:t>
      </w:r>
      <w:r>
        <w:rPr>
          <w:rStyle w:val="HideTWBInt"/>
        </w:rPr>
        <w:t>{Verts/ALE}</w:t>
      </w:r>
      <w:r>
        <w:t>namens de Verts/ALE-Fractie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19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19.</w:t>
            </w:r>
            <w:r>
              <w:tab/>
            </w:r>
            <w:r>
              <w:t xml:space="preserve">verwacht van </w:t>
            </w:r>
            <w:r>
              <w:rPr>
                <w:b/>
                <w:i/>
              </w:rPr>
              <w:t>Kosovo en</w:t>
            </w:r>
            <w:r>
              <w:t xml:space="preserve"> Servië dat </w:t>
            </w:r>
            <w:r>
              <w:rPr>
                <w:b/>
                <w:i/>
              </w:rPr>
              <w:t>ze hun volledige medewerking verlenen en</w:t>
            </w:r>
            <w:r>
              <w:t xml:space="preserve"> alle nodige maatregelen </w:t>
            </w:r>
            <w:r>
              <w:rPr>
                <w:b/>
                <w:i/>
              </w:rPr>
              <w:t>nemen</w:t>
            </w:r>
            <w:r>
              <w:t xml:space="preserve"> om de daders van de terroristische aanslag van 2023 in Banjska snel voor de rechter te brengen; betreurt dat Servië nog steeds geen vervolging heeft ingesteld tegen de schuldigen, met name Milan Radoičić, de vicevoorzitter van Srpska Lista;</w:t>
            </w:r>
          </w:p>
        </w:tc>
        <w:tc>
          <w:tcPr>
            <w:tcW w:w="4876" w:type="dxa"/>
            <w:tcBorders>
              <w:top w:val="nil"/>
              <w:left w:val="nil"/>
              <w:bottom w:val="nil"/>
              <w:right w:val="nil"/>
            </w:tcBorders>
          </w:tcPr>
          <w:p>
            <w:pPr>
              <w:pStyle w:val="Normal6a"/>
            </w:pPr>
            <w:r>
              <w:t>19.</w:t>
            </w:r>
            <w:r>
              <w:tab/>
            </w:r>
            <w:r>
              <w:t xml:space="preserve">verwacht van Servië dat </w:t>
            </w:r>
            <w:r>
              <w:rPr>
                <w:b/>
                <w:i/>
              </w:rPr>
              <w:t>het</w:t>
            </w:r>
            <w:r>
              <w:t xml:space="preserve"> alle nodige maatregelen </w:t>
            </w:r>
            <w:r>
              <w:rPr>
                <w:b/>
                <w:i/>
              </w:rPr>
              <w:t>neemt en zijn volledige medewerking verleent aan Kosovo</w:t>
            </w:r>
            <w:r>
              <w:t xml:space="preserve"> om de daders van de terroristische aanslag van 2023 in Banjska </w:t>
            </w:r>
            <w:r>
              <w:rPr>
                <w:b/>
                <w:i/>
              </w:rPr>
              <w:t>eindelijk</w:t>
            </w:r>
            <w:r>
              <w:t xml:space="preserve"> snel voor de rechter te brengen; betreurt dat Servië nog steeds geen vervolging heeft ingesteld tegen de schuldigen, met name Milan Radoičić, de </w:t>
            </w:r>
            <w:r>
              <w:rPr>
                <w:b/>
                <w:i/>
              </w:rPr>
              <w:t>voormalige</w:t>
            </w:r>
            <w:r>
              <w:t xml:space="preserve"> vicevoorzitter van Srpska Lista;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384</w:t>
      </w:r>
      <w:r>
        <w:rPr>
          <w:rStyle w:val="HideTWBExt"/>
        </w:rPr>
        <w:t>&lt;/NumAm&gt;</w:t>
      </w:r>
    </w:p>
    <w:p>
      <w:pPr>
        <w:pStyle w:val="NormalBold"/>
      </w:pPr>
      <w:r>
        <w:rPr>
          <w:rStyle w:val="HideTWBExt"/>
          <w:b w:val="0"/>
        </w:rPr>
        <w:t>&lt;RepeatBlock-By&gt;</w:t>
      </w:r>
      <w:r>
        <w:rPr>
          <w:rStyle w:val="HideTWBExt"/>
          <w:b w:val="0"/>
        </w:rPr>
        <w:t>&lt;Members&gt;</w:t>
      </w:r>
      <w:r>
        <w:t>Emmanouil Fragkos, Galato Alexandraki, Geadis Geadi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19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19.</w:t>
            </w:r>
            <w:r>
              <w:tab/>
            </w:r>
            <w:r>
              <w:t>verwacht van Kosovo en Servië dat ze hun volledige medewerking verlenen en alle nodige maatregelen nemen om de daders van de terroristische aanslag van 2023 in Banjska snel voor de rechter te brengen; betreurt dat Servië nog steeds geen vervolging heeft ingesteld tegen de schuldigen, met name Milan Radoičić, de vicevoorzitter van Srpska Lista;</w:t>
            </w:r>
          </w:p>
        </w:tc>
        <w:tc>
          <w:tcPr>
            <w:tcW w:w="4876" w:type="dxa"/>
            <w:tcBorders>
              <w:top w:val="nil"/>
              <w:left w:val="nil"/>
              <w:bottom w:val="nil"/>
              <w:right w:val="nil"/>
            </w:tcBorders>
          </w:tcPr>
          <w:p>
            <w:pPr>
              <w:pStyle w:val="Normal6a"/>
            </w:pPr>
            <w:r>
              <w:t>19.</w:t>
            </w:r>
            <w:r>
              <w:tab/>
            </w:r>
            <w:r>
              <w:t>verwacht van Kosovo</w:t>
            </w:r>
            <w:r>
              <w:rPr>
                <w:b/>
                <w:i/>
              </w:rPr>
              <w:t>*</w:t>
            </w:r>
            <w:r>
              <w:rPr>
                <w:b/>
                <w:i/>
                <w:vertAlign w:val="superscript"/>
              </w:rPr>
              <w:t>1 bis</w:t>
            </w:r>
            <w:r>
              <w:t xml:space="preserve"> en Servië dat ze hun volledige medewerking verlenen en alle nodige maatregelen nemen om de daders van de terroristische aanslag van 2023 in Banjska snel voor de rechter te brengen; betreurt dat Servië nog steeds geen vervolging heeft ingesteld tegen de schuldigen, met name Milan Radoičić, de vicevoorzitter van Srpska Lista;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 bis</w:t>
            </w:r>
            <w:r>
              <w:t xml:space="preserve"> </w:t>
            </w:r>
            <w:r>
              <w:rPr>
                <w:b/>
                <w:i/>
              </w:rPr>
              <w:t>Deze benaming laat de standpunten over de status van Kosovo onverlet en is in overeenstemming met Resolutie 1244/1999 van de VN-Veiligheidsraad en het advies van het Internationaal Gerechtshof over de onafhankelijkheidsverklaring van Kosovo.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385</w:t>
      </w:r>
      <w:r>
        <w:rPr>
          <w:rStyle w:val="HideTWBExt"/>
        </w:rPr>
        <w:t>&lt;/NumAm&gt;</w:t>
      </w:r>
    </w:p>
    <w:p>
      <w:pPr>
        <w:pStyle w:val="NormalBold"/>
      </w:pPr>
      <w:r>
        <w:rPr>
          <w:rStyle w:val="HideTWBExt"/>
          <w:b w:val="0"/>
        </w:rPr>
        <w:t>&lt;RepeatBlock-By&gt;</w:t>
      </w:r>
      <w:r>
        <w:rPr>
          <w:rStyle w:val="HideTWBExt"/>
          <w:b w:val="0"/>
        </w:rPr>
        <w:t>&lt;Members&gt;</w:t>
      </w:r>
      <w:r>
        <w:t>Loucas Fourlas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19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19.</w:t>
            </w:r>
            <w:r>
              <w:tab/>
            </w:r>
            <w:r>
              <w:t>verwacht van Kosovo en Servië dat ze hun volledige medewerking verlenen en alle nodige maatregelen nemen om de daders van de terroristische aanslag van 2023 in Banjska snel voor de rechter te brengen; betreurt dat Servië nog steeds geen vervolging heeft ingesteld tegen de schuldigen, met name Milan Radoičić, de vicevoorzitter van Srpska Lista;</w:t>
            </w:r>
          </w:p>
        </w:tc>
        <w:tc>
          <w:tcPr>
            <w:tcW w:w="4876" w:type="dxa"/>
            <w:tcBorders>
              <w:top w:val="nil"/>
              <w:left w:val="nil"/>
              <w:bottom w:val="nil"/>
              <w:right w:val="nil"/>
            </w:tcBorders>
          </w:tcPr>
          <w:p>
            <w:pPr>
              <w:pStyle w:val="Normal6a"/>
            </w:pPr>
            <w:r>
              <w:t>19.</w:t>
            </w:r>
            <w:r>
              <w:tab/>
            </w:r>
            <w:r>
              <w:t xml:space="preserve">verwacht van Kosovo en Servië dat ze hun volledige medewerking verlenen en alle nodige maatregelen nemen om de daders van de terroristische aanslag van 2023 in Banjska snel voor de rechter te brengen; betreurt dat Servië nog steeds geen vervolging heeft ingesteld tegen de schuldigen, met name Milan Radoičić, de </w:t>
            </w:r>
            <w:r>
              <w:rPr>
                <w:b/>
                <w:i/>
              </w:rPr>
              <w:t>voormalige</w:t>
            </w:r>
            <w:r>
              <w:t xml:space="preserve"> vicevoorzitter van Srpska Lista;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386</w:t>
      </w:r>
      <w:r>
        <w:rPr>
          <w:rStyle w:val="HideTWBExt"/>
        </w:rPr>
        <w:t>&lt;/NumAm&gt;</w:t>
      </w:r>
    </w:p>
    <w:p>
      <w:pPr>
        <w:pStyle w:val="NormalBold"/>
      </w:pPr>
      <w:r>
        <w:rPr>
          <w:rStyle w:val="HideTWBExt"/>
          <w:b w:val="0"/>
        </w:rPr>
        <w:t>&lt;RepeatBlock-By&gt;</w:t>
      </w:r>
      <w:r>
        <w:rPr>
          <w:rStyle w:val="HideTWBExt"/>
          <w:b w:val="0"/>
        </w:rPr>
        <w:t>&lt;Members&gt;</w:t>
      </w:r>
      <w:r>
        <w:t>Tonino Picula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19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19.</w:t>
            </w:r>
            <w:r>
              <w:tab/>
            </w:r>
            <w:r>
              <w:t>verwacht van Kosovo en Servië dat ze hun volledige medewerking verlenen en alle nodige maatregelen nemen om de daders van de terroristische aanslag van 2023 in Banjska snel voor de rechter te brengen; betreurt dat Servië nog steeds geen vervolging heeft ingesteld tegen de schuldigen, met name Milan Radoičić</w:t>
            </w:r>
            <w:r>
              <w:rPr>
                <w:b/>
                <w:i/>
              </w:rPr>
              <w:t>, de vicevoorzitter van Srpska Lista</w:t>
            </w:r>
            <w:r>
              <w:t>;</w:t>
            </w:r>
          </w:p>
        </w:tc>
        <w:tc>
          <w:tcPr>
            <w:tcW w:w="4876" w:type="dxa"/>
            <w:tcBorders>
              <w:top w:val="nil"/>
              <w:left w:val="nil"/>
              <w:bottom w:val="nil"/>
              <w:right w:val="nil"/>
            </w:tcBorders>
          </w:tcPr>
          <w:p>
            <w:pPr>
              <w:pStyle w:val="Normal6a"/>
            </w:pPr>
            <w:r>
              <w:t>19.</w:t>
            </w:r>
            <w:r>
              <w:tab/>
            </w:r>
            <w:r>
              <w:t>verwacht van Kosovo en Servië dat ze hun volledige medewerking verlenen en alle nodige maatregelen nemen om de daders van de terroristische aanslag van 2023 in Banjska snel voor de rechter te brengen; betreurt dat Servië nog steeds geen vervolging heeft ingesteld tegen de schuldigen, met name Milan Radoičić;</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387</w:t>
      </w:r>
      <w:r>
        <w:rPr>
          <w:rStyle w:val="HideTWBExt"/>
        </w:rPr>
        <w:t>&lt;/NumAm&gt;</w:t>
      </w:r>
    </w:p>
    <w:p>
      <w:pPr>
        <w:pStyle w:val="NormalBold"/>
      </w:pPr>
      <w:r>
        <w:rPr>
          <w:rStyle w:val="HideTWBExt"/>
          <w:b w:val="0"/>
        </w:rPr>
        <w:t>&lt;RepeatBlock-By&gt;</w:t>
      </w:r>
      <w:r>
        <w:rPr>
          <w:rStyle w:val="HideTWBExt"/>
          <w:b w:val="0"/>
        </w:rPr>
        <w:t>&lt;Members&gt;</w:t>
      </w:r>
      <w:r>
        <w:t>Emmanouil Fragkos, Galato Alexandraki, Geadis Geadi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19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19.</w:t>
            </w:r>
            <w:r>
              <w:tab/>
            </w:r>
            <w:r>
              <w:t xml:space="preserve">verwacht van Kosovo en Servië dat ze hun volledige medewerking verlenen en alle nodige maatregelen nemen om de daders van </w:t>
            </w:r>
            <w:r>
              <w:rPr>
                <w:b/>
                <w:i/>
              </w:rPr>
              <w:t>de terroristische aanslag</w:t>
            </w:r>
            <w:r>
              <w:t xml:space="preserve"> van 2023 in Banjska snel voor de rechter te brengen; betreurt dat Servië nog steeds geen vervolging heeft ingesteld tegen de schuldigen, met name Milan Radoičić, de vicevoorzitter van Srpska Lista;</w:t>
            </w:r>
          </w:p>
        </w:tc>
        <w:tc>
          <w:tcPr>
            <w:tcW w:w="4876" w:type="dxa"/>
            <w:tcBorders>
              <w:top w:val="nil"/>
              <w:left w:val="nil"/>
              <w:bottom w:val="nil"/>
              <w:right w:val="nil"/>
            </w:tcBorders>
          </w:tcPr>
          <w:p>
            <w:pPr>
              <w:pStyle w:val="Normal6a"/>
            </w:pPr>
            <w:r>
              <w:t>19.</w:t>
            </w:r>
            <w:r>
              <w:tab/>
            </w:r>
            <w:r>
              <w:t xml:space="preserve">verwacht van Kosovo en Servië dat ze hun volledige medewerking verlenen en alle nodige maatregelen nemen om de daders van </w:t>
            </w:r>
            <w:r>
              <w:rPr>
                <w:b/>
                <w:i/>
              </w:rPr>
              <w:t>het incident</w:t>
            </w:r>
            <w:r>
              <w:t xml:space="preserve"> van 2023 in Banjska snel voor de rechter te brengen; betreurt dat Servië nog steeds geen vervolging heeft ingesteld tegen de schuldigen, met name Milan Radoičić, de </w:t>
            </w:r>
            <w:r>
              <w:rPr>
                <w:b/>
                <w:i/>
              </w:rPr>
              <w:t>voormalige</w:t>
            </w:r>
            <w:r>
              <w:t xml:space="preserve"> vicevoorzitter van Srpska Lista;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388</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19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19.</w:t>
            </w:r>
            <w:r>
              <w:tab/>
            </w:r>
            <w:r>
              <w:t xml:space="preserve">verwacht van Kosovo en Servië dat ze hun volledige medewerking verlenen en alle nodige maatregelen nemen om de daders van de terroristische aanslag van 2023 in Banjska snel voor de rechter te brengen; </w:t>
            </w:r>
            <w:r>
              <w:rPr>
                <w:b/>
                <w:i/>
              </w:rPr>
              <w:t>betreurt</w:t>
            </w:r>
            <w:r>
              <w:t xml:space="preserve"> dat Servië nog steeds geen vervolging heeft ingesteld tegen de schuldigen, met name Milan Radoičić, de vicevoorzitter van Srpska Lista;</w:t>
            </w:r>
          </w:p>
        </w:tc>
        <w:tc>
          <w:tcPr>
            <w:tcW w:w="4876" w:type="dxa"/>
            <w:tcBorders>
              <w:top w:val="nil"/>
              <w:left w:val="nil"/>
              <w:bottom w:val="nil"/>
              <w:right w:val="nil"/>
            </w:tcBorders>
          </w:tcPr>
          <w:p>
            <w:pPr>
              <w:pStyle w:val="Normal6a"/>
            </w:pPr>
            <w:r>
              <w:t>19.</w:t>
            </w:r>
            <w:r>
              <w:tab/>
            </w:r>
            <w:r>
              <w:t xml:space="preserve">verwacht van Kosovo en Servië dat ze hun volledige medewerking verlenen en alle nodige maatregelen nemen om de daders van de terroristische aanslag van 2023 in Banjska snel voor de rechter te brengen; </w:t>
            </w:r>
            <w:r>
              <w:rPr>
                <w:b/>
                <w:i/>
              </w:rPr>
              <w:t>veroordeelt het feit</w:t>
            </w:r>
            <w:r>
              <w:t xml:space="preserve"> dat Servië nog steeds geen vervolging heeft ingesteld tegen de schuldigen, met name Milan Radoičić, de vicevoorzitter van Srpska Lista;</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389</w:t>
      </w:r>
      <w:r>
        <w:rPr>
          <w:rStyle w:val="HideTWBExt"/>
        </w:rPr>
        <w:t>&lt;/NumAm&gt;</w:t>
      </w:r>
    </w:p>
    <w:p>
      <w:pPr>
        <w:pStyle w:val="NormalBold"/>
      </w:pPr>
      <w:r>
        <w:rPr>
          <w:rStyle w:val="HideTWBExt"/>
          <w:b w:val="0"/>
        </w:rPr>
        <w:t>&lt;RepeatBlock-By&gt;</w:t>
      </w:r>
      <w:r>
        <w:rPr>
          <w:rStyle w:val="HideTWBExt"/>
          <w:b w:val="0"/>
        </w:rPr>
        <w:t>&lt;Members&gt;</w:t>
      </w:r>
      <w:r>
        <w:t>Stanislav Stoyanov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19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19 bis.</w:t>
            </w:r>
            <w:r>
              <w:tab/>
            </w:r>
            <w:r>
              <w:rPr>
                <w:b/>
                <w:i/>
              </w:rPr>
              <w:t>herinnert eraan dat regionale samenwerking en goede nabuurschapsbetrekkingen cruciale onderdelen van het uitbreidingsproces blijven;</w:t>
            </w:r>
            <w:r>
              <w:t xml:space="preserve"> </w:t>
            </w:r>
            <w:r>
              <w:rPr>
                <w:b/>
                <w:i/>
              </w:rPr>
              <w:t>verzoekt Servië zich te blijven inzetten voor een aantal regionale samenwerkingsinitiatieven, die een forum bieden voor dialoog en de goede nabuurschapsbetrekkingen in de regio versterken;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390</w:t>
      </w:r>
      <w:r>
        <w:rPr>
          <w:rStyle w:val="HideTWBExt"/>
        </w:rPr>
        <w:t>&lt;/NumAm&gt;</w:t>
      </w:r>
    </w:p>
    <w:p>
      <w:pPr>
        <w:pStyle w:val="NormalBold"/>
      </w:pPr>
      <w:r>
        <w:rPr>
          <w:rStyle w:val="HideTWBExt"/>
          <w:b w:val="0"/>
        </w:rPr>
        <w:t>&lt;RepeatBlock-By&gt;</w:t>
      </w:r>
      <w:r>
        <w:rPr>
          <w:rStyle w:val="HideTWBExt"/>
          <w:b w:val="0"/>
        </w:rPr>
        <w:t>&lt;Members&gt;</w:t>
      </w:r>
      <w:r>
        <w:t>Cristian Terheş</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19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19 bis.</w:t>
            </w:r>
            <w:r>
              <w:tab/>
            </w:r>
            <w:r>
              <w:rPr>
                <w:b/>
                <w:i/>
              </w:rPr>
              <w:t>onderstreept dat Kosovo een integraal onderdeel van Servië is en de erkenning van de onafhankelijkheid daarvan een ernstige schending van de territoriale integriteit van Servië is;</w:t>
            </w:r>
            <w:r>
              <w:t xml:space="preserve"> </w:t>
            </w:r>
            <w:r>
              <w:rPr>
                <w:b/>
                <w:i/>
              </w:rPr>
              <w:t>onderstreept dat deze erkenning ook een gevaarlijk precedent heeft geschapen, dat door Rusland is misbruikt om zijn illegale annexaties te rechtvaardigen;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391</w:t>
      </w:r>
      <w:r>
        <w:rPr>
          <w:rStyle w:val="HideTWBExt"/>
        </w:rPr>
        <w:t>&lt;/NumAm&gt;</w:t>
      </w:r>
    </w:p>
    <w:p>
      <w:pPr>
        <w:pStyle w:val="NormalBold"/>
      </w:pPr>
      <w:r>
        <w:rPr>
          <w:rStyle w:val="HideTWBExt"/>
          <w:b w:val="0"/>
        </w:rPr>
        <w:t>&lt;RepeatBlock-By&gt;</w:t>
      </w:r>
      <w:r>
        <w:rPr>
          <w:rStyle w:val="HideTWBExt"/>
          <w:b w:val="0"/>
        </w:rPr>
        <w:t>&lt;Members&gt;</w:t>
      </w:r>
      <w:r>
        <w:t>Željana Zovko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19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19 bis.</w:t>
            </w:r>
            <w:r>
              <w:tab/>
            </w:r>
            <w:r>
              <w:rPr>
                <w:b/>
                <w:i/>
              </w:rPr>
              <w:t>erkent de belangrijke rol van Servië in de Westelijke Balkan, maar veroordeelt met klem alle acties of pogingen die erop gericht zijn een invloedssfeer te handhaven die de soevereiniteit en territoriale integriteit van buurlanden zou ondermijnen;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392</w:t>
      </w:r>
      <w:r>
        <w:rPr>
          <w:rStyle w:val="HideTWBExt"/>
        </w:rPr>
        <w:t>&lt;/NumAm&gt;</w:t>
      </w:r>
    </w:p>
    <w:p>
      <w:pPr>
        <w:pStyle w:val="NormalBold"/>
      </w:pPr>
      <w:r>
        <w:rPr>
          <w:rStyle w:val="HideTWBExt"/>
          <w:b w:val="0"/>
        </w:rPr>
        <w:t>&lt;RepeatBlock-By&gt;</w:t>
      </w:r>
      <w:r>
        <w:rPr>
          <w:rStyle w:val="HideTWBExt"/>
          <w:b w:val="0"/>
        </w:rPr>
        <w:t>&lt;Members&gt;</w:t>
      </w:r>
      <w:r>
        <w:t>Loucas Fourlas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20.</w:t>
            </w:r>
            <w:r>
              <w:tab/>
            </w:r>
            <w:r>
              <w:t>herinnert eraan dat de normalisering van de betrekkingen met Kosovo en de uitvoering van de toezeggingen in het kader van de dialoog tussen Belgrado en Pristina een integraal onderdeel blijven van het Europese perspectief van Servië;</w:t>
            </w:r>
          </w:p>
        </w:tc>
        <w:tc>
          <w:tcPr>
            <w:tcW w:w="4876" w:type="dxa"/>
            <w:tcBorders>
              <w:top w:val="nil"/>
              <w:left w:val="nil"/>
              <w:bottom w:val="nil"/>
              <w:right w:val="nil"/>
            </w:tcBorders>
          </w:tcPr>
          <w:p>
            <w:pPr>
              <w:pStyle w:val="Normal6a"/>
            </w:pPr>
            <w:r>
              <w:t>20.</w:t>
            </w:r>
            <w:r>
              <w:tab/>
            </w:r>
            <w:r>
              <w:t xml:space="preserve">herinnert eraan dat de normalisering van de betrekkingen met Kosovo en de uitvoering van de toezeggingen in het kader van de dialoog tussen Belgrado en Pristina een integraal onderdeel blijven van het Europese perspectief van Servië; </w:t>
            </w:r>
            <w:r>
              <w:rPr>
                <w:b/>
                <w:i/>
              </w:rPr>
              <w:t>is ingenomen met de constructieve deelname van Servië aan de dialoog en de nakoming van alle belangrijke verplichtingen die zijn opgenomen in de overeenkomst van Brussel van 2013; betreurt dat de autoriteiten in Pristina zelfs na 13 jaar nog niet eens zijn begonnen met de enige verplichting uit hoofde van de overeenkomst van Brussel, namelijk de oprichting van de gemeenschap van Servische gemeenten, die van vitaal belang is voor het voortbestaan van de Serviërs in AP Kosovo en Metohija;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393</w:t>
      </w:r>
      <w:r>
        <w:rPr>
          <w:rStyle w:val="HideTWBExt"/>
        </w:rPr>
        <w:t>&lt;/NumAm&gt;</w:t>
      </w:r>
    </w:p>
    <w:p>
      <w:pPr>
        <w:pStyle w:val="NormalBold"/>
      </w:pPr>
      <w:r>
        <w:rPr>
          <w:rStyle w:val="HideTWBExt"/>
          <w:b w:val="0"/>
        </w:rPr>
        <w:t>&lt;RepeatBlock-By&gt;</w:t>
      </w:r>
      <w:r>
        <w:rPr>
          <w:rStyle w:val="HideTWBExt"/>
          <w:b w:val="0"/>
        </w:rPr>
        <w:t>&lt;Members&gt;</w:t>
      </w:r>
      <w:r>
        <w:t>Emmanouil Fragkos, Galato Alexandraki, Geadis Geadi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20.</w:t>
            </w:r>
            <w:r>
              <w:tab/>
            </w:r>
            <w:r>
              <w:t>herinnert eraan dat de normalisering van de betrekkingen met Kosovo en de uitvoering van de toezeggingen in het kader van de dialoog tussen Belgrado en Pristina een integraal onderdeel blijven van het Europese perspectief van Servië;</w:t>
            </w:r>
          </w:p>
        </w:tc>
        <w:tc>
          <w:tcPr>
            <w:tcW w:w="4876" w:type="dxa"/>
            <w:tcBorders>
              <w:top w:val="nil"/>
              <w:left w:val="nil"/>
              <w:bottom w:val="nil"/>
              <w:right w:val="nil"/>
            </w:tcBorders>
          </w:tcPr>
          <w:p>
            <w:pPr>
              <w:pStyle w:val="Normal6a"/>
            </w:pPr>
            <w:r>
              <w:t>20.</w:t>
            </w:r>
            <w:r>
              <w:tab/>
            </w:r>
            <w:r>
              <w:t>herinnert eraan dat de normalisering van de betrekkingen met Kosovo</w:t>
            </w:r>
            <w:r>
              <w:rPr>
                <w:b/>
                <w:i/>
              </w:rPr>
              <w:t>*</w:t>
            </w:r>
            <w:r>
              <w:t xml:space="preserve"> en de uitvoering van de toezeggingen in het kader van de dialoog tussen Belgrado en Pristina een integraal onderdeel blijven van het Europese perspectief van Servië; </w:t>
            </w:r>
            <w:r>
              <w:rPr>
                <w:b/>
                <w:i/>
              </w:rPr>
              <w:t>is ingenomen met de constructieve deelname van Servië aan de dialoog en de nakoming van de verplichtingen die zijn opgenomen in de overeenkomst van Brussel van 2013;</w:t>
            </w:r>
            <w:r>
              <w:t xml:space="preserve"> </w:t>
            </w:r>
            <w:r>
              <w:rPr>
                <w:b/>
                <w:i/>
              </w:rPr>
              <w:t>betreurt dat de autoriteiten in Pristina zelfs na 13 jaar nog niet eens zijn begonnen met de enige verplichting uit hoofde van de overeenkomst van Brussel, namelijk de oprichting van de gemeenschap van Servische gemeenten, die van vitaal belang is voor het voortbestaan van de Serviërs in AP Kosovo en Metohija;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394</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20.</w:t>
            </w:r>
            <w:r>
              <w:tab/>
            </w:r>
            <w:r>
              <w:t>herinnert eraan dat de normalisering van de betrekkingen met Kosovo en de uitvoering van de toezeggingen in het kader van de dialoog tussen Belgrado en Pristina een integraal onderdeel blijven van het Europese perspectief van Servië;</w:t>
            </w:r>
          </w:p>
        </w:tc>
        <w:tc>
          <w:tcPr>
            <w:tcW w:w="4876" w:type="dxa"/>
            <w:tcBorders>
              <w:top w:val="nil"/>
              <w:left w:val="nil"/>
              <w:bottom w:val="nil"/>
              <w:right w:val="nil"/>
            </w:tcBorders>
          </w:tcPr>
          <w:p>
            <w:pPr>
              <w:pStyle w:val="Normal6a"/>
            </w:pPr>
            <w:r>
              <w:t>20.</w:t>
            </w:r>
            <w:r>
              <w:tab/>
            </w:r>
            <w:r>
              <w:t xml:space="preserve">herinnert eraan dat de normalisering van de betrekkingen met Kosovo en de uitvoering van de toezeggingen in het kader van de dialoog tussen Belgrado en Pristina een integraal onderdeel blijven van het Europese perspectief van Servië; </w:t>
            </w:r>
            <w:r>
              <w:rPr>
                <w:b/>
                <w:i/>
              </w:rPr>
              <w:t>wijst erop dat goede betrekkingen met de buurlanden deel uitmaken van de verplichtingen van Servië in het kader van de toetreding tot de EU en verwacht dan ook dat Servië concrete maatregelen neemt om de betrekkingen met Kosovo te normaliseren;</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395</w:t>
      </w:r>
      <w:r>
        <w:rPr>
          <w:rStyle w:val="HideTWBExt"/>
        </w:rPr>
        <w:t>&lt;/NumAm&gt;</w:t>
      </w:r>
    </w:p>
    <w:p>
      <w:pPr>
        <w:pStyle w:val="NormalBold"/>
      </w:pPr>
      <w:r>
        <w:rPr>
          <w:rStyle w:val="HideTWBExt"/>
          <w:b w:val="0"/>
        </w:rPr>
        <w:t>&lt;RepeatBlock-By&gt;</w:t>
      </w:r>
      <w:r>
        <w:rPr>
          <w:rStyle w:val="HideTWBExt"/>
          <w:b w:val="0"/>
        </w:rPr>
        <w:t>&lt;Members&gt;</w:t>
      </w:r>
      <w:r>
        <w:t>Annamária Vicsek, Kinga Gál, António Tânger Corrêa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20.</w:t>
            </w:r>
            <w:r>
              <w:tab/>
            </w:r>
            <w:r>
              <w:t>herinnert eraan dat de normalisering van de betrekkingen met Kosovo en de uitvoering van de toezeggingen in het kader van de dialoog tussen Belgrado en Pristina een integraal onderdeel blijven van het Europese perspectief van Servië;</w:t>
            </w:r>
          </w:p>
        </w:tc>
        <w:tc>
          <w:tcPr>
            <w:tcW w:w="4876" w:type="dxa"/>
            <w:tcBorders>
              <w:top w:val="nil"/>
              <w:left w:val="nil"/>
              <w:bottom w:val="nil"/>
              <w:right w:val="nil"/>
            </w:tcBorders>
          </w:tcPr>
          <w:p>
            <w:pPr>
              <w:pStyle w:val="Normal6a"/>
            </w:pPr>
            <w:r>
              <w:t>20.</w:t>
            </w:r>
            <w:r>
              <w:tab/>
            </w:r>
            <w:r>
              <w:t xml:space="preserve">herinnert eraan dat de normalisering van de betrekkingen met Kosovo en de uitvoering van de toezeggingen in het kader van de dialoog tussen Belgrado en Pristina een integraal onderdeel blijven van het Europese perspectief van Servië; </w:t>
            </w:r>
            <w:r>
              <w:rPr>
                <w:b/>
                <w:i/>
              </w:rPr>
              <w:t>is ingenomen met de constructieve deelname van Servië aan de dialoog en de nakoming van alle belangrijke verplichtingen die zijn opgenomen in de overeenkomst van Brussel van 2013;</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396</w:t>
      </w:r>
      <w:r>
        <w:rPr>
          <w:rStyle w:val="HideTWBExt"/>
        </w:rPr>
        <w:t>&lt;/NumAm&gt;</w:t>
      </w:r>
    </w:p>
    <w:p>
      <w:pPr>
        <w:pStyle w:val="NormalBold"/>
      </w:pPr>
      <w:r>
        <w:rPr>
          <w:rStyle w:val="HideTWBExt"/>
          <w:b w:val="0"/>
        </w:rPr>
        <w:t>&lt;RepeatBlock-By&gt;</w:t>
      </w:r>
      <w:r>
        <w:rPr>
          <w:rStyle w:val="HideTWBExt"/>
          <w:b w:val="0"/>
        </w:rPr>
        <w:t>&lt;Members&gt;</w:t>
      </w:r>
      <w:r>
        <w:t>Ivaylo Valchev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20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20 bis.</w:t>
            </w:r>
            <w:r>
              <w:tab/>
            </w:r>
            <w:r>
              <w:rPr>
                <w:b/>
                <w:i/>
              </w:rPr>
              <w:t>dringt er nogmaals bij de Servische autoriteiten op aan inspanningen te blijven leveren om de nalatenschap van de voormalige communistische geheime diensten teniet te doen door de dossiers van die diensten openbaar te maken als stap in de richting van democratisering van Servië en verzoening met de buurlanden;</w:t>
            </w:r>
            <w:r>
              <w:t xml:space="preserve"> </w:t>
            </w:r>
            <w:r>
              <w:rPr>
                <w:b/>
                <w:i/>
              </w:rPr>
              <w:t>roept Servië op om meer werk te maken van de follow-up en tenuitvoerlegging van de verplichtingen in verband met de opsplitsing van het gemeenschappelijk archief van voormalig Joegoslavië;</w:t>
            </w:r>
            <w:r>
              <w:t xml:space="preserve"> </w:t>
            </w:r>
            <w:r>
              <w:rPr>
                <w:b/>
                <w:i/>
              </w:rPr>
              <w:t>wijst er in dit kader nogmaals op dat volledige toegang tot alle stukken in de archieven, met name de stukken van de Joegoslavische geheime dienst (UDBA) en de geheime dienst van het Joegoslavische volksleger (KOS), van zeer groot belang is;</w:t>
            </w:r>
            <w:r>
              <w:t xml:space="preserve"> </w:t>
            </w:r>
            <w:r>
              <w:rPr>
                <w:b/>
                <w:i/>
              </w:rPr>
              <w:t>verzoekt de autoriteiten nogmaals om de toegang tot de archieven die betrekking hebben op de voormalige republieken van Joegoslavië te waarborgen en de desbetreffende stukken aan de verschillende regeringen te doen toekomen als zij daarom hebben verzocht;</w:t>
            </w:r>
          </w:p>
        </w:tc>
      </w:tr>
    </w:tbl>
    <w:p>
      <w:pPr>
        <w:pStyle w:val="AmOrLang"/>
      </w:pPr>
      <w:r>
        <w:t xml:space="preserve">Or. </w:t>
      </w:r>
      <w:r>
        <w:rPr>
          <w:rStyle w:val="HideTWBExt"/>
        </w:rPr>
        <w:t>&lt;Original&gt;</w:t>
      </w:r>
      <w:r>
        <w:rPr>
          <w:rStyle w:val="HideTWBInt"/>
        </w:rPr>
        <w:t>{BG}</w:t>
      </w:r>
      <w:r>
        <w:t>bg</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397</w:t>
      </w:r>
      <w:r>
        <w:rPr>
          <w:rStyle w:val="HideTWBExt"/>
        </w:rPr>
        <w:t>&lt;/NumAm&gt;</w:t>
      </w:r>
    </w:p>
    <w:p>
      <w:pPr>
        <w:pStyle w:val="NormalBold"/>
      </w:pPr>
      <w:r>
        <w:rPr>
          <w:rStyle w:val="HideTWBExt"/>
          <w:b w:val="0"/>
        </w:rPr>
        <w:t>&lt;RepeatBlock-By&gt;</w:t>
      </w:r>
      <w:r>
        <w:rPr>
          <w:rStyle w:val="HideTWBExt"/>
          <w:b w:val="0"/>
        </w:rPr>
        <w:t>&lt;Members&gt;</w:t>
      </w:r>
      <w:r>
        <w:t>Geadis Geadi, Emmanouil Fragkos, Galato Alexandraki, Nicolas Bay</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20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20 bis.</w:t>
            </w:r>
            <w:r>
              <w:tab/>
            </w:r>
            <w:r>
              <w:rPr>
                <w:b/>
                <w:i/>
              </w:rPr>
              <w:t>is ingenomen met de constructieve deelname van Servië aan de dialoog en de nakoming van alle belangrijke verplichtingen die zijn opgenomen in de overeenkomst van Brussel van 2013;</w:t>
            </w:r>
            <w:r>
              <w:t xml:space="preserve"> </w:t>
            </w:r>
            <w:r>
              <w:rPr>
                <w:b/>
                <w:i/>
              </w:rPr>
              <w:t>betreurt dat de autoriteiten in Pristina meer dan 13 jaar later nog niet zijn begonnen met de oprichting van de gemeenschap van Servische gemeenten, een essentieel element voor de bescherming van de Servische gemeenschap in Kosovo;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398</w:t>
      </w:r>
      <w:r>
        <w:rPr>
          <w:rStyle w:val="HideTWBExt"/>
        </w:rPr>
        <w:t>&lt;/NumAm&gt;</w:t>
      </w:r>
    </w:p>
    <w:p>
      <w:pPr>
        <w:pStyle w:val="NormalBold"/>
      </w:pPr>
      <w:r>
        <w:rPr>
          <w:rStyle w:val="HideTWBExt"/>
          <w:b w:val="0"/>
        </w:rPr>
        <w:t>&lt;RepeatBlock-By&gt;</w:t>
      </w:r>
      <w:r>
        <w:rPr>
          <w:rStyle w:val="HideTWBExt"/>
          <w:b w:val="0"/>
        </w:rPr>
        <w:t>&lt;Members&gt;</w:t>
      </w:r>
      <w:r>
        <w:t>Davor Ivo Stier, Andrey Kovatchev, Reinhold Lopatka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20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20 bis.</w:t>
            </w:r>
            <w:r>
              <w:tab/>
            </w:r>
            <w:r>
              <w:rPr>
                <w:b/>
                <w:i/>
              </w:rPr>
              <w:t>herhaalt dat goede nabuurschapsbetrekkingen en regionale samenwerking essentiële bestanddelen van het uitbreidingsproces blijven;</w:t>
            </w:r>
            <w:r>
              <w:t xml:space="preserve"> </w:t>
            </w:r>
            <w:r>
              <w:rPr>
                <w:b/>
                <w:i/>
              </w:rPr>
              <w:t>benadrukt hoe belangrijk het is dat Servië goede nabuurschapsbetrekkingen ontwikkelt, met name door overeenkomsten met EU-lidstaten uit te voeren;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399</w:t>
      </w:r>
      <w:r>
        <w:rPr>
          <w:rStyle w:val="HideTWBExt"/>
        </w:rPr>
        <w:t>&lt;/NumAm&gt;</w:t>
      </w:r>
    </w:p>
    <w:p>
      <w:pPr>
        <w:pStyle w:val="NormalBold"/>
      </w:pPr>
      <w:r>
        <w:rPr>
          <w:rStyle w:val="HideTWBExt"/>
          <w:b w:val="0"/>
        </w:rPr>
        <w:t>&lt;RepeatBlock-By&gt;</w:t>
      </w:r>
      <w:r>
        <w:rPr>
          <w:rStyle w:val="HideTWBExt"/>
          <w:b w:val="0"/>
        </w:rPr>
        <w:t>&lt;Members&gt;</w:t>
      </w:r>
      <w:r>
        <w:t>Annamária Vicsek, Kinga Gál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20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20 bis.</w:t>
            </w:r>
            <w:r>
              <w:tab/>
            </w:r>
            <w:r>
              <w:rPr>
                <w:b/>
                <w:i/>
              </w:rPr>
              <w:t>betreurt dat Kosovo, ondanks meerdere waarschuwingen van de Europese Commissie om een vereniging/gemeenschap van gemeenten met een Servische meerderheid op te richten, op dit gebied nog steeds geen vooruitgang heeft geboekt;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400</w:t>
      </w:r>
      <w:r>
        <w:rPr>
          <w:rStyle w:val="HideTWBExt"/>
        </w:rPr>
        <w:t>&lt;/NumAm&gt;</w:t>
      </w:r>
    </w:p>
    <w:p>
      <w:pPr>
        <w:pStyle w:val="NormalBold"/>
      </w:pPr>
      <w:r>
        <w:rPr>
          <w:rStyle w:val="HideTWBExt"/>
          <w:b w:val="0"/>
        </w:rPr>
        <w:t>&lt;RepeatBlock-By&gt;</w:t>
      </w:r>
      <w:r>
        <w:rPr>
          <w:rStyle w:val="HideTWBExt"/>
          <w:b w:val="0"/>
        </w:rPr>
        <w:t>&lt;Members&gt;</w:t>
      </w:r>
      <w:r>
        <w:t>Davor Ivo Stier, Andrey Kovatchev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20 ter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20 ter.</w:t>
            </w:r>
            <w:r>
              <w:tab/>
            </w:r>
            <w:r>
              <w:rPr>
                <w:b/>
                <w:i/>
              </w:rPr>
              <w:t>betreurt de bevordering en politieke instrumentalisering van het concept van de zogenaamde “Servische wereld”, dat de soevereiniteit, territoriale integriteit en stabiliteit van buurlanden ondermijnt;</w:t>
            </w:r>
            <w:r>
              <w:t xml:space="preserve"> </w:t>
            </w:r>
            <w:r>
              <w:rPr>
                <w:b/>
                <w:i/>
              </w:rPr>
              <w:t>benadrukt dat dergelijke narratieven in strijd zijn met de beginselen van goede nabuurschapsbetrekkingen en regionale samenwerking, die kernelementen van het EU-toetredingsproces zijn;</w:t>
            </w:r>
            <w:r>
              <w:t xml:space="preserve"> </w:t>
            </w:r>
            <w:r>
              <w:rPr>
                <w:b/>
                <w:i/>
              </w:rPr>
              <w:t>verzoekt de Servische autoriteiten zich te onthouden van retoriek en acties die de regionale spanningen kunnen aanwakkeren;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401</w:t>
      </w:r>
      <w:r>
        <w:rPr>
          <w:rStyle w:val="HideTWBExt"/>
        </w:rPr>
        <w:t>&lt;/NumAm&gt;</w:t>
      </w:r>
    </w:p>
    <w:p>
      <w:pPr>
        <w:pStyle w:val="NormalBold"/>
      </w:pPr>
      <w:r>
        <w:rPr>
          <w:rStyle w:val="HideTWBExt"/>
          <w:b w:val="0"/>
        </w:rPr>
        <w:t>&lt;RepeatBlock-By&gt;</w:t>
      </w:r>
      <w:r>
        <w:rPr>
          <w:rStyle w:val="HideTWBExt"/>
          <w:b w:val="0"/>
        </w:rPr>
        <w:t>&lt;Members&gt;</w:t>
      </w:r>
      <w:r>
        <w:t>Davor Ivo Stier, Andrey Kovatchev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20 quater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20 quater.</w:t>
            </w:r>
            <w:r>
              <w:tab/>
            </w:r>
            <w:r>
              <w:rPr>
                <w:b/>
                <w:i/>
              </w:rPr>
              <w:t>veroordeelt ten stelligste de herhaaldelijke gevallen van haatzaaiende, vijandige en opruiende taal gericht tegen zijn buurlanden, met name Bulgarije, Kroatië, Kosovo en Albanië, onder meer door overheidsfunctionarissen en mediakanalen;</w:t>
            </w:r>
            <w:r>
              <w:t xml:space="preserve"> </w:t>
            </w:r>
            <w:r>
              <w:rPr>
                <w:b/>
                <w:i/>
              </w:rPr>
              <w:t>onderstreept dat een dergelijk discours onverenigbaar is met de Europese waarden en het vertrouwen, de verzoening en de regionale stabiliteit ondermijnt;</w:t>
            </w:r>
            <w:r>
              <w:t xml:space="preserve"> </w:t>
            </w:r>
            <w:r>
              <w:rPr>
                <w:b/>
                <w:i/>
              </w:rPr>
              <w:t>verzoekt de Servische autoriteiten haatzaaiende uitlatingen actief tegen te gaan, verantwoordingsplicht te waarborgen en een klimaat van respect en constructieve dialoog in de regio te bevorderen;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402</w:t>
      </w:r>
      <w:r>
        <w:rPr>
          <w:rStyle w:val="HideTWBExt"/>
        </w:rPr>
        <w:t>&lt;/NumAm&gt;</w:t>
      </w:r>
    </w:p>
    <w:p>
      <w:pPr>
        <w:pStyle w:val="NormalBold"/>
      </w:pPr>
      <w:r>
        <w:rPr>
          <w:rStyle w:val="HideTWBExt"/>
          <w:b w:val="0"/>
        </w:rPr>
        <w:t>&lt;RepeatBlock-By&gt;</w:t>
      </w:r>
      <w:r>
        <w:rPr>
          <w:rStyle w:val="HideTWBExt"/>
          <w:b w:val="0"/>
        </w:rPr>
        <w:t>&lt;Members&gt;</w:t>
      </w:r>
      <w:r>
        <w:t>Vladimir Prebilič</w:t>
      </w:r>
      <w:r>
        <w:rPr>
          <w:rStyle w:val="HideTWBExt"/>
          <w:b w:val="0"/>
        </w:rPr>
        <w:t>&lt;/Members&gt;</w:t>
      </w:r>
    </w:p>
    <w:p>
      <w:r>
        <w:rPr>
          <w:rStyle w:val="HideTWBExt"/>
          <w:b w:val="0"/>
        </w:rPr>
        <w:t>&lt;AuNomDe&gt;</w:t>
      </w:r>
      <w:r>
        <w:rPr>
          <w:rStyle w:val="HideTWBInt"/>
        </w:rPr>
        <w:t>{Verts/ALE}</w:t>
      </w:r>
      <w:r>
        <w:t>namens de Verts/ALE-Fractie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21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21 bis.</w:t>
            </w:r>
            <w:r>
              <w:tab/>
            </w:r>
            <w:r>
              <w:rPr>
                <w:b/>
                <w:i/>
              </w:rPr>
              <w:t>herhaalt zijn oproep om de kwaliteit van het dialoogproces te verbeteren door middel van de deelname van vrouwen, meer transparantie ten aanzien van het publiek, en de zinvolle betrokkenheid van het maatschappelijk middenveld;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403</w:t>
      </w:r>
      <w:r>
        <w:rPr>
          <w:rStyle w:val="HideTWBExt"/>
        </w:rPr>
        <w:t>&lt;/NumAm&gt;</w:t>
      </w:r>
    </w:p>
    <w:p>
      <w:pPr>
        <w:pStyle w:val="NormalBold"/>
      </w:pPr>
      <w:r>
        <w:rPr>
          <w:rStyle w:val="HideTWBExt"/>
          <w:b w:val="0"/>
        </w:rPr>
        <w:t>&lt;RepeatBlock-By&gt;</w:t>
      </w:r>
      <w:r>
        <w:rPr>
          <w:rStyle w:val="HideTWBExt"/>
          <w:b w:val="0"/>
        </w:rPr>
        <w:t>&lt;Members&gt;</w:t>
      </w:r>
      <w:r>
        <w:t>Mircea-Gheorghe Hava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22.</w:t>
            </w:r>
            <w:r>
              <w:tab/>
            </w:r>
            <w:r>
              <w:t xml:space="preserve">wijst er nogmaals op dat een constructieve houding bij zowel de Kosovaarse </w:t>
            </w:r>
            <w:r>
              <w:rPr>
                <w:b/>
                <w:i/>
              </w:rPr>
              <w:t>als de Servische</w:t>
            </w:r>
            <w:r>
              <w:t xml:space="preserve"> autoriteiten belangrijk is om tot een omvattende en juridisch bindende normaliseringsovereenkomst te komen, </w:t>
            </w:r>
            <w:r>
              <w:rPr>
                <w:b/>
                <w:i/>
              </w:rPr>
              <w:t>gebaseerd op wederzijdse erkenning en</w:t>
            </w:r>
            <w:r>
              <w:t xml:space="preserve"> in overeenstemming met het internationaal recht; roept </w:t>
            </w:r>
            <w:r>
              <w:rPr>
                <w:b/>
                <w:i/>
              </w:rPr>
              <w:t>zowel Kosovo als Servië</w:t>
            </w:r>
            <w:r>
              <w:t xml:space="preserve"> op om het Akkoord van Brussel </w:t>
            </w:r>
            <w:r>
              <w:rPr>
                <w:b/>
                <w:i/>
              </w:rPr>
              <w:t>en</w:t>
            </w:r>
            <w:r>
              <w:t xml:space="preserve"> het Akkoord van Ohrid uit te voeren</w:t>
            </w:r>
            <w:r>
              <w:rPr>
                <w:b/>
                <w:i/>
              </w:rPr>
              <w:t>, hetgeen onder andere de oprichting</w:t>
            </w:r>
            <w:r>
              <w:t xml:space="preserve"> van de </w:t>
            </w:r>
            <w:r>
              <w:rPr>
                <w:b/>
                <w:i/>
              </w:rPr>
              <w:t>vereniging van gemeenten met een Servische meerderheid inhoudt, alsook het staken van het verzet van Servië tegen het lidmaatschap</w:t>
            </w:r>
            <w:r>
              <w:t xml:space="preserve"> van Kosovo </w:t>
            </w:r>
            <w:r>
              <w:rPr>
                <w:b/>
                <w:i/>
              </w:rPr>
              <w:t>van</w:t>
            </w:r>
            <w:r>
              <w:t xml:space="preserve"> regionale en internationale organisaties, en af te zien van unilaterale acties die de dialoog </w:t>
            </w:r>
            <w:r>
              <w:rPr>
                <w:b/>
                <w:i/>
              </w:rPr>
              <w:t>zouden kunnen verstoren</w:t>
            </w:r>
            <w:r>
              <w:t>;</w:t>
            </w:r>
          </w:p>
        </w:tc>
        <w:tc>
          <w:tcPr>
            <w:tcW w:w="4876" w:type="dxa"/>
            <w:tcBorders>
              <w:top w:val="nil"/>
              <w:left w:val="nil"/>
              <w:bottom w:val="nil"/>
              <w:right w:val="nil"/>
            </w:tcBorders>
          </w:tcPr>
          <w:p>
            <w:pPr>
              <w:pStyle w:val="Normal6a"/>
            </w:pPr>
            <w:r>
              <w:t>22.</w:t>
            </w:r>
            <w:r>
              <w:tab/>
            </w:r>
            <w:r>
              <w:t xml:space="preserve">wijst er nogmaals op dat een </w:t>
            </w:r>
            <w:r>
              <w:rPr>
                <w:b/>
                <w:i/>
              </w:rPr>
              <w:t>blijvende</w:t>
            </w:r>
            <w:r>
              <w:t xml:space="preserve"> constructieve houding bij zowel de </w:t>
            </w:r>
            <w:r>
              <w:rPr>
                <w:b/>
                <w:i/>
              </w:rPr>
              <w:t>Servische als de</w:t>
            </w:r>
            <w:r>
              <w:t xml:space="preserve"> Kosovaarse autoriteiten belangrijk is om tot een omvattende en juridisch bindende normaliseringsovereenkomst te komen, in overeenstemming met het internationaal recht </w:t>
            </w:r>
            <w:r>
              <w:rPr>
                <w:b/>
                <w:i/>
              </w:rPr>
              <w:t>en de toezeggingen die zijn gedaan in het kader van de door de EU gefaciliteerde dialoog</w:t>
            </w:r>
            <w:r>
              <w:t xml:space="preserve">; roept </w:t>
            </w:r>
            <w:r>
              <w:rPr>
                <w:b/>
                <w:i/>
              </w:rPr>
              <w:t>beide partijen</w:t>
            </w:r>
            <w:r>
              <w:t xml:space="preserve"> op om het Akkoord van Brussel</w:t>
            </w:r>
            <w:r>
              <w:rPr>
                <w:b/>
                <w:i/>
              </w:rPr>
              <w:t>,</w:t>
            </w:r>
            <w:r>
              <w:t xml:space="preserve"> het Akkoord van Ohrid </w:t>
            </w:r>
            <w:r>
              <w:rPr>
                <w:b/>
                <w:i/>
              </w:rPr>
              <w:t>en de bijbehorende uitvoeringsbijlage volledig</w:t>
            </w:r>
            <w:r>
              <w:t xml:space="preserve"> uit te voeren</w:t>
            </w:r>
            <w:r>
              <w:rPr>
                <w:b/>
                <w:i/>
              </w:rPr>
              <w:t>;</w:t>
            </w:r>
            <w:r>
              <w:t xml:space="preserve"> </w:t>
            </w:r>
            <w:r>
              <w:rPr>
                <w:b/>
                <w:i/>
              </w:rPr>
              <w:t>verzoekt met name Servië te beginnen met het nakomen</w:t>
            </w:r>
            <w:r>
              <w:t xml:space="preserve"> van de </w:t>
            </w:r>
            <w:r>
              <w:rPr>
                <w:b/>
                <w:i/>
              </w:rPr>
              <w:t>gedane toezeggingen inzake de erkenning van documenten en symbolen, de deelname</w:t>
            </w:r>
            <w:r>
              <w:t xml:space="preserve"> van Kosovo </w:t>
            </w:r>
            <w:r>
              <w:rPr>
                <w:b/>
                <w:i/>
              </w:rPr>
              <w:t>aan</w:t>
            </w:r>
            <w:r>
              <w:t xml:space="preserve"> regionale en internationale organisaties </w:t>
            </w:r>
            <w:r>
              <w:rPr>
                <w:b/>
                <w:i/>
              </w:rPr>
              <w:t>niet te belemmeren</w:t>
            </w:r>
            <w:r>
              <w:t xml:space="preserve">, en af te zien van unilaterale acties die de dialoog </w:t>
            </w:r>
            <w:r>
              <w:rPr>
                <w:b/>
                <w:i/>
              </w:rPr>
              <w:t>ondermijnen;</w:t>
            </w:r>
            <w:r>
              <w:t xml:space="preserve"> </w:t>
            </w:r>
            <w:r>
              <w:rPr>
                <w:b/>
                <w:i/>
              </w:rPr>
              <w:t>benadrukt dat de wetgeving ter bescherming van de rechten van mensen die tot minderheidsgemeenschappen behoren, strikter moet worden toegepast, onder meer door te zorgen voor daadwerkelijke en ononderbroken toegang tot onderwijs, gezondheidszorg en openbare diensten, eerbiediging van taal- en eigendomsrechten, passende vertegenwoordiging in centrale en lokale overheden en bescherming van traditioneel, religieus en cultureel erfgoed</w:t>
            </w:r>
            <w:r>
              <w:t>;</w:t>
            </w:r>
          </w:p>
        </w:tc>
      </w:tr>
    </w:tbl>
    <w:p>
      <w:pPr>
        <w:pStyle w:val="AmOrLang"/>
      </w:pPr>
      <w:r>
        <w:t xml:space="preserve">Or. </w:t>
      </w:r>
      <w:r>
        <w:rPr>
          <w:rStyle w:val="HideTWBExt"/>
        </w:rPr>
        <w:t>&lt;Original&gt;</w:t>
      </w:r>
      <w:r>
        <w:rPr>
          <w:rStyle w:val="HideTWBInt"/>
        </w:rPr>
        <w:t>{RO}</w:t>
      </w:r>
      <w:r>
        <w:t>ro</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404</w:t>
      </w:r>
      <w:r>
        <w:rPr>
          <w:rStyle w:val="HideTWBExt"/>
        </w:rPr>
        <w:t>&lt;/NumAm&gt;</w:t>
      </w:r>
    </w:p>
    <w:p>
      <w:pPr>
        <w:pStyle w:val="NormalBold"/>
      </w:pPr>
      <w:r>
        <w:rPr>
          <w:rStyle w:val="HideTWBExt"/>
          <w:b w:val="0"/>
        </w:rPr>
        <w:t>&lt;RepeatBlock-By&gt;</w:t>
      </w:r>
      <w:r>
        <w:rPr>
          <w:rStyle w:val="HideTWBExt"/>
          <w:b w:val="0"/>
        </w:rPr>
        <w:t>&lt;Members&gt;</w:t>
      </w:r>
      <w:r>
        <w:t>Geadis Geadi, Emmanouil Fragkos, Galato Alexandraki, Nicolas Bay</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22.</w:t>
            </w:r>
            <w:r>
              <w:tab/>
            </w:r>
            <w:r>
              <w:t xml:space="preserve">wijst er nogmaals op dat een constructieve houding bij zowel de Kosovaarse als de Servische autoriteiten belangrijk is om tot een omvattende </w:t>
            </w:r>
            <w:r>
              <w:rPr>
                <w:b/>
                <w:i/>
              </w:rPr>
              <w:t>en</w:t>
            </w:r>
            <w:r>
              <w:t xml:space="preserve"> juridisch bindende normaliseringsovereenkomst te komen, </w:t>
            </w:r>
            <w:r>
              <w:rPr>
                <w:b/>
                <w:i/>
              </w:rPr>
              <w:t>gebaseerd op wederzijdse erkenning en</w:t>
            </w:r>
            <w:r>
              <w:t xml:space="preserve"> in overeenstemming met het internationaal recht; roept zowel Kosovo als Servië op om het Akkoord van Brussel en het Akkoord van Ohrid uit te voeren, hetgeen onder andere de oprichting van de vereniging van gemeenten met een Servische meerderheid inhoudt, </w:t>
            </w:r>
            <w:r>
              <w:rPr>
                <w:b/>
                <w:i/>
              </w:rPr>
              <w:t>alsook het staken van het verzet van Servië tegen het lidmaatschap van Kosovo van regionale en internationale organisaties,</w:t>
            </w:r>
            <w:r>
              <w:t xml:space="preserve"> en af te zien van unilaterale acties die de dialoog zouden kunnen verstoren;</w:t>
            </w:r>
          </w:p>
        </w:tc>
        <w:tc>
          <w:tcPr>
            <w:tcW w:w="4876" w:type="dxa"/>
            <w:tcBorders>
              <w:top w:val="nil"/>
              <w:left w:val="nil"/>
              <w:bottom w:val="nil"/>
              <w:right w:val="nil"/>
            </w:tcBorders>
          </w:tcPr>
          <w:p>
            <w:pPr>
              <w:pStyle w:val="Normal6a"/>
            </w:pPr>
            <w:r>
              <w:t>22.</w:t>
            </w:r>
            <w:r>
              <w:tab/>
            </w:r>
            <w:r>
              <w:t>wijst er nogmaals op dat een constructieve houding bij zowel de Kosovaarse als de Servische autoriteiten belangrijk is om tot een omvattende</w:t>
            </w:r>
            <w:r>
              <w:rPr>
                <w:b/>
                <w:i/>
              </w:rPr>
              <w:t>,</w:t>
            </w:r>
            <w:r>
              <w:t xml:space="preserve"> juridisch bindende normaliseringsovereenkomst te komen, in overeenstemming met het internationaal recht; roept zowel Kosovo als Servië op om het Akkoord van Brussel en het Akkoord van Ohrid uit te voeren, hetgeen onder andere de oprichting van de vereniging van gemeenten met een Servische meerderheid inhoudt, en af te zien van unilaterale acties die de dialoog zouden kunnen verstoren;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405</w:t>
      </w:r>
      <w:r>
        <w:rPr>
          <w:rStyle w:val="HideTWBExt"/>
        </w:rPr>
        <w:t>&lt;/NumAm&gt;</w:t>
      </w:r>
    </w:p>
    <w:p>
      <w:pPr>
        <w:pStyle w:val="NormalBold"/>
      </w:pPr>
      <w:r>
        <w:rPr>
          <w:rStyle w:val="HideTWBExt"/>
          <w:b w:val="0"/>
        </w:rPr>
        <w:t>&lt;RepeatBlock-By&gt;</w:t>
      </w:r>
      <w:r>
        <w:rPr>
          <w:rStyle w:val="HideTWBExt"/>
          <w:b w:val="0"/>
        </w:rPr>
        <w:t>&lt;Members&gt;</w:t>
      </w:r>
      <w:r>
        <w:t>Francisco José Millán Mon, Antonio López-Istúriz White, Gabriel Mato, Nicolás Pascual de la Parte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22.</w:t>
            </w:r>
            <w:r>
              <w:tab/>
            </w:r>
            <w:r>
              <w:t xml:space="preserve">wijst er nogmaals op dat een constructieve houding bij zowel de Kosovaarse als de Servische autoriteiten belangrijk is om tot een omvattende en juridisch bindende normaliseringsovereenkomst te komen, </w:t>
            </w:r>
            <w:r>
              <w:rPr>
                <w:b/>
                <w:i/>
              </w:rPr>
              <w:t>gebaseerd op wederzijdse erkenning en in overeenstemming met het internationaal recht</w:t>
            </w:r>
            <w:r>
              <w:t xml:space="preserve">; roept zowel Kosovo als Servië op om het Akkoord van Brussel en het Akkoord van Ohrid uit te voeren, hetgeen onder andere de oprichting van de vereniging van gemeenten met een Servische meerderheid inhoudt, </w:t>
            </w:r>
            <w:r>
              <w:rPr>
                <w:b/>
                <w:i/>
              </w:rPr>
              <w:t>alsook het staken van het verzet van Servië tegen het lidmaatschap van Kosovo van regionale en internationale organisaties,</w:t>
            </w:r>
            <w:r>
              <w:t xml:space="preserve"> en af te zien van unilaterale acties die de dialoog zouden kunnen verstoren;</w:t>
            </w:r>
          </w:p>
        </w:tc>
        <w:tc>
          <w:tcPr>
            <w:tcW w:w="4876" w:type="dxa"/>
            <w:tcBorders>
              <w:top w:val="nil"/>
              <w:left w:val="nil"/>
              <w:bottom w:val="nil"/>
              <w:right w:val="nil"/>
            </w:tcBorders>
          </w:tcPr>
          <w:p>
            <w:pPr>
              <w:pStyle w:val="Normal6a"/>
            </w:pPr>
            <w:r>
              <w:t>22.</w:t>
            </w:r>
            <w:r>
              <w:tab/>
            </w:r>
            <w:r>
              <w:t xml:space="preserve">wijst er nogmaals op dat een constructieve houding bij zowel de Kosovaarse als de Servische autoriteiten belangrijk is om tot een omvattende en juridisch bindende normaliseringsovereenkomst te komen, </w:t>
            </w:r>
            <w:r>
              <w:rPr>
                <w:b/>
                <w:i/>
              </w:rPr>
              <w:t>die aanvaardbaar is voor beide partijen</w:t>
            </w:r>
            <w:r>
              <w:t>; roept zowel Kosovo als Servië op om het Akkoord van Brussel en het Akkoord van Ohrid uit te voeren, hetgeen onder andere de oprichting van de vereniging van gemeenten met een Servische meerderheid inhoudt, en af te zien van unilaterale acties die de dialoog zouden kunnen verstoren;</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406</w:t>
      </w:r>
      <w:r>
        <w:rPr>
          <w:rStyle w:val="HideTWBExt"/>
        </w:rPr>
        <w:t>&lt;/NumAm&gt;</w:t>
      </w:r>
    </w:p>
    <w:p>
      <w:pPr>
        <w:pStyle w:val="NormalBold"/>
      </w:pPr>
      <w:r>
        <w:rPr>
          <w:rStyle w:val="HideTWBExt"/>
          <w:b w:val="0"/>
        </w:rPr>
        <w:t>&lt;RepeatBlock-By&gt;</w:t>
      </w:r>
      <w:r>
        <w:rPr>
          <w:rStyle w:val="HideTWBExt"/>
          <w:b w:val="0"/>
        </w:rPr>
        <w:t>&lt;Members&gt;</w:t>
      </w:r>
      <w:r>
        <w:t>Emmanouil Fragkos, Galato Alexandraki, Geadis Geadi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22.</w:t>
            </w:r>
            <w:r>
              <w:tab/>
            </w:r>
            <w:r>
              <w:t xml:space="preserve">wijst er nogmaals op dat een constructieve houding bij zowel de Kosovaarse als de Servische autoriteiten belangrijk is om tot een omvattende en juridisch bindende normaliseringsovereenkomst te komen, </w:t>
            </w:r>
            <w:r>
              <w:rPr>
                <w:b/>
                <w:i/>
              </w:rPr>
              <w:t>gebaseerd op wederzijdse erkenning en</w:t>
            </w:r>
            <w:r>
              <w:t xml:space="preserve"> in overeenstemming met het internationaal recht; roept zowel Kosovo als Servië op om het Akkoord van Brussel en het Akkoord van Ohrid uit te voeren, hetgeen onder andere de oprichting van de vereniging van gemeenten met een Servische meerderheid inhoudt, </w:t>
            </w:r>
            <w:r>
              <w:rPr>
                <w:b/>
                <w:i/>
              </w:rPr>
              <w:t>alsook het staken van het verzet van Servië tegen het lidmaatschap van Kosovo van regionale en internationale organisaties,</w:t>
            </w:r>
            <w:r>
              <w:t xml:space="preserve"> en af te zien van unilaterale acties die de dialoog zouden kunnen verstoren;</w:t>
            </w:r>
          </w:p>
        </w:tc>
        <w:tc>
          <w:tcPr>
            <w:tcW w:w="4876" w:type="dxa"/>
            <w:tcBorders>
              <w:top w:val="nil"/>
              <w:left w:val="nil"/>
              <w:bottom w:val="nil"/>
              <w:right w:val="nil"/>
            </w:tcBorders>
          </w:tcPr>
          <w:p>
            <w:pPr>
              <w:pStyle w:val="Normal6a"/>
            </w:pPr>
            <w:r>
              <w:t>22.</w:t>
            </w:r>
            <w:r>
              <w:tab/>
            </w:r>
            <w:r>
              <w:t>wijst er nogmaals op dat een constructieve houding bij zowel de Kosovaarse</w:t>
            </w:r>
            <w:r>
              <w:rPr>
                <w:b/>
                <w:i/>
              </w:rPr>
              <w:t>*</w:t>
            </w:r>
            <w:r>
              <w:t xml:space="preserve"> als de Servische autoriteiten belangrijk is om tot een omvattende en juridisch bindende normaliseringsovereenkomst te komen, in overeenstemming met het internationaal recht; roept zowel Kosovo als Servië op om het Akkoord van Brussel en het Akkoord van Ohrid uit te voeren, hetgeen onder andere de oprichting van de vereniging van gemeenten met een Servische meerderheid inhoudt, en af te zien van unilaterale acties die de dialoog zouden kunnen verstoren;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407</w:t>
      </w:r>
      <w:r>
        <w:rPr>
          <w:rStyle w:val="HideTWBExt"/>
        </w:rPr>
        <w:t>&lt;/NumAm&gt;</w:t>
      </w:r>
    </w:p>
    <w:p>
      <w:pPr>
        <w:pStyle w:val="NormalBold"/>
      </w:pPr>
      <w:r>
        <w:rPr>
          <w:rStyle w:val="HideTWBExt"/>
          <w:b w:val="0"/>
        </w:rPr>
        <w:t>&lt;RepeatBlock-By&gt;</w:t>
      </w:r>
      <w:r>
        <w:rPr>
          <w:rStyle w:val="HideTWBExt"/>
          <w:b w:val="0"/>
        </w:rPr>
        <w:t>&lt;Members&gt;</w:t>
      </w:r>
      <w:r>
        <w:t>Annamária Vicsek, Kinga Gál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22.</w:t>
            </w:r>
            <w:r>
              <w:tab/>
            </w:r>
            <w:r>
              <w:t xml:space="preserve">wijst er nogmaals op dat een constructieve houding bij zowel de Kosovaarse als de Servische autoriteiten belangrijk is om tot een omvattende en juridisch bindende normaliseringsovereenkomst te komen, </w:t>
            </w:r>
            <w:r>
              <w:rPr>
                <w:b/>
                <w:i/>
              </w:rPr>
              <w:t>gebaseerd op wederzijdse erkenning en</w:t>
            </w:r>
            <w:r>
              <w:t xml:space="preserve"> in overeenstemming met het internationaal recht; roept zowel Kosovo als Servië op om het Akkoord van Brussel en het Akkoord van Ohrid uit te voeren, hetgeen onder andere de oprichting van de vereniging van gemeenten met een Servische meerderheid inhoudt, alsook het staken van het verzet van Servië tegen het lidmaatschap van Kosovo van regionale en internationale organisaties, en af te zien van unilaterale acties die de dialoog zouden kunnen verstoren;</w:t>
            </w:r>
          </w:p>
        </w:tc>
        <w:tc>
          <w:tcPr>
            <w:tcW w:w="4876" w:type="dxa"/>
            <w:tcBorders>
              <w:top w:val="nil"/>
              <w:left w:val="nil"/>
              <w:bottom w:val="nil"/>
              <w:right w:val="nil"/>
            </w:tcBorders>
          </w:tcPr>
          <w:p>
            <w:pPr>
              <w:pStyle w:val="Normal6a"/>
            </w:pPr>
            <w:r>
              <w:t>22.</w:t>
            </w:r>
            <w:r>
              <w:tab/>
            </w:r>
            <w:r>
              <w:t>wijst er nogmaals op dat een constructieve houding bij zowel de Kosovaarse als de Servische autoriteiten belangrijk is om tot een omvattende en juridisch bindende normaliseringsovereenkomst te komen, in overeenstemming met het internationaal recht; roept zowel Kosovo als Servië op om het Akkoord van Brussel en het Akkoord van Ohrid uit te voeren, hetgeen onder andere de oprichting van de vereniging van gemeenten met een Servische meerderheid inhoudt, alsook het staken van het verzet van Servië tegen het lidmaatschap van Kosovo van regionale en internationale organisaties, en af te zien van unilaterale acties die de dialoog zouden kunnen verstoren;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408</w:t>
      </w:r>
      <w:r>
        <w:rPr>
          <w:rStyle w:val="HideTWBExt"/>
        </w:rPr>
        <w:t>&lt;/NumAm&gt;</w:t>
      </w:r>
    </w:p>
    <w:p>
      <w:pPr>
        <w:pStyle w:val="NormalBold"/>
      </w:pPr>
      <w:r>
        <w:rPr>
          <w:rStyle w:val="HideTWBExt"/>
          <w:b w:val="0"/>
        </w:rPr>
        <w:t>&lt;RepeatBlock-By&gt;</w:t>
      </w:r>
      <w:r>
        <w:rPr>
          <w:rStyle w:val="HideTWBExt"/>
          <w:b w:val="0"/>
        </w:rPr>
        <w:t>&lt;Members&gt;</w:t>
      </w:r>
      <w:r>
        <w:t>Vangelis Meimarakis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22.</w:t>
            </w:r>
            <w:r>
              <w:tab/>
            </w:r>
            <w:r>
              <w:t xml:space="preserve">wijst er nogmaals op dat een constructieve houding bij zowel de Kosovaarse als de Servische autoriteiten belangrijk is om tot een omvattende en juridisch bindende normaliseringsovereenkomst te komen, </w:t>
            </w:r>
            <w:r>
              <w:rPr>
                <w:b/>
                <w:i/>
              </w:rPr>
              <w:t>gebaseerd op wederzijdse erkenning en</w:t>
            </w:r>
            <w:r>
              <w:t xml:space="preserve"> in overeenstemming met het internationaal recht; roept zowel Kosovo als Servië op om het Akkoord van Brussel en het Akkoord van Ohrid uit te voeren, hetgeen onder andere de oprichting van de vereniging van gemeenten met een Servische meerderheid inhoudt, alsook het staken van het verzet van Servië tegen het lidmaatschap van Kosovo van regionale en internationale organisaties, en af te zien van unilaterale acties die de dialoog zouden kunnen verstoren;</w:t>
            </w:r>
          </w:p>
        </w:tc>
        <w:tc>
          <w:tcPr>
            <w:tcW w:w="4876" w:type="dxa"/>
            <w:tcBorders>
              <w:top w:val="nil"/>
              <w:left w:val="nil"/>
              <w:bottom w:val="nil"/>
              <w:right w:val="nil"/>
            </w:tcBorders>
          </w:tcPr>
          <w:p>
            <w:pPr>
              <w:pStyle w:val="Normal6a"/>
            </w:pPr>
            <w:r>
              <w:t>22.</w:t>
            </w:r>
            <w:r>
              <w:tab/>
            </w:r>
            <w:r>
              <w:t>wijst er nogmaals op dat een constructieve houding bij zowel de Kosovaarse als de Servische autoriteiten belangrijk is om tot een omvattende en juridisch bindende normaliseringsovereenkomst te komen, in overeenstemming met het internationaal recht; roept zowel Kosovo als Servië op om het Akkoord van Brussel en het Akkoord van Ohrid uit te voeren, hetgeen onder andere de oprichting van de vereniging van gemeenten met een Servische meerderheid inhoudt, alsook het staken van het verzet van Servië tegen het lidmaatschap van Kosovo van regionale en internationale organisaties, en af te zien van unilaterale acties die de dialoog zouden kunnen verstoren;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409</w:t>
      </w:r>
      <w:r>
        <w:rPr>
          <w:rStyle w:val="HideTWBExt"/>
        </w:rPr>
        <w:t>&lt;/NumAm&gt;</w:t>
      </w:r>
    </w:p>
    <w:p>
      <w:pPr>
        <w:pStyle w:val="NormalBold"/>
      </w:pPr>
      <w:r>
        <w:rPr>
          <w:rStyle w:val="HideTWBExt"/>
          <w:b w:val="0"/>
        </w:rPr>
        <w:t>&lt;RepeatBlock-By&gt;</w:t>
      </w:r>
      <w:r>
        <w:rPr>
          <w:rStyle w:val="HideTWBExt"/>
          <w:b w:val="0"/>
        </w:rPr>
        <w:t>&lt;Members&gt;</w:t>
      </w:r>
      <w:r>
        <w:t>Emmanouil Kefalogiannis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22.</w:t>
            </w:r>
            <w:r>
              <w:tab/>
            </w:r>
            <w:r>
              <w:t xml:space="preserve">wijst er nogmaals op dat een constructieve houding bij zowel de Kosovaarse als de Servische autoriteiten belangrijk is om tot een omvattende en juridisch bindende normaliseringsovereenkomst te komen, </w:t>
            </w:r>
            <w:r>
              <w:rPr>
                <w:b/>
                <w:i/>
              </w:rPr>
              <w:t>gebaseerd op wederzijdse erkenning en</w:t>
            </w:r>
            <w:r>
              <w:t xml:space="preserve"> in overeenstemming met het internationaal recht; roept zowel Kosovo als Servië op om het Akkoord van Brussel en het Akkoord van Ohrid uit te voeren, hetgeen onder andere de oprichting van de vereniging van gemeenten met een Servische meerderheid inhoudt, alsook het staken van het verzet van Servië tegen het lidmaatschap van Kosovo van regionale en internationale organisaties, en af te zien van unilaterale acties die de dialoog zouden kunnen verstoren;</w:t>
            </w:r>
          </w:p>
        </w:tc>
        <w:tc>
          <w:tcPr>
            <w:tcW w:w="4876" w:type="dxa"/>
            <w:tcBorders>
              <w:top w:val="nil"/>
              <w:left w:val="nil"/>
              <w:bottom w:val="nil"/>
              <w:right w:val="nil"/>
            </w:tcBorders>
          </w:tcPr>
          <w:p>
            <w:pPr>
              <w:pStyle w:val="Normal6a"/>
            </w:pPr>
            <w:r>
              <w:t>22.</w:t>
            </w:r>
            <w:r>
              <w:tab/>
            </w:r>
            <w:r>
              <w:t>wijst er nogmaals op dat een constructieve houding bij zowel de Kosovaarse als de Servische autoriteiten belangrijk is om tot een omvattende en juridisch bindende normaliseringsovereenkomst te komen, in overeenstemming met het internationaal recht; roept zowel Kosovo als Servië op om het Akkoord van Brussel en het Akkoord van Ohrid uit te voeren, hetgeen onder andere de oprichting van de vereniging van gemeenten met een Servische meerderheid inhoudt, alsook het staken van het verzet van Servië tegen het lidmaatschap van Kosovo van regionale en internationale organisaties, en af te zien van unilaterale acties die de dialoog zouden kunnen verstoren;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410</w:t>
      </w:r>
      <w:r>
        <w:rPr>
          <w:rStyle w:val="HideTWBExt"/>
        </w:rPr>
        <w:t>&lt;/NumAm&gt;</w:t>
      </w:r>
    </w:p>
    <w:p>
      <w:pPr>
        <w:pStyle w:val="NormalBold"/>
      </w:pPr>
      <w:r>
        <w:rPr>
          <w:rStyle w:val="HideTWBExt"/>
          <w:b w:val="0"/>
        </w:rPr>
        <w:t>&lt;RepeatBlock-By&gt;</w:t>
      </w:r>
      <w:r>
        <w:rPr>
          <w:rStyle w:val="HideTWBExt"/>
          <w:b w:val="0"/>
        </w:rPr>
        <w:t>&lt;Members&gt;</w:t>
      </w:r>
      <w:r>
        <w:t>Rasa Juknevičienė, Miriam Lexmann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22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22 bis.</w:t>
            </w:r>
            <w:r>
              <w:tab/>
            </w:r>
            <w:r>
              <w:rPr>
                <w:b/>
                <w:i/>
              </w:rPr>
              <w:t>verzoekt de gerechtelijke autoriteiten in Servië ervoor te zorgen dat in gevallen van oorlogsmisdaden aan de normen voor een eerlijk proces wordt voldaan en gerechtigheid voor slachtoffers wordt bewerkstelligd;</w:t>
            </w:r>
            <w:r>
              <w:t xml:space="preserve"> </w:t>
            </w:r>
            <w:r>
              <w:rPr>
                <w:b/>
                <w:i/>
              </w:rPr>
              <w:t>pleit ervoor om ontkenning van oorlogsmisdaden en verheerlijking van oorlogsmisdadigers op te nemen in het wetboek van strafrecht zodat elke vorm van ontkenning van oorlogsmisdaden, zoals bepaald door de vonnissen van het Internationaal Straftribunaal voor het voormalige Joegoslavië en het Internationaal Gerechtshof, kan worden vervolgd;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411</w:t>
      </w:r>
      <w:r>
        <w:rPr>
          <w:rStyle w:val="HideTWBExt"/>
        </w:rPr>
        <w:t>&lt;/NumAm&gt;</w:t>
      </w:r>
    </w:p>
    <w:p>
      <w:pPr>
        <w:pStyle w:val="NormalBold"/>
      </w:pPr>
      <w:r>
        <w:rPr>
          <w:rStyle w:val="HideTWBExt"/>
          <w:b w:val="0"/>
        </w:rPr>
        <w:t>&lt;RepeatBlock-By&gt;</w:t>
      </w:r>
      <w:r>
        <w:rPr>
          <w:rStyle w:val="HideTWBExt"/>
          <w:b w:val="0"/>
        </w:rPr>
        <w:t>&lt;Members&gt;</w:t>
      </w:r>
      <w:r>
        <w:t>Andrey Kovatchev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22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22 bis.</w:t>
            </w:r>
            <w:r>
              <w:tab/>
            </w:r>
            <w:r>
              <w:rPr>
                <w:b/>
                <w:i/>
              </w:rPr>
              <w:t>betreurt het feit dat Servië blijft proberen zijn buurland Kosovo van het internationale toneel te isoleren door campagne te voeren tegen zijn erkenning of door het land van internationale organisaties uit te sluiten;</w:t>
            </w:r>
            <w:r>
              <w:t xml:space="preserve"> </w:t>
            </w:r>
            <w:r>
              <w:rPr>
                <w:b/>
                <w:i/>
              </w:rPr>
              <w:t>verzoekt Servië het verzoek van Kosovo om lid te worden van de Raad van Europa niet langer te blokkeren, aangezien dat in strijd is met de overeenkomst tussen Kosovo en Servië van 2013 over de normalisering van de betrekkingen;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412</w:t>
      </w:r>
      <w:r>
        <w:rPr>
          <w:rStyle w:val="HideTWBExt"/>
        </w:rPr>
        <w:t>&lt;/NumAm&gt;</w:t>
      </w:r>
    </w:p>
    <w:p>
      <w:pPr>
        <w:pStyle w:val="NormalBold"/>
      </w:pPr>
      <w:r>
        <w:rPr>
          <w:rStyle w:val="HideTWBExt"/>
          <w:b w:val="0"/>
        </w:rPr>
        <w:t>&lt;RepeatBlock-By&gt;</w:t>
      </w:r>
      <w:r>
        <w:rPr>
          <w:rStyle w:val="HideTWBExt"/>
          <w:b w:val="0"/>
        </w:rPr>
        <w:t>&lt;Members&gt;</w:t>
      </w:r>
      <w:r>
        <w:t>Tonino Picula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22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22 bis.</w:t>
            </w:r>
            <w:r>
              <w:tab/>
            </w:r>
            <w:r>
              <w:rPr>
                <w:b/>
                <w:i/>
              </w:rPr>
              <w:t>veroordeelt de herhaalde negatieve, agressieve en chauvinistische retoriek van de Servische politieke leiders ten aanzien van buurlanden, wat de inspanningen voor goede nabuurschapsbetrekkingen ondermijnt;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413</w:t>
      </w:r>
      <w:r>
        <w:rPr>
          <w:rStyle w:val="HideTWBExt"/>
        </w:rPr>
        <w:t>&lt;/NumAm&gt;</w:t>
      </w:r>
    </w:p>
    <w:p>
      <w:pPr>
        <w:pStyle w:val="NormalBold"/>
      </w:pPr>
      <w:r>
        <w:rPr>
          <w:rStyle w:val="HideTWBExt"/>
          <w:b w:val="0"/>
        </w:rPr>
        <w:t>&lt;RepeatBlock-By&gt;</w:t>
      </w:r>
      <w:r>
        <w:rPr>
          <w:rStyle w:val="HideTWBExt"/>
          <w:b w:val="0"/>
        </w:rPr>
        <w:t>&lt;Members&gt;</w:t>
      </w:r>
      <w:r>
        <w:t>Tonino Picula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22 ter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22 ter.</w:t>
            </w:r>
            <w:r>
              <w:tab/>
            </w:r>
            <w:r>
              <w:rPr>
                <w:b/>
                <w:i/>
              </w:rPr>
              <w:t>onderstreept dat Europese integratie niet hand in hand kan gaan met het concept van de Servische wereld (Srpski svet), dat tot doel heeft de vrede en stabiliteit in de regio te ondermijnen;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414</w:t>
      </w:r>
      <w:r>
        <w:rPr>
          <w:rStyle w:val="HideTWBExt"/>
        </w:rPr>
        <w:t>&lt;/NumAm&gt;</w:t>
      </w:r>
    </w:p>
    <w:p>
      <w:pPr>
        <w:pStyle w:val="NormalBold"/>
      </w:pPr>
      <w:r>
        <w:rPr>
          <w:rStyle w:val="HideTWBExt"/>
          <w:b w:val="0"/>
        </w:rPr>
        <w:t>&lt;RepeatBlock-By&gt;</w:t>
      </w:r>
      <w:r>
        <w:rPr>
          <w:rStyle w:val="HideTWBExt"/>
          <w:b w:val="0"/>
        </w:rPr>
        <w:t>&lt;Members&gt;</w:t>
      </w:r>
      <w:r>
        <w:t>Tonino Picula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22 quater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22 quater.</w:t>
            </w:r>
            <w:r>
              <w:tab/>
            </w:r>
            <w:r>
              <w:rPr>
                <w:b/>
                <w:i/>
              </w:rPr>
              <w:t>spreekt zich met klem uit tegen de recente aankoop door Servië van Chinese ballistische lucht-grondraketten CM-400AKG, wat de regionale stabiliteit ondermijnt en de spanningen doet toenemen;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415</w:t>
      </w:r>
      <w:r>
        <w:rPr>
          <w:rStyle w:val="HideTWBExt"/>
        </w:rPr>
        <w:t>&lt;/NumAm&gt;</w:t>
      </w:r>
    </w:p>
    <w:p>
      <w:pPr>
        <w:pStyle w:val="NormalBold"/>
      </w:pPr>
      <w:r>
        <w:rPr>
          <w:rStyle w:val="HideTWBExt"/>
          <w:b w:val="0"/>
        </w:rPr>
        <w:t>&lt;RepeatBlock-By&gt;</w:t>
      </w:r>
      <w:r>
        <w:rPr>
          <w:rStyle w:val="HideTWBExt"/>
          <w:b w:val="0"/>
        </w:rPr>
        <w:t>&lt;Members&gt;</w:t>
      </w:r>
      <w:r>
        <w:t>Davor Ivo Stier, Andrey Kovatchev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23.</w:t>
            </w:r>
            <w:r>
              <w:tab/>
            </w:r>
            <w:r>
              <w:t>verzoekt Servië de ontkenning van oorlogsmisdaden en historisch revisionisme actiever aan te pakken, met name ten aanzien van de oorlogen in Kroatië, Bosnië en Herzegovina, en Kosovo;</w:t>
            </w:r>
          </w:p>
        </w:tc>
        <w:tc>
          <w:tcPr>
            <w:tcW w:w="4876" w:type="dxa"/>
            <w:tcBorders>
              <w:top w:val="nil"/>
              <w:left w:val="nil"/>
              <w:bottom w:val="nil"/>
              <w:right w:val="nil"/>
            </w:tcBorders>
          </w:tcPr>
          <w:p>
            <w:pPr>
              <w:pStyle w:val="Normal6a"/>
            </w:pPr>
            <w:r>
              <w:t>23.</w:t>
            </w:r>
            <w:r>
              <w:tab/>
            </w:r>
            <w:r>
              <w:t xml:space="preserve">verzoekt Servië de ontkenning van oorlogsmisdaden en historisch revisionisme actiever aan te pakken, met name ten aanzien van de oorlogen in Kroatië, Bosnië en Herzegovina, en Kosovo; </w:t>
            </w:r>
            <w:r>
              <w:rPr>
                <w:b/>
                <w:i/>
              </w:rPr>
              <w:t>roept de Servische autoriteiten op om gerechtigheid voor de slachtoffers te verwezenlijken door de gerechtelijke uitspraken inzake oorlogsmisdaden te erkennen en te eerbiedigen, tegen de straffeloosheid ten aanzien van oorlogsmisdaden te strijden, gevallen van vermiste personen te onderzoeken, locaties met graven te onderzoeken en binnenlandse openbaar aanklagers te steunen bij hun inspanningen om daders voor het gerecht te brengen;</w:t>
            </w:r>
            <w:r>
              <w:t xml:space="preserve"> </w:t>
            </w:r>
            <w:r>
              <w:rPr>
                <w:b/>
                <w:i/>
              </w:rPr>
              <w:t>spreekt zich met klem uit tegen de wijdverbreide publieke ontkenning van internationale vonnissen inzake oorlogsmisdaden, waaronder de ontkenning van de genocide in Srebrenica;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416</w:t>
      </w:r>
      <w:r>
        <w:rPr>
          <w:rStyle w:val="HideTWBExt"/>
        </w:rPr>
        <w:t>&lt;/NumAm&gt;</w:t>
      </w:r>
    </w:p>
    <w:p>
      <w:pPr>
        <w:pStyle w:val="NormalBold"/>
      </w:pPr>
      <w:r>
        <w:rPr>
          <w:rStyle w:val="HideTWBExt"/>
          <w:b w:val="0"/>
        </w:rPr>
        <w:t>&lt;RepeatBlock-By&gt;</w:t>
      </w:r>
      <w:r>
        <w:rPr>
          <w:rStyle w:val="HideTWBExt"/>
          <w:b w:val="0"/>
        </w:rPr>
        <w:t>&lt;Members&gt;</w:t>
      </w:r>
      <w:r>
        <w:t>Vladimir Prebilič</w:t>
      </w:r>
      <w:r>
        <w:rPr>
          <w:rStyle w:val="HideTWBExt"/>
          <w:b w:val="0"/>
        </w:rPr>
        <w:t>&lt;/Members&gt;</w:t>
      </w:r>
    </w:p>
    <w:p>
      <w:r>
        <w:rPr>
          <w:rStyle w:val="HideTWBExt"/>
          <w:b w:val="0"/>
        </w:rPr>
        <w:t>&lt;AuNomDe&gt;</w:t>
      </w:r>
      <w:r>
        <w:rPr>
          <w:rStyle w:val="HideTWBInt"/>
        </w:rPr>
        <w:t>{Verts/ALE}</w:t>
      </w:r>
      <w:r>
        <w:t>namens de Verts/ALE-Fractie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23.</w:t>
            </w:r>
            <w:r>
              <w:tab/>
            </w:r>
            <w:r>
              <w:t>verzoekt Servië de ontkenning van oorlogsmisdaden en historisch revisionisme actiever aan te pakken, met name ten aanzien van de oorlogen in Kroatië, Bosnië en Herzegovina, en Kosovo;</w:t>
            </w:r>
          </w:p>
        </w:tc>
        <w:tc>
          <w:tcPr>
            <w:tcW w:w="4876" w:type="dxa"/>
            <w:tcBorders>
              <w:top w:val="nil"/>
              <w:left w:val="nil"/>
              <w:bottom w:val="nil"/>
              <w:right w:val="nil"/>
            </w:tcBorders>
          </w:tcPr>
          <w:p>
            <w:pPr>
              <w:pStyle w:val="Normal6a"/>
            </w:pPr>
            <w:r>
              <w:t>23.</w:t>
            </w:r>
            <w:r>
              <w:tab/>
            </w:r>
            <w:r>
              <w:t xml:space="preserve">verzoekt Servië de ontkenning van oorlogsmisdaden en historisch revisionisme actiever aan te pakken, met name ten aanzien van de oorlogen in Kroatië, Bosnië en Herzegovina, en Kosovo; </w:t>
            </w:r>
            <w:r>
              <w:rPr>
                <w:b/>
                <w:i/>
              </w:rPr>
              <w:t>verzoekt politieke leiders en overheidsinstanties in Servië zich te onthouden van campagnes die buurlanden en -volkeren in diskrediet brengen, onder meer door opruiende retoriek, en dergelijke campagnes te veroordelen, en benadrukt dat dergelijke acties de regionale verzoening ondermijnen;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417</w:t>
      </w:r>
      <w:r>
        <w:rPr>
          <w:rStyle w:val="HideTWBExt"/>
        </w:rPr>
        <w:t>&lt;/NumAm&gt;</w:t>
      </w:r>
    </w:p>
    <w:p>
      <w:pPr>
        <w:pStyle w:val="NormalBold"/>
      </w:pPr>
      <w:r>
        <w:rPr>
          <w:rStyle w:val="HideTWBExt"/>
          <w:b w:val="0"/>
        </w:rPr>
        <w:t>&lt;RepeatBlock-By&gt;</w:t>
      </w:r>
      <w:r>
        <w:rPr>
          <w:rStyle w:val="HideTWBExt"/>
          <w:b w:val="0"/>
        </w:rPr>
        <w:t>&lt;Members&gt;</w:t>
      </w:r>
      <w:r>
        <w:t>Tonino Picula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23.</w:t>
            </w:r>
            <w:r>
              <w:tab/>
            </w:r>
            <w:r>
              <w:t>verzoekt Servië de ontkenning van oorlogsmisdaden en historisch revisionisme actiever aan te pakken, met name ten aanzien van de oorlogen in Kroatië, Bosnië en Herzegovina, en Kosovo;</w:t>
            </w:r>
          </w:p>
        </w:tc>
        <w:tc>
          <w:tcPr>
            <w:tcW w:w="4876" w:type="dxa"/>
            <w:tcBorders>
              <w:top w:val="nil"/>
              <w:left w:val="nil"/>
              <w:bottom w:val="nil"/>
              <w:right w:val="nil"/>
            </w:tcBorders>
          </w:tcPr>
          <w:p>
            <w:pPr>
              <w:pStyle w:val="Normal6a"/>
            </w:pPr>
            <w:r>
              <w:t>23.</w:t>
            </w:r>
            <w:r>
              <w:tab/>
            </w:r>
            <w:r>
              <w:t xml:space="preserve">verzoekt Servië de ontkenning van oorlogsmisdaden en historisch revisionisme actiever aan te pakken, met name ten aanzien van de oorlogen in Kroatië, Bosnië en Herzegovina, en Kosovo; </w:t>
            </w:r>
            <w:r>
              <w:rPr>
                <w:b/>
                <w:i/>
              </w:rPr>
              <w:t>roept de Servische autoriteiten op om gerechtigheid voor de slachtoffers te verwezenlijken door de gerechtelijke uitspraken inzake oorlogsmisdaden te erkennen en te eerbiedigen, tegen de straffeloosheid ten aanzien van oorlogsmisdaden te strijden en binnenlandse openbaar aanklagers te steunen bij hun inspanningen om daders voor het gerecht te brengen;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418</w:t>
      </w:r>
      <w:r>
        <w:rPr>
          <w:rStyle w:val="HideTWBExt"/>
        </w:rPr>
        <w:t>&lt;/NumAm&gt;</w:t>
      </w:r>
    </w:p>
    <w:p>
      <w:pPr>
        <w:pStyle w:val="NormalBold"/>
      </w:pPr>
      <w:r>
        <w:rPr>
          <w:rStyle w:val="HideTWBExt"/>
          <w:b w:val="0"/>
        </w:rPr>
        <w:t>&lt;RepeatBlock-By&gt;</w:t>
      </w:r>
      <w:r>
        <w:rPr>
          <w:rStyle w:val="HideTWBExt"/>
          <w:b w:val="0"/>
        </w:rPr>
        <w:t>&lt;Members&gt;</w:t>
      </w:r>
      <w:r>
        <w:t>Hans Neuhoff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23.</w:t>
            </w:r>
            <w:r>
              <w:tab/>
            </w:r>
            <w:r>
              <w:rPr>
                <w:b/>
                <w:i/>
              </w:rPr>
              <w:t>verzoekt</w:t>
            </w:r>
            <w:r>
              <w:t xml:space="preserve"> Servië </w:t>
            </w:r>
            <w:r>
              <w:rPr>
                <w:b/>
                <w:i/>
              </w:rPr>
              <w:t>de ontkenning van oorlogsmisdaden en</w:t>
            </w:r>
            <w:r>
              <w:t xml:space="preserve"> historisch </w:t>
            </w:r>
            <w:r>
              <w:rPr>
                <w:b/>
                <w:i/>
              </w:rPr>
              <w:t>revisionisme actiever aan te pakken, met name ten aanzien van de oorlogen in Kroatië, Bosnië en Herzegovina, en Kosovo</w:t>
            </w:r>
            <w:r>
              <w:t>;</w:t>
            </w:r>
          </w:p>
        </w:tc>
        <w:tc>
          <w:tcPr>
            <w:tcW w:w="4876" w:type="dxa"/>
            <w:tcBorders>
              <w:top w:val="nil"/>
              <w:left w:val="nil"/>
              <w:bottom w:val="nil"/>
              <w:right w:val="nil"/>
            </w:tcBorders>
          </w:tcPr>
          <w:p>
            <w:pPr>
              <w:pStyle w:val="Normal6a"/>
            </w:pPr>
            <w:r>
              <w:t>23.</w:t>
            </w:r>
            <w:r>
              <w:tab/>
            </w:r>
            <w:r>
              <w:rPr>
                <w:b/>
                <w:i/>
              </w:rPr>
              <w:t>moedigt</w:t>
            </w:r>
            <w:r>
              <w:t xml:space="preserve"> Servië </w:t>
            </w:r>
            <w:r>
              <w:rPr>
                <w:b/>
                <w:i/>
              </w:rPr>
              <w:t>aan zich te blijven inzetten voor regionale verzoeningsprocessen op basis van wederzijds respect en feitelijk</w:t>
            </w:r>
            <w:r>
              <w:t xml:space="preserve"> historisch </w:t>
            </w:r>
            <w:r>
              <w:rPr>
                <w:b/>
                <w:i/>
              </w:rPr>
              <w:t>onderzoek;</w:t>
            </w:r>
            <w:r>
              <w:t xml:space="preserve"> </w:t>
            </w:r>
            <w:r>
              <w:rPr>
                <w:b/>
                <w:i/>
              </w:rPr>
              <w:t>benadrukt dat de interpretatie van historische gebeurtenissen een kwestie is van voortdurend wetenschappelijk en maatschappelijk debat in alle getroffen samenlevingen, en dat verzoening het best wordt gediend door een inclusieve, niet-prescriptieve dialoog in plaats van door externe mandaten</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419</w:t>
      </w:r>
      <w:r>
        <w:rPr>
          <w:rStyle w:val="HideTWBExt"/>
        </w:rPr>
        <w:t>&lt;/NumAm&gt;</w:t>
      </w:r>
    </w:p>
    <w:p>
      <w:pPr>
        <w:pStyle w:val="NormalBold"/>
      </w:pPr>
      <w:r>
        <w:rPr>
          <w:rStyle w:val="HideTWBExt"/>
          <w:b w:val="0"/>
        </w:rPr>
        <w:t>&lt;RepeatBlock-By&gt;</w:t>
      </w:r>
      <w:r>
        <w:rPr>
          <w:rStyle w:val="HideTWBExt"/>
          <w:b w:val="0"/>
        </w:rPr>
        <w:t>&lt;Members&gt;</w:t>
      </w:r>
      <w:r>
        <w:t>Vangelis Meimarakis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23.</w:t>
            </w:r>
            <w:r>
              <w:tab/>
            </w:r>
            <w:r>
              <w:t xml:space="preserve">verzoekt Servië de ontkenning van oorlogsmisdaden </w:t>
            </w:r>
            <w:r>
              <w:rPr>
                <w:b/>
                <w:i/>
              </w:rPr>
              <w:t>en historisch revisionisme</w:t>
            </w:r>
            <w:r>
              <w:t xml:space="preserve"> actiever aan te pakken</w:t>
            </w:r>
            <w:r>
              <w:rPr>
                <w:b/>
                <w:i/>
              </w:rPr>
              <w:t>, met name ten aanzien van de oorlogen in Kroatië, Bosnië en Herzegovina, en Kosovo</w:t>
            </w:r>
            <w:r>
              <w:t>;</w:t>
            </w:r>
          </w:p>
        </w:tc>
        <w:tc>
          <w:tcPr>
            <w:tcW w:w="4876" w:type="dxa"/>
            <w:tcBorders>
              <w:top w:val="nil"/>
              <w:left w:val="nil"/>
              <w:bottom w:val="nil"/>
              <w:right w:val="nil"/>
            </w:tcBorders>
          </w:tcPr>
          <w:p>
            <w:pPr>
              <w:pStyle w:val="Normal6a"/>
            </w:pPr>
            <w:r>
              <w:t>23.</w:t>
            </w:r>
            <w:r>
              <w:tab/>
            </w:r>
            <w:r>
              <w:t>verzoekt Servië de ontkenning van oorlogsmisdaden actiever aan te pakken;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420</w:t>
      </w:r>
      <w:r>
        <w:rPr>
          <w:rStyle w:val="HideTWBExt"/>
        </w:rPr>
        <w:t>&lt;/NumAm&gt;</w:t>
      </w:r>
    </w:p>
    <w:p>
      <w:pPr>
        <w:pStyle w:val="NormalBold"/>
      </w:pPr>
      <w:r>
        <w:rPr>
          <w:rStyle w:val="HideTWBExt"/>
          <w:b w:val="0"/>
        </w:rPr>
        <w:t>&lt;RepeatBlock-By&gt;</w:t>
      </w:r>
      <w:r>
        <w:rPr>
          <w:rStyle w:val="HideTWBExt"/>
          <w:b w:val="0"/>
        </w:rPr>
        <w:t>&lt;Members&gt;</w:t>
      </w:r>
      <w:r>
        <w:t>Emmanouil Kefalogiannis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23.</w:t>
            </w:r>
            <w:r>
              <w:tab/>
            </w:r>
            <w:r>
              <w:t xml:space="preserve">verzoekt Servië de ontkenning van oorlogsmisdaden </w:t>
            </w:r>
            <w:r>
              <w:rPr>
                <w:b/>
                <w:i/>
              </w:rPr>
              <w:t>en historisch revisionisme</w:t>
            </w:r>
            <w:r>
              <w:t xml:space="preserve"> actiever aan te pakken</w:t>
            </w:r>
            <w:r>
              <w:rPr>
                <w:b/>
                <w:i/>
              </w:rPr>
              <w:t>, met name ten aanzien van de oorlogen in Kroatië, Bosnië en Herzegovina, en Kosovo</w:t>
            </w:r>
            <w:r>
              <w:t>;</w:t>
            </w:r>
          </w:p>
        </w:tc>
        <w:tc>
          <w:tcPr>
            <w:tcW w:w="4876" w:type="dxa"/>
            <w:tcBorders>
              <w:top w:val="nil"/>
              <w:left w:val="nil"/>
              <w:bottom w:val="nil"/>
              <w:right w:val="nil"/>
            </w:tcBorders>
          </w:tcPr>
          <w:p>
            <w:pPr>
              <w:pStyle w:val="Normal6a"/>
            </w:pPr>
            <w:r>
              <w:t>23.</w:t>
            </w:r>
            <w:r>
              <w:tab/>
            </w:r>
            <w:r>
              <w:t>verzoekt Servië de ontkenning van oorlogsmisdaden actiever aan te pakken;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421</w:t>
      </w:r>
      <w:r>
        <w:rPr>
          <w:rStyle w:val="HideTWBExt"/>
        </w:rPr>
        <w:t>&lt;/NumAm&gt;</w:t>
      </w:r>
    </w:p>
    <w:p>
      <w:pPr>
        <w:pStyle w:val="NormalBold"/>
      </w:pPr>
      <w:r>
        <w:rPr>
          <w:rStyle w:val="HideTWBExt"/>
          <w:b w:val="0"/>
        </w:rPr>
        <w:t>&lt;RepeatBlock-By&gt;</w:t>
      </w:r>
      <w:r>
        <w:rPr>
          <w:rStyle w:val="HideTWBExt"/>
          <w:b w:val="0"/>
        </w:rPr>
        <w:t>&lt;Members&gt;</w:t>
      </w:r>
      <w:r>
        <w:t>Annamária Vicsek, Kinga Gál, António Tânger Corrêa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23.</w:t>
            </w:r>
            <w:r>
              <w:tab/>
            </w:r>
            <w:r>
              <w:t xml:space="preserve">verzoekt Servië </w:t>
            </w:r>
            <w:r>
              <w:rPr>
                <w:b/>
                <w:i/>
              </w:rPr>
              <w:t>de ontkenning van</w:t>
            </w:r>
            <w:r>
              <w:t xml:space="preserve"> oorlogsmisdaden </w:t>
            </w:r>
            <w:r>
              <w:rPr>
                <w:b/>
                <w:i/>
              </w:rPr>
              <w:t>en historisch revisionisme</w:t>
            </w:r>
            <w:r>
              <w:t xml:space="preserve"> actiever </w:t>
            </w:r>
            <w:r>
              <w:rPr>
                <w:b/>
                <w:i/>
              </w:rPr>
              <w:t>aan te pakken,</w:t>
            </w:r>
            <w:r>
              <w:t xml:space="preserve"> met name ten aanzien van de oorlogen in Kroatië, Bosnië en Herzegovina, en Kosovo;</w:t>
            </w:r>
          </w:p>
        </w:tc>
        <w:tc>
          <w:tcPr>
            <w:tcW w:w="4876" w:type="dxa"/>
            <w:tcBorders>
              <w:top w:val="nil"/>
              <w:left w:val="nil"/>
              <w:bottom w:val="nil"/>
              <w:right w:val="nil"/>
            </w:tcBorders>
          </w:tcPr>
          <w:p>
            <w:pPr>
              <w:pStyle w:val="Normal6a"/>
            </w:pPr>
            <w:r>
              <w:t>23.</w:t>
            </w:r>
            <w:r>
              <w:tab/>
            </w:r>
            <w:r>
              <w:t xml:space="preserve">verzoekt Servië oorlogsmisdaden actiever </w:t>
            </w:r>
            <w:r>
              <w:rPr>
                <w:b/>
                <w:i/>
              </w:rPr>
              <w:t>te onderzoeken en te vervolgen ― wat ook verwacht wordt van alle andere partners in de regio ―</w:t>
            </w:r>
            <w:r>
              <w:t xml:space="preserve"> met name ten aanzien van de oorlogen in Kroatië, Bosnië en Herzegovina, en Kosovo;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422</w:t>
      </w:r>
      <w:r>
        <w:rPr>
          <w:rStyle w:val="HideTWBExt"/>
        </w:rPr>
        <w:t>&lt;/NumAm&gt;</w:t>
      </w:r>
    </w:p>
    <w:p>
      <w:pPr>
        <w:pStyle w:val="NormalBold"/>
      </w:pPr>
      <w:r>
        <w:rPr>
          <w:rStyle w:val="HideTWBExt"/>
          <w:b w:val="0"/>
        </w:rPr>
        <w:t>&lt;RepeatBlock-By&gt;</w:t>
      </w:r>
      <w:r>
        <w:rPr>
          <w:rStyle w:val="HideTWBExt"/>
          <w:b w:val="0"/>
        </w:rPr>
        <w:t>&lt;Members&gt;</w:t>
      </w:r>
      <w:r>
        <w:t>Emmanouil Fragkos, Galato Alexandraki, Geadis Geadi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23.</w:t>
            </w:r>
            <w:r>
              <w:tab/>
            </w:r>
            <w:r>
              <w:t xml:space="preserve">verzoekt Servië </w:t>
            </w:r>
            <w:r>
              <w:rPr>
                <w:b/>
                <w:i/>
              </w:rPr>
              <w:t>de ontkenning van</w:t>
            </w:r>
            <w:r>
              <w:t xml:space="preserve"> oorlogsmisdaden </w:t>
            </w:r>
            <w:r>
              <w:rPr>
                <w:b/>
                <w:i/>
              </w:rPr>
              <w:t>en historisch revisionisme</w:t>
            </w:r>
            <w:r>
              <w:t xml:space="preserve"> actiever </w:t>
            </w:r>
            <w:r>
              <w:rPr>
                <w:b/>
                <w:i/>
              </w:rPr>
              <w:t>aan te pakken,</w:t>
            </w:r>
            <w:r>
              <w:t xml:space="preserve"> met name ten aanzien van de oorlogen in Kroatië, Bosnië en Herzegovina, en Kosovo;</w:t>
            </w:r>
          </w:p>
        </w:tc>
        <w:tc>
          <w:tcPr>
            <w:tcW w:w="4876" w:type="dxa"/>
            <w:tcBorders>
              <w:top w:val="nil"/>
              <w:left w:val="nil"/>
              <w:bottom w:val="nil"/>
              <w:right w:val="nil"/>
            </w:tcBorders>
          </w:tcPr>
          <w:p>
            <w:pPr>
              <w:pStyle w:val="Normal6a"/>
            </w:pPr>
            <w:r>
              <w:t>23.</w:t>
            </w:r>
            <w:r>
              <w:tab/>
            </w:r>
            <w:r>
              <w:t xml:space="preserve">verzoekt Servië oorlogsmisdaden actiever </w:t>
            </w:r>
            <w:r>
              <w:rPr>
                <w:b/>
                <w:i/>
              </w:rPr>
              <w:t>te onderzoeken en te vervolgen ― wat ook verwacht wordt van alle genoemde partners ―</w:t>
            </w:r>
            <w:r>
              <w:t xml:space="preserve"> met name ten aanzien van de oorlogen in Kroatië, Bosnië en Herzegovina, en Kosovo;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423</w:t>
      </w:r>
      <w:r>
        <w:rPr>
          <w:rStyle w:val="HideTWBExt"/>
        </w:rPr>
        <w:t>&lt;/NumAm&gt;</w:t>
      </w:r>
    </w:p>
    <w:p>
      <w:pPr>
        <w:pStyle w:val="NormalBold"/>
      </w:pPr>
      <w:r>
        <w:rPr>
          <w:rStyle w:val="HideTWBExt"/>
          <w:b w:val="0"/>
        </w:rPr>
        <w:t>&lt;RepeatBlock-By&gt;</w:t>
      </w:r>
      <w:r>
        <w:rPr>
          <w:rStyle w:val="HideTWBExt"/>
          <w:b w:val="0"/>
        </w:rPr>
        <w:t>&lt;Members&gt;</w:t>
      </w:r>
      <w:r>
        <w:t>Emmanouil Fragkos, Galato Alexandraki, Geadis Geadi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23.</w:t>
            </w:r>
            <w:r>
              <w:tab/>
            </w:r>
            <w:r>
              <w:t xml:space="preserve">verzoekt Servië de ontkenning van oorlogsmisdaden </w:t>
            </w:r>
            <w:r>
              <w:rPr>
                <w:b/>
                <w:i/>
              </w:rPr>
              <w:t>en historisch revisionisme</w:t>
            </w:r>
            <w:r>
              <w:t xml:space="preserve"> actiever aan te pakken</w:t>
            </w:r>
            <w:r>
              <w:rPr>
                <w:b/>
                <w:i/>
              </w:rPr>
              <w:t>, met name ten aanzien van de oorlogen in Kroatië, Bosnië en Herzegovina, en Kosovo;</w:t>
            </w:r>
          </w:p>
        </w:tc>
        <w:tc>
          <w:tcPr>
            <w:tcW w:w="4876" w:type="dxa"/>
            <w:tcBorders>
              <w:top w:val="nil"/>
              <w:left w:val="nil"/>
              <w:bottom w:val="nil"/>
              <w:right w:val="nil"/>
            </w:tcBorders>
          </w:tcPr>
          <w:p>
            <w:pPr>
              <w:pStyle w:val="Normal6a"/>
            </w:pPr>
            <w:r>
              <w:t>23.</w:t>
            </w:r>
            <w:r>
              <w:tab/>
            </w:r>
            <w:r>
              <w:t xml:space="preserve">verzoekt Servië </w:t>
            </w:r>
            <w:r>
              <w:rPr>
                <w:b/>
                <w:i/>
              </w:rPr>
              <w:t>om, samen met alle landen van de Westelijke Balkan,</w:t>
            </w:r>
            <w:r>
              <w:t> de ontkenning van oorlogsmisdaden actiever aan te pakken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424</w:t>
      </w:r>
      <w:r>
        <w:rPr>
          <w:rStyle w:val="HideTWBExt"/>
        </w:rPr>
        <w:t>&lt;/NumAm&gt;</w:t>
      </w:r>
    </w:p>
    <w:p>
      <w:pPr>
        <w:pStyle w:val="NormalBold"/>
      </w:pPr>
      <w:r>
        <w:rPr>
          <w:rStyle w:val="HideTWBExt"/>
          <w:b w:val="0"/>
        </w:rPr>
        <w:t>&lt;RepeatBlock-By&gt;</w:t>
      </w:r>
      <w:r>
        <w:rPr>
          <w:rStyle w:val="HideTWBExt"/>
          <w:b w:val="0"/>
        </w:rPr>
        <w:t>&lt;Members&gt;</w:t>
      </w:r>
      <w:r>
        <w:t>Loucas Fourlas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23.</w:t>
            </w:r>
            <w:r>
              <w:tab/>
            </w:r>
            <w:r>
              <w:t xml:space="preserve">verzoekt Servië de ontkenning van oorlogsmisdaden en historisch revisionisme actiever </w:t>
            </w:r>
            <w:r>
              <w:rPr>
                <w:b/>
                <w:i/>
              </w:rPr>
              <w:t>aan te pakken</w:t>
            </w:r>
            <w:r>
              <w:t>, met name ten aanzien van de oorlogen in Kroatië, Bosnië en Herzegovina, en Kosovo;</w:t>
            </w:r>
          </w:p>
        </w:tc>
        <w:tc>
          <w:tcPr>
            <w:tcW w:w="4876" w:type="dxa"/>
            <w:tcBorders>
              <w:top w:val="nil"/>
              <w:left w:val="nil"/>
              <w:bottom w:val="nil"/>
              <w:right w:val="nil"/>
            </w:tcBorders>
          </w:tcPr>
          <w:p>
            <w:pPr>
              <w:pStyle w:val="Normal6a"/>
            </w:pPr>
            <w:r>
              <w:t>23.</w:t>
            </w:r>
            <w:r>
              <w:tab/>
            </w:r>
            <w:r>
              <w:t xml:space="preserve">verzoekt Servië de ontkenning van oorlogsmisdaden en historisch revisionisme actiever </w:t>
            </w:r>
            <w:r>
              <w:rPr>
                <w:b/>
                <w:i/>
              </w:rPr>
              <w:t>te onderzoeken en te vervolgen</w:t>
            </w:r>
            <w:r>
              <w:t>, met name ten aanzien van de oorlogen in Kroatië, Bosnië en Herzegovina, en Kosovo;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425</w:t>
      </w:r>
      <w:r>
        <w:rPr>
          <w:rStyle w:val="HideTWBExt"/>
        </w:rPr>
        <w:t>&lt;/NumAm&gt;</w:t>
      </w:r>
    </w:p>
    <w:p>
      <w:pPr>
        <w:pStyle w:val="NormalBold"/>
      </w:pPr>
      <w:r>
        <w:rPr>
          <w:rStyle w:val="HideTWBExt"/>
          <w:b w:val="0"/>
        </w:rPr>
        <w:t>&lt;RepeatBlock-By&gt;</w:t>
      </w:r>
      <w:r>
        <w:rPr>
          <w:rStyle w:val="HideTWBExt"/>
          <w:b w:val="0"/>
        </w:rPr>
        <w:t>&lt;Members&gt;</w:t>
      </w:r>
      <w:r>
        <w:t>Andrey Kovatchev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23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23 bis.</w:t>
            </w:r>
            <w:r>
              <w:tab/>
            </w:r>
            <w:r>
              <w:rPr>
                <w:b/>
                <w:i/>
              </w:rPr>
              <w:t>roept op tot historische verzoening en het te boven komen van de discriminatie en vooroordelen uit het communistische verleden, met name in het onderwijs, de media en de academische wereld en op sociaal gebied, als voorwaarde voor het uitbannen van haatzaaiende uitlatingen ten aanzien van nationale minderheden en buurlanden;</w:t>
            </w:r>
            <w:r>
              <w:t xml:space="preserve"> </w:t>
            </w:r>
            <w:r>
              <w:rPr>
                <w:b/>
                <w:i/>
              </w:rPr>
              <w:t>betreurt in dit verband de recente opruiende retoriek van de regering tegen de buurlanden die het openen van cluster 3 voor dit land niet steunden;</w:t>
            </w:r>
            <w:r>
              <w:t xml:space="preserve"> </w:t>
            </w:r>
            <w:r>
              <w:rPr>
                <w:b/>
                <w:i/>
              </w:rPr>
              <w:t>betreurt de aanhoudende aanwezigheid van Joegoslavische communistische symbolen, waaronder straatnamen en monumenten, in de openbare ruimte, aangezien dit de democratisering van Servië ondermijnt;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426</w:t>
      </w:r>
      <w:r>
        <w:rPr>
          <w:rStyle w:val="HideTWBExt"/>
        </w:rPr>
        <w:t>&lt;/NumAm&gt;</w:t>
      </w:r>
    </w:p>
    <w:p>
      <w:pPr>
        <w:pStyle w:val="NormalBold"/>
      </w:pPr>
      <w:r>
        <w:rPr>
          <w:rStyle w:val="HideTWBExt"/>
          <w:b w:val="0"/>
        </w:rPr>
        <w:t>&lt;RepeatBlock-By&gt;</w:t>
      </w:r>
      <w:r>
        <w:rPr>
          <w:rStyle w:val="HideTWBExt"/>
          <w:b w:val="0"/>
        </w:rPr>
        <w:t>&lt;Members&gt;</w:t>
      </w:r>
      <w:r>
        <w:t>Rasa Juknevičienė, Miriam Lexmann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23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23 bis.</w:t>
            </w:r>
            <w:r>
              <w:tab/>
            </w:r>
            <w:r>
              <w:rPr>
                <w:b/>
                <w:i/>
              </w:rPr>
              <w:t>herhaalt zijn standpunt over het belang van het openstellen en publiceren van oorlogsarchieven en herhaalt zijn oproep om de archieven van het voormalige Joegoslavië open te stellen en met name toegang te waarborgen tot de dossiers van de voormalige Joegoslavische geheime dienst (UDBA) en de contra-inlichtingendienst van het Joegoslavische volksleger (KOS) en om de dossiers terug te geven aan de respectieve opvolgerstaten als zij daarom vragen;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427</w:t>
      </w:r>
      <w:r>
        <w:rPr>
          <w:rStyle w:val="HideTWBExt"/>
        </w:rPr>
        <w:t>&lt;/NumAm&gt;</w:t>
      </w:r>
    </w:p>
    <w:p>
      <w:pPr>
        <w:pStyle w:val="NormalBold"/>
      </w:pPr>
      <w:r>
        <w:rPr>
          <w:rStyle w:val="HideTWBExt"/>
          <w:b w:val="0"/>
        </w:rPr>
        <w:t>&lt;RepeatBlock-By&gt;</w:t>
      </w:r>
      <w:r>
        <w:rPr>
          <w:rStyle w:val="HideTWBExt"/>
          <w:b w:val="0"/>
        </w:rPr>
        <w:t>&lt;Members&gt;</w:t>
      </w:r>
      <w:r>
        <w:t>Vladimir Prebilič</w:t>
      </w:r>
      <w:r>
        <w:rPr>
          <w:rStyle w:val="HideTWBExt"/>
          <w:b w:val="0"/>
        </w:rPr>
        <w:t>&lt;/Members&gt;</w:t>
      </w:r>
    </w:p>
    <w:p>
      <w:r>
        <w:rPr>
          <w:rStyle w:val="HideTWBExt"/>
          <w:b w:val="0"/>
        </w:rPr>
        <w:t>&lt;AuNomDe&gt;</w:t>
      </w:r>
      <w:r>
        <w:rPr>
          <w:rStyle w:val="HideTWBInt"/>
        </w:rPr>
        <w:t>{Verts/ALE}</w:t>
      </w:r>
      <w:r>
        <w:t>namens de Verts/ALE-Fractie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23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23 bis.</w:t>
            </w:r>
            <w:r>
              <w:tab/>
            </w:r>
            <w:r>
              <w:rPr>
                <w:b/>
                <w:i/>
              </w:rPr>
              <w:t>betreurt dat Servië geen oprechte bereidheid heeft getoond om zijn verleden onder ogen te zien en doeltreffende onderzoeken en vervolgingen in te stellen met betrekking tot oorlogsmisdaden, zoals blijkt uit het feit dat verdachten die een hoge positie bekleden niet in staat van beschuldiging worden gesteld, er al sinds 2023 geen hoofdaanklager voor oorlogsmisdaden is en internationale vonnissen inzake oorlogsmisdaden vaak publiekelijk worden ontkend, waarbij ook de genocide van Srebrenica wordt ontkend;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428</w:t>
      </w:r>
      <w:r>
        <w:rPr>
          <w:rStyle w:val="HideTWBExt"/>
        </w:rPr>
        <w:t>&lt;/NumAm&gt;</w:t>
      </w:r>
    </w:p>
    <w:p>
      <w:pPr>
        <w:pStyle w:val="NormalBold"/>
      </w:pPr>
      <w:r>
        <w:rPr>
          <w:rStyle w:val="HideTWBExt"/>
          <w:b w:val="0"/>
        </w:rPr>
        <w:t>&lt;RepeatBlock-By&gt;</w:t>
      </w:r>
      <w:r>
        <w:rPr>
          <w:rStyle w:val="HideTWBExt"/>
          <w:b w:val="0"/>
        </w:rPr>
        <w:t>&lt;Members&gt;</w:t>
      </w:r>
      <w:r>
        <w:t>Helmut Brandstätter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23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23 bis.</w:t>
            </w:r>
            <w:r>
              <w:tab/>
            </w:r>
            <w:r>
              <w:rPr>
                <w:b/>
                <w:i/>
              </w:rPr>
              <w:t>spreekt zijn afschuw uit over de agressieve en opruiende retoriek die president Vucic tegen buurlanden gebruikt door zonder bewijs te beweren dat Kroatië, Albanië en Kosovo voorbereidingen treffen om Servië aan te vallen;</w:t>
            </w:r>
            <w:r>
              <w:t xml:space="preserve"> </w:t>
            </w:r>
            <w:r>
              <w:rPr>
                <w:b/>
                <w:i/>
              </w:rPr>
              <w:t>betreurt het dat dit als voorwendsel wordt gebruikt om Chinese supersonische raketten te kopen en het vredesopbouwproces in de regio te ondermijnen;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429</w:t>
      </w:r>
      <w:r>
        <w:rPr>
          <w:rStyle w:val="HideTWBExt"/>
        </w:rPr>
        <w:t>&lt;/NumAm&gt;</w:t>
      </w:r>
    </w:p>
    <w:p>
      <w:pPr>
        <w:pStyle w:val="NormalBold"/>
      </w:pPr>
      <w:r>
        <w:rPr>
          <w:rStyle w:val="HideTWBExt"/>
          <w:b w:val="0"/>
        </w:rPr>
        <w:t>&lt;RepeatBlock-By&gt;</w:t>
      </w:r>
      <w:r>
        <w:rPr>
          <w:rStyle w:val="HideTWBExt"/>
          <w:b w:val="0"/>
        </w:rPr>
        <w:t>&lt;Members&gt;</w:t>
      </w:r>
      <w:r>
        <w:t>Davor Ivo Stier, Andrey Kovatchev, Reinhold Lopatka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23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23 bis.</w:t>
            </w:r>
            <w:r>
              <w:tab/>
            </w:r>
            <w:r>
              <w:rPr>
                <w:b/>
                <w:i/>
              </w:rPr>
              <w:t>onderstreept de noodzaak van zinvolle regionale samenwerking bij de behandeling van oorlogsmisdaden door jurisdictiegeschillen te vermijden en ervoor te zorgen dat oorlogsmisdaden zonder enige vorm van discriminatie worden vervolgd, en benadrukt dat alle openstaande kwesties in dit verband volledig moeten worden opgelost;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430</w:t>
      </w:r>
      <w:r>
        <w:rPr>
          <w:rStyle w:val="HideTWBExt"/>
        </w:rPr>
        <w:t>&lt;/NumAm&gt;</w:t>
      </w:r>
    </w:p>
    <w:p>
      <w:pPr>
        <w:pStyle w:val="NormalBold"/>
      </w:pPr>
      <w:r>
        <w:rPr>
          <w:rStyle w:val="HideTWBExt"/>
          <w:b w:val="0"/>
        </w:rPr>
        <w:t>&lt;RepeatBlock-By&gt;</w:t>
      </w:r>
      <w:r>
        <w:rPr>
          <w:rStyle w:val="HideTWBExt"/>
          <w:b w:val="0"/>
        </w:rPr>
        <w:t>&lt;Members&gt;</w:t>
      </w:r>
      <w:r>
        <w:t>Željana Zovko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23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23 bis.</w:t>
            </w:r>
            <w:r>
              <w:tab/>
            </w:r>
            <w:r>
              <w:rPr>
                <w:b/>
                <w:i/>
              </w:rPr>
              <w:t>roept Servië op zijn buurlanden op de Westelijke Balkan niet te destabiliseren en de separatistische retoriek in die landen niet aan te wakkeren, waaronder met betrekking tot de ongrondwettelijke viering van de Dag van de Republika Srpska, die de stabiliteit en territoriale integriteit van Bosnië en Herzegovina in gevaar brengt;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431</w:t>
      </w:r>
      <w:r>
        <w:rPr>
          <w:rStyle w:val="HideTWBExt"/>
        </w:rPr>
        <w:t>&lt;/NumAm&gt;</w:t>
      </w:r>
    </w:p>
    <w:p>
      <w:pPr>
        <w:pStyle w:val="NormalBold"/>
      </w:pPr>
      <w:r>
        <w:rPr>
          <w:rStyle w:val="HideTWBExt"/>
          <w:b w:val="0"/>
        </w:rPr>
        <w:t>&lt;RepeatBlock-By&gt;</w:t>
      </w:r>
      <w:r>
        <w:rPr>
          <w:rStyle w:val="HideTWBExt"/>
          <w:b w:val="0"/>
        </w:rPr>
        <w:t>&lt;Members&gt;</w:t>
      </w:r>
      <w:r>
        <w:t>Andrey Kovatchev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23 ter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23 ter.</w:t>
            </w:r>
            <w:r>
              <w:tab/>
            </w:r>
            <w:r>
              <w:rPr>
                <w:b/>
                <w:i/>
              </w:rPr>
              <w:t>uit zijn bezorgdheid over het feit dat de aanhoudende militaire opbouw van Servië, in combinatie met steeds vijandigere retoriek ten aanzien van buurlanden, de regionale spanningen dreigt te verergeren;</w:t>
            </w:r>
            <w:r>
              <w:t xml:space="preserve"> </w:t>
            </w:r>
            <w:r>
              <w:rPr>
                <w:b/>
                <w:i/>
              </w:rPr>
              <w:t>neemt met bezorgdheid kennis van aanhoudende ongegronde beweringen van Servische politieke actoren over vermeende externe militaire dreigingen uit buurlanden, alsook narratieven die het wantrouwen dreigen te vergroten en de regionale instabiliteit dreigen aan te wakkeren;</w:t>
            </w:r>
            <w:r>
              <w:t xml:space="preserve"> </w:t>
            </w:r>
            <w:r>
              <w:rPr>
                <w:b/>
                <w:i/>
              </w:rPr>
              <w:t>betreurt de aankoop van militair materieel uit Rusland en China, wat aanleiding geeft tot extra bezorgdheid over strategische afstemming en transparantie;</w:t>
            </w:r>
            <w:r>
              <w:t xml:space="preserve"> </w:t>
            </w:r>
            <w:r>
              <w:rPr>
                <w:b/>
                <w:i/>
              </w:rPr>
              <w:t>verzoekt Servië af te zien van een escalerend discours en ervoor te zorgen dat zijn veiligheids- en defensiebeleid in overeenstemming is met de Europese waarden en goede nabuurschapsbetrekkingen;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432</w:t>
      </w:r>
      <w:r>
        <w:rPr>
          <w:rStyle w:val="HideTWBExt"/>
        </w:rPr>
        <w:t>&lt;/NumAm&gt;</w:t>
      </w:r>
    </w:p>
    <w:p>
      <w:pPr>
        <w:pStyle w:val="NormalBold"/>
      </w:pPr>
      <w:r>
        <w:rPr>
          <w:rStyle w:val="HideTWBExt"/>
          <w:b w:val="0"/>
        </w:rPr>
        <w:t>&lt;RepeatBlock-By&gt;</w:t>
      </w:r>
      <w:r>
        <w:rPr>
          <w:rStyle w:val="HideTWBExt"/>
          <w:b w:val="0"/>
        </w:rPr>
        <w:t>&lt;Members&gt;</w:t>
      </w:r>
      <w:r>
        <w:t>Vladimir Prebilič</w:t>
      </w:r>
      <w:r>
        <w:rPr>
          <w:rStyle w:val="HideTWBExt"/>
          <w:b w:val="0"/>
        </w:rPr>
        <w:t>&lt;/Members&gt;</w:t>
      </w:r>
    </w:p>
    <w:p>
      <w:r>
        <w:rPr>
          <w:rStyle w:val="HideTWBExt"/>
          <w:b w:val="0"/>
        </w:rPr>
        <w:t>&lt;AuNomDe&gt;</w:t>
      </w:r>
      <w:r>
        <w:rPr>
          <w:rStyle w:val="HideTWBInt"/>
        </w:rPr>
        <w:t>{Verts/ALE}</w:t>
      </w:r>
      <w:r>
        <w:t>namens de Verts/ALE-Fractie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23 ter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23 ter.</w:t>
            </w:r>
            <w:r>
              <w:tab/>
            </w:r>
            <w:r>
              <w:rPr>
                <w:b/>
                <w:i/>
              </w:rPr>
              <w:t>verzoekt de gerechtelijke autoriteiten in Servië ervoor te zorgen dat in gevallen van oorlogsmisdaden aan de normen voor een eerlijk proces wordt voldaan en gerechtigheid voor slachtoffers wordt bewerkstelligd;</w:t>
            </w:r>
            <w:r>
              <w:t xml:space="preserve"> </w:t>
            </w:r>
            <w:r>
              <w:rPr>
                <w:b/>
                <w:i/>
              </w:rPr>
              <w:t>pleit ervoor om ontkenning van oorlogsmisdaden en verheerlijking van oorlogsmisdadigers op te nemen in het wetboek van strafrecht zodat elke vorm van ontkenning van oorlogsmisdaden, zoals bepaald door de vonnissen van het Internationaal Straftribunaal voor het voormalige Joegoslavië en het Internationaal Gerechtshof, kan worden vervolgd;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433</w:t>
      </w:r>
      <w:r>
        <w:rPr>
          <w:rStyle w:val="HideTWBExt"/>
        </w:rPr>
        <w:t>&lt;/NumAm&gt;</w:t>
      </w:r>
    </w:p>
    <w:p>
      <w:pPr>
        <w:pStyle w:val="NormalBold"/>
      </w:pPr>
      <w:r>
        <w:rPr>
          <w:rStyle w:val="HideTWBExt"/>
          <w:b w:val="0"/>
        </w:rPr>
        <w:t>&lt;RepeatBlock-By&gt;</w:t>
      </w:r>
      <w:r>
        <w:rPr>
          <w:rStyle w:val="HideTWBExt"/>
          <w:b w:val="0"/>
        </w:rPr>
        <w:t>&lt;Members&gt;</w:t>
      </w:r>
      <w:r>
        <w:t>Davor Ivo Stier, Andrey Kovatchev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23 ter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23 ter.</w:t>
            </w:r>
            <w:r>
              <w:tab/>
            </w:r>
            <w:r>
              <w:rPr>
                <w:b/>
                <w:i/>
              </w:rPr>
              <w:t>herhaalt zijn standpunt over het belang van het openstellen en publiceren van oorlogsarchieven en herhaalt zijn oproep om de archieven van het voormalige Joegoslavië open te stellen en met name toegang te verlenen tot de dossiers van de voormalige Joegoslavische geheime dienst (UDBA) en de contra-inlichtingendienst van het Joegoslavische volksleger (KOS) en om de dossiers terug te geven aan de respectieve regeringen als zij daarom vragen;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434</w:t>
      </w:r>
      <w:r>
        <w:rPr>
          <w:rStyle w:val="HideTWBExt"/>
        </w:rPr>
        <w:t>&lt;/NumAm&gt;</w:t>
      </w:r>
    </w:p>
    <w:p>
      <w:pPr>
        <w:pStyle w:val="NormalBold"/>
      </w:pPr>
      <w:r>
        <w:rPr>
          <w:rStyle w:val="HideTWBExt"/>
          <w:b w:val="0"/>
        </w:rPr>
        <w:t>&lt;RepeatBlock-By&gt;</w:t>
      </w:r>
      <w:r>
        <w:rPr>
          <w:rStyle w:val="HideTWBExt"/>
          <w:b w:val="0"/>
        </w:rPr>
        <w:t>&lt;Members&gt;</w:t>
      </w:r>
      <w:r>
        <w:t>Vladimir Prebilič</w:t>
      </w:r>
      <w:r>
        <w:rPr>
          <w:rStyle w:val="HideTWBExt"/>
          <w:b w:val="0"/>
        </w:rPr>
        <w:t>&lt;/Members&gt;</w:t>
      </w:r>
    </w:p>
    <w:p>
      <w:r>
        <w:rPr>
          <w:rStyle w:val="HideTWBExt"/>
          <w:b w:val="0"/>
        </w:rPr>
        <w:t>&lt;AuNomDe&gt;</w:t>
      </w:r>
      <w:r>
        <w:rPr>
          <w:rStyle w:val="HideTWBInt"/>
        </w:rPr>
        <w:t>{Verts/ALE}</w:t>
      </w:r>
      <w:r>
        <w:t>namens de Verts/ALE-Fractie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23 quater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23 quater.</w:t>
            </w:r>
            <w:r>
              <w:tab/>
            </w:r>
            <w:r>
              <w:rPr>
                <w:b/>
                <w:i/>
              </w:rPr>
              <w:t>betreurt dat de regeringspartij SNS en aanverwante mediakanalen veroordeelde oorlogsmisdadigers zoals Nikola Šainović, Vojislav Šešelj en Veselin Šljivančanin blijven promoten en hun een platform bieden voor historisch revisionisme en haatzaaiende uitlatingen;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435</w:t>
      </w:r>
      <w:r>
        <w:rPr>
          <w:rStyle w:val="HideTWBExt"/>
        </w:rPr>
        <w:t>&lt;/NumAm&gt;</w:t>
      </w:r>
    </w:p>
    <w:p>
      <w:pPr>
        <w:pStyle w:val="NormalBold"/>
      </w:pPr>
      <w:r>
        <w:rPr>
          <w:rStyle w:val="HideTWBExt"/>
          <w:b w:val="0"/>
        </w:rPr>
        <w:t>&lt;RepeatBlock-By&gt;</w:t>
      </w:r>
      <w:r>
        <w:rPr>
          <w:rStyle w:val="HideTWBExt"/>
          <w:b w:val="0"/>
        </w:rPr>
        <w:t>&lt;Members&gt;</w:t>
      </w:r>
      <w:r>
        <w:t>Tonino Picula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24.</w:t>
            </w:r>
            <w:r>
              <w:tab/>
            </w:r>
            <w:r>
              <w:t>merkt op dat onopgeloste gevallen van vermiste personen nog steeds een ernstig probleem vormen; dringt er bij Servië op aan zijn verzoeningsinspanningen op te voeren en een actievere aanpak te hanteren</w:t>
            </w:r>
            <w:r>
              <w:rPr>
                <w:b/>
                <w:i/>
              </w:rPr>
              <w:t>, met name als het om</w:t>
            </w:r>
            <w:r>
              <w:t xml:space="preserve"> vermiste personen </w:t>
            </w:r>
            <w:r>
              <w:rPr>
                <w:b/>
                <w:i/>
              </w:rPr>
              <w:t>gaat</w:t>
            </w:r>
            <w:r>
              <w:t>;</w:t>
            </w:r>
          </w:p>
        </w:tc>
        <w:tc>
          <w:tcPr>
            <w:tcW w:w="4876" w:type="dxa"/>
            <w:tcBorders>
              <w:top w:val="nil"/>
              <w:left w:val="nil"/>
              <w:bottom w:val="nil"/>
              <w:right w:val="nil"/>
            </w:tcBorders>
          </w:tcPr>
          <w:p>
            <w:pPr>
              <w:pStyle w:val="Normal6a"/>
            </w:pPr>
            <w:r>
              <w:t>24.</w:t>
            </w:r>
            <w:r>
              <w:tab/>
            </w:r>
            <w:r>
              <w:t xml:space="preserve">merkt op dat onopgeloste gevallen van vermiste personen nog steeds een ernstig probleem vormen </w:t>
            </w:r>
            <w:r>
              <w:rPr>
                <w:b/>
                <w:i/>
              </w:rPr>
              <w:t>en een aanzienlijke belemmering vormen voor de normalisering van de betrekkingen</w:t>
            </w:r>
            <w:r>
              <w:t>; dringt er bij Servië op aan zijn verzoeningsinspanningen op te voeren en een actievere aanpak te hanteren</w:t>
            </w:r>
            <w:r>
              <w:rPr>
                <w:b/>
                <w:i/>
              </w:rPr>
              <w:t>;</w:t>
            </w:r>
            <w:r>
              <w:t xml:space="preserve"> </w:t>
            </w:r>
            <w:r>
              <w:rPr>
                <w:b/>
                <w:i/>
              </w:rPr>
              <w:t>verzoekt Servië volledig samen te werken met de gerechtelijke autoriteiten van de EU-lidstaten bij hun onderzoeken naar oorlogsmisdaden, met inbegrip van misdaden tegen</w:t>
            </w:r>
            <w:r>
              <w:t xml:space="preserve"> vermiste personen</w:t>
            </w:r>
            <w:r>
              <w:rPr>
                <w:b/>
                <w:i/>
              </w:rPr>
              <w:t>, en alle relevante informatie te verstrekken aan de hand waarvan zij kunnen worden geïdentificeerd</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436</w:t>
      </w:r>
      <w:r>
        <w:rPr>
          <w:rStyle w:val="HideTWBExt"/>
        </w:rPr>
        <w:t>&lt;/NumAm&gt;</w:t>
      </w:r>
    </w:p>
    <w:p>
      <w:pPr>
        <w:pStyle w:val="NormalBold"/>
      </w:pPr>
      <w:r>
        <w:rPr>
          <w:rStyle w:val="HideTWBExt"/>
          <w:b w:val="0"/>
        </w:rPr>
        <w:t>&lt;RepeatBlock-By&gt;</w:t>
      </w:r>
      <w:r>
        <w:rPr>
          <w:rStyle w:val="HideTWBExt"/>
          <w:b w:val="0"/>
        </w:rPr>
        <w:t>&lt;Members&gt;</w:t>
      </w:r>
      <w:r>
        <w:t>Petras Auštrevičius, Lucia Yar, Dan Barna, Nathalie Loiseau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24.</w:t>
            </w:r>
            <w:r>
              <w:tab/>
            </w:r>
            <w:r>
              <w:t>merkt op dat onopgeloste gevallen van vermiste personen nog steeds een ernstig probleem vormen; dringt er bij Servië op aan zijn verzoeningsinspanningen op te voeren en een actievere aanpak te hanteren, met name als het om vermiste personen gaat;</w:t>
            </w:r>
          </w:p>
        </w:tc>
        <w:tc>
          <w:tcPr>
            <w:tcW w:w="4876" w:type="dxa"/>
            <w:tcBorders>
              <w:top w:val="nil"/>
              <w:left w:val="nil"/>
              <w:bottom w:val="nil"/>
              <w:right w:val="nil"/>
            </w:tcBorders>
          </w:tcPr>
          <w:p>
            <w:pPr>
              <w:pStyle w:val="Normal6a"/>
            </w:pPr>
            <w:r>
              <w:t>24.</w:t>
            </w:r>
            <w:r>
              <w:tab/>
            </w:r>
            <w:r>
              <w:t xml:space="preserve">merkt op dat onopgeloste gevallen van vermiste personen nog steeds een ernstig probleem vormen; dringt er bij Servië op aan zijn verzoeningsinspanningen op te voeren en een actievere aanpak te hanteren, met name als het om vermiste personen gaat; </w:t>
            </w:r>
            <w:r>
              <w:rPr>
                <w:b/>
                <w:i/>
              </w:rPr>
              <w:t>betreurt een recente verklaring van president Vučić waarin hij Kroatië, Kosovo en Albanië beschuldigt van het vormen van een militaire alliantie tegen Servië en valse beweringen blijft verspreiden over mogelijke aanvallen op Servië vanuit die buurlanden;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437</w:t>
      </w:r>
      <w:r>
        <w:rPr>
          <w:rStyle w:val="HideTWBExt"/>
        </w:rPr>
        <w:t>&lt;/NumAm&gt;</w:t>
      </w:r>
    </w:p>
    <w:p>
      <w:pPr>
        <w:pStyle w:val="NormalBold"/>
      </w:pPr>
      <w:r>
        <w:rPr>
          <w:rStyle w:val="HideTWBExt"/>
          <w:b w:val="0"/>
        </w:rPr>
        <w:t>&lt;RepeatBlock-By&gt;</w:t>
      </w:r>
      <w:r>
        <w:rPr>
          <w:rStyle w:val="HideTWBExt"/>
          <w:b w:val="0"/>
        </w:rPr>
        <w:t>&lt;Members&gt;</w:t>
      </w:r>
      <w:r>
        <w:t>Željana Zovko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24.</w:t>
            </w:r>
            <w:r>
              <w:tab/>
            </w:r>
            <w:r>
              <w:t>merkt op dat onopgeloste gevallen van vermiste personen nog steeds een ernstig probleem vormen; dringt er bij Servië op aan zijn verzoeningsinspanningen op te voeren en een actievere aanpak te hanteren, met name als het om vermiste personen gaat;</w:t>
            </w:r>
          </w:p>
        </w:tc>
        <w:tc>
          <w:tcPr>
            <w:tcW w:w="4876" w:type="dxa"/>
            <w:tcBorders>
              <w:top w:val="nil"/>
              <w:left w:val="nil"/>
              <w:bottom w:val="nil"/>
              <w:right w:val="nil"/>
            </w:tcBorders>
          </w:tcPr>
          <w:p>
            <w:pPr>
              <w:pStyle w:val="Normal6a"/>
            </w:pPr>
            <w:r>
              <w:t>24.</w:t>
            </w:r>
            <w:r>
              <w:tab/>
            </w:r>
            <w:r>
              <w:t xml:space="preserve">merkt op dat onopgeloste gevallen van vermiste personen nog steeds een ernstig probleem vormen; dringt er bij Servië op aan zijn verzoeningsinspanningen op te voeren en een actievere aanpak te hanteren, met name als het om vermiste personen gaat; </w:t>
            </w:r>
            <w:r>
              <w:rPr>
                <w:b/>
                <w:i/>
              </w:rPr>
              <w:t>dringt aan op hernieuwde en constructieve betrokkenheid bij openstaande bilaterale kwesties, met name de oplossing van gevallen van vermiste personen, de regeling van erfeniszaken, de doeltreffende vervolging van oorlogsmisdadigers en de teruggave van cultuurgoederen;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438</w:t>
      </w:r>
      <w:r>
        <w:rPr>
          <w:rStyle w:val="HideTWBExt"/>
        </w:rPr>
        <w:t>&lt;/NumAm&gt;</w:t>
      </w:r>
    </w:p>
    <w:p>
      <w:pPr>
        <w:pStyle w:val="NormalBold"/>
      </w:pPr>
      <w:r>
        <w:rPr>
          <w:rStyle w:val="HideTWBExt"/>
          <w:b w:val="0"/>
        </w:rPr>
        <w:t>&lt;RepeatBlock-By&gt;</w:t>
      </w:r>
      <w:r>
        <w:rPr>
          <w:rStyle w:val="HideTWBExt"/>
          <w:b w:val="0"/>
        </w:rPr>
        <w:t>&lt;Members&gt;</w:t>
      </w:r>
      <w:r>
        <w:t>Davor Ivo Stier, Andrey Kovatchev, Reinhold Lopatka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24.</w:t>
            </w:r>
            <w:r>
              <w:tab/>
            </w:r>
            <w:r>
              <w:t>merkt op dat onopgeloste gevallen van vermiste personen nog steeds een ernstig probleem vormen; dringt er bij Servië op aan zijn verzoeningsinspanningen op te voeren en een actievere aanpak te hanteren, met name als het om vermiste personen gaat;</w:t>
            </w:r>
          </w:p>
        </w:tc>
        <w:tc>
          <w:tcPr>
            <w:tcW w:w="4876" w:type="dxa"/>
            <w:tcBorders>
              <w:top w:val="nil"/>
              <w:left w:val="nil"/>
              <w:bottom w:val="nil"/>
              <w:right w:val="nil"/>
            </w:tcBorders>
          </w:tcPr>
          <w:p>
            <w:pPr>
              <w:pStyle w:val="Normal6a"/>
            </w:pPr>
            <w:r>
              <w:t>24.</w:t>
            </w:r>
            <w:r>
              <w:tab/>
            </w:r>
            <w:r>
              <w:t>merkt op dat onopgeloste gevallen van vermiste personen nog steeds een ernstig probleem vormen; dringt er bij Servië op aan zijn verzoeningsinspanningen op te voeren en een actievere aanpak te hanteren, met name als het om vermiste personen gaat</w:t>
            </w:r>
            <w:r>
              <w:rPr>
                <w:b/>
                <w:i/>
              </w:rPr>
              <w:t>, in het bijzonder door op zinvolle wijze samen te werken met andere betrokken landen en door snel informatie uit te wisselen, onder meer door toegang te verlenen tot documenten en archieven</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439</w:t>
      </w:r>
      <w:r>
        <w:rPr>
          <w:rStyle w:val="HideTWBExt"/>
        </w:rPr>
        <w:t>&lt;/NumAm&gt;</w:t>
      </w:r>
    </w:p>
    <w:p>
      <w:pPr>
        <w:pStyle w:val="NormalBold"/>
      </w:pPr>
      <w:r>
        <w:rPr>
          <w:rStyle w:val="HideTWBExt"/>
          <w:b w:val="0"/>
        </w:rPr>
        <w:t>&lt;RepeatBlock-By&gt;</w:t>
      </w:r>
      <w:r>
        <w:rPr>
          <w:rStyle w:val="HideTWBExt"/>
          <w:b w:val="0"/>
        </w:rPr>
        <w:t>&lt;Members&gt;</w:t>
      </w:r>
      <w:r>
        <w:t>Vladimir Prebilič</w:t>
      </w:r>
      <w:r>
        <w:rPr>
          <w:rStyle w:val="HideTWBExt"/>
          <w:b w:val="0"/>
        </w:rPr>
        <w:t>&lt;/Members&gt;</w:t>
      </w:r>
    </w:p>
    <w:p>
      <w:r>
        <w:rPr>
          <w:rStyle w:val="HideTWBExt"/>
          <w:b w:val="0"/>
        </w:rPr>
        <w:t>&lt;AuNomDe&gt;</w:t>
      </w:r>
      <w:r>
        <w:rPr>
          <w:rStyle w:val="HideTWBInt"/>
        </w:rPr>
        <w:t>{Verts/ALE}</w:t>
      </w:r>
      <w:r>
        <w:t>namens de Verts/ALE-Fractie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24.</w:t>
            </w:r>
            <w:r>
              <w:tab/>
            </w:r>
            <w:r>
              <w:t>merkt op dat onopgeloste gevallen van vermiste personen nog steeds een ernstig probleem vormen; dringt er bij Servië op aan zijn verzoeningsinspanningen op te voeren en een actievere aanpak te hanteren, met name als het om vermiste personen gaat;</w:t>
            </w:r>
          </w:p>
        </w:tc>
        <w:tc>
          <w:tcPr>
            <w:tcW w:w="4876" w:type="dxa"/>
            <w:tcBorders>
              <w:top w:val="nil"/>
              <w:left w:val="nil"/>
              <w:bottom w:val="nil"/>
              <w:right w:val="nil"/>
            </w:tcBorders>
          </w:tcPr>
          <w:p>
            <w:pPr>
              <w:pStyle w:val="Normal6a"/>
            </w:pPr>
            <w:r>
              <w:t>24.</w:t>
            </w:r>
            <w:r>
              <w:tab/>
            </w:r>
            <w:r>
              <w:t xml:space="preserve">merkt op dat onopgeloste gevallen van vermiste personen nog steeds een ernstig probleem vormen; dringt er bij Servië op aan zijn verzoeningsinspanningen op te voeren en een actievere aanpak te hanteren, met name als het om vermiste personen gaat; </w:t>
            </w:r>
            <w:r>
              <w:rPr>
                <w:b/>
                <w:i/>
              </w:rPr>
              <w:t>dringt er bij Servië op aan de reeds lang aangekondigde wet inzake vermiste personen eindelijk aan te nemen, in een geest van echte inclusiviteit en transparantie;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440</w:t>
      </w:r>
      <w:r>
        <w:rPr>
          <w:rStyle w:val="HideTWBExt"/>
        </w:rPr>
        <w:t>&lt;/NumAm&gt;</w:t>
      </w:r>
    </w:p>
    <w:p>
      <w:pPr>
        <w:pStyle w:val="NormalBold"/>
      </w:pPr>
      <w:r>
        <w:rPr>
          <w:rStyle w:val="HideTWBExt"/>
          <w:b w:val="0"/>
        </w:rPr>
        <w:t>&lt;RepeatBlock-By&gt;</w:t>
      </w:r>
      <w:r>
        <w:rPr>
          <w:rStyle w:val="HideTWBExt"/>
          <w:b w:val="0"/>
        </w:rPr>
        <w:t>&lt;Members&gt;</w:t>
      </w:r>
      <w:r>
        <w:t>Emmanouil Fragkos, Galato Alexandraki, Geadis Geadi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24.</w:t>
            </w:r>
            <w:r>
              <w:tab/>
            </w:r>
            <w:r>
              <w:rPr>
                <w:b/>
                <w:i/>
              </w:rPr>
              <w:t>merkt op dat onopgeloste gevallen van</w:t>
            </w:r>
            <w:r>
              <w:t xml:space="preserve"> vermiste personen </w:t>
            </w:r>
            <w:r>
              <w:rPr>
                <w:b/>
                <w:i/>
              </w:rPr>
              <w:t>nog steeds een ernstig probleem vormen;</w:t>
            </w:r>
            <w:r>
              <w:t xml:space="preserve"> </w:t>
            </w:r>
            <w:r>
              <w:rPr>
                <w:b/>
                <w:i/>
              </w:rPr>
              <w:t>dringt er bij Servië op aan zijn verzoeningsinspanningen op te voeren en een actievere aanpak te hanteren, met name als het om vermiste personen gaat</w:t>
            </w:r>
            <w:r>
              <w:t>;</w:t>
            </w:r>
          </w:p>
        </w:tc>
        <w:tc>
          <w:tcPr>
            <w:tcW w:w="4876" w:type="dxa"/>
            <w:tcBorders>
              <w:top w:val="nil"/>
              <w:left w:val="nil"/>
              <w:bottom w:val="nil"/>
              <w:right w:val="nil"/>
            </w:tcBorders>
          </w:tcPr>
          <w:p>
            <w:pPr>
              <w:pStyle w:val="Normal6a"/>
            </w:pPr>
            <w:r>
              <w:t>24.</w:t>
            </w:r>
            <w:r>
              <w:tab/>
            </w:r>
            <w:r>
              <w:rPr>
                <w:b/>
                <w:i/>
              </w:rPr>
              <w:t>is ingenomen met de actieve rol van Servië bij het opsporen van alle</w:t>
            </w:r>
            <w:r>
              <w:t xml:space="preserve"> vermiste personen </w:t>
            </w:r>
            <w:r>
              <w:rPr>
                <w:b/>
                <w:i/>
              </w:rPr>
              <w:t>op het grondgebied van het voormalige Joegoslavië</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441</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24.</w:t>
            </w:r>
            <w:r>
              <w:tab/>
            </w:r>
            <w:r>
              <w:t>merkt op dat onopgeloste gevallen van vermiste personen nog steeds een ernstig probleem vormen; dringt er bij Servië op aan zijn verzoeningsinspanningen op te voeren en een actievere aanpak te hanteren, met name als het om vermiste personen gaat;</w:t>
            </w:r>
          </w:p>
        </w:tc>
        <w:tc>
          <w:tcPr>
            <w:tcW w:w="4876" w:type="dxa"/>
            <w:tcBorders>
              <w:top w:val="nil"/>
              <w:left w:val="nil"/>
              <w:bottom w:val="nil"/>
              <w:right w:val="nil"/>
            </w:tcBorders>
          </w:tcPr>
          <w:p>
            <w:pPr>
              <w:pStyle w:val="Normal6a"/>
            </w:pPr>
            <w:r>
              <w:t>24.</w:t>
            </w:r>
            <w:r>
              <w:tab/>
            </w:r>
            <w:r>
              <w:t xml:space="preserve">merkt op dat onopgeloste gevallen van vermiste personen nog steeds een ernstig probleem vormen </w:t>
            </w:r>
            <w:r>
              <w:rPr>
                <w:b/>
                <w:i/>
              </w:rPr>
              <w:t>die ook gevolgen hebben voor de onderlinge betrekkingen tussen de landen in de regio</w:t>
            </w:r>
            <w:r>
              <w:t>; dringt er bij Servië op aan zijn verzoeningsinspanningen op te voeren en een actievere aanpak te hanteren, met name als het om vermiste personen gaat;</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442</w:t>
      </w:r>
      <w:r>
        <w:rPr>
          <w:rStyle w:val="HideTWBExt"/>
        </w:rPr>
        <w:t>&lt;/NumAm&gt;</w:t>
      </w:r>
    </w:p>
    <w:p>
      <w:pPr>
        <w:pStyle w:val="NormalBold"/>
      </w:pPr>
      <w:r>
        <w:rPr>
          <w:rStyle w:val="HideTWBExt"/>
          <w:b w:val="0"/>
        </w:rPr>
        <w:t>&lt;RepeatBlock-By&gt;</w:t>
      </w:r>
      <w:r>
        <w:rPr>
          <w:rStyle w:val="HideTWBExt"/>
          <w:b w:val="0"/>
        </w:rPr>
        <w:t>&lt;Members&gt;</w:t>
      </w:r>
      <w:r>
        <w:t>Loucas Fourlas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24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24 bis.</w:t>
            </w:r>
            <w:r>
              <w:tab/>
            </w:r>
            <w:r>
              <w:rPr>
                <w:b/>
                <w:i/>
              </w:rPr>
              <w:t>uit zijn ernstige bezorgdheid over het besluit van de autoriteiten in Pristina om de patriarch van Servië, Zijne Heiligheid Porfirije, de toegang tot kerken in Kosovo en tot de historische zetel van het patriarchaat in Peć te ontzeggen; merkt op dat de kwestie aan de orde is gesteld door de voorzitter van de Delegatie van het Europees Parlement in het Parlementair Stabilisatie- en Associatiecomité EU-Servië, Loucas Fourlas, in een brief aan de voorzitters van de Europese instellingen, namelijk António Costa, Ursula von der Leyen en Roberta Metsola;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443</w:t>
      </w:r>
      <w:r>
        <w:rPr>
          <w:rStyle w:val="HideTWBExt"/>
        </w:rPr>
        <w:t>&lt;/NumAm&gt;</w:t>
      </w:r>
    </w:p>
    <w:p>
      <w:pPr>
        <w:pStyle w:val="NormalBold"/>
      </w:pPr>
      <w:r>
        <w:rPr>
          <w:rStyle w:val="HideTWBExt"/>
          <w:b w:val="0"/>
        </w:rPr>
        <w:t>&lt;RepeatBlock-By&gt;</w:t>
      </w:r>
      <w:r>
        <w:rPr>
          <w:rStyle w:val="HideTWBExt"/>
          <w:b w:val="0"/>
        </w:rPr>
        <w:t>&lt;Members&gt;</w:t>
      </w:r>
      <w:r>
        <w:t>Emmanouil Fragkos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24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24 bis.</w:t>
            </w:r>
            <w:r>
              <w:tab/>
            </w:r>
            <w:r>
              <w:rPr>
                <w:b/>
                <w:i/>
              </w:rPr>
              <w:t>neemt kennis van het feit dat Servië op defensiegebied samenwerkt met derde landen, waaronder in de vorm van importen van militair materieel uit Turkije;</w:t>
            </w:r>
            <w:r>
              <w:t xml:space="preserve"> </w:t>
            </w:r>
            <w:r>
              <w:rPr>
                <w:b/>
                <w:i/>
              </w:rPr>
              <w:t>benadrukt het belang van een geleidelijke afstemming op het gemeenschappelijk buitenlands en veiligheidsbeleid (GBVB) van de EU;</w:t>
            </w:r>
            <w:r>
              <w:t xml:space="preserve"> </w:t>
            </w:r>
            <w:r>
              <w:rPr>
                <w:b/>
                <w:i/>
              </w:rPr>
              <w:t>spoort Servië aan zijn afhankelijkheid van de levering van defensiematerieel uit Turkije te reduceren en zijn samenwerking met EU-lidstaten te vergroten, en voor grotere interoperabiliteit met de EU te zorgen;</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444</w:t>
      </w:r>
      <w:r>
        <w:rPr>
          <w:rStyle w:val="HideTWBExt"/>
        </w:rPr>
        <w:t>&lt;/NumAm&gt;</w:t>
      </w:r>
    </w:p>
    <w:p>
      <w:pPr>
        <w:pStyle w:val="NormalBold"/>
      </w:pPr>
      <w:r>
        <w:rPr>
          <w:rStyle w:val="HideTWBExt"/>
          <w:b w:val="0"/>
        </w:rPr>
        <w:t>&lt;RepeatBlock-By&gt;</w:t>
      </w:r>
      <w:r>
        <w:rPr>
          <w:rStyle w:val="HideTWBExt"/>
          <w:b w:val="0"/>
        </w:rPr>
        <w:t>&lt;Members&gt;</w:t>
      </w:r>
      <w:r>
        <w:t>Vladimir Prebilič</w:t>
      </w:r>
      <w:r>
        <w:rPr>
          <w:rStyle w:val="HideTWBExt"/>
          <w:b w:val="0"/>
        </w:rPr>
        <w:t>&lt;/Members&gt;</w:t>
      </w:r>
    </w:p>
    <w:p>
      <w:r>
        <w:rPr>
          <w:rStyle w:val="HideTWBExt"/>
          <w:b w:val="0"/>
        </w:rPr>
        <w:t>&lt;AuNomDe&gt;</w:t>
      </w:r>
      <w:r>
        <w:rPr>
          <w:rStyle w:val="HideTWBInt"/>
        </w:rPr>
        <w:t>{Verts/ALE}</w:t>
      </w:r>
      <w:r>
        <w:t>namens de Verts/ALE-Fractie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24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24 bis.</w:t>
            </w:r>
            <w:r>
              <w:tab/>
            </w:r>
            <w:r>
              <w:rPr>
                <w:b/>
                <w:i/>
              </w:rPr>
              <w:t>herhaalt zijn standpunt over het belang van het openstellen en publiceren van oorlogsarchieven en herhaalt zijn oproep om de archieven van het voormalige Joegoslavië open te stellen en met name toegang te waarborgen tot de dossiers van de voormalige Joegoslavische geheime dienst (UDBA) en de contra-inlichtingendienst van het Joegoslavische volksleger (KOS) en om de dossiers terug te geven aan de respectieve opvolgerstaten als zij daarom vragen;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445</w:t>
      </w:r>
      <w:r>
        <w:rPr>
          <w:rStyle w:val="HideTWBExt"/>
        </w:rPr>
        <w:t>&lt;/NumAm&gt;</w:t>
      </w:r>
    </w:p>
    <w:p>
      <w:pPr>
        <w:pStyle w:val="NormalBold"/>
      </w:pPr>
      <w:r>
        <w:rPr>
          <w:rStyle w:val="HideTWBExt"/>
          <w:b w:val="0"/>
        </w:rPr>
        <w:t>&lt;RepeatBlock-By&gt;</w:t>
      </w:r>
      <w:r>
        <w:rPr>
          <w:rStyle w:val="HideTWBExt"/>
          <w:b w:val="0"/>
        </w:rPr>
        <w:t>&lt;Members&gt;</w:t>
      </w:r>
      <w:r>
        <w:t>Tonino Picula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24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24 bis.</w:t>
            </w:r>
            <w:r>
              <w:tab/>
            </w:r>
            <w:r>
              <w:rPr>
                <w:b/>
                <w:i/>
              </w:rPr>
              <w:t>herhaalt zijn standpunt over het belang van het openstellen en publiceren van oorlogsarchieven en herhaalt zijn oproep om de archieven van het voormalige Joegoslavië open te stellen en met name toegang te verlenen tot de dossiers van de voormalige Joegoslavische geheime dienst (UDBA) en de contra-inlichtingendienst van het Joegoslavische volksleger (KOS) en om de dossiers terug te geven aan de respectieve regeringen als zij daarom vragen;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446</w:t>
      </w:r>
      <w:r>
        <w:rPr>
          <w:rStyle w:val="HideTWBExt"/>
        </w:rPr>
        <w:t>&lt;/NumAm&gt;</w:t>
      </w:r>
    </w:p>
    <w:p>
      <w:pPr>
        <w:pStyle w:val="NormalBold"/>
      </w:pPr>
      <w:r>
        <w:rPr>
          <w:rStyle w:val="HideTWBExt"/>
          <w:b w:val="0"/>
        </w:rPr>
        <w:t>&lt;RepeatBlock-By&gt;</w:t>
      </w:r>
      <w:r>
        <w:rPr>
          <w:rStyle w:val="HideTWBExt"/>
          <w:b w:val="0"/>
        </w:rPr>
        <w:t>&lt;Members&gt;</w:t>
      </w:r>
      <w:r>
        <w:t>Nathalie Loiseau, Dan Barna, Petras Auštrevičius,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24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24 bis.</w:t>
            </w:r>
            <w:r>
              <w:tab/>
            </w:r>
            <w:r>
              <w:rPr>
                <w:b/>
                <w:i/>
              </w:rPr>
              <w:t>stelt vast dat er in Servië nog steeds propagandamedia en -netwerken van het Kremlin, zoals RT en Sputnik, actief zijn;</w:t>
            </w:r>
            <w:r>
              <w:t xml:space="preserve"> </w:t>
            </w:r>
            <w:r>
              <w:rPr>
                <w:b/>
                <w:i/>
              </w:rPr>
              <w:t>herinnert eraan dat deze netwerken worden gebruikt om de Europese sancties tegen Rusland te omzeilen en het narratief van het Kremlin te verspreiden in de Westelijke Balkan en verder in Europa;</w:t>
            </w:r>
            <w:r>
              <w:t xml:space="preserve"> </w:t>
            </w:r>
            <w:r>
              <w:rPr>
                <w:b/>
                <w:i/>
              </w:rPr>
              <w:t>is bezorgd over het feit dat deze kanalen misbruik maken van grieven uit het verleden en de spanningen in de regio dreigen aan te wakkeren;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447</w:t>
      </w:r>
      <w:r>
        <w:rPr>
          <w:rStyle w:val="HideTWBExt"/>
        </w:rPr>
        <w:t>&lt;/NumAm&gt;</w:t>
      </w:r>
    </w:p>
    <w:p>
      <w:pPr>
        <w:pStyle w:val="NormalBold"/>
      </w:pPr>
      <w:r>
        <w:rPr>
          <w:rStyle w:val="HideTWBExt"/>
          <w:b w:val="0"/>
        </w:rPr>
        <w:t>&lt;RepeatBlock-By&gt;</w:t>
      </w:r>
      <w:r>
        <w:rPr>
          <w:rStyle w:val="HideTWBExt"/>
          <w:b w:val="0"/>
        </w:rPr>
        <w:t>&lt;Members&gt;</w:t>
      </w:r>
      <w:r>
        <w:t>Željana Zovko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24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24 bis.</w:t>
            </w:r>
            <w:r>
              <w:tab/>
            </w:r>
            <w:r>
              <w:rPr>
                <w:b/>
                <w:i/>
              </w:rPr>
              <w:t>herhaalt zijn oproep om de archieven met betrekking tot de voormalige republieken van Joegoslavië open te stellen en toegang te verlenen tot de dossiers van de voormalige Joegoslavische geheime dienst (UDBA) en de geheime dienst van het Joegoslavische volksleger (KOS), zodat misdaden uit het communistische tijdperk grondig kunnen worden onderzocht en aangepakt;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448</w:t>
      </w:r>
      <w:r>
        <w:rPr>
          <w:rStyle w:val="HideTWBExt"/>
        </w:rPr>
        <w:t>&lt;/NumAm&gt;</w:t>
      </w:r>
    </w:p>
    <w:p>
      <w:pPr>
        <w:pStyle w:val="NormalBold"/>
      </w:pPr>
      <w:r>
        <w:rPr>
          <w:rStyle w:val="HideTWBExt"/>
          <w:b w:val="0"/>
        </w:rPr>
        <w:t>&lt;RepeatBlock-By&gt;</w:t>
      </w:r>
      <w:r>
        <w:rPr>
          <w:rStyle w:val="HideTWBExt"/>
          <w:b w:val="0"/>
        </w:rPr>
        <w:t>&lt;Members&gt;</w:t>
      </w:r>
      <w:r>
        <w:t>Geadis Geadi, Galato Alexandraki, Nicolas Bay</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24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24 bis.</w:t>
            </w:r>
            <w:r>
              <w:tab/>
            </w:r>
            <w:r>
              <w:rPr>
                <w:b/>
                <w:i/>
              </w:rPr>
              <w:t>neemt, wat de dialoog met Pristina betreft, nota van de oprichting van de gezamenlijke commissie voor vermiste personen en de eerste vergadering daarvan op 22 januari 2026 in Brussel, met deelname van de Servische hoofdonderhandelaar;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449</w:t>
      </w:r>
      <w:r>
        <w:rPr>
          <w:rStyle w:val="HideTWBExt"/>
        </w:rPr>
        <w:t>&lt;/NumAm&gt;</w:t>
      </w:r>
    </w:p>
    <w:p>
      <w:pPr>
        <w:pStyle w:val="NormalBold"/>
      </w:pPr>
      <w:r>
        <w:rPr>
          <w:rStyle w:val="HideTWBExt"/>
          <w:b w:val="0"/>
        </w:rPr>
        <w:t>&lt;RepeatBlock-By&gt;</w:t>
      </w:r>
      <w:r>
        <w:rPr>
          <w:rStyle w:val="HideTWBExt"/>
          <w:b w:val="0"/>
        </w:rPr>
        <w:t>&lt;Members&gt;</w:t>
      </w:r>
      <w:r>
        <w:t>Željana Zovko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24 ter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24 ter.</w:t>
            </w:r>
            <w:r>
              <w:tab/>
            </w:r>
            <w:r>
              <w:rPr>
                <w:b/>
                <w:i/>
              </w:rPr>
              <w:t>verzoekt de Servische autoriteiten meer inspanningen te leveren om te zorgen voor een niet-discriminerende behandeling van nationale minderheden en actief onderzoek te doen naar door haat ingegeven misdrijven en de daders ervan te bestraffen;</w:t>
            </w:r>
            <w:r>
              <w:t xml:space="preserve"> </w:t>
            </w:r>
            <w:r>
              <w:rPr>
                <w:b/>
                <w:i/>
              </w:rPr>
              <w:t>roept Servië op ervoor te zorgen dat minderheidsgroepen gelijke kansen hebben en naar behoren worden vertegenwoordigd in het politieke en culturele leven, de publieke media, het openbaar bestuur en de rechterlijke macht;</w:t>
            </w:r>
            <w:r>
              <w:t xml:space="preserve"> </w:t>
            </w:r>
            <w:r>
              <w:rPr>
                <w:b/>
                <w:i/>
              </w:rPr>
              <w:t>roept Servië op het cultureel erfgoed en de talen en tradities van zijn nationale minderheden te beschermen en te bevorderen;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450</w:t>
      </w:r>
      <w:r>
        <w:rPr>
          <w:rStyle w:val="HideTWBExt"/>
        </w:rPr>
        <w:t>&lt;/NumAm&gt;</w:t>
      </w:r>
    </w:p>
    <w:p>
      <w:pPr>
        <w:pStyle w:val="NormalBold"/>
      </w:pPr>
      <w:r>
        <w:rPr>
          <w:rStyle w:val="HideTWBExt"/>
          <w:b w:val="0"/>
        </w:rPr>
        <w:t>&lt;RepeatBlock-By&gt;</w:t>
      </w:r>
      <w:r>
        <w:rPr>
          <w:rStyle w:val="HideTWBExt"/>
          <w:b w:val="0"/>
        </w:rPr>
        <w:t>&lt;Members&gt;</w:t>
      </w:r>
      <w:r>
        <w:t>Loucas Fourlas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24 ter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24 ter.</w:t>
            </w:r>
            <w:r>
              <w:tab/>
            </w:r>
            <w:r>
              <w:rPr>
                <w:b/>
                <w:i/>
              </w:rPr>
              <w:t>verzoekt de Europese Unie onmiddellijk actie te ondernemen door de nodige druk uit te oefenen op de autoriteiten van Kosovo, zodat de patriarch van Servië vrije toegang heeft tot de Heilige Kerken en zijn religieuze taken ongehinderd kan uitoefenen;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451</w:t>
      </w:r>
      <w:r>
        <w:rPr>
          <w:rStyle w:val="HideTWBExt"/>
        </w:rPr>
        <w:t>&lt;/NumAm&gt;</w:t>
      </w:r>
    </w:p>
    <w:p>
      <w:pPr>
        <w:pStyle w:val="NormalBold"/>
      </w:pPr>
      <w:r>
        <w:rPr>
          <w:rStyle w:val="HideTWBExt"/>
          <w:b w:val="0"/>
        </w:rPr>
        <w:t>&lt;RepeatBlock-By&gt;</w:t>
      </w:r>
      <w:r>
        <w:rPr>
          <w:rStyle w:val="HideTWBExt"/>
          <w:b w:val="0"/>
        </w:rPr>
        <w:t>&lt;Members&gt;</w:t>
      </w:r>
      <w:r>
        <w:t>Nathalie Loiseau, Dan Barna, Petras Auštrevičius,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24 ter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24 ter.</w:t>
            </w:r>
            <w:r>
              <w:tab/>
            </w:r>
            <w:r>
              <w:rPr>
                <w:b/>
                <w:i/>
              </w:rPr>
              <w:t>wijst erop dat er in Servië trainingskampen voor subversieve activiteiten worden georganiseerd, waar Russische burgers personen uit onder meer Moldavië en Servië opleiden om verkiezingen te verstoren, chaos te creëren en de openbare orde in Moldavië, Frankrijk en Duitsland te bedreigen;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452</w:t>
      </w:r>
      <w:r>
        <w:rPr>
          <w:rStyle w:val="HideTWBExt"/>
        </w:rPr>
        <w:t>&lt;/NumAm&gt;</w:t>
      </w:r>
    </w:p>
    <w:p>
      <w:pPr>
        <w:pStyle w:val="NormalBold"/>
      </w:pPr>
      <w:r>
        <w:rPr>
          <w:rStyle w:val="HideTWBExt"/>
          <w:b w:val="0"/>
        </w:rPr>
        <w:t>&lt;RepeatBlock-By&gt;</w:t>
      </w:r>
      <w:r>
        <w:rPr>
          <w:rStyle w:val="HideTWBExt"/>
          <w:b w:val="0"/>
        </w:rPr>
        <w:t>&lt;Members&gt;</w:t>
      </w:r>
      <w:r>
        <w:t>Geadis Geadi, Emmanouil Fragkos, Galato Alexandraki, Nicolas Bay</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24 ter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24 ter.</w:t>
            </w:r>
            <w:r>
              <w:tab/>
            </w:r>
            <w:r>
              <w:rPr>
                <w:b/>
                <w:i/>
              </w:rPr>
              <w:t>is ingenomen met de actieve rol van Servië bij het opsporen van alle vermiste personen op het grondgebied van het voormalige Joegoslavië;</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453</w:t>
      </w:r>
      <w:r>
        <w:rPr>
          <w:rStyle w:val="HideTWBExt"/>
        </w:rPr>
        <w:t>&lt;/NumAm&gt;</w:t>
      </w:r>
    </w:p>
    <w:p>
      <w:pPr>
        <w:pStyle w:val="NormalBold"/>
      </w:pPr>
      <w:r>
        <w:rPr>
          <w:rStyle w:val="HideTWBExt"/>
          <w:b w:val="0"/>
        </w:rPr>
        <w:t>&lt;RepeatBlock-By&gt;</w:t>
      </w:r>
      <w:r>
        <w:rPr>
          <w:rStyle w:val="HideTWBExt"/>
          <w:b w:val="0"/>
        </w:rPr>
        <w:t>&lt;Members&gt;</w:t>
      </w:r>
      <w:r>
        <w:t>Željana Zovko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24 quater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24 quater.</w:t>
            </w:r>
            <w:r>
              <w:tab/>
            </w:r>
            <w:r>
              <w:rPr>
                <w:b/>
                <w:i/>
              </w:rPr>
              <w:t>verzoekt de Servische regering ervoor te zorgen dat de Kroatische minderheid in Servië dezelfde rechten heeft als de Servische minderheid in Kroatië;</w:t>
            </w:r>
            <w:r>
              <w:t xml:space="preserve"> </w:t>
            </w:r>
            <w:r>
              <w:rPr>
                <w:b/>
                <w:i/>
              </w:rPr>
              <w:t>verzoekt Servië zich oprecht in te zetten voor het vinden van oplossingen voor onopgeloste kwesties met betrekking tot de status van de Kroatische minderheid in Servië, met name in de vorm van niet-discriminerend gebruik van de Kroatische taal op het gebied van onderwijs en openbaar bestuur en een specifieke mediaruimte, alsook eerbiediging van het Kroatisch cultureel erfgoed en de Kroatische tradities in Servië;</w:t>
            </w:r>
            <w:r>
              <w:t xml:space="preserve"> </w:t>
            </w:r>
            <w:r>
              <w:rPr>
                <w:b/>
                <w:i/>
              </w:rPr>
              <w:t>verzoekt de Servische regering het recht op onderwijs in de Kroatische taal, het aanbod van een specifieke mediaruimte, financiering en adequate voorzieningen voor de Kroatische gemeenschap te waarborgen;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454</w:t>
      </w:r>
      <w:r>
        <w:rPr>
          <w:rStyle w:val="HideTWBExt"/>
        </w:rPr>
        <w:t>&lt;/NumAm&gt;</w:t>
      </w:r>
    </w:p>
    <w:p>
      <w:pPr>
        <w:pStyle w:val="NormalBold"/>
      </w:pPr>
      <w:r>
        <w:rPr>
          <w:rStyle w:val="HideTWBExt"/>
          <w:b w:val="0"/>
        </w:rPr>
        <w:t>&lt;RepeatBlock-By&gt;</w:t>
      </w:r>
      <w:r>
        <w:rPr>
          <w:rStyle w:val="HideTWBExt"/>
          <w:b w:val="0"/>
        </w:rPr>
        <w:t>&lt;Members&gt;</w:t>
      </w:r>
      <w:r>
        <w:t>Tonino Picula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24 quater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24 quater.</w:t>
            </w:r>
            <w:r>
              <w:tab/>
            </w:r>
            <w:r>
              <w:rPr>
                <w:b/>
                <w:i/>
              </w:rPr>
              <w:t>roept de religieuze leiders van het land op om boodschappen uit te dragen die de goede nabuurschapsbetrekkingen en het begrip tussen de verschillende landen en religies in de regio bevorderen, en actief bij te dragen aan het voorkomen van een cultuur van confrontatie;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455</w:t>
      </w:r>
      <w:r>
        <w:rPr>
          <w:rStyle w:val="HideTWBExt"/>
        </w:rPr>
        <w:t>&lt;/NumAm&gt;</w:t>
      </w:r>
    </w:p>
    <w:p>
      <w:pPr>
        <w:pStyle w:val="NormalBold"/>
      </w:pPr>
      <w:r>
        <w:rPr>
          <w:rStyle w:val="HideTWBExt"/>
          <w:b w:val="0"/>
        </w:rPr>
        <w:t>&lt;RepeatBlock-By&gt;</w:t>
      </w:r>
      <w:r>
        <w:rPr>
          <w:rStyle w:val="HideTWBExt"/>
          <w:b w:val="0"/>
        </w:rPr>
        <w:t>&lt;Members&gt;</w:t>
      </w:r>
      <w:r>
        <w:t>Geadis Geadi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24 quater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24 quater.</w:t>
            </w:r>
            <w:r>
              <w:tab/>
            </w:r>
            <w:r>
              <w:rPr>
                <w:b/>
                <w:i/>
              </w:rPr>
              <w:t>neemt met voldoening kennis van zijn volledige en onwrikbare steun aan de Republiek Cyprus, een EU-lidstaat, bij haar inspanningen om een einde te maken aan de illegale Turkse bezetting van 37 % van haar grondgebied;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456</w:t>
      </w:r>
      <w:r>
        <w:rPr>
          <w:rStyle w:val="HideTWBExt"/>
        </w:rPr>
        <w:t>&lt;/NumAm&gt;</w:t>
      </w:r>
    </w:p>
    <w:p>
      <w:pPr>
        <w:pStyle w:val="NormalBold"/>
      </w:pPr>
      <w:r>
        <w:rPr>
          <w:rStyle w:val="HideTWBExt"/>
          <w:b w:val="0"/>
        </w:rPr>
        <w:t>&lt;RepeatBlock-By&gt;</w:t>
      </w:r>
      <w:r>
        <w:rPr>
          <w:rStyle w:val="HideTWBExt"/>
          <w:b w:val="0"/>
        </w:rPr>
        <w:t>&lt;Members&gt;</w:t>
      </w:r>
      <w:r>
        <w:t>Nathalie Loiseau, Petras Auštrevičius,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24 quater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24 quater.</w:t>
            </w:r>
            <w:r>
              <w:tab/>
            </w:r>
            <w:r>
              <w:rPr>
                <w:b/>
                <w:i/>
              </w:rPr>
              <w:t>is van mening dat de Servische regering, door geen maatregelen te nemen om deze activiteiten te voorkomen, een medeplichtige is van de Russische regering;</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457</w:t>
      </w:r>
      <w:r>
        <w:rPr>
          <w:rStyle w:val="HideTWBExt"/>
        </w:rPr>
        <w:t>&lt;/NumAm&gt;</w:t>
      </w:r>
    </w:p>
    <w:p>
      <w:pPr>
        <w:pStyle w:val="NormalBold"/>
      </w:pPr>
      <w:r>
        <w:rPr>
          <w:rStyle w:val="HideTWBExt"/>
          <w:b w:val="0"/>
        </w:rPr>
        <w:t>&lt;RepeatBlock-By&gt;</w:t>
      </w:r>
      <w:r>
        <w:rPr>
          <w:rStyle w:val="HideTWBExt"/>
          <w:b w:val="0"/>
        </w:rPr>
        <w:t>&lt;Members&gt;</w:t>
      </w:r>
      <w:r>
        <w:t>Željana Zovko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24 quinquies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24 quinquies.</w:t>
            </w:r>
            <w:r>
              <w:tab/>
            </w:r>
            <w:r>
              <w:rPr>
                <w:b/>
                <w:i/>
              </w:rPr>
              <w:t>betreurt de acties van Servië, waarbij het zich het cultureel erfgoed en de oorsprong van de literaire traditie van Kroatië toe-eigent en de status van de Kroatische taal ter discussie stelt;</w:t>
            </w:r>
            <w:r>
              <w:t xml:space="preserve"> </w:t>
            </w:r>
            <w:r>
              <w:rPr>
                <w:b/>
                <w:i/>
              </w:rPr>
              <w:t>verzoekt Servië een positief klimaat voor onderwijs in minderheidstalen te creëren, en betreurt de schending van minderheidsrechten in dit verband;</w:t>
            </w:r>
            <w:r>
              <w:t xml:space="preserve"> </w:t>
            </w:r>
            <w:r>
              <w:rPr>
                <w:b/>
                <w:i/>
              </w:rPr>
              <w:t>verzoekt de bevoegde autoriteiten ervoor te zorgen dat belemmeringen die de werking van onderwijsinstellingen in de Kroatische taal in de weg staan, onmiddellijk worden weggenomen, en de Kroatische minderheid, in overeenstemming met de fundamentele rechten van minderheden, gelijke en niet-discriminerende toegang tot onderwijs te bieden;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458</w:t>
      </w:r>
      <w:r>
        <w:rPr>
          <w:rStyle w:val="HideTWBExt"/>
        </w:rPr>
        <w:t>&lt;/NumAm&gt;</w:t>
      </w:r>
    </w:p>
    <w:p>
      <w:pPr>
        <w:pStyle w:val="NormalBold"/>
      </w:pPr>
      <w:r>
        <w:rPr>
          <w:rStyle w:val="HideTWBExt"/>
          <w:b w:val="0"/>
        </w:rPr>
        <w:t>&lt;RepeatBlock-By&gt;</w:t>
      </w:r>
      <w:r>
        <w:rPr>
          <w:rStyle w:val="HideTWBExt"/>
          <w:b w:val="0"/>
        </w:rPr>
        <w:t>&lt;Members&gt;</w:t>
      </w:r>
      <w:r>
        <w:t>Nathalie Loiseau, Dan Barna, Petras Auštrevičius,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24 quinquies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24 quinquies.</w:t>
            </w:r>
            <w:r>
              <w:tab/>
            </w:r>
            <w:r>
              <w:rPr>
                <w:b/>
                <w:i/>
              </w:rPr>
              <w:t>herhaalt dat Servië de transparantie met betrekking tot het onderzoek van buitenlandse directe investeringen moet versterken;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459</w:t>
      </w:r>
      <w:r>
        <w:rPr>
          <w:rStyle w:val="HideTWBExt"/>
        </w:rPr>
        <w:t>&lt;/NumAm&gt;</w:t>
      </w:r>
    </w:p>
    <w:p>
      <w:pPr>
        <w:pStyle w:val="NormalBold"/>
      </w:pPr>
      <w:r>
        <w:rPr>
          <w:rStyle w:val="HideTWBExt"/>
          <w:b w:val="0"/>
        </w:rPr>
        <w:t>&lt;RepeatBlock-By&gt;</w:t>
      </w:r>
      <w:r>
        <w:rPr>
          <w:rStyle w:val="HideTWBExt"/>
          <w:b w:val="0"/>
        </w:rPr>
        <w:t>&lt;Members&gt;</w:t>
      </w:r>
      <w:r>
        <w:t>Željana Zovko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24 sexies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24 sexies.</w:t>
            </w:r>
            <w:r>
              <w:tab/>
            </w:r>
            <w:r>
              <w:rPr>
                <w:b/>
                <w:i/>
              </w:rPr>
              <w:t>waarschuwt dat ontoereikende financiering van minderheidsgemeenschappen de doeltreffende uitoefening van belangrijke minderheidsrechten, waaronder het recht op onderwijs, cultuur, toegang tot informatie en het officiële gebruik van taal en schrift, ondermijnt;</w:t>
            </w:r>
            <w:r>
              <w:t xml:space="preserve"> </w:t>
            </w:r>
            <w:r>
              <w:rPr>
                <w:b/>
                <w:i/>
              </w:rPr>
              <w:t>benadrukt dat zonder toereikende financiële middelen de normale werking van de nationale raden voor minderheden in gevaar wordt gebracht, waardoor de effectieve vertegenwoordiging wordt beperkt;</w:t>
            </w:r>
            <w:r>
              <w:t xml:space="preserve"> </w:t>
            </w:r>
            <w:r>
              <w:rPr>
                <w:b/>
                <w:i/>
              </w:rPr>
              <w:t>verzoekt de Servische autoriteiten adequate en duurzame financiering te waarborgen en doortastende maatregelen te nemen om haatzaaiende uitlatingen tegen Kroaten aan te pakken en te veroordelen, in overeenstemming met de Europese normen inzake de bescherming van minderheden en de grondrechten;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460</w:t>
      </w:r>
      <w:r>
        <w:rPr>
          <w:rStyle w:val="HideTWBExt"/>
        </w:rPr>
        <w:t>&lt;/NumAm&gt;</w:t>
      </w:r>
    </w:p>
    <w:p>
      <w:pPr>
        <w:pStyle w:val="NormalBold"/>
      </w:pPr>
      <w:r>
        <w:rPr>
          <w:rStyle w:val="HideTWBExt"/>
          <w:b w:val="0"/>
        </w:rPr>
        <w:t>&lt;RepeatBlock-By&gt;</w:t>
      </w:r>
      <w:r>
        <w:rPr>
          <w:rStyle w:val="HideTWBExt"/>
          <w:b w:val="0"/>
        </w:rPr>
        <w:t>&lt;Members&gt;</w:t>
      </w:r>
      <w:r>
        <w:t>Nathalie Loiseau, Dan Barna, Petras Auštrevičius,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24 sexies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24 sexies.</w:t>
            </w:r>
            <w:r>
              <w:tab/>
            </w:r>
            <w:r>
              <w:rPr>
                <w:b/>
                <w:i/>
              </w:rPr>
              <w:t>neemt met grote bezorgdheid kennis van de voorselectie van Dmitry Iordanidi, een persoon die banden heeft met de Russische inlichtingendiensten en die eerder België was uitgezet, om de OVSE-missie in Servië te leiden;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461</w:t>
      </w:r>
      <w:r>
        <w:rPr>
          <w:rStyle w:val="HideTWBExt"/>
        </w:rPr>
        <w:t>&lt;/NumAm&gt;</w:t>
      </w:r>
    </w:p>
    <w:p>
      <w:pPr>
        <w:pStyle w:val="NormalBold"/>
      </w:pPr>
      <w:r>
        <w:rPr>
          <w:rStyle w:val="HideTWBExt"/>
          <w:b w:val="0"/>
        </w:rPr>
        <w:t>&lt;RepeatBlock-By&gt;</w:t>
      </w:r>
      <w:r>
        <w:rPr>
          <w:rStyle w:val="HideTWBExt"/>
          <w:b w:val="0"/>
        </w:rPr>
        <w:t>&lt;Members&gt;</w:t>
      </w:r>
      <w:r>
        <w:t>Željana Zovko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24 septies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24 septies.</w:t>
            </w:r>
            <w:r>
              <w:tab/>
            </w:r>
            <w:r>
              <w:rPr>
                <w:b/>
                <w:i/>
              </w:rPr>
              <w:t>dringt erop aan dat openstaande kwesties met betrekking tot de positie van Kroaten en de katholieke kerk worden aangepakt, met inbegrip van inspanningen om belangrijke instellingen die een belangrijke rol spelen bij de ondersteuning van de katholieke gemeenschap en het behoud van de Kroatische nationale identiteit nieuw leven in te blazen, in overeenstemming met de Europese normen inzake de rechten van minderheden en de bescherming van cultureel erfgoed;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462</w:t>
      </w:r>
      <w:r>
        <w:rPr>
          <w:rStyle w:val="HideTWBExt"/>
        </w:rPr>
        <w:t>&lt;/NumAm&gt;</w:t>
      </w:r>
    </w:p>
    <w:p>
      <w:pPr>
        <w:pStyle w:val="NormalBold"/>
      </w:pPr>
      <w:r>
        <w:rPr>
          <w:rStyle w:val="HideTWBExt"/>
          <w:b w:val="0"/>
        </w:rPr>
        <w:t>&lt;RepeatBlock-By&gt;</w:t>
      </w:r>
      <w:r>
        <w:rPr>
          <w:rStyle w:val="HideTWBExt"/>
          <w:b w:val="0"/>
        </w:rPr>
        <w:t>&lt;Members&gt;</w:t>
      </w:r>
      <w:r>
        <w:t>Hans Neuhoff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25.</w:t>
            </w:r>
            <w:r>
              <w:tab/>
            </w:r>
            <w:r>
              <w:rPr>
                <w:b/>
                <w:i/>
              </w:rPr>
              <w:t>herinnert eraan dat steun uit het hervormings- en groeiplan afhankelijk is van de eerbiediging van doeltreffende democratische mechanismen, waaronder een parlementair meerpartijenstelsel, vrije en eerlijke verkiezingen, pluralistische media, een onafhankelijke rechterlijke macht, de rechtsstaat en de naleving van alle verplichtingen op het gebied van de mensenrechten;</w:t>
            </w:r>
            <w:r>
              <w:t xml:space="preserve"> </w:t>
            </w:r>
            <w:r>
              <w:rPr>
                <w:b/>
                <w:i/>
              </w:rPr>
              <w:t>stelt met bezorgdheid vast dat de Commissie in januari 2026 desondanks haar goedkeuring heeft gehecht aan de eerste vrijgave van middelen aan Servië in het kader van de hervormings- en groeifaciliteit voor de Westelijke Balkan;</w:t>
            </w:r>
            <w:r>
              <w:t xml:space="preserve"> </w:t>
            </w:r>
            <w:r>
              <w:rPr>
                <w:b/>
                <w:i/>
              </w:rPr>
              <w:t>verzoekt de Commissie om uitleg hoe aan de voorwaarden is voldaan;</w:t>
            </w:r>
          </w:p>
        </w:tc>
        <w:tc>
          <w:tcPr>
            <w:tcW w:w="4876" w:type="dxa"/>
            <w:tcBorders>
              <w:top w:val="nil"/>
              <w:left w:val="nil"/>
              <w:bottom w:val="nil"/>
              <w:right w:val="nil"/>
            </w:tcBorders>
          </w:tcPr>
          <w:p>
            <w:pPr>
              <w:pStyle w:val="Normal6a"/>
            </w:pPr>
            <w:r>
              <w:rPr>
                <w:b/>
                <w:i/>
              </w:rPr>
              <w:t>Schrappen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463</w:t>
      </w:r>
      <w:r>
        <w:rPr>
          <w:rStyle w:val="HideTWBExt"/>
        </w:rPr>
        <w:t>&lt;/NumAm&gt;</w:t>
      </w:r>
    </w:p>
    <w:p>
      <w:pPr>
        <w:pStyle w:val="NormalBold"/>
      </w:pPr>
      <w:r>
        <w:rPr>
          <w:rStyle w:val="HideTWBExt"/>
          <w:b w:val="0"/>
        </w:rPr>
        <w:t>&lt;RepeatBlock-By&gt;</w:t>
      </w:r>
      <w:r>
        <w:rPr>
          <w:rStyle w:val="HideTWBExt"/>
          <w:b w:val="0"/>
        </w:rPr>
        <w:t>&lt;Members&gt;</w:t>
      </w:r>
      <w:r>
        <w:t>Tonino Picula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25.</w:t>
            </w:r>
            <w:r>
              <w:tab/>
            </w:r>
            <w:r>
              <w:t>herinnert eraan dat steun uit het hervormings- en groeiplan afhankelijk is van de eerbiediging van doeltreffende democratische mechanismen, waaronder een parlementair meerpartijenstelsel, vrije en eerlijke verkiezingen, pluralistische media, een onafhankelijke rechterlijke macht, de rechtsstaat en de naleving van alle verplichtingen op het gebied van de mensenrechten; stelt met bezorgdheid vast dat de Commissie in januari 2026 desondanks haar goedkeuring heeft gehecht aan de eerste vrijgave van middelen aan Servië in het kader van de hervormings- en groeifaciliteit voor de Westelijke Balkan; verzoekt de Commissie om uitleg hoe aan de voorwaarden is voldaan;</w:t>
            </w:r>
          </w:p>
        </w:tc>
        <w:tc>
          <w:tcPr>
            <w:tcW w:w="4876" w:type="dxa"/>
            <w:tcBorders>
              <w:top w:val="nil"/>
              <w:left w:val="nil"/>
              <w:bottom w:val="nil"/>
              <w:right w:val="nil"/>
            </w:tcBorders>
          </w:tcPr>
          <w:p>
            <w:pPr>
              <w:pStyle w:val="Normal6a"/>
            </w:pPr>
            <w:r>
              <w:t>25.</w:t>
            </w:r>
            <w:r>
              <w:tab/>
            </w:r>
            <w:r>
              <w:t>herinnert eraan dat steun uit het hervormings- en groeiplan afhankelijk is van de eerbiediging van doeltreffende democratische mechanismen, waaronder een parlementair meerpartijenstelsel, vrije en eerlijke verkiezingen, pluralistische media, een onafhankelijke rechterlijke macht, de rechtsstaat en de naleving van alle verplichtingen op het gebied van de mensenrechten</w:t>
            </w:r>
            <w:r>
              <w:rPr>
                <w:b/>
                <w:i/>
              </w:rPr>
              <w:t>, alsook constructieve betrokkenheid bij de normalisering van de betrekkingen met Kosovo</w:t>
            </w:r>
            <w:r>
              <w:t xml:space="preserve">; stelt met bezorgdheid vast dat de Commissie in januari 2026 desondanks haar goedkeuring heeft gehecht aan de eerste vrijgave van middelen aan Servië in het kader van de hervormings- en groeifaciliteit voor de Westelijke Balkan; verzoekt de Commissie om uitleg hoe aan de voorwaarden is voldaan; </w:t>
            </w:r>
            <w:r>
              <w:rPr>
                <w:b/>
                <w:i/>
              </w:rPr>
              <w:t>is van mening dat de Europese financiering de democratische hervormingen van het land beter moeten ondersteunen;</w:t>
            </w:r>
            <w:r>
              <w:t xml:space="preserve"> </w:t>
            </w:r>
            <w:r>
              <w:rPr>
                <w:b/>
                <w:i/>
              </w:rPr>
              <w:t>dringt in die context aan op de herprogrammering van de desbetreffende bestaande en toekomstige EU-financiering om meer middelen te herbestemmen voor de ondersteuning van justitiële hervormingen en corruptiebestrijdingsmaatregelen;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464</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25.</w:t>
            </w:r>
            <w:r>
              <w:tab/>
            </w:r>
            <w:r>
              <w:t>herinnert eraan dat steun uit het hervormings- en groeiplan afhankelijk is van de eerbiediging van doeltreffende democratische mechanismen, waaronder een parlementair meerpartijenstelsel, vrije en eerlijke verkiezingen, pluralistische media, een onafhankelijke rechterlijke macht, de rechtsstaat en de naleving van alle verplichtingen op het gebied van de mensenrechten; stelt met bezorgdheid vast dat de Commissie in januari 2026 desondanks haar goedkeuring heeft gehecht aan de eerste vrijgave van middelen aan Servië in het kader van de hervormings- en groeifaciliteit voor de Westelijke Balkan; verzoekt de Commissie om uitleg hoe aan de voorwaarden is voldaan;</w:t>
            </w:r>
          </w:p>
        </w:tc>
        <w:tc>
          <w:tcPr>
            <w:tcW w:w="4876" w:type="dxa"/>
            <w:tcBorders>
              <w:top w:val="nil"/>
              <w:left w:val="nil"/>
              <w:bottom w:val="nil"/>
              <w:right w:val="nil"/>
            </w:tcBorders>
          </w:tcPr>
          <w:p>
            <w:pPr>
              <w:pStyle w:val="Normal6a"/>
            </w:pPr>
            <w:r>
              <w:t>25.</w:t>
            </w:r>
            <w:r>
              <w:tab/>
            </w:r>
            <w:r>
              <w:t>herinnert eraan dat steun uit het hervormings- en groeiplan afhankelijk is van de eerbiediging van doeltreffende democratische mechanismen, waaronder een parlementair meerpartijenstelsel, vrije en eerlijke verkiezingen, pluralistische media, een onafhankelijke rechterlijke macht, de rechtsstaat en de naleving van alle verplichtingen op het gebied van de mensenrechten</w:t>
            </w:r>
            <w:r>
              <w:rPr>
                <w:b/>
                <w:i/>
              </w:rPr>
              <w:t>, waaraan in het geval van Servië duidelijk niet op de vereiste wijze is voldaan</w:t>
            </w:r>
            <w:r>
              <w:t xml:space="preserve">; stelt met bezorgdheid vast dat de Commissie in januari 2026 desondanks haar goedkeuring heeft gehecht aan de eerste vrijgave van middelen aan Servië in het kader van de hervormings- en groeifaciliteit voor de Westelijke Balkan; verzoekt de Commissie om uitleg hoe aan de voorwaarden is voldaan; </w:t>
            </w:r>
            <w:r>
              <w:rPr>
                <w:b/>
                <w:i/>
              </w:rPr>
              <w:t>is van mening dat de aan Servië toegekende middelen een volstrekt verkeerd signaal afgeven aan andere landen die het EU-lidmaatschap nastreven, namelijk dat het mogelijk is EU-middelen te verkrijgen zonder daadwerkelijke vooruitgang te boeken bij de hervormingen die op het pad naar het EU-lidmaatschap vereist zijn;</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465</w:t>
      </w:r>
      <w:r>
        <w:rPr>
          <w:rStyle w:val="HideTWBExt"/>
        </w:rPr>
        <w:t>&lt;/NumAm&gt;</w:t>
      </w:r>
    </w:p>
    <w:p>
      <w:pPr>
        <w:pStyle w:val="NormalBold"/>
      </w:pPr>
      <w:r>
        <w:rPr>
          <w:rStyle w:val="HideTWBExt"/>
          <w:b w:val="0"/>
        </w:rPr>
        <w:t>&lt;RepeatBlock-By&gt;</w:t>
      </w:r>
      <w:r>
        <w:rPr>
          <w:rStyle w:val="HideTWBExt"/>
          <w:b w:val="0"/>
        </w:rPr>
        <w:t>&lt;Members&gt;</w:t>
      </w:r>
      <w:r>
        <w:t>Danilo Della Valle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25.</w:t>
            </w:r>
            <w:r>
              <w:tab/>
            </w:r>
            <w:r>
              <w:t>herinnert eraan dat steun uit het hervormings- en groeiplan afhankelijk is van de eerbiediging van doeltreffende democratische mechanismen, waaronder een parlementair meerpartijenstelsel, vrije en eerlijke verkiezingen, pluralistische media, een onafhankelijke rechterlijke macht, de rechtsstaat en de naleving van alle verplichtingen op het gebied van de mensenrechten; stelt met bezorgdheid vast dat de Commissie in januari 2026 desondanks haar goedkeuring heeft gehecht aan de eerste vrijgave van middelen aan Servië in het kader van de hervormings- en groeifaciliteit voor de Westelijke Balkan; verzoekt de Commissie om uitleg hoe aan de voorwaarden is voldaan;</w:t>
            </w:r>
          </w:p>
        </w:tc>
        <w:tc>
          <w:tcPr>
            <w:tcW w:w="4876" w:type="dxa"/>
            <w:tcBorders>
              <w:top w:val="nil"/>
              <w:left w:val="nil"/>
              <w:bottom w:val="nil"/>
              <w:right w:val="nil"/>
            </w:tcBorders>
          </w:tcPr>
          <w:p>
            <w:pPr>
              <w:pStyle w:val="Normal6a"/>
            </w:pPr>
            <w:r>
              <w:t>25.</w:t>
            </w:r>
            <w:r>
              <w:tab/>
            </w:r>
            <w:r>
              <w:t xml:space="preserve">herinnert eraan dat steun uit het hervormings- en groeiplan afhankelijk is van de eerbiediging van doeltreffende democratische mechanismen, waaronder een parlementair meerpartijenstelsel, vrije en eerlijke verkiezingen, pluralistische media, een onafhankelijke rechterlijke macht, de rechtsstaat en de naleving van alle verplichtingen op het gebied van de mensenrechten; stelt met bezorgdheid vast dat de Commissie in januari 2026 desondanks haar goedkeuring heeft gehecht aan de eerste vrijgave van middelen aan Servië in het kader van de hervormings- en groeifaciliteit voor de Westelijke Balkan; verzoekt de Commissie om uitleg hoe aan de voorwaarden is voldaan; </w:t>
            </w:r>
            <w:r>
              <w:rPr>
                <w:b/>
                <w:i/>
              </w:rPr>
              <w:t>verzoekt Servië zijn arbeidswetgeving te wijzigen om te zorgen voor volledige overeenstemming met het Europees Sociaal Handvest wat betreft de maximale arbeidstijd, met name door de regels af te schaffen die toestaan dat de wekelijkse arbeidstijd 60 uur bedraagt voor chauffeurs in het wegvervoer en 84 uur voor werknemers in de binnenvaart;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466</w:t>
      </w:r>
      <w:r>
        <w:rPr>
          <w:rStyle w:val="HideTWBExt"/>
        </w:rPr>
        <w:t>&lt;/NumAm&gt;</w:t>
      </w:r>
    </w:p>
    <w:p>
      <w:pPr>
        <w:pStyle w:val="NormalBold"/>
      </w:pPr>
      <w:r>
        <w:rPr>
          <w:rStyle w:val="HideTWBExt"/>
          <w:b w:val="0"/>
        </w:rPr>
        <w:t>&lt;RepeatBlock-By&gt;</w:t>
      </w:r>
      <w:r>
        <w:rPr>
          <w:rStyle w:val="HideTWBExt"/>
          <w:b w:val="0"/>
        </w:rPr>
        <w:t>&lt;Members&gt;</w:t>
      </w:r>
      <w:r>
        <w:t>Mircea-Gheorghe Hava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25.</w:t>
            </w:r>
            <w:r>
              <w:tab/>
            </w:r>
            <w:r>
              <w:t xml:space="preserve">herinnert eraan dat steun uit het hervormings- en groeiplan afhankelijk is van de eerbiediging van doeltreffende democratische mechanismen, waaronder een parlementair meerpartijenstelsel, vrije en eerlijke verkiezingen, pluralistische media, een onafhankelijke rechterlijke macht, de rechtsstaat en de naleving van </w:t>
            </w:r>
            <w:r>
              <w:rPr>
                <w:b/>
                <w:i/>
              </w:rPr>
              <w:t>alle</w:t>
            </w:r>
            <w:r>
              <w:t xml:space="preserve"> verplichtingen op het gebied van de mensenrechten; stelt met bezorgdheid vast dat de Commissie in januari 2026 </w:t>
            </w:r>
            <w:r>
              <w:rPr>
                <w:b/>
                <w:i/>
              </w:rPr>
              <w:t>desondanks</w:t>
            </w:r>
            <w:r>
              <w:t xml:space="preserve"> haar goedkeuring heeft gehecht aan de eerste vrijgave van middelen aan Servië in het kader van de hervormings- en groeifaciliteit voor de Westelijke Balkan; verzoekt de Commissie </w:t>
            </w:r>
            <w:r>
              <w:rPr>
                <w:b/>
                <w:i/>
              </w:rPr>
              <w:t>om uitleg hoe</w:t>
            </w:r>
            <w:r>
              <w:t xml:space="preserve"> aan de voorwaarden is voldaan;</w:t>
            </w:r>
          </w:p>
        </w:tc>
        <w:tc>
          <w:tcPr>
            <w:tcW w:w="4876" w:type="dxa"/>
            <w:tcBorders>
              <w:top w:val="nil"/>
              <w:left w:val="nil"/>
              <w:bottom w:val="nil"/>
              <w:right w:val="nil"/>
            </w:tcBorders>
          </w:tcPr>
          <w:p>
            <w:pPr>
              <w:pStyle w:val="Normal6a"/>
            </w:pPr>
            <w:r>
              <w:t>25.</w:t>
            </w:r>
            <w:r>
              <w:tab/>
            </w:r>
            <w:r>
              <w:t xml:space="preserve">herinnert eraan dat steun uit het hervormings- en groeiplan afhankelijk is van de eerbiediging van doeltreffende democratische mechanismen, waaronder een parlementair meerpartijenstelsel, vrije en eerlijke verkiezingen, pluralistische media, een onafhankelijke rechterlijke macht, de rechtsstaat en de naleving van verplichtingen op het gebied van de mensenrechten; stelt met bezorgdheid vast dat de Commissie in januari 2026 haar goedkeuring heeft gehecht aan de eerste vrijgave van middelen aan Servië in het kader van de hervormings- en groeifaciliteit voor de Westelijke Balkan; verzoekt de Commissie </w:t>
            </w:r>
            <w:r>
              <w:rPr>
                <w:b/>
                <w:i/>
              </w:rPr>
              <w:t>onverwijld een gedetailleerde en controleerbare motivering te publiceren waarin wordt aangetoond dat</w:t>
            </w:r>
            <w:r>
              <w:t xml:space="preserve"> aan de voorwaarden is voldaan</w:t>
            </w:r>
            <w:r>
              <w:rPr>
                <w:b/>
                <w:i/>
              </w:rPr>
              <w:t>, onder meer wat betreft de rechtsstaat, mediavrijheid, het functioneren van democratische instellingen en vooruitgang bij de normalisering van de betrekkingen met Kosovo, alsook wat betreft waarborgen tegen fraude, corruptie en belangenconflicten</w:t>
            </w:r>
            <w:r>
              <w:t>;</w:t>
            </w:r>
          </w:p>
        </w:tc>
      </w:tr>
    </w:tbl>
    <w:p>
      <w:pPr>
        <w:pStyle w:val="AmOrLang"/>
      </w:pPr>
      <w:r>
        <w:t xml:space="preserve">Or. </w:t>
      </w:r>
      <w:r>
        <w:rPr>
          <w:rStyle w:val="HideTWBExt"/>
        </w:rPr>
        <w:t>&lt;Original&gt;</w:t>
      </w:r>
      <w:r>
        <w:rPr>
          <w:rStyle w:val="HideTWBInt"/>
        </w:rPr>
        <w:t>{RO}</w:t>
      </w:r>
      <w:r>
        <w:t>ro</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467</w:t>
      </w:r>
      <w:r>
        <w:rPr>
          <w:rStyle w:val="HideTWBExt"/>
        </w:rPr>
        <w:t>&lt;/NumAm&gt;</w:t>
      </w:r>
    </w:p>
    <w:p>
      <w:pPr>
        <w:pStyle w:val="NormalBold"/>
      </w:pPr>
      <w:r>
        <w:rPr>
          <w:rStyle w:val="HideTWBExt"/>
          <w:b w:val="0"/>
        </w:rPr>
        <w:t>&lt;RepeatBlock-By&gt;</w:t>
      </w:r>
      <w:r>
        <w:rPr>
          <w:rStyle w:val="HideTWBExt"/>
          <w:b w:val="0"/>
        </w:rPr>
        <w:t>&lt;Members&gt;</w:t>
      </w:r>
      <w:r>
        <w:t>Emmanouil Kefalogiannis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25.</w:t>
            </w:r>
            <w:r>
              <w:tab/>
            </w:r>
            <w:r>
              <w:t xml:space="preserve">herinnert eraan dat steun uit het hervormings- en groeiplan afhankelijk is van de eerbiediging van doeltreffende democratische mechanismen, waaronder een parlementair meerpartijenstelsel, vrije en eerlijke verkiezingen, pluralistische media, een onafhankelijke rechterlijke macht, de rechtsstaat en de naleving van alle verplichtingen op het gebied van de mensenrechten; </w:t>
            </w:r>
            <w:r>
              <w:rPr>
                <w:b/>
                <w:i/>
              </w:rPr>
              <w:t>stelt met bezorgdheid vast dat</w:t>
            </w:r>
            <w:r>
              <w:t xml:space="preserve"> de Commissie </w:t>
            </w:r>
            <w:r>
              <w:rPr>
                <w:b/>
                <w:i/>
              </w:rPr>
              <w:t>in januari 2026 desondanks haar goedkeuring heeft gehecht aan de eerste vrijgave van</w:t>
            </w:r>
            <w:r>
              <w:t xml:space="preserve"> middelen aan Servië in het kader van de hervormings- en groeifaciliteit voor de Westelijke Balkan; </w:t>
            </w:r>
            <w:r>
              <w:rPr>
                <w:b/>
                <w:i/>
              </w:rPr>
              <w:t>verzoekt</w:t>
            </w:r>
            <w:r>
              <w:t xml:space="preserve"> de Commissie </w:t>
            </w:r>
            <w:r>
              <w:rPr>
                <w:b/>
                <w:i/>
              </w:rPr>
              <w:t>om uitleg hoe aan de voorwaarden is voldaan</w:t>
            </w:r>
            <w:r>
              <w:t>;</w:t>
            </w:r>
          </w:p>
        </w:tc>
        <w:tc>
          <w:tcPr>
            <w:tcW w:w="4876" w:type="dxa"/>
            <w:tcBorders>
              <w:top w:val="nil"/>
              <w:left w:val="nil"/>
              <w:bottom w:val="nil"/>
              <w:right w:val="nil"/>
            </w:tcBorders>
          </w:tcPr>
          <w:p>
            <w:pPr>
              <w:pStyle w:val="Normal6a"/>
            </w:pPr>
            <w:r>
              <w:t>25.</w:t>
            </w:r>
            <w:r>
              <w:tab/>
            </w:r>
            <w:r>
              <w:t xml:space="preserve">herinnert eraan dat steun uit het hervormings- en groeiplan afhankelijk is van de eerbiediging van doeltreffende democratische mechanismen, waaronder een parlementair meerpartijenstelsel, vrije en eerlijke verkiezingen, pluralistische media, een onafhankelijke rechterlijke macht, de rechtsstaat en de naleving van alle verplichtingen op het gebied van de mensenrechten; </w:t>
            </w:r>
            <w:r>
              <w:rPr>
                <w:b/>
                <w:i/>
              </w:rPr>
              <w:t>verzoekt</w:t>
            </w:r>
            <w:r>
              <w:t xml:space="preserve"> de Commissie </w:t>
            </w:r>
            <w:r>
              <w:rPr>
                <w:b/>
                <w:i/>
              </w:rPr>
              <w:t>ervoor te zorgen dat aan deze voorwaarden is voldaan wanneer zij onderzoekt of er</w:t>
            </w:r>
            <w:r>
              <w:t xml:space="preserve"> middelen aan Servië </w:t>
            </w:r>
            <w:r>
              <w:rPr>
                <w:b/>
                <w:i/>
              </w:rPr>
              <w:t>kunnen worden vrijgegeven</w:t>
            </w:r>
            <w:r>
              <w:t xml:space="preserve"> in het kader van de hervormings- en groeifaciliteit voor de Westelijke Balkan; </w:t>
            </w:r>
            <w:r>
              <w:rPr>
                <w:b/>
                <w:i/>
              </w:rPr>
              <w:t>benadrukt dat het beter zou zijn om de nadruk te leggen op de toekomst, in plaats van de evaluatie van</w:t>
            </w:r>
            <w:r>
              <w:t xml:space="preserve"> de Commissie </w:t>
            </w:r>
            <w:r>
              <w:rPr>
                <w:b/>
                <w:i/>
              </w:rPr>
              <w:t>in januari 2026 te bekritiseren</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468</w:t>
      </w:r>
      <w:r>
        <w:rPr>
          <w:rStyle w:val="HideTWBExt"/>
        </w:rPr>
        <w:t>&lt;/NumAm&gt;</w:t>
      </w:r>
    </w:p>
    <w:p>
      <w:pPr>
        <w:pStyle w:val="NormalBold"/>
      </w:pPr>
      <w:r>
        <w:rPr>
          <w:rStyle w:val="HideTWBExt"/>
          <w:b w:val="0"/>
        </w:rPr>
        <w:t>&lt;RepeatBlock-By&gt;</w:t>
      </w:r>
      <w:r>
        <w:rPr>
          <w:rStyle w:val="HideTWBExt"/>
          <w:b w:val="0"/>
        </w:rPr>
        <w:t>&lt;Members&gt;</w:t>
      </w:r>
      <w:r>
        <w:t>Emmanouil Fragkos, Galato Alexandraki, Geadis Geadi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25.</w:t>
            </w:r>
            <w:r>
              <w:tab/>
            </w:r>
            <w:r>
              <w:t xml:space="preserve">herinnert eraan dat steun uit het hervormings- en groeiplan afhankelijk is van de eerbiediging van doeltreffende democratische mechanismen, waaronder een parlementair meerpartijenstelsel, vrije en eerlijke verkiezingen, pluralistische media, een onafhankelijke rechterlijke macht, de rechtsstaat en de naleving van alle verplichtingen op het gebied van de mensenrechten; </w:t>
            </w:r>
            <w:r>
              <w:rPr>
                <w:b/>
                <w:i/>
              </w:rPr>
              <w:t>stelt met bezorgdheid vast dat</w:t>
            </w:r>
            <w:r>
              <w:t xml:space="preserve"> de Commissie </w:t>
            </w:r>
            <w:r>
              <w:rPr>
                <w:b/>
                <w:i/>
              </w:rPr>
              <w:t>in januari 2026 desondanks haar goedkeuring heeft gehecht aan de eerste vrijgave van</w:t>
            </w:r>
            <w:r>
              <w:t xml:space="preserve"> middelen aan Servië in het kader van de hervormings- en groeifaciliteit voor de Westelijke Balkan; </w:t>
            </w:r>
            <w:r>
              <w:rPr>
                <w:b/>
                <w:i/>
              </w:rPr>
              <w:t>verzoekt de Commissie om uitleg hoe aan de voorwaarden is voldaan;</w:t>
            </w:r>
          </w:p>
        </w:tc>
        <w:tc>
          <w:tcPr>
            <w:tcW w:w="4876" w:type="dxa"/>
            <w:tcBorders>
              <w:top w:val="nil"/>
              <w:left w:val="nil"/>
              <w:bottom w:val="nil"/>
              <w:right w:val="nil"/>
            </w:tcBorders>
          </w:tcPr>
          <w:p>
            <w:pPr>
              <w:pStyle w:val="Normal6a"/>
            </w:pPr>
            <w:r>
              <w:t>25.</w:t>
            </w:r>
            <w:r>
              <w:tab/>
            </w:r>
            <w:r>
              <w:t xml:space="preserve">herinnert eraan dat steun uit het hervormings- en groeiplan afhankelijk is van de eerbiediging van doeltreffende democratische mechanismen, waaronder een parlementair meerpartijenstelsel, vrije en eerlijke verkiezingen, pluralistische media, een onafhankelijke rechterlijke macht, de rechtsstaat en de naleving van alle verplichtingen op het gebied van de mensenrechten; </w:t>
            </w:r>
            <w:r>
              <w:rPr>
                <w:b/>
                <w:i/>
              </w:rPr>
              <w:t>verzoekt</w:t>
            </w:r>
            <w:r>
              <w:t xml:space="preserve"> de Commissie </w:t>
            </w:r>
            <w:r>
              <w:rPr>
                <w:b/>
                <w:i/>
              </w:rPr>
              <w:t>ervoor te zorgen dat aan deze voorwaarden is voldaan wanneer zij onderzoekt of er</w:t>
            </w:r>
            <w:r>
              <w:t xml:space="preserve"> middelen aan Servië </w:t>
            </w:r>
            <w:r>
              <w:rPr>
                <w:b/>
                <w:i/>
              </w:rPr>
              <w:t>kunnen worden vrijgegeven</w:t>
            </w:r>
            <w:r>
              <w:t xml:space="preserve"> in het kader van de hervormings- en groeifaciliteit voor de Westelijke Balkan;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469</w:t>
      </w:r>
      <w:r>
        <w:rPr>
          <w:rStyle w:val="HideTWBExt"/>
        </w:rPr>
        <w:t>&lt;/NumAm&gt;</w:t>
      </w:r>
    </w:p>
    <w:p>
      <w:pPr>
        <w:pStyle w:val="NormalBold"/>
      </w:pPr>
      <w:r>
        <w:rPr>
          <w:rStyle w:val="HideTWBExt"/>
          <w:b w:val="0"/>
        </w:rPr>
        <w:t>&lt;RepeatBlock-By&gt;</w:t>
      </w:r>
      <w:r>
        <w:rPr>
          <w:rStyle w:val="HideTWBExt"/>
          <w:b w:val="0"/>
        </w:rPr>
        <w:t>&lt;Members&gt;</w:t>
      </w:r>
      <w:r>
        <w:t>Vangelis Meimarakis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25.</w:t>
            </w:r>
            <w:r>
              <w:tab/>
            </w:r>
            <w:r>
              <w:t xml:space="preserve">herinnert eraan dat steun uit het hervormings- en groeiplan afhankelijk is van de eerbiediging van doeltreffende democratische mechanismen, waaronder een parlementair meerpartijenstelsel, vrije en eerlijke verkiezingen, pluralistische media, een onafhankelijke rechterlijke macht, de rechtsstaat en de naleving van alle verplichtingen op het gebied van de mensenrechten; </w:t>
            </w:r>
            <w:r>
              <w:rPr>
                <w:b/>
                <w:i/>
              </w:rPr>
              <w:t>stelt met bezorgdheid vast dat</w:t>
            </w:r>
            <w:r>
              <w:t xml:space="preserve"> de Commissie </w:t>
            </w:r>
            <w:r>
              <w:rPr>
                <w:b/>
                <w:i/>
              </w:rPr>
              <w:t>in januari 2026 desondanks haar goedkeuring heeft gehecht aan de eerste vrijgave van</w:t>
            </w:r>
            <w:r>
              <w:t xml:space="preserve"> middelen aan Servië in het kader van de hervormings- en groeifaciliteit voor de Westelijke Balkan; </w:t>
            </w:r>
            <w:r>
              <w:rPr>
                <w:b/>
                <w:i/>
              </w:rPr>
              <w:t>verzoekt de Commissie om uitleg hoe aan de voorwaarden is voldaan;</w:t>
            </w:r>
          </w:p>
        </w:tc>
        <w:tc>
          <w:tcPr>
            <w:tcW w:w="4876" w:type="dxa"/>
            <w:tcBorders>
              <w:top w:val="nil"/>
              <w:left w:val="nil"/>
              <w:bottom w:val="nil"/>
              <w:right w:val="nil"/>
            </w:tcBorders>
          </w:tcPr>
          <w:p>
            <w:pPr>
              <w:pStyle w:val="Normal6a"/>
            </w:pPr>
            <w:r>
              <w:t>25.</w:t>
            </w:r>
            <w:r>
              <w:tab/>
            </w:r>
            <w:r>
              <w:t xml:space="preserve">herinnert eraan dat steun uit het hervormings- en groeiplan afhankelijk is van de eerbiediging van doeltreffende democratische mechanismen, waaronder een parlementair meerpartijenstelsel, vrije en eerlijke verkiezingen, pluralistische media, een onafhankelijke rechterlijke macht, de rechtsstaat en de naleving van alle verplichtingen op het gebied van de mensenrechten; </w:t>
            </w:r>
            <w:r>
              <w:rPr>
                <w:b/>
                <w:i/>
              </w:rPr>
              <w:t>verzoekt</w:t>
            </w:r>
            <w:r>
              <w:t xml:space="preserve"> de Commissie </w:t>
            </w:r>
            <w:r>
              <w:rPr>
                <w:b/>
                <w:i/>
              </w:rPr>
              <w:t>ervoor te zorgen dat aan deze voorwaarden is voldaan wanneer zij onderzoekt of er</w:t>
            </w:r>
            <w:r>
              <w:t xml:space="preserve"> middelen aan Servië </w:t>
            </w:r>
            <w:r>
              <w:rPr>
                <w:b/>
                <w:i/>
              </w:rPr>
              <w:t>kunnen worden vrijgegeven</w:t>
            </w:r>
            <w:r>
              <w:t xml:space="preserve"> in het kader van de hervormings- en groeifaciliteit voor de Westelijke Balkan;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470</w:t>
      </w:r>
      <w:r>
        <w:rPr>
          <w:rStyle w:val="HideTWBExt"/>
        </w:rPr>
        <w:t>&lt;/NumAm&gt;</w:t>
      </w:r>
    </w:p>
    <w:p>
      <w:pPr>
        <w:pStyle w:val="NormalBold"/>
      </w:pPr>
      <w:r>
        <w:rPr>
          <w:rStyle w:val="HideTWBExt"/>
          <w:b w:val="0"/>
        </w:rPr>
        <w:t>&lt;RepeatBlock-By&gt;</w:t>
      </w:r>
      <w:r>
        <w:rPr>
          <w:rStyle w:val="HideTWBExt"/>
          <w:b w:val="0"/>
        </w:rPr>
        <w:t>&lt;Members&gt;</w:t>
      </w:r>
      <w:r>
        <w:t>Vladimir Prebilič</w:t>
      </w:r>
      <w:r>
        <w:rPr>
          <w:rStyle w:val="HideTWBExt"/>
          <w:b w:val="0"/>
        </w:rPr>
        <w:t>&lt;/Members&gt;</w:t>
      </w:r>
    </w:p>
    <w:p>
      <w:r>
        <w:rPr>
          <w:rStyle w:val="HideTWBExt"/>
          <w:b w:val="0"/>
        </w:rPr>
        <w:t>&lt;AuNomDe&gt;</w:t>
      </w:r>
      <w:r>
        <w:rPr>
          <w:rStyle w:val="HideTWBInt"/>
        </w:rPr>
        <w:t>{Verts/ALE}</w:t>
      </w:r>
      <w:r>
        <w:t>namens de Verts/ALE-Fractie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25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25 bis.</w:t>
            </w:r>
            <w:r>
              <w:tab/>
            </w:r>
            <w:r>
              <w:rPr>
                <w:b/>
                <w:i/>
              </w:rPr>
              <w:t>herhaalt zijn oproep om de desbetreffende EU-financiering, onder meer uit het groeiplan voor de Westelijke Balkan, te herprogrammeren om meer middelen te herbestemmen voor de ondersteuning van justitiële hervormingen, corruptiebestrijdingsmaatregelen, onafhankelijke media, maatschappelijke organisaties en een onafhankelijke culturele sector, teneinde hun kritieke werk te ondersteunen, en is van mening dat de via de Servische regering verstrekte steun onmiddellijk moet worden opgeschort omdat er geen duidelijke en geloofwaardige vooruitgang is geboekt op het gebied van de rechtsstaat, mediavrijheid en verkiezingsvoorwaarden;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471</w:t>
      </w:r>
      <w:r>
        <w:rPr>
          <w:rStyle w:val="HideTWBExt"/>
        </w:rPr>
        <w:t>&lt;/NumAm&gt;</w:t>
      </w:r>
    </w:p>
    <w:p>
      <w:pPr>
        <w:pStyle w:val="NormalBold"/>
      </w:pPr>
      <w:r>
        <w:rPr>
          <w:rStyle w:val="HideTWBExt"/>
          <w:b w:val="0"/>
        </w:rPr>
        <w:t>&lt;RepeatBlock-By&gt;</w:t>
      </w:r>
      <w:r>
        <w:rPr>
          <w:rStyle w:val="HideTWBExt"/>
          <w:b w:val="0"/>
        </w:rPr>
        <w:t>&lt;Members&gt;</w:t>
      </w:r>
      <w:r>
        <w:t>Matjaž Nemec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25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25 bis.</w:t>
            </w:r>
            <w:r>
              <w:tab/>
            </w:r>
            <w:r>
              <w:rPr>
                <w:b/>
                <w:i/>
              </w:rPr>
              <w:t>merkt op dat het EU-toetredingsproces gebaseerd is op de afstemming van nationale wetgeving op het EU-acquis;</w:t>
            </w:r>
            <w:r>
              <w:t xml:space="preserve"> </w:t>
            </w:r>
            <w:r>
              <w:rPr>
                <w:b/>
                <w:i/>
              </w:rPr>
              <w:t>benadrukt dat er verdere inspanningen nodig zijn om hervormingen op het gebied van het beheer van overheidsfinanciën en openbaar bestuur door te voeren en iets te doen aan de nog steeds beperkte administratieve capaciteit door middel van constante EU-investeringen in hoogwaardige kaders voor capaciteitsopbouw en kennisuitwisseling die voortbouwen op bestaande modellen van goede praktijken van gevestigde EU- en internationale partners, hetgeen essentieel is voor een efficiënte uitvoering;</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472</w:t>
      </w:r>
      <w:r>
        <w:rPr>
          <w:rStyle w:val="HideTWBExt"/>
        </w:rPr>
        <w:t>&lt;/NumAm&gt;</w:t>
      </w:r>
    </w:p>
    <w:p>
      <w:pPr>
        <w:pStyle w:val="NormalBold"/>
      </w:pPr>
      <w:r>
        <w:rPr>
          <w:rStyle w:val="HideTWBExt"/>
          <w:b w:val="0"/>
        </w:rPr>
        <w:t>&lt;RepeatBlock-By&gt;</w:t>
      </w:r>
      <w:r>
        <w:rPr>
          <w:rStyle w:val="HideTWBExt"/>
          <w:b w:val="0"/>
        </w:rPr>
        <w:t>&lt;Members&gt;</w:t>
      </w:r>
      <w:r>
        <w:t>Andrey Kovatchev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25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25 bis.</w:t>
            </w:r>
            <w:r>
              <w:tab/>
            </w:r>
            <w:r>
              <w:rPr>
                <w:b/>
                <w:i/>
              </w:rPr>
              <w:t>roept Servië op om zijn inspanningen te intensiveren en meer te investeren in de sociaal-economische ontwikkeling van zijn grensregio’s om iets aan de ontvolking te doen en ervoor te zorgen dat de inwoners toegang hebben tot essentiële diensten, met inbegrip van arbeidskansen, gezondheidszorg en onderwijs;</w:t>
            </w:r>
            <w:r>
              <w:t xml:space="preserve"> </w:t>
            </w:r>
            <w:r>
              <w:rPr>
                <w:b/>
                <w:i/>
              </w:rPr>
              <w:t>wijst op het potentieel van de IPA III-programma’s voor grensoverschrijdende samenwerking als belangrijk instrument om duurzame regionale groei voor de lange termijn te stimuleren;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473</w:t>
      </w:r>
      <w:r>
        <w:rPr>
          <w:rStyle w:val="HideTWBExt"/>
        </w:rPr>
        <w:t>&lt;/NumAm&gt;</w:t>
      </w:r>
    </w:p>
    <w:p>
      <w:pPr>
        <w:pStyle w:val="NormalBold"/>
      </w:pPr>
      <w:r>
        <w:rPr>
          <w:rStyle w:val="HideTWBExt"/>
          <w:b w:val="0"/>
        </w:rPr>
        <w:t>&lt;RepeatBlock-By&gt;</w:t>
      </w:r>
      <w:r>
        <w:rPr>
          <w:rStyle w:val="HideTWBExt"/>
          <w:b w:val="0"/>
        </w:rPr>
        <w:t>&lt;Members&gt;</w:t>
      </w:r>
      <w:r>
        <w:t>Tomasz Froelich</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25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25 bis.</w:t>
            </w:r>
            <w:r>
              <w:tab/>
            </w:r>
            <w:r>
              <w:rPr>
                <w:b/>
                <w:i/>
              </w:rPr>
              <w:t>merkt op dat het Europees Openbaar Ministerie (EOM) een afzonderlijk onderzoek heeft ingesteld naar het mogelijke misbruik van EU-middelen voor de renovatie van het treinstation van Novi Sad in 2021‑2024;</w:t>
            </w:r>
            <w:r>
              <w:t xml:space="preserve"> </w:t>
            </w:r>
            <w:r>
              <w:rPr>
                <w:b/>
                <w:i/>
              </w:rPr>
              <w:t>uit zijn bezorgdheid over het feit dat EU-middelen over het algemeen een corruptierisico vormen en dat de verstrekking van zeer omvangrijke EU-middelen aan Servië corruptie in de hand werkt;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474</w:t>
      </w:r>
      <w:r>
        <w:rPr>
          <w:rStyle w:val="HideTWBExt"/>
        </w:rPr>
        <w:t>&lt;/NumAm&gt;</w:t>
      </w:r>
    </w:p>
    <w:p>
      <w:pPr>
        <w:pStyle w:val="NormalBold"/>
      </w:pPr>
      <w:r>
        <w:rPr>
          <w:rStyle w:val="HideTWBExt"/>
          <w:b w:val="0"/>
        </w:rPr>
        <w:t>&lt;RepeatBlock-By&gt;</w:t>
      </w:r>
      <w:r>
        <w:rPr>
          <w:rStyle w:val="HideTWBExt"/>
          <w:b w:val="0"/>
        </w:rPr>
        <w:t>&lt;Members&gt;</w:t>
      </w:r>
      <w:r>
        <w:t>Tonino Picula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25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25 bis.</w:t>
            </w:r>
            <w:r>
              <w:tab/>
            </w:r>
            <w:r>
              <w:rPr>
                <w:b/>
                <w:i/>
              </w:rPr>
              <w:t>roept de EU en de landen van de Westelijke Balkan op een kader in te stellen voor samenwerking tussen het Europees Openbaar Ministerie (EOM) en zijn tegenhangers in de Westelijke Balkan, om ervoor te zorgen dat het EOM zijn bevoegdheden op het gebied van middelen in het kader van IPA III en de faciliteit voor de Westelijke Balkan in de begunstigde landen op doeltreffende wijze kan uitoefenen;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475</w:t>
      </w:r>
      <w:r>
        <w:rPr>
          <w:rStyle w:val="HideTWBExt"/>
        </w:rPr>
        <w:t>&lt;/NumAm&gt;</w:t>
      </w:r>
    </w:p>
    <w:p>
      <w:pPr>
        <w:pStyle w:val="NormalBold"/>
      </w:pPr>
      <w:r>
        <w:rPr>
          <w:rStyle w:val="HideTWBExt"/>
          <w:b w:val="0"/>
        </w:rPr>
        <w:t>&lt;RepeatBlock-By&gt;</w:t>
      </w:r>
      <w:r>
        <w:rPr>
          <w:rStyle w:val="HideTWBExt"/>
          <w:b w:val="0"/>
        </w:rPr>
        <w:t>&lt;Members&gt;</w:t>
      </w:r>
      <w:r>
        <w:t>Danilo Della Valle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25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25 bis.</w:t>
            </w:r>
            <w:r>
              <w:tab/>
            </w:r>
            <w:r>
              <w:rPr>
                <w:b/>
                <w:i/>
              </w:rPr>
              <w:t>verzoekt Servië de bescherming van de gezondheid en veiligheid op het werk te versterken door specifiek nationaal beleid inzake psychosociale en opkomende risico’s vast te stellen, onder meer in de klus- en platformeconomie, en door werknemers het effectieve recht om offline te zijn te waarborgen;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476</w:t>
      </w:r>
      <w:r>
        <w:rPr>
          <w:rStyle w:val="HideTWBExt"/>
        </w:rPr>
        <w:t>&lt;/NumAm&gt;</w:t>
      </w:r>
    </w:p>
    <w:p>
      <w:pPr>
        <w:pStyle w:val="NormalBold"/>
      </w:pPr>
      <w:r>
        <w:rPr>
          <w:rStyle w:val="HideTWBExt"/>
          <w:b w:val="0"/>
        </w:rPr>
        <w:t>&lt;RepeatBlock-By&gt;</w:t>
      </w:r>
      <w:r>
        <w:rPr>
          <w:rStyle w:val="HideTWBExt"/>
          <w:b w:val="0"/>
        </w:rPr>
        <w:t>&lt;Members&gt;</w:t>
      </w:r>
      <w:r>
        <w:t>Christophe Gomart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25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25 bis.</w:t>
            </w:r>
            <w:r>
              <w:tab/>
            </w:r>
            <w:r>
              <w:rPr>
                <w:b/>
                <w:i/>
              </w:rPr>
              <w:t>vraagt zich af of het consistent is om aanzienlijke financiering te blijven verstrekken, met name in het kader van het instrument voor pretoetredingssteun (IPA III), waaronder de financieringsovereenkomst ter waarde van 219,9 miljoen EUR voor de periode 2025-2027;</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477</w:t>
      </w:r>
      <w:r>
        <w:rPr>
          <w:rStyle w:val="HideTWBExt"/>
        </w:rPr>
        <w:t>&lt;/NumAm&gt;</w:t>
      </w:r>
    </w:p>
    <w:p>
      <w:pPr>
        <w:pStyle w:val="NormalBold"/>
      </w:pPr>
      <w:r>
        <w:rPr>
          <w:rStyle w:val="HideTWBExt"/>
          <w:b w:val="0"/>
        </w:rPr>
        <w:t>&lt;RepeatBlock-By&gt;</w:t>
      </w:r>
      <w:r>
        <w:rPr>
          <w:rStyle w:val="HideTWBExt"/>
          <w:b w:val="0"/>
        </w:rPr>
        <w:t>&lt;Members&gt;</w:t>
      </w:r>
      <w:r>
        <w:t>Helmut Brandstätter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25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25 bis.</w:t>
            </w:r>
            <w:r>
              <w:tab/>
            </w:r>
            <w:r>
              <w:rPr>
                <w:b/>
                <w:i/>
              </w:rPr>
              <w:t>neemt kennis van de verklaringen van de Servische autoriteiten over de explosieven die kort voor de verkiezingen van 2026 in Hongarije zijn gevonden in de buurt van een gaspijpleiding aan de Servisch-Hongaarse grens;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478</w:t>
      </w:r>
      <w:r>
        <w:rPr>
          <w:rStyle w:val="HideTWBExt"/>
        </w:rPr>
        <w:t>&lt;/NumAm&gt;</w:t>
      </w:r>
    </w:p>
    <w:p>
      <w:pPr>
        <w:pStyle w:val="NormalBold"/>
      </w:pPr>
      <w:r>
        <w:rPr>
          <w:rStyle w:val="HideTWBExt"/>
          <w:b w:val="0"/>
        </w:rPr>
        <w:t>&lt;RepeatBlock-By&gt;</w:t>
      </w:r>
      <w:r>
        <w:rPr>
          <w:rStyle w:val="HideTWBExt"/>
          <w:b w:val="0"/>
        </w:rPr>
        <w:t>&lt;Members&gt;</w:t>
      </w:r>
      <w:r>
        <w:t>Dan Barna, Helmut Brandstätter, Marjan Šarec, Marie-Agnes Strack-Zimmermann, Petras Auštrevičius,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25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25 bis.</w:t>
            </w:r>
            <w:r>
              <w:tab/>
            </w:r>
            <w:r>
              <w:rPr>
                <w:b/>
                <w:i/>
              </w:rPr>
              <w:t>dringt erop aan dat financiering in het kader van “Europa in de wereld” wordt uitbetaald onder strikte conditionaliteit met betrekking tot de rechtsstaat;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479</w:t>
      </w:r>
      <w:r>
        <w:rPr>
          <w:rStyle w:val="HideTWBExt"/>
        </w:rPr>
        <w:t>&lt;/NumAm&gt;</w:t>
      </w:r>
    </w:p>
    <w:p>
      <w:pPr>
        <w:pStyle w:val="NormalBold"/>
      </w:pPr>
      <w:r>
        <w:rPr>
          <w:rStyle w:val="HideTWBExt"/>
          <w:b w:val="0"/>
        </w:rPr>
        <w:t>&lt;RepeatBlock-By&gt;</w:t>
      </w:r>
      <w:r>
        <w:rPr>
          <w:rStyle w:val="HideTWBExt"/>
          <w:b w:val="0"/>
        </w:rPr>
        <w:t>&lt;Members&gt;</w:t>
      </w:r>
      <w:r>
        <w:t>Vladimir Prebilič</w:t>
      </w:r>
      <w:r>
        <w:rPr>
          <w:rStyle w:val="HideTWBExt"/>
          <w:b w:val="0"/>
        </w:rPr>
        <w:t>&lt;/Members&gt;</w:t>
      </w:r>
    </w:p>
    <w:p>
      <w:r>
        <w:rPr>
          <w:rStyle w:val="HideTWBExt"/>
          <w:b w:val="0"/>
        </w:rPr>
        <w:t>&lt;AuNomDe&gt;</w:t>
      </w:r>
      <w:r>
        <w:rPr>
          <w:rStyle w:val="HideTWBInt"/>
        </w:rPr>
        <w:t>{Verts/ALE}</w:t>
      </w:r>
      <w:r>
        <w:t>namens de Verts/ALE-Fractie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25 ter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25 ter.</w:t>
            </w:r>
            <w:r>
              <w:tab/>
            </w:r>
            <w:r>
              <w:rPr>
                <w:b/>
                <w:i/>
              </w:rPr>
              <w:t>vraagt de EU en de landen van de Westelijke Balkan een kader op te zetten voor doeltreffende samenwerking tussen het Europees Openbaar Ministerie (EOM) en de toetredingslanden;</w:t>
            </w:r>
            <w:r>
              <w:t xml:space="preserve"> </w:t>
            </w:r>
            <w:r>
              <w:rPr>
                <w:b/>
                <w:i/>
              </w:rPr>
              <w:t>spoort Servië aan snel bilaterale werkafspraken te maken met het EOM om nauwe samenwerking en vervolging met betrekking tot het misbruik van EU-middelen mogelijk te maken, onder meer door het detacheren van nationale verbindingsfunctionarissen bij het EOM;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480</w:t>
      </w:r>
      <w:r>
        <w:rPr>
          <w:rStyle w:val="HideTWBExt"/>
        </w:rPr>
        <w:t>&lt;/NumAm&gt;</w:t>
      </w:r>
    </w:p>
    <w:p>
      <w:pPr>
        <w:pStyle w:val="NormalBold"/>
      </w:pPr>
      <w:r>
        <w:rPr>
          <w:rStyle w:val="HideTWBExt"/>
          <w:b w:val="0"/>
        </w:rPr>
        <w:t>&lt;RepeatBlock-By&gt;</w:t>
      </w:r>
      <w:r>
        <w:rPr>
          <w:rStyle w:val="HideTWBExt"/>
          <w:b w:val="0"/>
        </w:rPr>
        <w:t>&lt;Members&gt;</w:t>
      </w:r>
      <w:r>
        <w:t>Danilo Della Valle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25 ter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25 ter.</w:t>
            </w:r>
            <w:r>
              <w:tab/>
            </w:r>
            <w:r>
              <w:rPr>
                <w:b/>
                <w:i/>
              </w:rPr>
              <w:t>verzoekt Servië ervoor te zorgen dat huishoudelijk personeel volledig onder de wetgeving inzake gezondheid en veiligheid op het werk valt en in de praktijk doeltreffend wordt beschermd, onder meer door middel van adequate arbeidsinspectie en handhavingsmechanismen, en het toezicht van de arbeidsinspectie uit te breiden tot alle categorieën zelfstandigen, niet alleen degenen die op bouwplaatsen werken;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481</w:t>
      </w:r>
      <w:r>
        <w:rPr>
          <w:rStyle w:val="HideTWBExt"/>
        </w:rPr>
        <w:t>&lt;/NumAm&gt;</w:t>
      </w:r>
    </w:p>
    <w:p>
      <w:pPr>
        <w:pStyle w:val="NormalBold"/>
      </w:pPr>
      <w:r>
        <w:rPr>
          <w:rStyle w:val="HideTWBExt"/>
          <w:b w:val="0"/>
        </w:rPr>
        <w:t>&lt;RepeatBlock-By&gt;</w:t>
      </w:r>
      <w:r>
        <w:rPr>
          <w:rStyle w:val="HideTWBExt"/>
          <w:b w:val="0"/>
        </w:rPr>
        <w:t>&lt;Members&gt;</w:t>
      </w:r>
      <w:r>
        <w:t>Tonino Picula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25 ter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25 ter.</w:t>
            </w:r>
            <w:r>
              <w:tab/>
            </w:r>
            <w:r>
              <w:rPr>
                <w:b/>
                <w:i/>
              </w:rPr>
              <w:t>spreekt zijn bezorgdheid uit over de omvang en reikwijdte van de contracten die buiten het bestaande rechtskader voor openbare aanbestedingen om worden gegund;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482</w:t>
      </w:r>
      <w:r>
        <w:rPr>
          <w:rStyle w:val="HideTWBExt"/>
        </w:rPr>
        <w:t>&lt;/NumAm&gt;</w:t>
      </w:r>
    </w:p>
    <w:p>
      <w:pPr>
        <w:pStyle w:val="NormalBold"/>
      </w:pPr>
      <w:r>
        <w:rPr>
          <w:rStyle w:val="HideTWBExt"/>
          <w:b w:val="0"/>
        </w:rPr>
        <w:t>&lt;RepeatBlock-By&gt;</w:t>
      </w:r>
      <w:r>
        <w:rPr>
          <w:rStyle w:val="HideTWBExt"/>
          <w:b w:val="0"/>
        </w:rPr>
        <w:t>&lt;Members&gt;</w:t>
      </w:r>
      <w:r>
        <w:t>Andrey Kovatchev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25 quater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25 quater.</w:t>
            </w:r>
            <w:r>
              <w:tab/>
            </w:r>
            <w:r>
              <w:rPr>
                <w:b/>
                <w:i/>
              </w:rPr>
              <w:t>is ingenomen met het voorstel van de Commissie om onderhandelingen met Albanië, Bosnië en Herzegovina, Kosovo, Montenegro, Noord-Macedonië en Servië te openen met het oog op hun integratie in de “roaming tegen thuistarief”-regeling van de EU;</w:t>
            </w:r>
            <w:r>
              <w:t xml:space="preserve"> </w:t>
            </w:r>
            <w:r>
              <w:rPr>
                <w:b/>
                <w:i/>
              </w:rPr>
              <w:t>benadrukt dat uitbreiding van het “roaming tegen thuistarief”-gebied tot de Westelijke Balkan concrete voordelen zou opleveren voor zowel burgers als bedrijven, door interpersoonlijke contacten te bevorderen, economische banden te stimuleren, uitwisselingen op onderwijsgebied te ondersteunen en toerisme te vergemakkelijken;</w:t>
            </w:r>
            <w:r>
              <w:t xml:space="preserve"> </w:t>
            </w:r>
            <w:r>
              <w:rPr>
                <w:b/>
                <w:i/>
              </w:rPr>
              <w:t>merkt op dat dit initiatief voortbouwt op bestaande vrijwillige roamingregelingen en op de regionale roamingovereenkomst voor de Westelijke Balkan, die tijdens de top in Tirana werd bekrachtigd; dringt aan op een snelle goedkeuring van de onderhandelingsmandaten en op de tijdige sluiting van bilaterale overeenkomsten met de partners in de Westelijke Balkan, om hun snelle en doeltreffende integratie in het "roaming tegen thuistarief"-gebied van de EU te waarborgen;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483</w:t>
      </w:r>
      <w:r>
        <w:rPr>
          <w:rStyle w:val="HideTWBExt"/>
        </w:rPr>
        <w:t>&lt;/NumAm&gt;</w:t>
      </w:r>
    </w:p>
    <w:p>
      <w:pPr>
        <w:pStyle w:val="NormalBold"/>
      </w:pPr>
      <w:r>
        <w:rPr>
          <w:rStyle w:val="HideTWBExt"/>
          <w:b w:val="0"/>
        </w:rPr>
        <w:t>&lt;RepeatBlock-By&gt;</w:t>
      </w:r>
      <w:r>
        <w:rPr>
          <w:rStyle w:val="HideTWBExt"/>
          <w:b w:val="0"/>
        </w:rPr>
        <w:t>&lt;Members&gt;</w:t>
      </w:r>
      <w:r>
        <w:t>Danilo Della Valle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25 quater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25 quater.</w:t>
            </w:r>
            <w:r>
              <w:tab/>
            </w:r>
            <w:r>
              <w:rPr>
                <w:b/>
                <w:i/>
              </w:rPr>
              <w:t>verzoekt Servië de arbeidsinspectie en de preventiemaatregelen op de werkplek met betrekking tot klimaatgerelateerde beroepsrisico’s, waaronder hitte, verontreiniging en andere schadelijke milieuomstandigheden, te verbeteren door middel van sterkere toezichtsmechanismen, risicobeoordelingen, begeleiding en opleiding voor werkgevers en werknemers;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484</w:t>
      </w:r>
      <w:r>
        <w:rPr>
          <w:rStyle w:val="HideTWBExt"/>
        </w:rPr>
        <w:t>&lt;/NumAm&gt;</w:t>
      </w:r>
    </w:p>
    <w:p>
      <w:pPr>
        <w:pStyle w:val="NormalBold"/>
      </w:pPr>
      <w:r>
        <w:rPr>
          <w:rStyle w:val="HideTWBExt"/>
          <w:b w:val="0"/>
        </w:rPr>
        <w:t>&lt;RepeatBlock-By&gt;</w:t>
      </w:r>
      <w:r>
        <w:rPr>
          <w:rStyle w:val="HideTWBExt"/>
          <w:b w:val="0"/>
        </w:rPr>
        <w:t>&lt;Members&gt;</w:t>
      </w:r>
      <w:r>
        <w:t>Danilo Della Valle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25 quinquies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25 quinquies.</w:t>
            </w:r>
            <w:r>
              <w:tab/>
            </w:r>
            <w:r>
              <w:rPr>
                <w:b/>
                <w:i/>
              </w:rPr>
              <w:t>verzoekt Servië te zorgen voor gelijke beloning van vrouwen en mannen door transparante, objectieve en genderneutrale functieclassificatie- en beloningsstelsels in de particuliere sector vast te stellen en door doeltreffende maatregelen te nemen waarmee meetbare vooruitgang kan worden geboekt bij het verkleinen van de loonkloof tussen mannen en vrouwen;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485</w:t>
      </w:r>
      <w:r>
        <w:rPr>
          <w:rStyle w:val="HideTWBExt"/>
        </w:rPr>
        <w:t>&lt;/NumAm&gt;</w:t>
      </w:r>
    </w:p>
    <w:p>
      <w:pPr>
        <w:pStyle w:val="NormalBold"/>
      </w:pPr>
      <w:r>
        <w:rPr>
          <w:rStyle w:val="HideTWBExt"/>
          <w:b w:val="0"/>
        </w:rPr>
        <w:t>&lt;RepeatBlock-By&gt;</w:t>
      </w:r>
      <w:r>
        <w:rPr>
          <w:rStyle w:val="HideTWBExt"/>
          <w:b w:val="0"/>
        </w:rPr>
        <w:t>&lt;Members&gt;</w:t>
      </w:r>
      <w:r>
        <w:t>Danilo Della Valle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25 sexies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25 sexies.</w:t>
            </w:r>
            <w:r>
              <w:tab/>
            </w:r>
            <w:r>
              <w:rPr>
                <w:b/>
                <w:i/>
              </w:rPr>
              <w:t>verzoekt Servië de vrijheid van vereniging en de sociale dialoog te versterken door actieve maatregelen te nemen om vakbondsvorming aan te moedigen, met name in sectoren met een laag vakbondsniveau en nieuwe sectoren, door buitensporige lidmaatschapsdrempels voor werkgeversorganisaties te verlagen en ervoor te zorgen dat gezamenlijk overleg doeltreffend wordt bevorderd, ook in de particuliere sector en over kwesties die verband houden met de digitale transitie;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486</w:t>
      </w:r>
      <w:r>
        <w:rPr>
          <w:rStyle w:val="HideTWBExt"/>
        </w:rPr>
        <w:t>&lt;/NumAm&gt;</w:t>
      </w:r>
    </w:p>
    <w:p>
      <w:pPr>
        <w:pStyle w:val="NormalBold"/>
      </w:pPr>
      <w:r>
        <w:rPr>
          <w:rStyle w:val="HideTWBExt"/>
          <w:b w:val="0"/>
        </w:rPr>
        <w:t>&lt;RepeatBlock-By&gt;</w:t>
      </w:r>
      <w:r>
        <w:rPr>
          <w:rStyle w:val="HideTWBExt"/>
          <w:b w:val="0"/>
        </w:rPr>
        <w:t>&lt;Members&gt;</w:t>
      </w:r>
      <w:r>
        <w:t>Danilo Della Valle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25 septies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25 septies.</w:t>
            </w:r>
            <w:r>
              <w:tab/>
            </w:r>
            <w:r>
              <w:rPr>
                <w:b/>
                <w:i/>
              </w:rPr>
              <w:t>verzoekt Servië collectieve onderhandelingen doeltreffender te bevorderen, ook voor zelfstandigen die economisch afhankelijk zijn of zich in een situatie bevinden die vergelijkbaar is met die van werknemers, om misbruik van schijnzelfstandigheid te voorkomen en ervoor te zorgen dat alle werknemers hun omstandigheden kunnen verbeteren door middel van collectieve actie en onderhandelingen;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487</w:t>
      </w:r>
      <w:r>
        <w:rPr>
          <w:rStyle w:val="HideTWBExt"/>
        </w:rPr>
        <w:t>&lt;/NumAm&gt;</w:t>
      </w:r>
    </w:p>
    <w:p>
      <w:pPr>
        <w:pStyle w:val="NormalBold"/>
      </w:pPr>
      <w:r>
        <w:rPr>
          <w:rStyle w:val="HideTWBExt"/>
          <w:b w:val="0"/>
        </w:rPr>
        <w:t>&lt;RepeatBlock-By&gt;</w:t>
      </w:r>
      <w:r>
        <w:rPr>
          <w:rStyle w:val="HideTWBExt"/>
          <w:b w:val="0"/>
        </w:rPr>
        <w:t>&lt;Members&gt;</w:t>
      </w:r>
      <w:r>
        <w:t>Danilo Della Valle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25 octies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25 octies.</w:t>
            </w:r>
            <w:r>
              <w:tab/>
            </w:r>
            <w:r>
              <w:rPr>
                <w:b/>
                <w:i/>
              </w:rPr>
              <w:t>verzoekt Servië zijn wetgeving inzake het stakingsrecht in overeenstemming te brengen met het Europees Sociaal Handvest door een einde te maken aan ongerechtvaardigde stakingsverboden in delen van de gezondheidssector, het te brede scala aan sectoren waar het stakingsrecht kan worden beperkt, te verkleinen en ervoor te zorgen dat werknemers en vakbonden op voet van gelijkheid met werkgevers worden betrokken bij beslissingen over minimale dienstverlening tijdens stakingen;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488</w:t>
      </w:r>
      <w:r>
        <w:rPr>
          <w:rStyle w:val="HideTWBExt"/>
        </w:rPr>
        <w:t>&lt;/NumAm&gt;</w:t>
      </w:r>
    </w:p>
    <w:p>
      <w:pPr>
        <w:pStyle w:val="NormalBold"/>
      </w:pPr>
      <w:r>
        <w:rPr>
          <w:rStyle w:val="HideTWBExt"/>
          <w:b w:val="0"/>
        </w:rPr>
        <w:t>&lt;RepeatBlock-By&gt;</w:t>
      </w:r>
      <w:r>
        <w:rPr>
          <w:rStyle w:val="HideTWBExt"/>
          <w:b w:val="0"/>
        </w:rPr>
        <w:t>&lt;Members&gt;</w:t>
      </w:r>
      <w:r>
        <w:t>Danilo Della Valle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25 nonies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25 nonies.</w:t>
            </w:r>
            <w:r>
              <w:tab/>
            </w:r>
            <w:r>
              <w:rPr>
                <w:b/>
                <w:i/>
              </w:rPr>
              <w:t>verzoekt Servië meer inspanningen te leveren om de arbeidsparticipatiekloof tussen mannen en vrouwen te verkleinen en meetbare vooruitgang te bevorderen bij de vertegenwoordiging van vrouwen in leidinggevende functies, met name in de grootste beursgenoteerde ondernemingen, onder meer door middel van gerichte gelijkheidsmaatregelen en regelmatige publicatie van uitgesplitste gegevens;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489</w:t>
      </w:r>
      <w:r>
        <w:rPr>
          <w:rStyle w:val="HideTWBExt"/>
        </w:rPr>
        <w:t>&lt;/NumAm&gt;</w:t>
      </w:r>
    </w:p>
    <w:p>
      <w:pPr>
        <w:pStyle w:val="NormalBold"/>
      </w:pPr>
      <w:r>
        <w:rPr>
          <w:rStyle w:val="HideTWBExt"/>
          <w:b w:val="0"/>
        </w:rPr>
        <w:t>&lt;RepeatBlock-By&gt;</w:t>
      </w:r>
      <w:r>
        <w:rPr>
          <w:rStyle w:val="HideTWBExt"/>
          <w:b w:val="0"/>
        </w:rPr>
        <w:t>&lt;Members&gt;</w:t>
      </w:r>
      <w:r>
        <w:t>Danilo Della Valle, Jonas Sjöstedt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25 decies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25 decies.</w:t>
            </w:r>
            <w:r>
              <w:tab/>
            </w:r>
            <w:r>
              <w:rPr>
                <w:b/>
                <w:i/>
              </w:rPr>
              <w:t>merkt op dat de sociale dialoog en de raadpleging van de sociale partners nog steeds ontoereikend zijn en verzoekt de autoriteiten collectieve onderhandelingen zowel juridisch als in de praktijk te versterken, de tripartiete en bipartiete sociale dialoog te bevorderen en gebruik te maken van de faciliteit voor de Westelijke Balkan om de capaciteitsopbouw van de sociale partners te ondersteunen, waarbij de uitbetaling van deze middelen afhankelijk moet blijven van de betrokkenheid van de sociale partners bij de opstelling van de hervormingsagenda;</w:t>
            </w:r>
            <w:r>
              <w:t xml:space="preserve"> </w:t>
            </w:r>
            <w:r>
              <w:rPr>
                <w:b/>
                <w:i/>
              </w:rPr>
              <w:t>dringt er voorts bij de autoriteiten op aan het arbeidsrecht te hervormen om het in overeenstemming te brengen met het sociale acquis van de EU en de wet inzake staking in overeenstemming te brengen met de IAO-verdragen 87 en 98, en zich te onthouden van inmenging in de vrijheid van vereniging en de werking van vakbonden;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490</w:t>
      </w:r>
      <w:r>
        <w:rPr>
          <w:rStyle w:val="HideTWBExt"/>
        </w:rPr>
        <w:t>&lt;/NumAm&gt;</w:t>
      </w:r>
    </w:p>
    <w:p>
      <w:pPr>
        <w:pStyle w:val="NormalBold"/>
      </w:pPr>
      <w:r>
        <w:rPr>
          <w:rStyle w:val="HideTWBExt"/>
          <w:b w:val="0"/>
        </w:rPr>
        <w:t>&lt;RepeatBlock-By&gt;</w:t>
      </w:r>
      <w:r>
        <w:rPr>
          <w:rStyle w:val="HideTWBExt"/>
          <w:b w:val="0"/>
        </w:rPr>
        <w:t>&lt;Members&gt;</w:t>
      </w:r>
      <w:r>
        <w:t>Emmanouil Fragkos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25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25 bis.</w:t>
            </w:r>
            <w:r>
              <w:tab/>
            </w:r>
            <w:r>
              <w:rPr>
                <w:b/>
                <w:i/>
              </w:rPr>
              <w:t xml:space="preserve">onderstreept het strategische belang van grotere connectiviteit tussen Servië en de lidstaten van de EU, met name middels de verdere uitbouw van de spoorverbinding tussen Boedapest, Belgrado, Skopje en Thessaloniki, die onderdeel uitmaakt van het trans-Europese vervoersnetwerk (TEN-T) en de corridor Westelijke Balkan-oostelijke Middellandse Zee; </w:t>
            </w:r>
            <w:r>
              <w:t xml:space="preserve"> </w:t>
            </w:r>
            <w:r>
              <w:rPr>
                <w:b/>
                <w:i/>
              </w:rPr>
              <w:t>benadrukt dat versnelling van de desbetreffende investeringen bij kan dragen aan economische convergentie, duurzame mobiliteit, en meer handel tussen de Unie en Servië;</w:t>
            </w:r>
            <w:r>
              <w:t xml:space="preserve"> </w:t>
            </w:r>
            <w:r>
              <w:rPr>
                <w:b/>
                <w:i/>
              </w:rPr>
              <w:t>verzoekt de Commissie en Servië hun samenwerking met betrekking tot de planning, financiering en uitvoering van de projecten in kwestie te intensiveren, en te zorgen voor naleving van de normen van de Unie op de gebieden milieu, openbare aanbestedingen, en transparantie;</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491</w:t>
      </w:r>
      <w:r>
        <w:rPr>
          <w:rStyle w:val="HideTWBExt"/>
        </w:rPr>
        <w:t>&lt;/NumAm&gt;</w:t>
      </w:r>
    </w:p>
    <w:p>
      <w:pPr>
        <w:pStyle w:val="NormalBold"/>
      </w:pPr>
      <w:r>
        <w:rPr>
          <w:rStyle w:val="HideTWBExt"/>
          <w:b w:val="0"/>
        </w:rPr>
        <w:t>&lt;RepeatBlock-By&gt;</w:t>
      </w:r>
      <w:r>
        <w:rPr>
          <w:rStyle w:val="HideTWBExt"/>
          <w:b w:val="0"/>
        </w:rPr>
        <w:t>&lt;Members&gt;</w:t>
      </w:r>
      <w:r>
        <w:t>Vladimir Prebilič</w:t>
      </w:r>
      <w:r>
        <w:rPr>
          <w:rStyle w:val="HideTWBExt"/>
          <w:b w:val="0"/>
        </w:rPr>
        <w:t>&lt;/Members&gt;</w:t>
      </w:r>
    </w:p>
    <w:p>
      <w:r>
        <w:rPr>
          <w:rStyle w:val="HideTWBExt"/>
          <w:b w:val="0"/>
        </w:rPr>
        <w:t>&lt;AuNomDe&gt;</w:t>
      </w:r>
      <w:r>
        <w:rPr>
          <w:rStyle w:val="HideTWBInt"/>
        </w:rPr>
        <w:t>{Verts/ALE}</w:t>
      </w:r>
      <w:r>
        <w:t>namens de Verts/ALE-Fractie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25 quater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25 quater.</w:t>
            </w:r>
            <w:r>
              <w:tab/>
            </w:r>
            <w:r>
              <w:rPr>
                <w:b/>
                <w:i/>
              </w:rPr>
              <w:t>verzoekt Servië zich meer in te zetten voor de omzetting van het relevante milieu- en klimaatacquis in nationaal recht en zorg te dragen voor de juiste toepassing van milieubeschermingsnormen, onder meer door zijn bestuurlijke en technische capaciteit op alle regeringsniveaus flink te verbeteren, waaronder door de coördinatie tussen de bevoegde autoriteiten te verbeteren en de versnippering van de verantwoordelijkheden in de milieusector aan te pakken;</w:t>
            </w:r>
            <w:r>
              <w:t xml:space="preserve"> </w:t>
            </w:r>
            <w:r>
              <w:rPr>
                <w:b/>
                <w:i/>
              </w:rPr>
              <w:t>dringt er bij de Servische autoriteiten op aan de transparantie en de milieueffectbeoordelingen met betrekking tot alle investeringen, ook die uit China en Rusland, te verbeteren;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492</w:t>
      </w:r>
      <w:r>
        <w:rPr>
          <w:rStyle w:val="HideTWBExt"/>
        </w:rPr>
        <w:t>&lt;/NumAm&gt;</w:t>
      </w:r>
    </w:p>
    <w:p>
      <w:pPr>
        <w:pStyle w:val="NormalBold"/>
      </w:pPr>
      <w:r>
        <w:rPr>
          <w:rStyle w:val="HideTWBExt"/>
          <w:b w:val="0"/>
        </w:rPr>
        <w:t>&lt;RepeatBlock-By&gt;</w:t>
      </w:r>
      <w:r>
        <w:rPr>
          <w:rStyle w:val="HideTWBExt"/>
          <w:b w:val="0"/>
        </w:rPr>
        <w:t>&lt;Members&gt;</w:t>
      </w:r>
      <w:r>
        <w:t>Vladimir Prebilič</w:t>
      </w:r>
      <w:r>
        <w:rPr>
          <w:rStyle w:val="HideTWBExt"/>
          <w:b w:val="0"/>
        </w:rPr>
        <w:t>&lt;/Members&gt;</w:t>
      </w:r>
    </w:p>
    <w:p>
      <w:r>
        <w:rPr>
          <w:rStyle w:val="HideTWBExt"/>
          <w:b w:val="0"/>
        </w:rPr>
        <w:t>&lt;AuNomDe&gt;</w:t>
      </w:r>
      <w:r>
        <w:rPr>
          <w:rStyle w:val="HideTWBInt"/>
        </w:rPr>
        <w:t>{Verts/ALE}</w:t>
      </w:r>
      <w:r>
        <w:t>namens de Verts/ALE-Fractie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25 quinquies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25 quinquies.</w:t>
            </w:r>
            <w:r>
              <w:tab/>
            </w:r>
            <w:r>
              <w:rPr>
                <w:b/>
                <w:i/>
              </w:rPr>
              <w:t>is ingenomen met de goedkeuring van de wet inzake milieueffectbeoordeling en de wet inzake strategische milieueffectbeoordeling;</w:t>
            </w:r>
            <w:r>
              <w:t xml:space="preserve"> </w:t>
            </w:r>
            <w:r>
              <w:rPr>
                <w:b/>
                <w:i/>
              </w:rPr>
              <w:t>benadrukt echter dat een doeltreffende uitvoering van essentieel belang blijft, met name door ervoor te zorgen dat alle projecten worden onderworpen aan volledige en transparante beoordelingsprocedures, dat de inspraak van het publiek zinvol en tijdig is en dat geen enkele administratieve praktijk, met inbegrip van voorlopige adviezen, het mogelijk maakt dat projecten uitgebreide milieucontroles omzeilen;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493</w:t>
      </w:r>
      <w:r>
        <w:rPr>
          <w:rStyle w:val="HideTWBExt"/>
        </w:rPr>
        <w:t>&lt;/NumAm&gt;</w:t>
      </w:r>
    </w:p>
    <w:p>
      <w:pPr>
        <w:pStyle w:val="NormalBold"/>
      </w:pPr>
      <w:r>
        <w:rPr>
          <w:rStyle w:val="HideTWBExt"/>
          <w:b w:val="0"/>
        </w:rPr>
        <w:t>&lt;RepeatBlock-By&gt;</w:t>
      </w:r>
      <w:r>
        <w:rPr>
          <w:rStyle w:val="HideTWBExt"/>
          <w:b w:val="0"/>
        </w:rPr>
        <w:t>&lt;Members&gt;</w:t>
      </w:r>
      <w:r>
        <w:t>Emmanouil Fragkos, Galato Alexandraki, Geadis Geadi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26.</w:t>
            </w:r>
            <w:r>
              <w:tab/>
            </w:r>
            <w:r>
              <w:rPr>
                <w:b/>
                <w:i/>
              </w:rPr>
              <w:t>wijst op de politiek gevoelige ontwikkelingen met betrekking tot het olie- en gasbedrijf Naftna Industrija Srbije (NIS) en de transformatie van de eigendomsstructuur ervan, in verband</w:t>
            </w:r>
            <w:r>
              <w:t xml:space="preserve"> met de </w:t>
            </w:r>
            <w:r>
              <w:rPr>
                <w:b/>
                <w:i/>
              </w:rPr>
              <w:t>sancties die zijn opgelegd door de Verenigde Staten en het feit dat NIS in meerderheid eigendom is van de Russische bedrijven Gazprom en Gazprom Neft</w:t>
            </w:r>
            <w:r>
              <w:t>;</w:t>
            </w:r>
          </w:p>
        </w:tc>
        <w:tc>
          <w:tcPr>
            <w:tcW w:w="4876" w:type="dxa"/>
            <w:tcBorders>
              <w:top w:val="nil"/>
              <w:left w:val="nil"/>
              <w:bottom w:val="nil"/>
              <w:right w:val="nil"/>
            </w:tcBorders>
          </w:tcPr>
          <w:p>
            <w:pPr>
              <w:pStyle w:val="Normal6a"/>
            </w:pPr>
            <w:r>
              <w:t>26.</w:t>
            </w:r>
            <w:r>
              <w:tab/>
            </w:r>
            <w:r>
              <w:rPr>
                <w:b/>
                <w:i/>
              </w:rPr>
              <w:t>is ingenomen</w:t>
            </w:r>
            <w:r>
              <w:t xml:space="preserve"> met de </w:t>
            </w:r>
            <w:r>
              <w:rPr>
                <w:b/>
                <w:i/>
              </w:rPr>
              <w:t>inspanningen om Srbijagas te ontvlechten en met verdere maatregelen om energieonafhankelijkheid te bereiken en de energiebronnen te diversifiëren</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494</w:t>
      </w:r>
      <w:r>
        <w:rPr>
          <w:rStyle w:val="HideTWBExt"/>
        </w:rPr>
        <w:t>&lt;/NumAm&gt;</w:t>
      </w:r>
    </w:p>
    <w:p>
      <w:pPr>
        <w:pStyle w:val="NormalBold"/>
      </w:pPr>
      <w:r>
        <w:rPr>
          <w:rStyle w:val="HideTWBExt"/>
          <w:b w:val="0"/>
        </w:rPr>
        <w:t>&lt;RepeatBlock-By&gt;</w:t>
      </w:r>
      <w:r>
        <w:rPr>
          <w:rStyle w:val="HideTWBExt"/>
          <w:b w:val="0"/>
        </w:rPr>
        <w:t>&lt;Members&gt;</w:t>
      </w:r>
      <w:r>
        <w:t>Tonino Picula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26.</w:t>
            </w:r>
            <w:r>
              <w:tab/>
            </w:r>
            <w:r>
              <w:t>wijst op de politiek gevoelige ontwikkelingen met betrekking tot het olie- en gasbedrijf Naftna Industrija Srbije (NIS) en de transformatie van de eigendomsstructuur ervan, in verband met de sancties die zijn opgelegd door de Verenigde Staten en het feit dat NIS in meerderheid eigendom is van de Russische bedrijven Gazprom en Gazprom Neft;</w:t>
            </w:r>
          </w:p>
        </w:tc>
        <w:tc>
          <w:tcPr>
            <w:tcW w:w="4876" w:type="dxa"/>
            <w:tcBorders>
              <w:top w:val="nil"/>
              <w:left w:val="nil"/>
              <w:bottom w:val="nil"/>
              <w:right w:val="nil"/>
            </w:tcBorders>
          </w:tcPr>
          <w:p>
            <w:pPr>
              <w:pStyle w:val="Normal6a"/>
            </w:pPr>
            <w:r>
              <w:t>26.</w:t>
            </w:r>
            <w:r>
              <w:tab/>
            </w:r>
            <w:r>
              <w:t xml:space="preserve">wijst op de politiek gevoelige ontwikkelingen met betrekking tot het olie- en gasbedrijf Naftna Industrija Srbije (NIS) en de transformatie van de eigendomsstructuur ervan, in verband met de sancties die zijn opgelegd door de Verenigde Staten en het feit dat NIS in meerderheid eigendom is van de Russische bedrijven Gazprom en Gazprom Neft; </w:t>
            </w:r>
            <w:r>
              <w:rPr>
                <w:b/>
                <w:i/>
              </w:rPr>
              <w:t>neemt kennis van de inzet en steun van de EU en Kroatië om een duurzame oplossing voor deze crisis te vinden;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495</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26.</w:t>
            </w:r>
            <w:r>
              <w:tab/>
            </w:r>
            <w:r>
              <w:rPr>
                <w:b/>
                <w:i/>
              </w:rPr>
              <w:t>wijst op de politiek gevoelige ontwikkelingen met betrekking tot het olie- en gasbedrijf Naftna Industrija Srbije (NIS) en de transformatie van</w:t>
            </w:r>
            <w:r>
              <w:t xml:space="preserve"> de eigendomsstructuur </w:t>
            </w:r>
            <w:r>
              <w:rPr>
                <w:b/>
                <w:i/>
              </w:rPr>
              <w:t>ervan, in verband met de sancties die zijn opgelegd door de Verenigde Staten en het feit dat NIS in meerderheid eigendom is van</w:t>
            </w:r>
            <w:r>
              <w:t xml:space="preserve"> de Russische bedrijven Gazprom en Gazprom Neft;</w:t>
            </w:r>
          </w:p>
        </w:tc>
        <w:tc>
          <w:tcPr>
            <w:tcW w:w="4876" w:type="dxa"/>
            <w:tcBorders>
              <w:top w:val="nil"/>
              <w:left w:val="nil"/>
              <w:bottom w:val="nil"/>
              <w:right w:val="nil"/>
            </w:tcBorders>
          </w:tcPr>
          <w:p>
            <w:pPr>
              <w:pStyle w:val="Normal6a"/>
            </w:pPr>
            <w:r>
              <w:t>26.</w:t>
            </w:r>
            <w:r>
              <w:tab/>
            </w:r>
            <w:r>
              <w:rPr>
                <w:b/>
                <w:i/>
              </w:rPr>
              <w:t>vindt</w:t>
            </w:r>
            <w:r>
              <w:t xml:space="preserve"> de eigendomsstructuur </w:t>
            </w:r>
            <w:r>
              <w:rPr>
                <w:b/>
                <w:i/>
              </w:rPr>
              <w:t>van de Servische staatsoliemaatschappij Naftna Industrija Srbijen (NIS), waarin</w:t>
            </w:r>
            <w:r>
              <w:t xml:space="preserve"> de Russische bedrijven Gazprom en Gazprom Neft </w:t>
            </w:r>
            <w:r>
              <w:rPr>
                <w:b/>
                <w:i/>
              </w:rPr>
              <w:t>zeggenschap uitoefenen, zeer zorgwekkend, en is van mening dat dit in flagrante tegenspraak is met de strategische belangen en de energiebeleidsdoelstellingen van de EU</w:t>
            </w:r>
            <w:r>
              <w:t xml:space="preserve">; </w:t>
            </w:r>
            <w:r>
              <w:rPr>
                <w:b/>
                <w:i/>
              </w:rPr>
              <w:t>is zeer ingenomen met de Amerikaanse sancties in dit verband;</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496</w:t>
      </w:r>
      <w:r>
        <w:rPr>
          <w:rStyle w:val="HideTWBExt"/>
        </w:rPr>
        <w:t>&lt;/NumAm&gt;</w:t>
      </w:r>
    </w:p>
    <w:p>
      <w:pPr>
        <w:pStyle w:val="NormalBold"/>
      </w:pPr>
      <w:r>
        <w:rPr>
          <w:rStyle w:val="HideTWBExt"/>
          <w:b w:val="0"/>
        </w:rPr>
        <w:t>&lt;RepeatBlock-By&gt;</w:t>
      </w:r>
      <w:r>
        <w:rPr>
          <w:rStyle w:val="HideTWBExt"/>
          <w:b w:val="0"/>
        </w:rPr>
        <w:t>&lt;Members&gt;</w:t>
      </w:r>
      <w:r>
        <w:t>Hans Neuhoff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26.</w:t>
            </w:r>
            <w:r>
              <w:tab/>
            </w:r>
            <w:r>
              <w:rPr>
                <w:b/>
                <w:i/>
              </w:rPr>
              <w:t>wijst op de politiek gevoelige</w:t>
            </w:r>
            <w:r>
              <w:t xml:space="preserve"> ontwikkelingen met betrekking tot </w:t>
            </w:r>
            <w:r>
              <w:rPr>
                <w:b/>
                <w:i/>
              </w:rPr>
              <w:t>het olie- en gasbedrijf Naftna Industrija Srbije (NIS) en de transformatie van</w:t>
            </w:r>
            <w:r>
              <w:t xml:space="preserve"> de eigendomsstructuur ervan</w:t>
            </w:r>
            <w:r>
              <w:rPr>
                <w:b/>
                <w:i/>
              </w:rPr>
              <w:t>, in verband met de sancties die zijn opgelegd door de Verenigde Staten en het feit dat NIS in meerderheid eigendom is</w:t>
            </w:r>
            <w:r>
              <w:t xml:space="preserve"> van de </w:t>
            </w:r>
            <w:r>
              <w:rPr>
                <w:b/>
                <w:i/>
              </w:rPr>
              <w:t>Russische bedrijven Gazprom en Gazprom Neft</w:t>
            </w:r>
            <w:r>
              <w:t>;</w:t>
            </w:r>
          </w:p>
        </w:tc>
        <w:tc>
          <w:tcPr>
            <w:tcW w:w="4876" w:type="dxa"/>
            <w:tcBorders>
              <w:top w:val="nil"/>
              <w:left w:val="nil"/>
              <w:bottom w:val="nil"/>
              <w:right w:val="nil"/>
            </w:tcBorders>
          </w:tcPr>
          <w:p>
            <w:pPr>
              <w:pStyle w:val="Normal6a"/>
            </w:pPr>
            <w:r>
              <w:t>26.</w:t>
            </w:r>
            <w:r>
              <w:tab/>
            </w:r>
            <w:r>
              <w:rPr>
                <w:b/>
                <w:i/>
              </w:rPr>
              <w:t>neemt kennis van de</w:t>
            </w:r>
            <w:r>
              <w:t xml:space="preserve"> ontwikkelingen met betrekking tot </w:t>
            </w:r>
            <w:r>
              <w:rPr>
                <w:b/>
                <w:i/>
              </w:rPr>
              <w:t>NIS en</w:t>
            </w:r>
            <w:r>
              <w:t xml:space="preserve"> de eigendomsstructuur ervan</w:t>
            </w:r>
            <w:r>
              <w:rPr>
                <w:b/>
                <w:i/>
              </w:rPr>
              <w:t>;</w:t>
            </w:r>
            <w:r>
              <w:t xml:space="preserve"> </w:t>
            </w:r>
            <w:r>
              <w:rPr>
                <w:b/>
                <w:i/>
              </w:rPr>
              <w:t>herinnert eraan dat de energiesector en de partnerschapsregelingen van Servië soevereine besluiten met betrekking tot energiezekerheid weerspiegelen;</w:t>
            </w:r>
            <w:r>
              <w:t xml:space="preserve"> </w:t>
            </w:r>
            <w:r>
              <w:rPr>
                <w:b/>
                <w:i/>
              </w:rPr>
              <w:t>benadrukt dat sanctieregelingen ten aanzien van derde landen niet automatisch verplichtingen met zich meebrengen voor kandidaat-lidstaten</w:t>
            </w:r>
            <w:r>
              <w:t xml:space="preserve"> van de </w:t>
            </w:r>
            <w:r>
              <w:rPr>
                <w:b/>
                <w:i/>
              </w:rPr>
              <w:t>EU en niet mogen worden behandeld als benchmark voor de voorwaarden voor toetreding tot de EU</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497</w:t>
      </w:r>
      <w:r>
        <w:rPr>
          <w:rStyle w:val="HideTWBExt"/>
        </w:rPr>
        <w:t>&lt;/NumAm&gt;</w:t>
      </w:r>
    </w:p>
    <w:p>
      <w:pPr>
        <w:pStyle w:val="NormalBold"/>
      </w:pPr>
      <w:r>
        <w:rPr>
          <w:rStyle w:val="HideTWBExt"/>
          <w:b w:val="0"/>
        </w:rPr>
        <w:t>&lt;RepeatBlock-By&gt;</w:t>
      </w:r>
      <w:r>
        <w:rPr>
          <w:rStyle w:val="HideTWBExt"/>
          <w:b w:val="0"/>
        </w:rPr>
        <w:t>&lt;Members&gt;</w:t>
      </w:r>
      <w:r>
        <w:t>Ivaylo Valchev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26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26 bis.</w:t>
            </w:r>
            <w:r>
              <w:tab/>
            </w:r>
            <w:r>
              <w:rPr>
                <w:b/>
                <w:i/>
              </w:rPr>
              <w:t>is ingenomen met het voorstel van de Commissie om onderhandelingen met Albanië, Bosnië en Herzegovina, Kosovo, Montenegro, Noord-Macedonië en Servië te openen met het oog op hun integratie in de “roaming tegen thuistarief"-regeling van de EU;</w:t>
            </w:r>
            <w:r>
              <w:t xml:space="preserve"> </w:t>
            </w:r>
            <w:r>
              <w:rPr>
                <w:b/>
                <w:i/>
              </w:rPr>
              <w:t>benadrukt dat uitbreiding van het “roaming tegen thuistarief"-gebied tot de Westelijke Balkan concrete voordelen zou opleveren voor zowel burgers als bedrijven, doordat interpersoonlijke contacten worden bevorderd, economische banden worden versterkt, uitwisselingen op onderwijsgebied worden ondersteund en toerisme wordt vergemakkelijkt;</w:t>
            </w:r>
            <w:r>
              <w:t xml:space="preserve"> </w:t>
            </w:r>
            <w:r>
              <w:rPr>
                <w:b/>
                <w:i/>
              </w:rPr>
              <w:t>merkt op dat dit initiatief voortbouwt op bestaande vrijwillige roamingregelingen en op de regionale roamingovereenkomst voor de Westelijke Balkan, die tijdens de top in Tirana werd bekrachtigd; dringt aan op een snelle goedkeuring van de onderhandelingsmandaten en op de tijdige sluiting van bilaterale overeenkomsten met de partners in de Westelijke Balkan, om hun snelle en doeltreffende integratie in het "roaming tegen thuistarief"-gebied van de EU te waarborgen;</w:t>
            </w:r>
          </w:p>
        </w:tc>
      </w:tr>
    </w:tbl>
    <w:p>
      <w:pPr>
        <w:pStyle w:val="AmOrLang"/>
      </w:pPr>
      <w:r>
        <w:t xml:space="preserve">Or. </w:t>
      </w:r>
      <w:r>
        <w:rPr>
          <w:rStyle w:val="HideTWBExt"/>
        </w:rPr>
        <w:t>&lt;Original&gt;</w:t>
      </w:r>
      <w:r>
        <w:rPr>
          <w:rStyle w:val="HideTWBInt"/>
        </w:rPr>
        <w:t>{BG}</w:t>
      </w:r>
      <w:r>
        <w:t>bg</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498</w:t>
      </w:r>
      <w:r>
        <w:rPr>
          <w:rStyle w:val="HideTWBExt"/>
        </w:rPr>
        <w:t>&lt;/NumAm&gt;</w:t>
      </w:r>
    </w:p>
    <w:p>
      <w:pPr>
        <w:pStyle w:val="NormalBold"/>
      </w:pPr>
      <w:r>
        <w:rPr>
          <w:rStyle w:val="HideTWBExt"/>
          <w:b w:val="0"/>
        </w:rPr>
        <w:t>&lt;RepeatBlock-By&gt;</w:t>
      </w:r>
      <w:r>
        <w:rPr>
          <w:rStyle w:val="HideTWBExt"/>
          <w:b w:val="0"/>
        </w:rPr>
        <w:t>&lt;Members&gt;</w:t>
      </w:r>
      <w:r>
        <w:t>Vladimir Prebilič</w:t>
      </w:r>
      <w:r>
        <w:rPr>
          <w:rStyle w:val="HideTWBExt"/>
          <w:b w:val="0"/>
        </w:rPr>
        <w:t>&lt;/Members&gt;</w:t>
      </w:r>
    </w:p>
    <w:p>
      <w:r>
        <w:rPr>
          <w:rStyle w:val="HideTWBExt"/>
          <w:b w:val="0"/>
        </w:rPr>
        <w:t>&lt;AuNomDe&gt;</w:t>
      </w:r>
      <w:r>
        <w:rPr>
          <w:rStyle w:val="HideTWBInt"/>
        </w:rPr>
        <w:t>{Verts/ALE}</w:t>
      </w:r>
      <w:r>
        <w:t>namens de Verts/ALE-Fractie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26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26 bis.</w:t>
            </w:r>
            <w:r>
              <w:tab/>
            </w:r>
            <w:r>
              <w:rPr>
                <w:b/>
                <w:i/>
              </w:rPr>
              <w:t>betreurt het dat Servië nog steeds overeenkomsten met Rusland sluit over gasleveringen en zich niet aanpast aan de doelstellingen van het GBVB van de EU, en daarmee zijn strategische afhankelijkheid van één enkele leverancier vergroot;</w:t>
            </w:r>
            <w:r>
              <w:t xml:space="preserve"> </w:t>
            </w:r>
            <w:r>
              <w:rPr>
                <w:b/>
                <w:i/>
              </w:rPr>
              <w:t>verzoekt de Servische autoriteiten dringend meer inspanningen te leveren om de gasvoorzieningsbronnen te diversifiëren, onder meer door middel van verbeterde regionale interconnectiviteit, investeringen in hernieuwbare energie en afstemming op de energiediversificatiestrategie van de EU;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499</w:t>
      </w:r>
      <w:r>
        <w:rPr>
          <w:rStyle w:val="HideTWBExt"/>
        </w:rPr>
        <w:t>&lt;/NumAm&gt;</w:t>
      </w:r>
    </w:p>
    <w:p>
      <w:pPr>
        <w:pStyle w:val="NormalBold"/>
      </w:pPr>
      <w:r>
        <w:rPr>
          <w:rStyle w:val="HideTWBExt"/>
          <w:b w:val="0"/>
        </w:rPr>
        <w:t>&lt;RepeatBlock-By&gt;</w:t>
      </w:r>
      <w:r>
        <w:rPr>
          <w:rStyle w:val="HideTWBExt"/>
          <w:b w:val="0"/>
        </w:rPr>
        <w:t>&lt;Members&gt;</w:t>
      </w:r>
      <w:r>
        <w:t>Emmanouil Fragkos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26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26 bis.</w:t>
            </w:r>
            <w:r>
              <w:tab/>
            </w:r>
            <w:r>
              <w:rPr>
                <w:b/>
                <w:i/>
              </w:rPr>
              <w:t>maakt zich zorgen over de constante uitstroom van Servische burgers naar andere landen, die negatieve gevolgen kan hebben voor de economische en sociale ontwikkeling van Servië;</w:t>
            </w:r>
            <w:r>
              <w:t xml:space="preserve"> </w:t>
            </w:r>
            <w:r>
              <w:rPr>
                <w:b/>
                <w:i/>
              </w:rPr>
              <w:t>verzoekt de Servische regering gerichte en doeltreffende maatregelen te nemen om Servische burgers over te halen naar het land terug te keren door (onder andere) passende economische stimulansen te bieden en voor betere arbeids- en levensomstandigheden te zorgen;</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500</w:t>
      </w:r>
      <w:r>
        <w:rPr>
          <w:rStyle w:val="HideTWBExt"/>
        </w:rPr>
        <w:t>&lt;/NumAm&gt;</w:t>
      </w:r>
    </w:p>
    <w:p>
      <w:pPr>
        <w:pStyle w:val="NormalBold"/>
      </w:pPr>
      <w:r>
        <w:rPr>
          <w:rStyle w:val="HideTWBExt"/>
          <w:b w:val="0"/>
        </w:rPr>
        <w:t>&lt;RepeatBlock-By&gt;</w:t>
      </w:r>
      <w:r>
        <w:rPr>
          <w:rStyle w:val="HideTWBExt"/>
          <w:b w:val="0"/>
        </w:rPr>
        <w:t>&lt;Members&gt;</w:t>
      </w:r>
      <w:r>
        <w:t>Petras Auštrevičius, Lucia Yar, Dan Barna, Nathalie Loiseau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26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26 bis.</w:t>
            </w:r>
            <w:r>
              <w:tab/>
            </w:r>
            <w:r>
              <w:rPr>
                <w:b/>
                <w:i/>
              </w:rPr>
              <w:t>betreurt dat, ondanks de inspanningen van Servië om zijn energievoorziening onafhankelijker te maken van Rusland, de recente gesprekken tussen president Aleksandar Vučić en Vladimir Poetin hebben geleid tot een nieuwe overeenkomst met Rusland voor de invoer van gas, waardoor de vooruitgang die het land heeft geboekt bij de aanpassing aan het energiebeleid van de EU teniet wordt gedaan en er ernstige vragen rijzen over de toezegging van Servië om zijn strategische afhankelijkheid van Russische energiebronnen te verminderen;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501</w:t>
      </w:r>
      <w:r>
        <w:rPr>
          <w:rStyle w:val="HideTWBExt"/>
        </w:rPr>
        <w:t>&lt;/NumAm&gt;</w:t>
      </w:r>
    </w:p>
    <w:p>
      <w:pPr>
        <w:pStyle w:val="NormalBold"/>
      </w:pPr>
      <w:r>
        <w:rPr>
          <w:rStyle w:val="HideTWBExt"/>
          <w:b w:val="0"/>
        </w:rPr>
        <w:t>&lt;RepeatBlock-By&gt;</w:t>
      </w:r>
      <w:r>
        <w:rPr>
          <w:rStyle w:val="HideTWBExt"/>
          <w:b w:val="0"/>
        </w:rPr>
        <w:t>&lt;Members&gt;</w:t>
      </w:r>
      <w:r>
        <w:t>Loucas Fourlas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26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26 bis.</w:t>
            </w:r>
            <w:r>
              <w:tab/>
            </w:r>
            <w:r>
              <w:rPr>
                <w:b/>
                <w:i/>
              </w:rPr>
              <w:t>stelt vast dat Servië goed voorbereid is op het gebied van economie, met name op het gebied van macro-economische veiligheid en stabiliteit, begrotingsdiscipline en statistiek;</w:t>
            </w:r>
            <w:r>
              <w:t xml:space="preserve"> </w:t>
            </w:r>
            <w:r>
              <w:rPr>
                <w:b/>
                <w:i/>
              </w:rPr>
              <w:t>is van mening dat Servië goede vooruitgang boekt op het gebied van de groene agenda, milieubescherming, klimaatverandering en het trans-Europese netwerk;</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502</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26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26 bis.</w:t>
            </w:r>
            <w:r>
              <w:tab/>
            </w:r>
            <w:r>
              <w:rPr>
                <w:b/>
                <w:i/>
              </w:rPr>
              <w:t>beschouwt de weigering van Servië om zich aan te sluiten bij de sancties tegen Rusland als een verwerpelijke afwijking van de gemeenschappelijke lijn van de EU en is van mening dat dit de geloofwaardigheid van het toetredingsproces van Servië aanzienlijk ondermijnt;</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503</w:t>
      </w:r>
      <w:r>
        <w:rPr>
          <w:rStyle w:val="HideTWBExt"/>
        </w:rPr>
        <w:t>&lt;/NumAm&gt;</w:t>
      </w:r>
    </w:p>
    <w:p>
      <w:pPr>
        <w:pStyle w:val="NormalBold"/>
      </w:pPr>
      <w:r>
        <w:rPr>
          <w:rStyle w:val="HideTWBExt"/>
          <w:b w:val="0"/>
        </w:rPr>
        <w:t>&lt;RepeatBlock-By&gt;</w:t>
      </w:r>
      <w:r>
        <w:rPr>
          <w:rStyle w:val="HideTWBExt"/>
          <w:b w:val="0"/>
        </w:rPr>
        <w:t>&lt;Members&gt;</w:t>
      </w:r>
      <w:r>
        <w:t>Tonino Picula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26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26 bis.</w:t>
            </w:r>
            <w:r>
              <w:tab/>
            </w:r>
            <w:r>
              <w:rPr>
                <w:b/>
                <w:i/>
              </w:rPr>
              <w:t>herhaalt dat het belangrijk is de energievoorziening van Servië te blijven diversifiëren, zodat het land minder afhankelijk wordt van Rusland;</w:t>
            </w:r>
            <w:r>
              <w:t xml:space="preserve"> </w:t>
            </w:r>
            <w:r>
              <w:rPr>
                <w:b/>
                <w:i/>
              </w:rPr>
              <w:t>merkt op dat energiediversificatie kan worden beschouwd als onderdeel van de strategische oriëntatie van het land;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504</w:t>
      </w:r>
      <w:r>
        <w:rPr>
          <w:rStyle w:val="HideTWBExt"/>
        </w:rPr>
        <w:t>&lt;/NumAm&gt;</w:t>
      </w:r>
    </w:p>
    <w:p>
      <w:pPr>
        <w:pStyle w:val="NormalBold"/>
      </w:pPr>
      <w:r>
        <w:rPr>
          <w:rStyle w:val="HideTWBExt"/>
          <w:b w:val="0"/>
        </w:rPr>
        <w:t>&lt;RepeatBlock-By&gt;</w:t>
      </w:r>
      <w:r>
        <w:rPr>
          <w:rStyle w:val="HideTWBExt"/>
          <w:b w:val="0"/>
        </w:rPr>
        <w:t>&lt;Members&gt;</w:t>
      </w:r>
      <w:r>
        <w:t>Geadis Geadi, Emmanouil Fragkos, Galato Alexandraki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26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26 bis.</w:t>
            </w:r>
            <w:r>
              <w:tab/>
            </w:r>
            <w:r>
              <w:rPr>
                <w:b/>
                <w:i/>
              </w:rPr>
              <w:t>is ingenomen met de inspanningen om Srbijagas te ontvlechten en hervormingen door te voeren die gericht zijn op het versterken van de energieonafhankelijkheid en het diversifiëren van energiebronnen, met name door de afhankelijkheid van dominante leveranciers uit derde landen te verminderen;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505</w:t>
      </w:r>
      <w:r>
        <w:rPr>
          <w:rStyle w:val="HideTWBExt"/>
        </w:rPr>
        <w:t>&lt;/NumAm&gt;</w:t>
      </w:r>
    </w:p>
    <w:p>
      <w:pPr>
        <w:pStyle w:val="NormalBold"/>
      </w:pPr>
      <w:r>
        <w:rPr>
          <w:rStyle w:val="HideTWBExt"/>
          <w:b w:val="0"/>
        </w:rPr>
        <w:t>&lt;RepeatBlock-By&gt;</w:t>
      </w:r>
      <w:r>
        <w:rPr>
          <w:rStyle w:val="HideTWBExt"/>
          <w:b w:val="0"/>
        </w:rPr>
        <w:t>&lt;Members&gt;</w:t>
      </w:r>
      <w:r>
        <w:t>Annamária Vicsek, Kinga Gál, António Tânger Corrêa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26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26 bis.</w:t>
            </w:r>
            <w:r>
              <w:tab/>
            </w:r>
            <w:r>
              <w:rPr>
                <w:b/>
                <w:i/>
              </w:rPr>
              <w:t>is ingenomen met de maatregelen die de Servische autoriteiten op 5 april 2026 hebben genomen om de terroristische aanslag op de Servisch-Hongaarse gaspijpleiding, bekend als de “Turkish Stream” nabij Tresnjevac, te voorkomen;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506</w:t>
      </w:r>
      <w:r>
        <w:rPr>
          <w:rStyle w:val="HideTWBExt"/>
        </w:rPr>
        <w:t>&lt;/NumAm&gt;</w:t>
      </w:r>
    </w:p>
    <w:p>
      <w:pPr>
        <w:pStyle w:val="NormalBold"/>
      </w:pPr>
      <w:r>
        <w:rPr>
          <w:rStyle w:val="HideTWBExt"/>
          <w:b w:val="0"/>
        </w:rPr>
        <w:t>&lt;RepeatBlock-By&gt;</w:t>
      </w:r>
      <w:r>
        <w:rPr>
          <w:rStyle w:val="HideTWBExt"/>
          <w:b w:val="0"/>
        </w:rPr>
        <w:t>&lt;Members&gt;</w:t>
      </w:r>
      <w:r>
        <w:t>Helmut Brandstätter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26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26 bis.</w:t>
            </w:r>
            <w:r>
              <w:tab/>
            </w:r>
            <w:r>
              <w:rPr>
                <w:b/>
                <w:i/>
              </w:rPr>
              <w:t>betreurt de demografische uitdagingen waarmee Servië wordt geconfronteerd als gevolg van de vergrijzing en de lage geboortecijfers, die nog worden verergerd door de uittocht van jongeren als gevolg van politieke onzekerheden en sociaal-economische problemen;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507</w:t>
      </w:r>
      <w:r>
        <w:rPr>
          <w:rStyle w:val="HideTWBExt"/>
        </w:rPr>
        <w:t>&lt;/NumAm&gt;</w:t>
      </w:r>
    </w:p>
    <w:p>
      <w:pPr>
        <w:pStyle w:val="NormalBold"/>
      </w:pPr>
      <w:r>
        <w:rPr>
          <w:rStyle w:val="HideTWBExt"/>
          <w:b w:val="0"/>
        </w:rPr>
        <w:t>&lt;RepeatBlock-By&gt;</w:t>
      </w:r>
      <w:r>
        <w:rPr>
          <w:rStyle w:val="HideTWBExt"/>
          <w:b w:val="0"/>
        </w:rPr>
        <w:t>&lt;Members&gt;</w:t>
      </w:r>
      <w:r>
        <w:t>Annamária Vicsek, Kinga Gál, António Tânger Corrêa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26 ter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26 ter.</w:t>
            </w:r>
            <w:r>
              <w:tab/>
            </w:r>
            <w:r>
              <w:rPr>
                <w:b/>
                <w:i/>
              </w:rPr>
              <w:t>is ingenomen met de inspanningen om Srbijagas te ontvlechten en met verdere maatregelen om energieonafhankelijkheid te bereiken en de energiebronnen te diversifiëren;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508</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26 ter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26 ter.</w:t>
            </w:r>
            <w:r>
              <w:tab/>
            </w:r>
            <w:r>
              <w:rPr>
                <w:b/>
                <w:i/>
              </w:rPr>
              <w:t>beschouwt het als een essentiële doelstelling van het veiligheidsbeleid dat Servië zich losmaakt van de Russische energievoorziening;</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509</w:t>
      </w:r>
      <w:r>
        <w:rPr>
          <w:rStyle w:val="HideTWBExt"/>
        </w:rPr>
        <w:t>&lt;/NumAm&gt;</w:t>
      </w:r>
    </w:p>
    <w:p>
      <w:pPr>
        <w:pStyle w:val="NormalBold"/>
      </w:pPr>
      <w:r>
        <w:rPr>
          <w:rStyle w:val="HideTWBExt"/>
          <w:b w:val="0"/>
        </w:rPr>
        <w:t>&lt;RepeatBlock-By&gt;</w:t>
      </w:r>
      <w:r>
        <w:rPr>
          <w:rStyle w:val="HideTWBExt"/>
          <w:b w:val="0"/>
        </w:rPr>
        <w:t>&lt;Members&gt;</w:t>
      </w:r>
      <w:r>
        <w:t>Emmanouil Fragkos, Galato Alexandraki, Geadis Geadi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27.</w:t>
            </w:r>
            <w:r>
              <w:tab/>
            </w:r>
            <w:r>
              <w:t>wijst er nogmaals op dat het belangrijk is milieunormen in Servië te beschermen, en mijnbouwprojecten in het bijzonder, met volledige eerbiediging van de rechten van lokale gemeenschappen;</w:t>
            </w:r>
          </w:p>
        </w:tc>
        <w:tc>
          <w:tcPr>
            <w:tcW w:w="4876" w:type="dxa"/>
            <w:tcBorders>
              <w:top w:val="nil"/>
              <w:left w:val="nil"/>
              <w:bottom w:val="nil"/>
              <w:right w:val="nil"/>
            </w:tcBorders>
          </w:tcPr>
          <w:p>
            <w:pPr>
              <w:pStyle w:val="Normal6a"/>
            </w:pPr>
            <w:r>
              <w:t>27.</w:t>
            </w:r>
            <w:r>
              <w:tab/>
            </w:r>
            <w:r>
              <w:t xml:space="preserve">wijst er nogmaals op dat het belangrijk is milieunormen in Servië te beschermen, en mijnbouwprojecten in het bijzonder, met volledige eerbiediging van de rechten van lokale gemeenschappen; </w:t>
            </w:r>
            <w:r>
              <w:rPr>
                <w:b/>
                <w:i/>
              </w:rPr>
              <w:t>is ingenomen met het memorandum van overeenstemming tussen de Europese Unie en de Republiek Servië over een strategisch partnerschap inzake duurzame grondstoffen, waardeketens voor batterijen en elektrische voertuigen;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510</w:t>
      </w:r>
      <w:r>
        <w:rPr>
          <w:rStyle w:val="HideTWBExt"/>
        </w:rPr>
        <w:t>&lt;/NumAm&gt;</w:t>
      </w:r>
    </w:p>
    <w:p>
      <w:pPr>
        <w:pStyle w:val="NormalBold"/>
      </w:pPr>
      <w:r>
        <w:rPr>
          <w:rStyle w:val="HideTWBExt"/>
          <w:b w:val="0"/>
        </w:rPr>
        <w:t>&lt;RepeatBlock-By&gt;</w:t>
      </w:r>
      <w:r>
        <w:rPr>
          <w:rStyle w:val="HideTWBExt"/>
          <w:b w:val="0"/>
        </w:rPr>
        <w:t>&lt;Members&gt;</w:t>
      </w:r>
      <w:r>
        <w:t>Loucas Fourlas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27.</w:t>
            </w:r>
            <w:r>
              <w:tab/>
            </w:r>
            <w:r>
              <w:t>wijst er nogmaals op dat het belangrijk is milieunormen in Servië te beschermen, en mijnbouwprojecten in het bijzonder, met volledige eerbiediging van de rechten van lokale gemeenschappen;</w:t>
            </w:r>
          </w:p>
        </w:tc>
        <w:tc>
          <w:tcPr>
            <w:tcW w:w="4876" w:type="dxa"/>
            <w:tcBorders>
              <w:top w:val="nil"/>
              <w:left w:val="nil"/>
              <w:bottom w:val="nil"/>
              <w:right w:val="nil"/>
            </w:tcBorders>
          </w:tcPr>
          <w:p>
            <w:pPr>
              <w:pStyle w:val="Normal6a"/>
            </w:pPr>
            <w:r>
              <w:t>27.</w:t>
            </w:r>
            <w:r>
              <w:tab/>
            </w:r>
            <w:r>
              <w:t xml:space="preserve">wijst er nogmaals op dat het belangrijk is milieunormen in Servië te beschermen, en mijnbouwprojecten in het bijzonder, met volledige eerbiediging van de rechten van lokale gemeenschappen; </w:t>
            </w:r>
            <w:r>
              <w:rPr>
                <w:b/>
                <w:i/>
              </w:rPr>
              <w:t>is ingenomen met het memorandum van overeenstemming tussen de Europese Unie en de Republiek Servië over een strategisch partnerschap inzake duurzame grondstoffen, waardeketens voor batterijen en elektrische voertuigen;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511</w:t>
      </w:r>
      <w:r>
        <w:rPr>
          <w:rStyle w:val="HideTWBExt"/>
        </w:rPr>
        <w:t>&lt;/NumAm&gt;</w:t>
      </w:r>
    </w:p>
    <w:p>
      <w:pPr>
        <w:pStyle w:val="NormalBold"/>
      </w:pPr>
      <w:r>
        <w:rPr>
          <w:rStyle w:val="HideTWBExt"/>
          <w:b w:val="0"/>
        </w:rPr>
        <w:t>&lt;RepeatBlock-By&gt;</w:t>
      </w:r>
      <w:r>
        <w:rPr>
          <w:rStyle w:val="HideTWBExt"/>
          <w:b w:val="0"/>
        </w:rPr>
        <w:t>&lt;Members&gt;</w:t>
      </w:r>
      <w:r>
        <w:t>Vladimir Prebilič</w:t>
      </w:r>
      <w:r>
        <w:rPr>
          <w:rStyle w:val="HideTWBExt"/>
          <w:b w:val="0"/>
        </w:rPr>
        <w:t>&lt;/Members&gt;</w:t>
      </w:r>
    </w:p>
    <w:p>
      <w:r>
        <w:rPr>
          <w:rStyle w:val="HideTWBExt"/>
          <w:b w:val="0"/>
        </w:rPr>
        <w:t>&lt;AuNomDe&gt;</w:t>
      </w:r>
      <w:r>
        <w:rPr>
          <w:rStyle w:val="HideTWBInt"/>
        </w:rPr>
        <w:t>{Verts/ALE}</w:t>
      </w:r>
      <w:r>
        <w:t>namens de Verts/ALE-Fractie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27.</w:t>
            </w:r>
            <w:r>
              <w:tab/>
            </w:r>
            <w:r>
              <w:t xml:space="preserve">wijst er nogmaals op dat het belangrijk is </w:t>
            </w:r>
            <w:r>
              <w:rPr>
                <w:b/>
                <w:i/>
              </w:rPr>
              <w:t>milieunormen</w:t>
            </w:r>
            <w:r>
              <w:t xml:space="preserve"> in Servië </w:t>
            </w:r>
            <w:r>
              <w:rPr>
                <w:b/>
                <w:i/>
              </w:rPr>
              <w:t>te beschermen, en</w:t>
            </w:r>
            <w:r>
              <w:t xml:space="preserve"> mijnbouwprojecten </w:t>
            </w:r>
            <w:r>
              <w:rPr>
                <w:b/>
                <w:i/>
              </w:rPr>
              <w:t>in het bijzonder</w:t>
            </w:r>
            <w:r>
              <w:t>, met volledige eerbiediging van de rechten van lokale gemeenschappen;</w:t>
            </w:r>
          </w:p>
        </w:tc>
        <w:tc>
          <w:tcPr>
            <w:tcW w:w="4876" w:type="dxa"/>
            <w:tcBorders>
              <w:top w:val="nil"/>
              <w:left w:val="nil"/>
              <w:bottom w:val="nil"/>
              <w:right w:val="nil"/>
            </w:tcBorders>
          </w:tcPr>
          <w:p>
            <w:pPr>
              <w:pStyle w:val="Normal6a"/>
            </w:pPr>
            <w:r>
              <w:t>27.</w:t>
            </w:r>
            <w:r>
              <w:tab/>
            </w:r>
            <w:r>
              <w:t xml:space="preserve">wijst er nogmaals op dat het belangrijk is </w:t>
            </w:r>
            <w:r>
              <w:rPr>
                <w:b/>
                <w:i/>
              </w:rPr>
              <w:t>milieu- en natuurbeschermingsnormen</w:t>
            </w:r>
            <w:r>
              <w:t xml:space="preserve"> in Servië </w:t>
            </w:r>
            <w:r>
              <w:rPr>
                <w:b/>
                <w:i/>
              </w:rPr>
              <w:t>volledig na te leven, in het bijzonder met betrekking tot</w:t>
            </w:r>
            <w:r>
              <w:t xml:space="preserve"> mijnbouwprojecten</w:t>
            </w:r>
            <w:r>
              <w:rPr>
                <w:b/>
                <w:i/>
              </w:rPr>
              <w:t>, met name in gebieden met een hoge biodiversiteitswaarde, zoals beschermde gebieden en oerbossen in Oost-Servië</w:t>
            </w:r>
            <w:r>
              <w:t>, met volledige eerbiediging van de rechten van lokale gemeenschappen;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512</w:t>
      </w:r>
      <w:r>
        <w:rPr>
          <w:rStyle w:val="HideTWBExt"/>
        </w:rPr>
        <w:t>&lt;/NumAm&gt;</w:t>
      </w:r>
    </w:p>
    <w:p>
      <w:pPr>
        <w:pStyle w:val="NormalBold"/>
      </w:pPr>
      <w:r>
        <w:rPr>
          <w:rStyle w:val="HideTWBExt"/>
          <w:b w:val="0"/>
        </w:rPr>
        <w:t>&lt;RepeatBlock-By&gt;</w:t>
      </w:r>
      <w:r>
        <w:rPr>
          <w:rStyle w:val="HideTWBExt"/>
          <w:b w:val="0"/>
        </w:rPr>
        <w:t>&lt;Members&gt;</w:t>
      </w:r>
      <w:r>
        <w:t>Şerban Dimitrie Sturdza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27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27 bis.</w:t>
            </w:r>
            <w:r>
              <w:tab/>
            </w:r>
            <w:r>
              <w:rPr>
                <w:b/>
                <w:i/>
              </w:rPr>
              <w:t>uit zijn bezorgdheid over de gemelde aantasting van het milieu door en de sociale gevolgen van grootschalige winningsprojecten, met name na de verkoop in 2018 van het mijnbouw- en smelterijcomplex RTB Bor aan het Chinese bedrijf Zijin, wat heeft geleid tot een intensievere exploitatie van koper, goud en andere zeldzame materialen in de gemeenten Bor en Majdanpek;</w:t>
            </w:r>
            <w:r>
              <w:t xml:space="preserve"> </w:t>
            </w:r>
            <w:r>
              <w:rPr>
                <w:b/>
                <w:i/>
              </w:rPr>
              <w:t>onderstreept dat dergelijke activiteiten aanleiding hebben gegeven tot ernstige bezorgdheid over de gevolgen ervan voor lokale gemeenschappen, waaronder de ontheemding van mensen die tot de Roemeense minderheid behoren, waardoor de etnische samenstelling van het gebied is veranderd en de grondwettelijke waarborgen worden ondermijnd;</w:t>
            </w:r>
            <w:r>
              <w:t xml:space="preserve"> </w:t>
            </w:r>
            <w:r>
              <w:rPr>
                <w:b/>
                <w:i/>
              </w:rPr>
              <w:t>benadrukt dat Servië bij de goedkeuring en uitvoering van dergelijke projecten zijn grondwettelijke orde volledig moet waarborgen, de strikte naleving van milieunormen moet waarborgen en de rechten van lokale en nationale minderheidsgemeenschappen moet beschermen;</w:t>
            </w:r>
            <w:r>
              <w:t xml:space="preserve"> </w:t>
            </w:r>
            <w:r>
              <w:rPr>
                <w:b/>
                <w:i/>
              </w:rPr>
              <w:t>verzoekt de Servische autoriteiten volledige transparantie, verantwoordingsplicht en passende zorgvuldigheid te waarborgen bij overheidsopdrachten, privatiseringen en concessieprocedures waarbij buitenlandse staatsondernemingen, waaronder Chinese contractanten, betrokken zijn;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513</w:t>
      </w:r>
      <w:r>
        <w:rPr>
          <w:rStyle w:val="HideTWBExt"/>
        </w:rPr>
        <w:t>&lt;/NumAm&gt;</w:t>
      </w:r>
    </w:p>
    <w:p>
      <w:pPr>
        <w:pStyle w:val="NormalBold"/>
      </w:pPr>
      <w:r>
        <w:rPr>
          <w:rStyle w:val="HideTWBExt"/>
          <w:b w:val="0"/>
        </w:rPr>
        <w:t>&lt;RepeatBlock-By&gt;</w:t>
      </w:r>
      <w:r>
        <w:rPr>
          <w:rStyle w:val="HideTWBExt"/>
          <w:b w:val="0"/>
        </w:rPr>
        <w:t>&lt;Members&gt;</w:t>
      </w:r>
      <w:r>
        <w:t>Vladimir Prebilič</w:t>
      </w:r>
      <w:r>
        <w:rPr>
          <w:rStyle w:val="HideTWBExt"/>
          <w:b w:val="0"/>
        </w:rPr>
        <w:t>&lt;/Members&gt;</w:t>
      </w:r>
    </w:p>
    <w:p>
      <w:r>
        <w:rPr>
          <w:rStyle w:val="HideTWBExt"/>
          <w:b w:val="0"/>
        </w:rPr>
        <w:t>&lt;AuNomDe&gt;</w:t>
      </w:r>
      <w:r>
        <w:rPr>
          <w:rStyle w:val="HideTWBInt"/>
        </w:rPr>
        <w:t>{Verts/ALE}</w:t>
      </w:r>
      <w:r>
        <w:t>namens de Verts/ALE-Fractie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27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27 bis.</w:t>
            </w:r>
            <w:r>
              <w:tab/>
            </w:r>
            <w:r>
              <w:rPr>
                <w:b/>
                <w:i/>
              </w:rPr>
              <w:t>verzoekt Servië de aanpassing aan de vogelrichtlijn en de habitatrichtlijn te versnellen en aanzienlijk meer inspanningen te leveren om gebieden voor het Natura 2000-netwerk in kaart te brengen en vooraf aan te wijzen, teneinde te voldoen aan de kernverplichtingen uit hoofde van hoofdstuk 27, en beschermde gebieden uit te breiden en doeltreffend te beheren, onder meer door de handhaving ten aanzien van criminaliteit in verband met in het wild levende dieren en planten te versterken;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514</w:t>
      </w:r>
      <w:r>
        <w:rPr>
          <w:rStyle w:val="HideTWBExt"/>
        </w:rPr>
        <w:t>&lt;/NumAm&gt;</w:t>
      </w:r>
    </w:p>
    <w:p>
      <w:pPr>
        <w:pStyle w:val="NormalBold"/>
      </w:pPr>
      <w:r>
        <w:rPr>
          <w:rStyle w:val="HideTWBExt"/>
          <w:b w:val="0"/>
        </w:rPr>
        <w:t>&lt;RepeatBlock-By&gt;</w:t>
      </w:r>
      <w:r>
        <w:rPr>
          <w:rStyle w:val="HideTWBExt"/>
          <w:b w:val="0"/>
        </w:rPr>
        <w:t>&lt;Members&gt;</w:t>
      </w:r>
      <w:r>
        <w:t>Helmut Brandstätter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27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27 bis.</w:t>
            </w:r>
            <w:r>
              <w:tab/>
            </w:r>
            <w:r>
              <w:rPr>
                <w:b/>
                <w:i/>
              </w:rPr>
              <w:t>verzoekt de Commissie nieuwe EES-regels van de EU te heroverwegen die het verblijf van vrachtwagenchauffeurs uit Montenegro, Servië, Bosnië en Noord-Macedonië in de EU beperken tot 90 dagen gedurende een half jaar, waardoor het levensonderhoud van de mensen in de kandidaat-lidstaten in gevaar komt en de toeleveringsketens in de EU mogelijk worden verstoord;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515</w:t>
      </w:r>
      <w:r>
        <w:rPr>
          <w:rStyle w:val="HideTWBExt"/>
        </w:rPr>
        <w:t>&lt;/NumAm&gt;</w:t>
      </w:r>
    </w:p>
    <w:p>
      <w:pPr>
        <w:pStyle w:val="NormalBold"/>
      </w:pPr>
      <w:r>
        <w:rPr>
          <w:rStyle w:val="HideTWBExt"/>
          <w:b w:val="0"/>
        </w:rPr>
        <w:t>&lt;RepeatBlock-By&gt;</w:t>
      </w:r>
      <w:r>
        <w:rPr>
          <w:rStyle w:val="HideTWBExt"/>
          <w:b w:val="0"/>
        </w:rPr>
        <w:t>&lt;Members&gt;</w:t>
      </w:r>
      <w:r>
        <w:t>Miriam Lexmann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27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27 bis.</w:t>
            </w:r>
            <w:r>
              <w:tab/>
            </w:r>
            <w:r>
              <w:rPr>
                <w:b/>
                <w:i/>
              </w:rPr>
              <w:t>is bezorgd over de ernstige gevolgen voor het milieu en de volksgezondheid, met inbegrip van lucht-, bodem- en waterverontreiniging, van mijnbouw- en industriële activiteiten waarbij Chinese investeerders betrokken zijn, met name die welke verband houden met de activiteiten van Zijin Mining in Servië;</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516</w:t>
      </w:r>
      <w:r>
        <w:rPr>
          <w:rStyle w:val="HideTWBExt"/>
        </w:rPr>
        <w:t>&lt;/NumAm&gt;</w:t>
      </w:r>
    </w:p>
    <w:p>
      <w:pPr>
        <w:pStyle w:val="NormalBold"/>
      </w:pPr>
      <w:r>
        <w:rPr>
          <w:rStyle w:val="HideTWBExt"/>
          <w:b w:val="0"/>
        </w:rPr>
        <w:t>&lt;RepeatBlock-By&gt;</w:t>
      </w:r>
      <w:r>
        <w:rPr>
          <w:rStyle w:val="HideTWBExt"/>
          <w:b w:val="0"/>
        </w:rPr>
        <w:t>&lt;Members&gt;</w:t>
      </w:r>
      <w:r>
        <w:t>Danilo Della Valle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27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27 bis.</w:t>
            </w:r>
            <w:r>
              <w:tab/>
            </w:r>
            <w:r>
              <w:rPr>
                <w:b/>
                <w:i/>
              </w:rPr>
              <w:t>onderstreept dat de aanhoudende staatseigendom van belangrijke energiebedrijven een fundamentele strategische troef is voor Servië en een cruciaal instrument vormt om energiesoevereiniteit te waarborgen, burgers te beschermen tegen prijsvolatiliteit en een gecoördineerde groene transitie te beheren;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517</w:t>
      </w:r>
      <w:r>
        <w:rPr>
          <w:rStyle w:val="HideTWBExt"/>
        </w:rPr>
        <w:t>&lt;/NumAm&gt;</w:t>
      </w:r>
    </w:p>
    <w:p>
      <w:pPr>
        <w:pStyle w:val="NormalBold"/>
      </w:pPr>
      <w:r>
        <w:rPr>
          <w:rStyle w:val="HideTWBExt"/>
          <w:b w:val="0"/>
        </w:rPr>
        <w:t>&lt;RepeatBlock-By&gt;</w:t>
      </w:r>
      <w:r>
        <w:rPr>
          <w:rStyle w:val="HideTWBExt"/>
          <w:b w:val="0"/>
        </w:rPr>
        <w:t>&lt;Members&gt;</w:t>
      </w:r>
      <w:r>
        <w:t>Andrey Kovatchev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27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27 bis.</w:t>
            </w:r>
            <w:r>
              <w:tab/>
            </w:r>
            <w:r>
              <w:rPr>
                <w:b/>
                <w:i/>
              </w:rPr>
              <w:t>spreekt opnieuw zijn teleurstelling uit over het gebrek aan maatregelen in verband met de vervuiling van de rivier Dragovishtitsa die het gevolg is van de exploitatie van mijnen in de regio, en over de schadelijke effecten op de gezondheid van de plaatselijke bevolking en het milieu;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518</w:t>
      </w:r>
      <w:r>
        <w:rPr>
          <w:rStyle w:val="HideTWBExt"/>
        </w:rPr>
        <w:t>&lt;/NumAm&gt;</w:t>
      </w:r>
    </w:p>
    <w:p>
      <w:pPr>
        <w:pStyle w:val="NormalBold"/>
      </w:pPr>
      <w:r>
        <w:rPr>
          <w:rStyle w:val="HideTWBExt"/>
          <w:b w:val="0"/>
        </w:rPr>
        <w:t>&lt;RepeatBlock-By&gt;</w:t>
      </w:r>
      <w:r>
        <w:rPr>
          <w:rStyle w:val="HideTWBExt"/>
          <w:b w:val="0"/>
        </w:rPr>
        <w:t>&lt;Members&gt;</w:t>
      </w:r>
      <w:r>
        <w:t>Tonino Picula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27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27 bis.</w:t>
            </w:r>
            <w:r>
              <w:tab/>
            </w:r>
            <w:r>
              <w:rPr>
                <w:b/>
                <w:i/>
              </w:rPr>
              <w:t>verzoekt Servië investeringen uit derde landen naar behoren en op transparante wijze te onderzoeken en te evalueren, met name op het gebied van milieunormen en duurzaamheid;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519</w:t>
      </w:r>
      <w:r>
        <w:rPr>
          <w:rStyle w:val="HideTWBExt"/>
        </w:rPr>
        <w:t>&lt;/NumAm&gt;</w:t>
      </w:r>
    </w:p>
    <w:p>
      <w:pPr>
        <w:pStyle w:val="NormalBold"/>
      </w:pPr>
      <w:r>
        <w:rPr>
          <w:rStyle w:val="HideTWBExt"/>
          <w:b w:val="0"/>
        </w:rPr>
        <w:t>&lt;RepeatBlock-By&gt;</w:t>
      </w:r>
      <w:r>
        <w:rPr>
          <w:rStyle w:val="HideTWBExt"/>
          <w:b w:val="0"/>
        </w:rPr>
        <w:t>&lt;Members&gt;</w:t>
      </w:r>
      <w:r>
        <w:t>Stanislav Stoyanov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27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27 bis.</w:t>
            </w:r>
            <w:r>
              <w:tab/>
            </w:r>
            <w:r>
              <w:rPr>
                <w:b/>
                <w:i/>
              </w:rPr>
              <w:t>roept Servië op om de in het memorandum van overeenstemming uiteengezette activiteiten betreffende samenwerking met Bulgarije op het gebied van milieubescherming onverwijld uit te voeren;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520</w:t>
      </w:r>
      <w:r>
        <w:rPr>
          <w:rStyle w:val="HideTWBExt"/>
        </w:rPr>
        <w:t>&lt;/NumAm&gt;</w:t>
      </w:r>
    </w:p>
    <w:p>
      <w:pPr>
        <w:pStyle w:val="NormalBold"/>
      </w:pPr>
      <w:r>
        <w:rPr>
          <w:rStyle w:val="HideTWBExt"/>
          <w:b w:val="0"/>
        </w:rPr>
        <w:t>&lt;RepeatBlock-By&gt;</w:t>
      </w:r>
      <w:r>
        <w:rPr>
          <w:rStyle w:val="HideTWBExt"/>
          <w:b w:val="0"/>
        </w:rPr>
        <w:t>&lt;Members&gt;</w:t>
      </w:r>
      <w:r>
        <w:t>Geadis Geadi, Emmanouil Fragkos, Galato Alexandraki, Nicolas Bay</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27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27 bis.</w:t>
            </w:r>
            <w:r>
              <w:tab/>
            </w:r>
            <w:r>
              <w:rPr>
                <w:b/>
                <w:i/>
              </w:rPr>
              <w:t>is ingenomen met het memorandum van overeenstemming tussen de Europese Unie en Servië over een strategisch partnerschap inzake duurzame grondstoffen, waardeketens voor batterijen en elektrische voertuigen;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521</w:t>
      </w:r>
      <w:r>
        <w:rPr>
          <w:rStyle w:val="HideTWBExt"/>
        </w:rPr>
        <w:t>&lt;/NumAm&gt;</w:t>
      </w:r>
    </w:p>
    <w:p>
      <w:pPr>
        <w:pStyle w:val="NormalBold"/>
      </w:pPr>
      <w:r>
        <w:rPr>
          <w:rStyle w:val="HideTWBExt"/>
          <w:b w:val="0"/>
        </w:rPr>
        <w:t>&lt;RepeatBlock-By&gt;</w:t>
      </w:r>
      <w:r>
        <w:rPr>
          <w:rStyle w:val="HideTWBExt"/>
          <w:b w:val="0"/>
        </w:rPr>
        <w:t>&lt;Members&gt;</w:t>
      </w:r>
      <w:r>
        <w:t>Tomasz Froelich</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27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27 bis.</w:t>
            </w:r>
            <w:r>
              <w:tab/>
            </w:r>
            <w:r>
              <w:rPr>
                <w:b/>
                <w:i/>
              </w:rPr>
              <w:t>spoort Servië ertoe aan de grensoverschrijdende samenwerking met zijn buurlanden te intensiveren, met name op het gebied van grensoverschrijdende weginfrastructuur;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522</w:t>
      </w:r>
      <w:r>
        <w:rPr>
          <w:rStyle w:val="HideTWBExt"/>
        </w:rPr>
        <w:t>&lt;/NumAm&gt;</w:t>
      </w:r>
    </w:p>
    <w:p>
      <w:pPr>
        <w:pStyle w:val="NormalBold"/>
      </w:pPr>
      <w:r>
        <w:rPr>
          <w:rStyle w:val="HideTWBExt"/>
          <w:b w:val="0"/>
        </w:rPr>
        <w:t>&lt;RepeatBlock-By&gt;</w:t>
      </w:r>
      <w:r>
        <w:rPr>
          <w:rStyle w:val="HideTWBExt"/>
          <w:b w:val="0"/>
        </w:rPr>
        <w:t>&lt;Members&gt;</w:t>
      </w:r>
      <w:r>
        <w:t>Danilo Della Valle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27 ter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27 ter.</w:t>
            </w:r>
            <w:r>
              <w:tab/>
            </w:r>
            <w:r>
              <w:rPr>
                <w:b/>
                <w:i/>
              </w:rPr>
              <w:t>waarschuwt voor verdere niet-transparante privatiseringsprocessen in strategische sectoren;</w:t>
            </w:r>
            <w:r>
              <w:t xml:space="preserve"> </w:t>
            </w:r>
            <w:r>
              <w:rPr>
                <w:b/>
                <w:i/>
              </w:rPr>
              <w:t>dringt er bij Servië op aan ervoor te zorgen dat elke herstructurering of verzelfstandiging van staatsbedrijven plaatsvindt in volledige overeenstemming met de beginselen van de sociale dialoog, waarbij de zinvolle betrokkenheid van vakbonden en werknemersvertegenwoordigers bij het besluitvormingsproces wordt gewaarborgd om de uitholling van de rechten van werknemers en het verlies van publieke controle over essentiële diensten te voorkomen;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523</w:t>
      </w:r>
      <w:r>
        <w:rPr>
          <w:rStyle w:val="HideTWBExt"/>
        </w:rPr>
        <w:t>&lt;/NumAm&gt;</w:t>
      </w:r>
    </w:p>
    <w:p>
      <w:pPr>
        <w:pStyle w:val="NormalBold"/>
      </w:pPr>
      <w:r>
        <w:rPr>
          <w:rStyle w:val="HideTWBExt"/>
          <w:b w:val="0"/>
        </w:rPr>
        <w:t>&lt;RepeatBlock-By&gt;</w:t>
      </w:r>
      <w:r>
        <w:rPr>
          <w:rStyle w:val="HideTWBExt"/>
          <w:b w:val="0"/>
        </w:rPr>
        <w:t>&lt;Members&gt;</w:t>
      </w:r>
      <w:r>
        <w:t>Andrey Kovatchev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27 ter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27 ter.</w:t>
            </w:r>
            <w:r>
              <w:tab/>
            </w:r>
            <w:r>
              <w:rPr>
                <w:b/>
                <w:i/>
              </w:rPr>
              <w:t>benadrukt dat er meer vooruitgang moet worden geboekt bij de grensoverschrijdende samenwerking met buurlanden;</w:t>
            </w:r>
            <w:r>
              <w:t xml:space="preserve"> </w:t>
            </w:r>
            <w:r>
              <w:rPr>
                <w:b/>
                <w:i/>
              </w:rPr>
              <w:t>dringt er bij Servië op aan de activiteiten zoals vastgelegd in het memorandum van overeenstemming betreffende samenwerking op het gebied van milieubescherming met Bulgarije te gaan uitvoeren;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524</w:t>
      </w:r>
      <w:r>
        <w:rPr>
          <w:rStyle w:val="HideTWBExt"/>
        </w:rPr>
        <w:t>&lt;/NumAm&gt;</w:t>
      </w:r>
    </w:p>
    <w:p>
      <w:pPr>
        <w:pStyle w:val="NormalBold"/>
      </w:pPr>
      <w:r>
        <w:rPr>
          <w:rStyle w:val="HideTWBExt"/>
          <w:b w:val="0"/>
        </w:rPr>
        <w:t>&lt;RepeatBlock-By&gt;</w:t>
      </w:r>
      <w:r>
        <w:rPr>
          <w:rStyle w:val="HideTWBExt"/>
          <w:b w:val="0"/>
        </w:rPr>
        <w:t>&lt;Members&gt;</w:t>
      </w:r>
      <w:r>
        <w:t>Stanislav Stoyanov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27 ter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27 ter.</w:t>
            </w:r>
            <w:r>
              <w:tab/>
            </w:r>
            <w:r>
              <w:rPr>
                <w:b/>
                <w:i/>
              </w:rPr>
              <w:t>wijst op het aanzienlijke bedrag aan financiële steun van de EU voor Servië;</w:t>
            </w:r>
            <w:r>
              <w:t xml:space="preserve"> </w:t>
            </w:r>
            <w:r>
              <w:rPr>
                <w:b/>
                <w:i/>
              </w:rPr>
              <w:t>verzoekt de Commissie ervoor te zorgen dat het geld van de Europese belastingbetaler zo goed mogelijk wordt besteed en dat de nodige voorwaarden worden geschapen om het strategische concurrentievermogen van EU-bedrijven op de Servische markt te verbeteren;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525</w:t>
      </w:r>
      <w:r>
        <w:rPr>
          <w:rStyle w:val="HideTWBExt"/>
        </w:rPr>
        <w:t>&lt;/NumAm&gt;</w:t>
      </w:r>
    </w:p>
    <w:p>
      <w:pPr>
        <w:pStyle w:val="NormalBold"/>
      </w:pPr>
      <w:r>
        <w:rPr>
          <w:rStyle w:val="HideTWBExt"/>
          <w:b w:val="0"/>
        </w:rPr>
        <w:t>&lt;RepeatBlock-By&gt;</w:t>
      </w:r>
      <w:r>
        <w:rPr>
          <w:rStyle w:val="HideTWBExt"/>
          <w:b w:val="0"/>
        </w:rPr>
        <w:t>&lt;Members&gt;</w:t>
      </w:r>
      <w:r>
        <w:t>Stanislav Stoyanov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27 quater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27 quater.</w:t>
            </w:r>
            <w:r>
              <w:tab/>
            </w:r>
            <w:r>
              <w:rPr>
                <w:b/>
                <w:i/>
              </w:rPr>
              <w:t>benadrukt dat de regionale connectiviteit met de EU goed moet worden uitgevoerd en gepland om zakelijke activiteit en investeringen te bevorderen die ten goede komen aan Europese ondernemingen en belastingbetalers;</w:t>
            </w:r>
            <w:r>
              <w:t xml:space="preserve"> </w:t>
            </w:r>
            <w:r>
              <w:rPr>
                <w:b/>
                <w:i/>
              </w:rPr>
              <w:t>verzoekt Servië de juridische en commerciële belemmeringen voor de exploitatie van de gaspijplijn tussen Servië en Bulgarije (IBS) weg te nemen;</w:t>
            </w:r>
            <w:r>
              <w:t xml:space="preserve"> </w:t>
            </w:r>
            <w:r>
              <w:rPr>
                <w:b/>
                <w:i/>
              </w:rPr>
              <w:t>herinnert eraan dat trans-Europese energie- en vervoersnetwerken de voorzieningszekerheid vergroten, afhankelijkheden verminderen en de economische en intermenselijke banden versterken;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526</w:t>
      </w:r>
      <w:r>
        <w:rPr>
          <w:rStyle w:val="HideTWBExt"/>
        </w:rPr>
        <w:t>&lt;/NumAm&gt;</w:t>
      </w:r>
    </w:p>
    <w:p>
      <w:pPr>
        <w:pStyle w:val="NormalBold"/>
      </w:pPr>
      <w:r>
        <w:rPr>
          <w:rStyle w:val="HideTWBExt"/>
          <w:b w:val="0"/>
        </w:rPr>
        <w:t>&lt;RepeatBlock-By&gt;</w:t>
      </w:r>
      <w:r>
        <w:rPr>
          <w:rStyle w:val="HideTWBExt"/>
          <w:b w:val="0"/>
        </w:rPr>
        <w:t>&lt;Members&gt;</w:t>
      </w:r>
      <w:r>
        <w:t>Nathalie Loiseau, Dan Barna, Petras Auštrevičius,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28.</w:t>
            </w:r>
            <w:r>
              <w:tab/>
            </w:r>
            <w:r>
              <w:t>verzoekt zijn Voorzitter deze resolutie te doen toekomen aan de voorzitter van de Europese Raad, de Commissie, de vicevoorzitter van de Commissie/hoge vertegenwoordiger van de Unie voor buitenlandse zaken en veiligheidsbeleid, de regeringen en parlementen van de lidstaten, en de president, de regering en de Nationale Vergadering van Servië.</w:t>
            </w:r>
          </w:p>
        </w:tc>
        <w:tc>
          <w:tcPr>
            <w:tcW w:w="4876" w:type="dxa"/>
            <w:tcBorders>
              <w:top w:val="nil"/>
              <w:left w:val="nil"/>
              <w:bottom w:val="nil"/>
              <w:right w:val="nil"/>
            </w:tcBorders>
          </w:tcPr>
          <w:p>
            <w:pPr>
              <w:pStyle w:val="Normal6a"/>
            </w:pPr>
            <w:r>
              <w:t>28.</w:t>
            </w:r>
            <w:r>
              <w:tab/>
            </w:r>
            <w:r>
              <w:t>verzoekt zijn Voorzitter deze resolutie te doen toekomen aan de voorzitter van de Europese Raad, de Commissie, de vicevoorzitter van de Commissie/hoge vertegenwoordiger van de Unie voor buitenlandse zaken en veiligheidsbeleid, de regeringen en parlementen van de lidstaten, en de president, de regering en de Nationale Vergadering van Servië</w:t>
            </w:r>
            <w:r>
              <w:rPr>
                <w:b/>
                <w:i/>
              </w:rPr>
              <w:t>, alsook aan de voorzitter en secretaris-generaal van de Organisatie voor Veiligheid en Samenwerking in Europa</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527</w:t>
      </w:r>
      <w:r>
        <w:rPr>
          <w:rStyle w:val="HideTWBExt"/>
        </w:rPr>
        <w:t>&lt;/NumAm&gt;</w:t>
      </w:r>
    </w:p>
    <w:p>
      <w:pPr>
        <w:pStyle w:val="NormalBold"/>
      </w:pPr>
      <w:r>
        <w:rPr>
          <w:rStyle w:val="HideTWBExt"/>
          <w:b w:val="0"/>
        </w:rPr>
        <w:t>&lt;RepeatBlock-By&gt;</w:t>
      </w:r>
      <w:r>
        <w:rPr>
          <w:rStyle w:val="HideTWBExt"/>
          <w:b w:val="0"/>
        </w:rPr>
        <w:t>&lt;Members&gt;</w:t>
      </w:r>
      <w:r>
        <w:t>Reinhold Lopatka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28.</w:t>
            </w:r>
            <w:r>
              <w:tab/>
            </w:r>
            <w:r>
              <w:t>verzoekt zijn Voorzitter deze resolutie te doen toekomen aan de voorzitter van de Europese Raad, de Commissie, de vicevoorzitter van de Commissie/hoge vertegenwoordiger van de Unie voor buitenlandse zaken en veiligheidsbeleid, de regeringen en parlementen van de lidstaten, en de president, de regering en de Nationale Vergadering van Servië.</w:t>
            </w:r>
          </w:p>
        </w:tc>
        <w:tc>
          <w:tcPr>
            <w:tcW w:w="4876" w:type="dxa"/>
            <w:tcBorders>
              <w:top w:val="nil"/>
              <w:left w:val="nil"/>
              <w:bottom w:val="nil"/>
              <w:right w:val="nil"/>
            </w:tcBorders>
          </w:tcPr>
          <w:p>
            <w:pPr>
              <w:pStyle w:val="Normal6a"/>
            </w:pPr>
            <w:r>
              <w:t>28.</w:t>
            </w:r>
            <w:r>
              <w:tab/>
            </w:r>
            <w:r>
              <w:t xml:space="preserve">verzoekt zijn Voorzitter deze resolutie te doen toekomen aan de voorzitter van de Europese Raad, de Commissie, de vicevoorzitter van de Commissie/hoge vertegenwoordiger van de Unie voor buitenlandse zaken en veiligheidsbeleid, </w:t>
            </w:r>
            <w:r>
              <w:rPr>
                <w:b/>
                <w:i/>
              </w:rPr>
              <w:t>en de resolutie in het Servisch te vertalen en te doen toekomen aan</w:t>
            </w:r>
            <w:r>
              <w:t xml:space="preserve"> de regeringen en parlementen van de lidstaten, en de president, de regering en de Nationale Vergadering van Servië.</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528</w:t>
      </w:r>
      <w:r>
        <w:rPr>
          <w:rStyle w:val="HideTWBExt"/>
        </w:rPr>
        <w:t>&lt;/NumAm&gt;</w:t>
      </w:r>
    </w:p>
    <w:p>
      <w:pPr>
        <w:pStyle w:val="NormalBold"/>
      </w:pPr>
      <w:r>
        <w:rPr>
          <w:rStyle w:val="HideTWBExt"/>
          <w:b w:val="0"/>
        </w:rPr>
        <w:t>&lt;RepeatBlock-By&gt;</w:t>
      </w:r>
      <w:r>
        <w:rPr>
          <w:rStyle w:val="HideTWBExt"/>
          <w:b w:val="0"/>
        </w:rPr>
        <w:t>&lt;Members&gt;</w:t>
      </w:r>
      <w:r>
        <w:t>Sebastian Everding, Danilo Della Valle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28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28 bis.</w:t>
            </w:r>
            <w:r>
              <w:tab/>
            </w:r>
            <w:r>
              <w:rPr>
                <w:b/>
                <w:i/>
              </w:rPr>
              <w:t>benadrukt dat de volledige en correcte uitvoering in de praktijk van de onlangs aangenomen wetgeving inzake milieueffectbeoordeling (MEB) en strategische milieueffectbeoordeling (SMEB) een belangrijke prioriteit blijft;</w:t>
            </w:r>
            <w:r>
              <w:t xml:space="preserve"> </w:t>
            </w:r>
            <w:r>
              <w:rPr>
                <w:b/>
                <w:i/>
              </w:rPr>
              <w:t>merkt op dat er, ondanks de vooruitgang bij de aanpassing van de wetgeving, nog steeds bezorgdheid bestaat over transparantie, inspraak van het publiek en het risico dat projecten worden uitgevoerd zonder uitgebreid milieuonderzoek;</w:t>
            </w:r>
            <w:r>
              <w:t xml:space="preserve"> </w:t>
            </w:r>
            <w:r>
              <w:rPr>
                <w:b/>
                <w:i/>
              </w:rPr>
              <w:t>onderstreept dat een doeltreffende uitvoering van essentieel belang is om de geloofwaardigheid van de milieugovernance te behouden;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529</w:t>
      </w:r>
      <w:r>
        <w:rPr>
          <w:rStyle w:val="HideTWBExt"/>
        </w:rPr>
        <w:t>&lt;/NumAm&gt;</w:t>
      </w:r>
    </w:p>
    <w:p>
      <w:pPr>
        <w:pStyle w:val="NormalBold"/>
      </w:pPr>
      <w:r>
        <w:rPr>
          <w:rStyle w:val="HideTWBExt"/>
          <w:b w:val="0"/>
        </w:rPr>
        <w:t>&lt;RepeatBlock-By&gt;</w:t>
      </w:r>
      <w:r>
        <w:rPr>
          <w:rStyle w:val="HideTWBExt"/>
          <w:b w:val="0"/>
        </w:rPr>
        <w:t>&lt;Members&gt;</w:t>
      </w:r>
      <w:r>
        <w:t>Tonino Picula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28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28 bis.</w:t>
            </w:r>
            <w:r>
              <w:tab/>
            </w:r>
            <w:r>
              <w:rPr>
                <w:b/>
                <w:i/>
              </w:rPr>
              <w:t>is ingenomen met het voorstel van de Commissie om onderhandelingen te openen teneinde de “roaming tegen thuistarief”-regeling van de EU uit te breiden naar de Westelijke Balkan, en pleit ervoor de onderhandelingen spoedig te voltooien;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530</w:t>
      </w:r>
      <w:r>
        <w:rPr>
          <w:rStyle w:val="HideTWBExt"/>
        </w:rPr>
        <w:t>&lt;/NumAm&gt;</w:t>
      </w:r>
    </w:p>
    <w:p>
      <w:pPr>
        <w:pStyle w:val="NormalBold"/>
      </w:pPr>
      <w:r>
        <w:rPr>
          <w:rStyle w:val="HideTWBExt"/>
          <w:b w:val="0"/>
        </w:rPr>
        <w:t>&lt;RepeatBlock-By&gt;</w:t>
      </w:r>
      <w:r>
        <w:rPr>
          <w:rStyle w:val="HideTWBExt"/>
          <w:b w:val="0"/>
        </w:rPr>
        <w:t>&lt;Members&gt;</w:t>
      </w:r>
      <w:r>
        <w:t>Sebastian Everding, Danilo Della Valle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28 ter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28 ter.</w:t>
            </w:r>
            <w:r>
              <w:tab/>
            </w:r>
            <w:r>
              <w:rPr>
                <w:b/>
                <w:i/>
              </w:rPr>
              <w:t>dringt aan op verdere inspanningen om de afstemming op de vogelrichtlijn en de habitatrichtlijn te bevorderen en de voorbereiding van het Natura 2000-netwerk te versnellen;</w:t>
            </w:r>
            <w:r>
              <w:t xml:space="preserve"> </w:t>
            </w:r>
            <w:r>
              <w:rPr>
                <w:b/>
                <w:i/>
              </w:rPr>
              <w:t>merkt op dat de vooruitgang bij het in kaart brengen en voorbereiden van gebieden beperkt blijft, waardoor de naleving door Servië van de belangrijkste biodiversiteitsvereisten van hoofdstuk 27 dreigt te worden vertraagd;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531</w:t>
      </w:r>
      <w:r>
        <w:rPr>
          <w:rStyle w:val="HideTWBExt"/>
        </w:rPr>
        <w:t>&lt;/NumAm&gt;</w:t>
      </w:r>
    </w:p>
    <w:p>
      <w:pPr>
        <w:pStyle w:val="NormalBold"/>
      </w:pPr>
      <w:r>
        <w:rPr>
          <w:rStyle w:val="HideTWBExt"/>
          <w:b w:val="0"/>
        </w:rPr>
        <w:t>&lt;RepeatBlock-By&gt;</w:t>
      </w:r>
      <w:r>
        <w:rPr>
          <w:rStyle w:val="HideTWBExt"/>
          <w:b w:val="0"/>
        </w:rPr>
        <w:t>&lt;Members&gt;</w:t>
      </w:r>
      <w:r>
        <w:t>Sebastian Everding, Danilo Della Valle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28 quater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28 quater.</w:t>
            </w:r>
            <w:r>
              <w:tab/>
            </w:r>
            <w:r>
              <w:rPr>
                <w:b/>
                <w:i/>
              </w:rPr>
              <w:t>is bezorgd over de toenemende druk die de winningsindustrieën uitoefenen op gebieden met een grote biodiversiteit, waaronder beschermde gebieden en oerbosecosystemen;</w:t>
            </w:r>
            <w:r>
              <w:t xml:space="preserve"> </w:t>
            </w:r>
            <w:r>
              <w:rPr>
                <w:b/>
                <w:i/>
              </w:rPr>
              <w:t>benadrukt dat het belangrijk is ervoor te zorgen dat dergelijke gebieden doeltreffend worden beschermd en dat er geen projecten worden goedgekeurd zonder volledige naleving van de milieuwetgeving en robuuste beoordelingsprocedures;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r>
        <w:rPr>
          <w:rStyle w:val="HideTWBExt"/>
        </w:rPr>
        <w:t>&lt;/RepeatBlock-Amend&gt;</w:t>
      </w:r>
    </w:p>
    <w:sectPr>
      <w:footerReference w:type="even" r:id="rId5"/>
      <w:footerReference w:type="default" r:id="rId6"/>
      <w:footerReference w:type="first" r:id="rId7"/>
      <w:pgSz w:w="11909" w:h="16834"/>
      <w:pgMar w:top="1134" w:right="1417" w:bottom="1417" w:left="1417" w:header="1134" w:footer="567"/>
      <w:cols w:space="720"/>
      <w:titlePg/>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t>PE</w:t>
    </w:r>
    <w:r>
      <w:rPr>
        <w:rStyle w:val="HideTWBExt"/>
      </w:rPr>
      <w:t>&lt;NoPE&gt;</w:t>
    </w:r>
    <w:r>
      <w:t>786.972</w:t>
    </w:r>
    <w:r>
      <w:rPr>
        <w:rStyle w:val="HideTWBExt"/>
      </w:rPr>
      <w:t>&lt;/NoPE&gt;</w:t>
    </w:r>
    <w:r>
      <w:rPr>
        <w:rStyle w:val="HideTWBExt"/>
      </w:rPr>
      <w:t>&lt;Version&gt;</w:t>
    </w:r>
    <w:r>
      <w:t>v01-00</w:t>
    </w:r>
    <w:r>
      <w:rPr>
        <w:rStyle w:val="HideTWBExt"/>
      </w:rPr>
      <w:t>&lt;/Version&gt;</w:t>
    </w:r>
    <w:r>
      <w:tab/>
    </w:r>
    <w:r>
      <w:fldChar w:fldCharType="begin"/>
    </w:r>
    <w:r>
      <w:instrText xml:space="preserve"> PAGE </w:instrText>
    </w:r>
    <w:r>
      <w:fldChar w:fldCharType="separate"/>
    </w:r>
    <w:r>
      <w:t>84</w:t>
    </w:r>
    <w:r>
      <w:fldChar w:fldCharType="end"/>
    </w:r>
    <w:r>
      <w:t>/</w:t>
    </w:r>
    <w:r>
      <w:fldChar w:fldCharType="begin"/>
    </w:r>
    <w:r>
      <w:instrText xml:space="preserve"> NUMPAGES </w:instrText>
    </w:r>
    <w:r>
      <w:fldChar w:fldCharType="separate"/>
    </w:r>
    <w:r>
      <w:t>85</w:t>
    </w:r>
    <w:r>
      <w:fldChar w:fldCharType="end"/>
    </w:r>
    <w:r>
      <w:tab/>
    </w:r>
    <w:r>
      <w:rPr>
        <w:rStyle w:val="HideTWBExt"/>
      </w:rPr>
      <w:t>&lt;PathFdR&gt;</w:t>
    </w:r>
    <w:r>
      <w:t>AM\1341076NL.docx</w:t>
    </w:r>
    <w:r>
      <w:rPr>
        <w:rStyle w:val="HideTWBExt"/>
      </w:rPr>
      <w:t>&lt;/PathFdR&gt;</w:t>
    </w:r>
  </w:p>
  <w:p>
    <w:pPr>
      <w:pStyle w:val="EPFooter2"/>
    </w:pPr>
    <w:r>
      <w:t>NL</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AM\1341076NL.docx</w:t>
    </w:r>
    <w:r>
      <w:rPr>
        <w:rStyle w:val="HideTWBExt"/>
      </w:rPr>
      <w:t>&lt;/PathFdR&gt;</w:t>
    </w:r>
    <w:r>
      <w:tab/>
    </w:r>
    <w:r>
      <w:fldChar w:fldCharType="begin"/>
    </w:r>
    <w:r>
      <w:instrText xml:space="preserve"> PAGE </w:instrText>
    </w:r>
    <w:r>
      <w:fldChar w:fldCharType="separate"/>
    </w:r>
    <w:r>
      <w:t>85</w:t>
    </w:r>
    <w:r>
      <w:fldChar w:fldCharType="end"/>
    </w:r>
    <w:r>
      <w:t>/</w:t>
    </w:r>
    <w:r>
      <w:fldChar w:fldCharType="begin"/>
    </w:r>
    <w:r>
      <w:instrText xml:space="preserve"> NUMPAGES </w:instrText>
    </w:r>
    <w:r>
      <w:fldChar w:fldCharType="separate"/>
    </w:r>
    <w:r>
      <w:t>85</w:t>
    </w:r>
    <w:r>
      <w:fldChar w:fldCharType="end"/>
    </w:r>
    <w:r>
      <w:tab/>
    </w:r>
    <w:r>
      <w:t>PE</w:t>
    </w:r>
    <w:r>
      <w:rPr>
        <w:rStyle w:val="HideTWBExt"/>
      </w:rPr>
      <w:t>&lt;NoPE&gt;</w:t>
    </w:r>
    <w:r>
      <w:t>786.972</w:t>
    </w:r>
    <w:r>
      <w:rPr>
        <w:rStyle w:val="HideTWBExt"/>
      </w:rPr>
      <w:t>&lt;/NoPE&gt;</w:t>
    </w:r>
    <w:r>
      <w:rPr>
        <w:rStyle w:val="HideTWBExt"/>
      </w:rPr>
      <w:t>&lt;Version&gt;</w:t>
    </w:r>
    <w:r>
      <w:t>v01-00</w:t>
    </w:r>
    <w:r>
      <w:rPr>
        <w:rStyle w:val="HideTWBExt"/>
      </w:rPr>
      <w:t>&lt;/Version&gt;</w:t>
    </w:r>
  </w:p>
  <w:p>
    <w:pPr>
      <w:pStyle w:val="EPFooter2"/>
    </w:pPr>
    <w:r>
      <w:tab/>
    </w:r>
    <w:r>
      <w:tab/>
    </w:r>
    <w:r>
      <w:t>NL</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AM\1341076NL.docx</w:t>
    </w:r>
    <w:r>
      <w:rPr>
        <w:rStyle w:val="HideTWBExt"/>
      </w:rPr>
      <w:t>&lt;/PathFdR&gt;</w:t>
    </w:r>
    <w:r>
      <w:tab/>
    </w:r>
    <w:r>
      <w:tab/>
    </w:r>
    <w:r>
      <w:t>PE</w:t>
    </w:r>
    <w:r>
      <w:rPr>
        <w:rStyle w:val="HideTWBExt"/>
      </w:rPr>
      <w:t>&lt;NoPE&gt;</w:t>
    </w:r>
    <w:r>
      <w:t>786.972</w:t>
    </w:r>
    <w:r>
      <w:rPr>
        <w:rStyle w:val="HideTWBExt"/>
      </w:rPr>
      <w:t>&lt;/NoPE&gt;</w:t>
    </w:r>
    <w:r>
      <w:rPr>
        <w:rStyle w:val="HideTWBExt"/>
      </w:rPr>
      <w:t>&lt;Version&gt;</w:t>
    </w:r>
    <w:r>
      <w:t>v01-00</w:t>
    </w:r>
    <w:r>
      <w:rPr>
        <w:rStyle w:val="HideTWBExt"/>
      </w:rPr>
      <w:t>&lt;/Version&gt;</w:t>
    </w:r>
  </w:p>
  <w:p>
    <w:pPr>
      <w:pStyle w:val="EPFooter2"/>
    </w:pPr>
    <w:r>
      <w:t>NL</w:t>
    </w:r>
    <w:r>
      <w:tab/>
    </w:r>
    <w:r>
      <w:rPr>
        <w:rStyle w:val="EPFooter2Motto"/>
      </w:rPr>
      <w:t>In verscheidenheid verenigd</w:t>
    </w:r>
    <w:r>
      <w:tab/>
    </w:r>
    <w:r>
      <w:t>NL</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evenAndOddHeaders/>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docVars>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1140430 HideTWBExt;}{\s16\qr \li0\ri0\sb240\sa240\nowidctlpar\wrapdefault\aspalpha\aspnum\faauto\adjustright\rin0\lin0\itap0 \rtlch\fcs1 \af0\afs20\alang1025 \ltrch\fcs0 &#13;_x000a_\fs24\lang2057\langfe2057\cgrid\langnp2057\langfenp2057 \sbasedon0 \snext16 \spriority0 \styrsid1140430 AmOrLang;}{\s17\ql \li0\ri0\sa120\nowidctlpar\wrapdefault\aspalpha\aspnum\faauto\adjustright\rin0\lin0\itap0 \rtlch\fcs1 \af0\afs20\alang1025 &#13;_x000a_\ltrch\fcs0 \fs24\lang2057\langfe2057\cgrid\langnp2057\langfenp2057 \sbasedon0 \snext17 \spriority0 \styrsid1140430 Normal6a;}{\s18\ql \li0\ri0\nowidctlpar\wrapdefault\aspalpha\aspnum\faauto\adjustright\rin0\lin0\itap0 \rtlch\fcs1 \af0\afs20\alang1025 &#13;_x000a_\ltrch\fcs0 \b\fs24\lang2057\langfe2057\cgrid\langnp2057\langfenp2057 \sbasedon0 \snext18 \spriority0 \styrsid1140430 NormalBold;}{\s19\qc \li0\ri0\sa240\nowidctlpar\wrapdefault\aspalpha\aspnum\faauto\adjustright\rin0\lin0\itap0 \rtlch\fcs1 &#13;_x000a_\af0\afs20\alang1025 \ltrch\fcs0 \i\fs24\lang2057\langfe2057\cgrid\langnp2057\langfenp2057 \sbasedon0 \snext19 \spriority0 \styrsid1140430 AmColumnHeading;}{\s20\ql \li0\ri0\sb240\nowidctlpar&#13;_x000a_\tx879\tx936\tx1021\tx1077\tx1134\tx1191\tx1247\tx1304\tx1361\tx1418\tx1474\tx1531\tx1588\tx1644\tx1701\tx1758\tx1814\tx1871\tx2070\tx2126\tx3374\tx3430\wrapdefault\aspalpha\aspnum\faauto\adjustright\rin0\lin0\itap0 \rtlch\fcs1 \af0\afs20\alang1025 &#13;_x000a_\ltrch\fcs0 \b\fs24\lang2057\langfe2057\cgrid\langnp2057\langfenp2057 \sbasedon0 \snext20 \spriority0 \styrsid1140430 AmNumberTabs;}}{\*\rsidtbl \rsid24658\rsid358857\rsid735077\rsid787282\rsid1140430\rsid2892074\rsid3622648\rsid4666813\rsid5708216&#13;_x000a_\rsid6641733\rsid7553164\rsid8465581\rsid8681905\rsid8724649\rsid9636012\rsid9862312\rsid11215221\rsid11370291\rsid11434737\rsid11607138\rsid11824949\rsid12154954\rsid12213393\rsid14424199\rsid15204470\rsid15285974\rsid15535219\rsid15950462\rsid16324206&#13;_x000a_\rsid16662270}{\mmathPr\mmathFont34\mbrkBin0\mbrkBinSub0\msmallFrac0\mdispDef1\mlMargin0\mrMargin0\mdefJc1\mwrapIndent1440\mintLim0\mnaryLim1}{\info{\author FELIX Karina}{\operator FELIX Karina}{\creatim\yr2019\mo7\dy3\hr17\min21}&#13;_x000a_{\revtim\yr2019\mo7\dy3\hr17\min21}{\version1}{\edmins0}{\nofpages1}{\nofwords25}{\nofchars291}{\*\company European Parliament}{\nofcharsws294}{\vern97}}{\*\xmlnstbl {\xmlns1 http://schemas.microsoft.com/office/word/2003/wordml}}&#13;_x000a_\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1140430\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12213393 &#13;_x000a_\chftnsep &#13;_x000a_\par }}{\*\ftnsepc \ltrpar \pard\plain \ltrpar\ql \li0\ri0\widctlpar\wrapdefault\aspalpha\aspnum\faauto\adjustright\rin0\lin0\itap0 \rtlch\fcs1 \af0\afs20\alang1025 \ltrch\fcs0 \fs24\lang2057\langfe2057\cgrid\langnp2057\langfenp2057 {\rtlch\fcs1 \af0 &#13;_x000a_\ltrch\fcs0 \insrsid12213393 \chftnsepc &#13;_x000a_\par }}{\*\aftnsep \ltrpar \pard\plain \ltrpar\ql \li0\ri0\widctlpar\wrapdefault\aspalpha\aspnum\faauto\adjustright\rin0\lin0\itap0 \rtlch\fcs1 \af0\afs20\alang1025 \ltrch\fcs0 \fs24\lang2057\langfe2057\cgrid\langnp2057\langfenp2057 {\rtlch\fcs1 \af0 &#13;_x000a_\ltrch\fcs0 \insrsid12213393 \chftnsep &#13;_x000a_\par }}{\*\aftnsepc \ltrpar \pard\plain \ltrpar\ql \li0\ri0\widctlpar\wrapdefault\aspalpha\aspnum\faauto\adjustright\rin0\lin0\itap0 \rtlch\fcs1 \af0\afs20\alang1025 \ltrch\fcs0 \fs24\lang2057\langfe2057\cgrid\langnp2057\langfenp2057 {\rtlch\fcs1 \af0 &#13;_x000a_\ltrch\fcs0 \insrsid12213393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s20\ql \li0\ri0\sb240\keepn\nowidctlpar\tx879\tx936\tx1021\tx1077\tx1134\tx1191\tx1247\tx1304\tx1361\tx1418\tx1474\tx1531\tx1588\tx1644\tx1701\tx1758\tx1814\tx1871\tx2070\tx2126\tx3374\tx3430\wrapdefault\aspalpha\aspnum\faauto\adjustright\rin0&#13;_x000a_\lin0\itap0\pararsid1140430 \rtlch\fcs1 \af0\afs20\alang1025 \ltrch\fcs0 \b\fs24\lang2057\langfe2057\cgrid\langnp2057\langfenp2057 {\rtlch\fcs1 \af0 \ltrch\fcs0 \cs15\b0\v\f1\fs20\cf9\lang1024\langfe1024\noproof\insrsid1140430\charrsid4417459 &#13;_x000a_{\*\bkmkstart restart}&lt;Amend&gt;}{\rtlch\fcs1 \af0 \ltrch\fcs0 \insrsid1140430\charrsid1799708 [ZAMENDMENT]}{\rtlch\fcs1 \af0 \ltrch\fcs0 \insrsid1140430 \tab \tab }{\rtlch\fcs1 \af0 \ltrch\fcs0 &#13;_x000a_\cs15\b0\v\f1\fs20\cf9\lang1024\langfe1024\noproof\insrsid1140430\charrsid4417459 &lt;NumAm&gt;}{\rtlch\fcs1 \af0 \ltrch\fcs0 \insrsid1140430\charrsid1799708 [ZNRAM]}{\rtlch\fcs1 \af0 \ltrch\fcs0 &#13;_x000a_\cs15\b0\v\f1\fs20\cf9\lang1024\langfe1024\noproof\insrsid1140430\charrsid4417459 &lt;/NumAm&gt;}{\rtlch\fcs1 \af0 \ltrch\fcs0 \insrsid1140430\charrsid4080556 &#13;_x000a_\par }\pard\plain \ltrpar\s18\ql \li0\ri0\nowidctlpar\wrapdefault\aspalpha\aspnum\faauto\adjustright\rin0\lin0\itap0\pararsid1140430 \rtlch\fcs1 \af0\afs20\alang1025 \ltrch\fcs0 \b\fs24\lang2057\langfe2057\cgrid\langnp2057\langfenp2057 {\rtlch\fcs1 \af0 &#13;_x000a_\ltrch\fcs0 \cs15\b0\v\f1\fs20\cf9\lang1024\langfe1024\noproof\insrsid1140430\charrsid14699840 &lt;RepeatBlock-By&gt;}{\rtlch\fcs1 \af0 \ltrch\fcs0 \lang1024\langfe1024\noproof\insrsid1140430\charrsid14699840 [RepeatMembers]}{\rtlch\fcs1 \af0 \ltrch\fcs0 &#13;_x000a_\cs15\b0\v\f1\fs20\cf9\lang1024\langfe1024\noproof\insrsid1140430\charrsid14699840 &lt;Members&gt;}{\rtlch\fcs1 \af0 \ltrch\fcs0 \insrsid1140430\charrsid14699840 [ZMEMBERS]}{\rtlch\fcs1 \af0 \ltrch\fcs0 &#13;_x000a_\cs15\b0\v\f1\fs20\cf9\lang1024\langfe1024\noproof\insrsid1140430\charrsid14699840 &lt;/Members&gt;}{\rtlch\fcs1 \af0 \ltrch\fcs0 \insrsid1140430\charrsid14699840 &#13;_x000a_\par }\pard\plain \ltrpar\ql \li0\ri0\widctlpar\wrapdefault\aspalpha\aspnum\faauto\adjustright\rin0\lin0\itap0\pararsid1140430 \rtlch\fcs1 \af0\afs20\alang1025 \ltrch\fcs0 \fs24\lang2057\langfe2057\cgrid\langnp2057\langfenp2057 {\rtlch\fcs1 \af0 \ltrch\fcs0 &#13;_x000a_\cs15\v\f1\fs20\cf9\lang1024\langfe1024\noproof\langnp1043\insrsid1140430\charrsid14424489 &lt;AuNomDe&gt;&lt;OptDel&gt;}{\rtlch\fcs1 \af0 \ltrch\fcs0 \lang1043\langfe2057\langnp1043\insrsid1140430\charrsid14424489 [ZONBEHALF]}{\rtlch\fcs1 \af0 \ltrch\fcs0 &#13;_x000a_\cs15\v\f1\fs20\cf9\lang1024\langfe1024\noproof\langnp1043\insrsid1140430\charrsid14424489 &lt;/OptDel&gt;&lt;/AuNomDe&gt;}{\rtlch\fcs1 \af0 \ltrch\fcs0 \lang1043\langfe2057\langnp1043\insrsid1140430\charrsid14424489 &#13;_x000a_\par }{\rtlch\fcs1 \af0 \ltrch\fcs0 \insrsid1140430\charrsid14699840 &lt;&lt;&lt;}{\rtlch\fcs1 \af0 \ltrch\fcs0 \cs15\v\f1\fs20\cf9\lang1024\langfe1024\noproof\insrsid1140430\charrsid14699840 &lt;/RepeatBlock-By&gt;}{\rtlch\fcs1 \af0 \ltrch\fcs0 &#13;_x000a_\insrsid1140430\charrsid14699840 &#13;_x000a_\par }\pard\plain \ltrpar\s18\ql \li0\ri0\nowidctlpar\wrapdefault\aspalpha\aspnum\faauto\adjustright\rin0\lin0\itap0\pararsid1140430 \rtlch\fcs1 \af0\afs20\alang1025 \ltrch\fcs0 \b\fs24\lang2057\langfe2057\cgrid\langnp2057\langfenp2057 {\rtlch\fcs1 \af0 &#13;_x000a_\ltrch\fcs0 \cs15\b0\v\f1\fs20\cf9\lang1024\langfe1024\noproof\insrsid1140430\charrsid4737239 &lt;DocAmend&gt;}{\rtlch\fcs1 \af0 \ltrch\fcs0 \insrsid1140430\charrsid1799708 [Z}{\rtlch\fcs1 \af0 \ltrch\fcs0 \insrsid1140430 AMDOC}{\rtlch\fcs1 \af0 \ltrch\fcs0 &#13;_x000a_\insrsid1140430\charrsid1799708 ]}{\rtlch\fcs1 \af0 \ltrch\fcs0 \cs15\b0\v\f1\fs20\cf9\lang1024\langfe1024\noproof\insrsid1140430\charrsid4737239 &lt;/DocAmend&gt;}{\rtlch\fcs1 \af0 \ltrch\fcs0 \insrsid1140430\charrsid1799708 &#13;_x000a_\par }{\rtlch\fcs1 \af0 \ltrch\fcs0 \cs15\b0\v\f1\fs20\cf9\lang1024\langfe1024\noproof\insrsid1140430\charrsid1799708 &lt;Article&gt;}{\rtlch\fcs1 \af0 \ltrch\fcs0 \insrsid1140430\charrsid1799708 [ZAMPART]}{\rtlch\fcs1 \af0 \ltrch\fcs0 &#13;_x000a_\cs15\b0\v\f1\fs20\cf9\lang1024\langfe1024\noproof\insrsid1140430\charrsid1799708 &lt;/Article&gt;}{\rtlch\fcs1 \af0 \ltrch\fcs0 \insrsid1140430\charrsid1799708 &#13;_x000a_\par \ltrrow}\trowd \irow0\irowband0\ltrrow\ts11\trqc\trgaph340\trleft-340\trftsWidth3\trwWidth9752\trftsWidthB3\trpaddl340\trpaddr340\trpaddfl3\trpaddft3\trpaddfb3\trpaddfr3\tblrsid7949889\tblind0\tblindtype3 \clvertalt\clbrdrt\brdrtbl \clbrdrl\brdrtbl &#13;_x000a_\clbrdrb\brdrtbl \clbrdrr\brdrtbl \cltxlrtb\clftsWidth3\clwWidth9752\clshdrawnil \cellx9412\pard\plain \ltrpar\ql \li0\ri0\keepn\widctlpar\intbl\wrapdefault\aspalpha\aspnum\faauto\adjustright\rin0\lin0\pararsid13053803 \rtlch\fcs1 \af0\afs20\alang1025 &#13;_x000a_\ltrch\fcs0 \fs24\lang2057\langfe2057\cgrid\langnp2057\langfenp2057 {\rtlch\fcs1 \af0 \ltrch\fcs0 \insrsid1140430\charrsid1799708 \cell }\pard\plain \ltrpar\ql \li0\ri0\widctlpar\intbl\wrapdefault\aspalpha\aspnum\faauto\adjustright\rin0\lin0 \rtlch\fcs1 &#13;_x000a_\af0\afs20\alang1025 \ltrch\fcs0 \fs24\lang2057\langfe2057\cgrid\langnp2057\langfenp2057 {\rtlch\fcs1 \af0 \ltrch\fcs0 \insrsid1140430\charrsid1799708 \trowd \irow0\irowband0\ltrrow&#13;_x000a_\ts11\trqc\trgaph340\trleft-340\trftsWidth3\trwWidth9752\trftsWidthB3\trpaddl340\trpaddr340\trpaddfl3\trpaddft3\trpaddfb3\trpaddfr3\tblrsid7949889\tblind0\tblindtype3 \clvertalt\clbrdrt\brdrtbl \clbrdrl\brdrtbl \clbrdrb\brdrtbl \clbrdrr\brdrtbl &#13;_x000a_\cltxlrtb\clftsWidth3\clwWidth9752\clshdrawnil \cellx9412\row \ltrrow}\trowd \irow1\irowband1\ltrrow&#13;_x000a_\ts11\trqc\trgaph340\trleft-340\trftsWidth3\trwWidth9752\trftsWidthB3\trpaddl340\trpaddr340\trpaddfl3\trpaddft3\trpaddfb3\trpaddfr3\tblrsid7949889\tblind0\tblindtype3 \clvertalt\clbrdrt\brdrtbl \clbrdrl\brdrtbl \clbrdrb\brdrtbl \clbrdrr\brdrtbl &#13;_x000a_\cltxlrtb\clftsWidth3\clwWidth4876\clshdrawnil \cellx4536\clvertalt\clbrdrt\brdrtbl \clbrdrl\brdrtbl \clbrdrb\brdrtbl \clbrdrr\brdrtbl \cltxlrtb\clftsWidth3\clwWidth4876\clshdrawnil \cellx9412\pard\plain \ltrpar&#13;_x000a_\s19\qc \li0\ri0\sa240\keepn\nowidctlpar\intbl\wrapdefault\aspalpha\aspnum\faauto\adjustright\rin0\lin0\pararsid13053803 \rtlch\fcs1 \af0\afs20\alang1025 \ltrch\fcs0 \i\fs24\lang2057\langfe2057\cgrid\langnp2057\langfenp2057 {\rtlch\fcs1 \af0 \ltrch\fcs0 &#13;_x000a_\insrsid1140430\charrsid1799708 [ZLEFT]\cell [ZRIGHT]\cell }\pard\plain \ltrpar\ql \li0\ri0\widctlpar\intbl\wrapdefault\aspalpha\aspnum\faauto\adjustright\rin0\lin0 \rtlch\fcs1 \af0\afs20\alang1025 \ltrch\fcs0 &#13;_x000a_\fs24\lang2057\langfe2057\cgrid\langnp2057\langfenp2057 {\rtlch\fcs1 \af0 \ltrch\fcs0 \insrsid1140430\charrsid1799708 \trowd \irow1\irowband1\ltrrow&#13;_x000a_\ts11\trqc\trgaph340\trleft-340\trftsWidth3\trwWidth9752\trftsWidthB3\trpaddl340\trpaddr340\trpaddfl3\trpaddft3\trpaddfb3\trpaddfr3\tblrsid7949889\tblind0\tblindtype3 \clvertalt\clbrdrt\brdrtbl \clbrdrl\brdrtbl \clbrdrb\brdrtbl \clbrdrr\brdrtbl &#13;_x000a_\cltxlrtb\clftsWidth3\clwWidth4876\clshdrawnil \cellx4536\clvertalt\clbrdrt\brdrtbl \clbrdrl\brdrtbl \clbrdrb\brdrtbl \clbrdrr\brdrtbl \cltxlrtb\clftsWidth3\clwWidth4876\clshdrawnil \cellx9412\row \ltrrow}\pard\plain \ltrpar&#13;_x000a_\s17\ql \li0\ri0\sa120\nowidctlpar\intbl\wrapdefault\aspalpha\aspnum\faauto\adjustright\rin0\lin0\pararsid7949889 \rtlch\fcs1 \af0\afs20\alang1025 \ltrch\fcs0 \fs24\lang2057\langfe2057\cgrid\langnp2057\langfenp2057 {\rtlch\fcs1 \af0 \ltrch\fcs0 &#13;_x000a_\insrsid1140430\charrsid1799708 [ZTEXTL]\cell [ZTEXTR]}{\rtlch\fcs1 \af0\afs24 \ltrch\fcs0 \insrsid1140430\charrsid1799708 \cell }\pard\plain \ltrpar\ql \li0\ri0\widctlpar\intbl\wrapdefault\aspalpha\aspnum\faauto\adjustright\rin0\lin0 \rtlch\fcs1 &#13;_x000a_\af0\afs20\alang1025 \ltrch\fcs0 \fs24\lang2057\langfe2057\cgrid\langnp2057\langfenp2057 {\rtlch\fcs1 \af0 \ltrch\fcs0 \insrsid1140430\charrsid1799708 \trowd \irow2\irowband2\lastrow \ltrrow&#13;_x000a_\ts11\trqc\trgaph340\trleft-340\trftsWidth3\trwWidth9752\trftsWidthB3\trpaddl340\trpaddr340\trpaddfl3\trpaddft3\trpaddfb3\trpaddfr3\tblrsid7949889\tblind0\tblindtype3 \clvertalt\clbrdrt\brdrtbl \clbrdrl\brdrtbl \clbrdrb\brdrtbl \clbrdrr\brdrtbl &#13;_x000a_\cltxlrtb\clftsWidth3\clwWidth4876\clshdrawnil \cellx4536\clvertalt\clbrdrt\brdrtbl \clbrdrl\brdrtbl \clbrdrb\brdrtbl \clbrdrr\brdrtbl \cltxlrtb\clftsWidth3\clwWidth4876\clshdrawnil \cellx9412\row }\pard\plain \ltrpar&#13;_x000a_\s16\qr \li0\ri0\sb240\sa240\nowidctlpar\wrapdefault\aspalpha\aspnum\faauto\adjustright\rin0\lin0\itap0\pararsid1140430 \rtlch\fcs1 \af0\afs20\alang1025 \ltrch\fcs0 \fs24\lang2057\langfe2057\cgrid\langnp2057\langfenp2057 {\rtlch\fcs1 \af0 \ltrch\fcs0 &#13;_x000a_\insrsid1140430\charrsid1799708 Or. }{\rtlch\fcs1 \af0 \ltrch\fcs0 \cs15\v\f1\fs20\cf9\lang1024\langfe1024\noproof\insrsid1140430\charrsid1799708 &lt;Original&gt;}{\rtlch\fcs1 \af0 \ltrch\fcs0 \insrsid1140430\charrsid1799708 [ZORLANG]}{\rtlch\fcs1 \af0 &#13;_x000a_\ltrch\fcs0 \cs15\v\f1\fs20\cf9\lang1024\langfe1024\noproof\insrsid1140430\charrsid1799708 &lt;/Original&gt;}{\rtlch\fcs1 \af0 \ltrch\fcs0 \insrsid1140430\charrsid1799708 &#13;_x000a_\par }\pard\plain \ltrpar\ql \li0\ri0\widctlpar\wrapdefault\aspalpha\aspnum\faauto\adjustright\rin0\lin0\itap0\pararsid1140430 \rtlch\fcs1 \af0\afs20\alang1025 \ltrch\fcs0 \fs24\lang2057\langfe2057\cgrid\langnp2057\langfenp2057 {\rtlch\fcs1 \af0 \ltrch\fcs0 &#13;_x000a_\cs15\v\f1\fs20\cf9\lang1024\langfe1024\noproof\insrsid1140430\charrsid1799708 &lt;/Amend&gt;}{\rtlch\fcs1 \af0 \ltrch\fcs0 \insrsid24658\charrsid16324206 {\*\bkmkend restart}&#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6054&#13;_x000a_9504b3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nl-NL"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pPr>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paragraph" w:customStyle="1" w:styleId="EPLogo">
    <w:name w:val="EPLogo"/>
    <w:basedOn w:val="Normal"/>
    <w:pPr>
      <w:widowControl/>
      <w:jc w:val="right"/>
    </w:pPr>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4"/>
        <w:tab w:val="right" w:pos="9920"/>
      </w:tabs>
      <w:ind w:left="-840" w:right="-84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ColumnHeading">
    <w:name w:val="AmColumnHeading"/>
    <w:basedOn w:val="Normal"/>
    <w:pPr>
      <w:widowControl/>
      <w:spacing w:after="240"/>
      <w:jc w:val="center"/>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4"/>
        <w:tab w:val="right" w:pos="9070"/>
      </w:tabs>
      <w:spacing w:before="240" w:after="240"/>
    </w:pPr>
    <w:rPr>
      <w:sz w:val="22"/>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widowControl/>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themeColor="bg2" w:themeFill="bg2"/>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 w:type="paragraph" w:customStyle="1" w:styleId="AmJustTitle">
    <w:name w:val="AmJustTitle"/>
    <w:basedOn w:val="Normal"/>
    <w:next w:val="AmJustText"/>
    <w:pPr>
      <w:keepNext/>
      <w:widowControl/>
      <w:spacing w:before="240" w:after="240"/>
      <w:jc w:val="center"/>
    </w:pPr>
    <w:rPr>
      <w:i/>
    </w:rPr>
  </w:style>
  <w:style w:type="paragraph" w:customStyle="1" w:styleId="AmJustText">
    <w:name w:val="AmJustText"/>
    <w:basedOn w:val="Normal"/>
    <w:pPr>
      <w:widowControl/>
      <w:spacing w:after="240"/>
    </w:pPr>
    <w:rPr>
      <w:i/>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footer" Target="footer3.xml" /><Relationship Id="rId8" Type="http://schemas.openxmlformats.org/officeDocument/2006/relationships/theme" Target="theme/theme1.xml" /><Relationship Id="rId9"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85</Pages>
  <Words>15615</Words>
  <Characters>95699</Characters>
  <Application>Microsoft Office Word</Application>
  <DocSecurity>0</DocSecurity>
  <Lines>1</Lines>
  <Paragraphs>1351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110124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NL</vt:lpwstr>
  </property>
  <property fmtid="{D5CDD505-2E9C-101B-9397-08002B2CF9AE}" pid="3" name="&lt;FdR&gt;">
    <vt:lpwstr>1341076</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render.id">
    <vt:lpwstr>490498</vt:lpwstr>
  </property>
  <property fmtid="{D5CDD505-2E9C-101B-9397-08002B2CF9AE}" pid="7" name="dmxml.render.traceId">
    <vt:lpwstr>6a09844ebc8cdd8dc3bed4d228722746</vt:lpwstr>
  </property>
  <property fmtid="{D5CDD505-2E9C-101B-9397-08002B2CF9AE}" pid="8" name="FooterPath">
    <vt:lpwstr>AM\1341076NL.docx</vt:lpwstr>
  </property>
  <property fmtid="{D5CDD505-2E9C-101B-9397-08002B2CF9AE}" pid="9" name="PE Number">
    <vt:lpwstr>786.972</vt:lpwstr>
  </property>
  <property fmtid="{D5CDD505-2E9C-101B-9397-08002B2CF9AE}" pid="10" name="UID">
    <vt:lpwstr>eu.europa.europarl-DIN1-2026-0000095280_02.00-nl-01.00_text-xml</vt:lpwstr>
  </property>
</Properties>
</file>