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Parlamento Europeu</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{AFET}</w:t>
      </w:r>
      <w:r>
        <w:t>Comissão dos Assuntos Externos</w:t>
      </w:r>
      <w:r>
        <w:rPr>
          <w:rStyle w:val="HideTWBExt"/>
        </w:rPr>
        <w:t>&lt;/Commission&gt;</w:t>
      </w:r>
    </w:p>
    <w:p>
      <w:pPr>
        <w:pStyle w:val="LineBottom"/>
      </w:pPr>
      <w:r>
        <w:t xml:space="preserve"> </w:t>
      </w:r>
    </w:p>
    <w:p>
      <w:pPr>
        <w:pStyle w:val="CoverReference"/>
      </w:pPr>
      <w:r>
        <w:rPr>
          <w:rStyle w:val="HideTWBExt"/>
        </w:rPr>
        <w:t>&lt;RefProc&gt;</w:t>
      </w:r>
      <w:r>
        <w:t>2025/2255</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{13/04/2026}</w:t>
      </w:r>
      <w:r>
        <w:t>13.4.2026</w:t>
      </w:r>
      <w:r>
        <w:rPr>
          <w:rStyle w:val="HideTWBExt"/>
        </w:rPr>
        <w:t>&lt;/Date&gt;</w:t>
      </w:r>
    </w:p>
    <w:p>
      <w:pPr>
        <w:pStyle w:val="CoverDocType"/>
      </w:pPr>
      <w:r>
        <w:rPr>
          <w:rStyle w:val="HideTWBExt"/>
        </w:rPr>
        <w:t>&lt;TypeAM&gt;</w:t>
      </w:r>
      <w:r>
        <w:t>ALTERAÇÕES</w:t>
      </w:r>
      <w:r>
        <w:rPr>
          <w:rStyle w:val="HideTWBExt"/>
        </w:rPr>
        <w:t>&lt;/TypeAM&gt;</w:t>
      </w:r>
    </w:p>
    <w:p>
      <w:pPr>
        <w:pStyle w:val="CoverDocType24a"/>
      </w:pPr>
      <w:r>
        <w:rPr>
          <w:rStyle w:val="HideTWBExt"/>
        </w:rPr>
        <w:t>&lt;RangeAM&gt;</w:t>
      </w:r>
      <w:r>
        <w:t>374</w:t>
      </w:r>
      <w:r>
        <w:t xml:space="preserve"> - </w:t>
      </w:r>
      <w:r>
        <w:t>531</w:t>
      </w:r>
      <w:r>
        <w:rPr>
          <w:rStyle w:val="HideTWBExt"/>
        </w:rPr>
        <w:t>&lt;/RangeAM&gt;</w:t>
      </w:r>
    </w:p>
    <w:p>
      <w:pPr>
        <w:pStyle w:val="CoverBold"/>
      </w:pPr>
      <w:r>
        <w:rPr>
          <w:rStyle w:val="HideTWBExt"/>
        </w:rPr>
        <w:t>&lt;TitreType&gt;</w:t>
      </w:r>
      <w:r>
        <w:t>Projeto de relatório</w:t>
      </w:r>
      <w:r>
        <w:rPr>
          <w:rStyle w:val="HideTWBExt"/>
        </w:rPr>
        <w:t>&lt;/TitreType&gt;</w:t>
      </w:r>
    </w:p>
    <w:p>
      <w:pPr>
        <w:pStyle w:val="CoverBold"/>
      </w:pPr>
      <w:r>
        <w:rPr>
          <w:rStyle w:val="HideTWBExt"/>
        </w:rPr>
        <w:t>&lt;Rapporteur&gt;</w:t>
      </w:r>
      <w:r>
        <w:t>Tonino Picula</w:t>
      </w:r>
      <w:r>
        <w:rPr>
          <w:rStyle w:val="HideTWBExt"/>
        </w:rPr>
        <w:t>&lt;/Rapporteur&gt;</w:t>
      </w:r>
    </w:p>
    <w:p>
      <w:pPr>
        <w:pStyle w:val="CoverNormal24a"/>
      </w:pPr>
      <w:r>
        <w:rPr>
          <w:rStyle w:val="HideTWBExt"/>
        </w:rPr>
        <w:t>&lt;DocRefPE&gt;</w:t>
      </w:r>
      <w:r>
        <w:t>(PE784.230v01-00)</w:t>
      </w:r>
      <w:r>
        <w:rPr>
          <w:rStyle w:val="HideTWBExt"/>
        </w:rPr>
        <w:t>&lt;/DocRefPE&gt;</w:t>
      </w:r>
    </w:p>
    <w:p>
      <w:pPr>
        <w:pStyle w:val="CoverNormal"/>
      </w:pPr>
      <w:r>
        <w:rPr>
          <w:rStyle w:val="HideTWBExt"/>
        </w:rPr>
        <w:t>&lt;Titre&gt;</w:t>
      </w:r>
      <w:r>
        <w:t>Relatório de 2025 da Comissão relativo à Sérvia</w:t>
      </w:r>
      <w:r>
        <w:rPr>
          <w:rStyle w:val="HideTWBExt"/>
        </w:rPr>
        <w:t>&lt;/Titre&gt;</w:t>
      </w:r>
    </w:p>
    <w:p>
      <w:pPr>
        <w:pStyle w:val="CoverNormal24a"/>
      </w:pPr>
      <w:r>
        <w:rPr>
          <w:rStyle w:val="HideTWBExt"/>
        </w:rPr>
        <w:t>&lt;DocRef&gt;</w:t>
      </w:r>
      <w:r>
        <w:t>(2025/2255(INI))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Alteração</w:t>
      </w:r>
      <w:r>
        <w:tab/>
      </w:r>
      <w:r>
        <w:tab/>
      </w:r>
      <w:r>
        <w:rPr>
          <w:rStyle w:val="HideTWBExt"/>
        </w:rPr>
        <w:t>&lt;NumAm&gt;</w:t>
      </w:r>
      <w:r>
        <w:t>374</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18-F.</w:t>
            </w:r>
            <w:r>
              <w:tab/>
            </w:r>
            <w:r>
              <w:rPr>
                <w:b/>
                <w:i/>
              </w:rPr>
              <w:t>Exorta as autoridades sérvias a ampliarem a disponibilidade de serviços públicos de radiodifusão em todas as línguas minoritárias em todo o país, garantindo a igualdade de acesso aos meios de comunicação social para todas as comunidades, tirando simultaneamente partido das melhores práticas da região de Voivodina;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375</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Insta as autoridades sérvias, no contexto do seu processo de adesão à UE, a darem prioridade à aplicação plena, eficaz e coerente do quadro jurídico e político existente para a proteção das pessoas pertencentes a minorias nacionais, em consonância com as suas obrigações ao abrigo da Convenção-Quadro do Conselho da Europa para a Proteção das Minorias Nacionais e das normas europeias pertinentes;</w:t>
            </w:r>
            <w:r>
              <w:t xml:space="preserve"> </w:t>
            </w:r>
            <w:r>
              <w:rPr>
                <w:b/>
                <w:i/>
              </w:rPr>
              <w:t>exorta as autoridades a assegurarem progressos concretos e mensuráveis em todos os setores-chave, incluindo a educação, a administração pública, o acesso aos meios de comunicação social e a liberdade de religião, reforçando os mecanismos de execução, prevenindo práticas discriminatórias e estabelecendo prazos claros, um acompanhamento regular e relatórios transparentes, a fim de garantir o exercício efetivo dos direitos das minorias na prática;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18-G.</w:t>
            </w:r>
            <w:r>
              <w:tab/>
            </w:r>
            <w:r>
              <w:rPr>
                <w:b/>
                <w:i/>
              </w:rPr>
              <w:t>Reitera a sua preocupação com a aplicação restritiva e arbitrária da lei sobre residência permanente e temporária relacionada com a passivização do endereço de milhares de albaneses no sul da Sérvia;</w:t>
            </w:r>
            <w:r>
              <w:t xml:space="preserve"> </w:t>
            </w:r>
            <w:r>
              <w:rPr>
                <w:b/>
                <w:i/>
              </w:rPr>
              <w:t>insta a Unidade de Controlo Interno do Ministério do Interior e o Ministério Público a investigarem as ações das esquadras de polícia em Bujanovac, Preševo e Medveđa;</w:t>
            </w:r>
            <w:r>
              <w:t xml:space="preserve"> </w:t>
            </w:r>
            <w:r>
              <w:rPr>
                <w:b/>
                <w:i/>
              </w:rPr>
              <w:t>exorta o Ministério do Interior a divulgar, o mais rapidamente possível, estatísticas exaustivas sobre os cidadãos passivizados de 2011 a 2024 em Medveđa, Bujanovac e Preševo, desagregados por nacionalidade/etnia;</w:t>
            </w:r>
            <w:r>
              <w:t xml:space="preserve"> </w:t>
            </w:r>
            <w:r>
              <w:rPr>
                <w:b/>
                <w:i/>
              </w:rPr>
              <w:t>sublinha que o Ministério da Administração Pública e da Autonomia Local deve pôr termo ao processo de retirada dos cidadãos com endereços passivizados dos cadernos eleitorais únicos;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Lamenta com a maior veemência as recentes ações policiais intrusivas nas instalações universitárias, incluindo buscas e apreensão de documentação interna e investigação do reitor da Universidade de Belgrado, Vladan Đokić, que foi transmitida em direto em canais de televisão pró-governamentais, indicando um nível de instrumentalização política incompatível com os princípios da autonomia institucional, do direito a um processo equitativo e do Estado de direito;</w:t>
            </w:r>
            <w:r>
              <w:t xml:space="preserve"> </w:t>
            </w:r>
            <w:r>
              <w:rPr>
                <w:b/>
                <w:i/>
              </w:rPr>
              <w:t>insta as autoridades competentes a realizarem uma investigação centrada, transparente e juridicamente fundamentada na sequência da morte trágica de um estudante da Faculdade de Filosofia;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18-H.</w:t>
            </w:r>
            <w:r>
              <w:tab/>
            </w:r>
            <w:r>
              <w:rPr>
                <w:b/>
                <w:i/>
              </w:rPr>
              <w:t>Reitera que as relações de boa vizinhança e a cooperação regional continuam a ser elementos essenciais do processo de alargamento;</w:t>
            </w:r>
            <w:r>
              <w:t xml:space="preserve"> </w:t>
            </w:r>
            <w:r>
              <w:rPr>
                <w:b/>
                <w:i/>
              </w:rPr>
              <w:t>insta a Sérvia a pôr termo às restrições de entrada impostas aos ativistas da sociedade civil e aos artistas da região, uma vez que tais práticas comprometem o diálogo e a cooperação regionais;</w:t>
            </w:r>
            <w:r>
              <w:t xml:space="preserve"> </w:t>
            </w:r>
            <w:r>
              <w:rPr>
                <w:b/>
                <w:i/>
              </w:rPr>
              <w:t>salienta a importância de a Sérvia desenvolver boas relações de vizinhança, aplicar acordos bilaterais e resolver as questões bilaterais pendentes com os seus vizinhos;</w:t>
            </w:r>
            <w:r>
              <w:t xml:space="preserve"> </w:t>
            </w:r>
            <w:r>
              <w:rPr>
                <w:b/>
                <w:i/>
              </w:rPr>
              <w:t>assinala o envolvimento da Sérvia em iniciativas regionais e a sua participação ativa no Plano de Crescimento para os Balcãs Ocidentais e no mercado comum regional;</w:t>
            </w:r>
            <w:r>
              <w:t xml:space="preserve"> </w:t>
            </w:r>
            <w:r>
              <w:rPr>
                <w:b/>
                <w:i/>
              </w:rPr>
              <w:t>sublinha que o respeito pelos direitos das minorias nacionais é uma condição essencial para o avanço da Sérvia na sua trajetória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379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18-D.</w:t>
            </w:r>
            <w:r>
              <w:tab/>
            </w:r>
            <w:r>
              <w:rPr>
                <w:b/>
                <w:i/>
              </w:rPr>
              <w:t>Reitera que a Sérvia deve abster-se de influenciar a política interna dos seus países vizinhos dos Balcãs Ocidentais, nomeadamente no que diz respeito à celebração inconstitucional do Dia da República Sérvia na Bósnia-Herzegovina;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18-I.</w:t>
            </w:r>
            <w:r>
              <w:tab/>
            </w:r>
            <w:r>
              <w:rPr>
                <w:b/>
                <w:i/>
              </w:rPr>
              <w:t>Reitera que a Sérvia deve pôr termo à sua prática de influenciar a política interna dos seus países vizinhos dos Balcãs Ocidentais, nomeadamente no que diz respeito à celebração inconstitucional do Dia da República Sérvia na Bósnia-Herzegovina e ao questionamento das decisões judiciais da Bósnia-Herzegovina;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18-J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18-J.</w:t>
            </w:r>
            <w:r>
              <w:tab/>
            </w:r>
            <w:r>
              <w:rPr>
                <w:b/>
                <w:i/>
              </w:rPr>
              <w:t>Manifesta a sua preocupação com a narrativa promovida pelas autoridades sérvias, que apresenta os países vizinhos como uma ameaça militar iminente para a Sérvia;</w:t>
            </w:r>
            <w:r>
              <w:t xml:space="preserve"> </w:t>
            </w:r>
            <w:r>
              <w:rPr>
                <w:b/>
                <w:i/>
              </w:rPr>
              <w:t>sublinha que esta retórica corre o risco de agravar desnecessariamente as tensões na região e de comprometer as relações de boa vizinhança;</w:t>
            </w:r>
            <w:r>
              <w:t xml:space="preserve"> </w:t>
            </w:r>
            <w:r>
              <w:rPr>
                <w:b/>
                <w:i/>
              </w:rPr>
              <w:t>insta as autoridades sérvias a absterem-se de narrativas desestabilizadoras e a participarem de forma construtiva no diálogo e na cooperação regionais em matéria de segurança, em consonância com os valores e os compromissos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rPr>
                <w:b/>
                <w:i/>
              </w:rPr>
              <w:t>Faz votos por que o Kosovo e a Sérvia cooperem plenamente e adotem</w:t>
            </w:r>
            <w:r>
              <w:t xml:space="preserve"> todas as </w:t>
            </w:r>
            <w:r>
              <w:rPr>
                <w:b/>
                <w:i/>
              </w:rPr>
              <w:t>medidas necessárias para levar rapidamente a julgamento os autores dos ataques terroristas perpetrados em 2023, em</w:t>
            </w:r>
            <w:r>
              <w:t xml:space="preserve"> Banjska</w:t>
            </w:r>
            <w:r>
              <w:rPr>
                <w:b/>
                <w:i/>
              </w:rPr>
              <w:t>;</w:t>
            </w:r>
            <w:r>
              <w:t xml:space="preserve"> </w:t>
            </w:r>
            <w:r>
              <w:rPr>
                <w:b/>
                <w:i/>
              </w:rPr>
              <w:t>lamenta que a</w:t>
            </w:r>
            <w:r>
              <w:t xml:space="preserve"> Sérvia </w:t>
            </w:r>
            <w:r>
              <w:rPr>
                <w:b/>
                <w:i/>
              </w:rPr>
              <w:t>ainda não tenha julgado os culpados, nomeadamente Milan Radoičić, vice‑presidente do partido «Srpska Lista»</w:t>
            </w:r>
            <w:r>
              <w:t>;</w:t>
            </w:r>
          </w:p>
        </w:tc>
        <w:tc>
          <w:tcPr>
            <w:tcW w:w="4876" w:type="dxa"/>
            <w:tcBorders>
              <w:top w:val="nil"/>
              <w:left w:val="nil"/>
              <w:bottom w:val="nil"/>
              <w:right w:val="nil"/>
            </w:tcBorders>
          </w:tcPr>
          <w:p>
            <w:pPr>
              <w:pStyle w:val="Normal6a"/>
            </w:pPr>
            <w:r>
              <w:t>19.</w:t>
            </w:r>
            <w:r>
              <w:tab/>
            </w:r>
            <w:r>
              <w:rPr>
                <w:b/>
                <w:i/>
              </w:rPr>
              <w:t>Insta</w:t>
            </w:r>
            <w:r>
              <w:t xml:space="preserve"> todas as </w:t>
            </w:r>
            <w:r>
              <w:rPr>
                <w:b/>
                <w:i/>
              </w:rPr>
              <w:t>partes a cooperarem no apuramento de todos os factos em torno do incidente de</w:t>
            </w:r>
            <w:r>
              <w:t xml:space="preserve"> Banjska </w:t>
            </w:r>
            <w:r>
              <w:rPr>
                <w:b/>
                <w:i/>
              </w:rPr>
              <w:t>de 2023 através de processos judiciais legais;</w:t>
            </w:r>
            <w:r>
              <w:t xml:space="preserve"> </w:t>
            </w:r>
            <w:r>
              <w:rPr>
                <w:b/>
                <w:i/>
              </w:rPr>
              <w:t>recorda que os processos penais devem respeitar o princípio do direito a um processo equitativo e a presunção de inocência;</w:t>
            </w:r>
            <w:r>
              <w:t xml:space="preserve"> </w:t>
            </w:r>
            <w:r>
              <w:rPr>
                <w:b/>
                <w:i/>
              </w:rPr>
              <w:t>salienta que os processos judiciais são da competência exclusiva das autoridades nacionais da</w:t>
            </w:r>
            <w:r>
              <w:t xml:space="preserve"> Sérvia </w:t>
            </w:r>
            <w:r>
              <w:rPr>
                <w:b/>
                <w:i/>
              </w:rPr>
              <w:t>e devem estar isentos de pressões políticas externas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Faz votos por que </w:t>
            </w:r>
            <w:r>
              <w:rPr>
                <w:b/>
                <w:i/>
              </w:rPr>
              <w:t>o Kosovo e</w:t>
            </w:r>
            <w:r>
              <w:t xml:space="preserve"> a Sérvia </w:t>
            </w:r>
            <w:r>
              <w:rPr>
                <w:b/>
                <w:i/>
              </w:rPr>
              <w:t>cooperem plenamente e adotem</w:t>
            </w:r>
            <w:r>
              <w:t xml:space="preserve"> todas as medidas necessárias </w:t>
            </w:r>
            <w:r>
              <w:rPr>
                <w:b/>
                <w:i/>
              </w:rPr>
              <w:t>para</w:t>
            </w:r>
            <w:r>
              <w:t xml:space="preserve"> levar rapidamente a julgamento os autores dos ataques terroristas </w:t>
            </w:r>
            <w:r>
              <w:rPr>
                <w:b/>
                <w:i/>
              </w:rPr>
              <w:t>perpetrados</w:t>
            </w:r>
            <w:r>
              <w:t xml:space="preserve"> em 2023, em Banjska; lamenta que a Sérvia ainda não tenha julgado os culpados, nomeadamente Milan Radoičić, </w:t>
            </w:r>
            <w:r>
              <w:rPr>
                <w:b/>
                <w:i/>
              </w:rPr>
              <w:t>vice‑presidente do partido</w:t>
            </w:r>
            <w:r>
              <w:t xml:space="preserve"> «Srpska Lista»;</w:t>
            </w:r>
          </w:p>
        </w:tc>
        <w:tc>
          <w:tcPr>
            <w:tcW w:w="4876" w:type="dxa"/>
            <w:tcBorders>
              <w:top w:val="nil"/>
              <w:left w:val="nil"/>
              <w:bottom w:val="nil"/>
              <w:right w:val="nil"/>
            </w:tcBorders>
          </w:tcPr>
          <w:p>
            <w:pPr>
              <w:pStyle w:val="Normal6a"/>
            </w:pPr>
            <w:r>
              <w:t>19.</w:t>
            </w:r>
            <w:r>
              <w:tab/>
            </w:r>
            <w:r>
              <w:t xml:space="preserve">Faz votos por que a Sérvia </w:t>
            </w:r>
            <w:r>
              <w:rPr>
                <w:b/>
                <w:i/>
              </w:rPr>
              <w:t>adote</w:t>
            </w:r>
            <w:r>
              <w:t xml:space="preserve"> todas as medidas necessárias </w:t>
            </w:r>
            <w:r>
              <w:rPr>
                <w:b/>
                <w:i/>
              </w:rPr>
              <w:t>e coopere plenamente com o Kosovo para, por fim,</w:t>
            </w:r>
            <w:r>
              <w:t xml:space="preserve"> levar rapidamente a julgamento os autores dos ataques terroristas em 2023, em Banjska; lamenta que a Sérvia ainda não tenha julgado os culpados, nomeadamente Milan Radoičić, </w:t>
            </w:r>
            <w:r>
              <w:rPr>
                <w:b/>
                <w:i/>
              </w:rPr>
              <w:t>antigo vice-presidente da</w:t>
            </w:r>
            <w:r>
              <w:t xml:space="preserve">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384</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dos ataques terroristas perpetrados em 2023, em Banjska; lamenta que a Sérvia ainda não tenha julgado os culpados, nomeadamente Milan Radoičić, </w:t>
            </w:r>
            <w:r>
              <w:rPr>
                <w:b/>
                <w:i/>
              </w:rPr>
              <w:t>vice‑presidente</w:t>
            </w:r>
            <w:r>
              <w:t xml:space="preserve"> do partido «Srpska Lista»;</w:t>
            </w:r>
          </w:p>
        </w:tc>
        <w:tc>
          <w:tcPr>
            <w:tcW w:w="4876" w:type="dxa"/>
            <w:tcBorders>
              <w:top w:val="nil"/>
              <w:left w:val="nil"/>
              <w:bottom w:val="nil"/>
              <w:right w:val="nil"/>
            </w:tcBorders>
          </w:tcPr>
          <w:p>
            <w:pPr>
              <w:pStyle w:val="Normal6a"/>
            </w:pPr>
            <w:r>
              <w:t>19.</w:t>
            </w:r>
            <w:r>
              <w:tab/>
            </w:r>
            <w:r>
              <w:t>Faz votos por que o Kosovo</w:t>
            </w:r>
            <w:r>
              <w:rPr>
                <w:b/>
                <w:i/>
              </w:rPr>
              <w:t>*</w:t>
            </w:r>
            <w:r>
              <w:rPr>
                <w:b/>
                <w:i/>
                <w:vertAlign w:val="superscript"/>
              </w:rPr>
              <w:t>1-A.</w:t>
            </w:r>
            <w:r>
              <w:rPr>
                <w:vertAlign w:val="superscript"/>
              </w:rPr>
              <w:t xml:space="preserve"> </w:t>
            </w:r>
            <w:r>
              <w:t xml:space="preserve">e a Sérvia cooperem plenamente e adotem todas as medidas necessárias para levar rapidamente a julgamento os autores dos ataques terroristas perpetrados em 2023, em Banjska; lamenta que a Sérvia ainda não tenha julgado os culpados, nomeadamente Milan Radoičić, </w:t>
            </w:r>
            <w:r>
              <w:rPr>
                <w:b/>
                <w:i/>
              </w:rPr>
              <w:t>vice-presidente</w:t>
            </w:r>
            <w:r>
              <w:t xml:space="preserve"> do partido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385</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dos ataques terroristas perpetrados em 2023, em Banjska; lamenta que a Sérvia ainda não tenha julgado os culpados, nomeadamente Milan Radoičić, </w:t>
            </w:r>
            <w:r>
              <w:rPr>
                <w:b/>
                <w:i/>
              </w:rPr>
              <w:t>vice‑presidente</w:t>
            </w:r>
            <w:r>
              <w:t xml:space="preserve"> do partido «Srpska Lista»;</w:t>
            </w:r>
          </w:p>
        </w:tc>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dos ataques terroristas perpetrados em 2023, em Banjska; lamenta que a Sérvia ainda não tenha julgado os culpados, nomeadamente Milan Radoičić, </w:t>
            </w:r>
            <w:r>
              <w:rPr>
                <w:b/>
                <w:i/>
              </w:rPr>
              <w:t>antigo vice-presidente</w:t>
            </w:r>
            <w:r>
              <w:t xml:space="preserve"> do partido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386</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Faz votos por que o Kosovo e a Sérvia cooperem plenamente e adotem todas as medidas necessárias para levar rapidamente a julgamento os autores dos ataques terroristas perpetrados em 2023, em Banjska; lamenta que a Sérvia ainda não tenha julgado os culpados, nomeadamente Milan Radoičić</w:t>
            </w:r>
            <w:r>
              <w:rPr>
                <w:b/>
                <w:i/>
              </w:rPr>
              <w:t>, vice‑presidente do partido «Srpska Lista»</w:t>
            </w:r>
            <w:r>
              <w:t>;</w:t>
            </w:r>
          </w:p>
        </w:tc>
        <w:tc>
          <w:tcPr>
            <w:tcW w:w="4876" w:type="dxa"/>
            <w:tcBorders>
              <w:top w:val="nil"/>
              <w:left w:val="nil"/>
              <w:bottom w:val="nil"/>
              <w:right w:val="nil"/>
            </w:tcBorders>
          </w:tcPr>
          <w:p>
            <w:pPr>
              <w:pStyle w:val="Normal6a"/>
            </w:pPr>
            <w:r>
              <w:t>19.</w:t>
            </w:r>
            <w:r>
              <w:tab/>
            </w:r>
            <w:r>
              <w:t>Faz votos por que o Kosovo e a Sérvia cooperem plenamente e adotem todas as medidas necessárias para levar rapidamente a julgamento os autores dos ataques terroristas perpetrados em 2023, em Banjska; lamenta que a Sérvia ainda não tenha julgado os culpados, nomeadamente Milan Radoičić;</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387</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w:t>
            </w:r>
            <w:r>
              <w:rPr>
                <w:b/>
                <w:i/>
              </w:rPr>
              <w:t>dos ataques terroristas perpetrados em</w:t>
            </w:r>
            <w:r>
              <w:t xml:space="preserve"> 2023, em Banjska; lamenta que a Sérvia ainda não tenha julgado os culpados, nomeadamente Milan Radoičić, </w:t>
            </w:r>
            <w:r>
              <w:rPr>
                <w:b/>
                <w:i/>
              </w:rPr>
              <w:t>vice‑presidente</w:t>
            </w:r>
            <w:r>
              <w:t xml:space="preserve"> do partido «Srpska Lista»;</w:t>
            </w:r>
          </w:p>
        </w:tc>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w:t>
            </w:r>
            <w:r>
              <w:rPr>
                <w:b/>
                <w:i/>
              </w:rPr>
              <w:t>do incidente de</w:t>
            </w:r>
            <w:r>
              <w:t xml:space="preserve"> 2023, em Banjska; lamenta que a Sérvia ainda não tenha julgado os culpados, nomeadamente Milan Radoičić, </w:t>
            </w:r>
            <w:r>
              <w:rPr>
                <w:b/>
                <w:i/>
              </w:rPr>
              <w:t>antigo vice-presidente</w:t>
            </w:r>
            <w:r>
              <w:t xml:space="preserve"> do partido «Srpska Lista»;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dos ataques terroristas perpetrados em 2023, em Banjska; </w:t>
            </w:r>
            <w:r>
              <w:rPr>
                <w:b/>
                <w:i/>
              </w:rPr>
              <w:t>lamenta que</w:t>
            </w:r>
            <w:r>
              <w:t xml:space="preserve"> a Sérvia ainda não </w:t>
            </w:r>
            <w:r>
              <w:rPr>
                <w:b/>
                <w:i/>
              </w:rPr>
              <w:t>tenha</w:t>
            </w:r>
            <w:r>
              <w:t xml:space="preserve"> julgado os culpados, nomeadamente Milan Radoičić, </w:t>
            </w:r>
            <w:r>
              <w:rPr>
                <w:b/>
                <w:i/>
              </w:rPr>
              <w:t>vice‑presidente</w:t>
            </w:r>
            <w:r>
              <w:t xml:space="preserve"> do partido «Srpska Lista»;</w:t>
            </w:r>
          </w:p>
        </w:tc>
        <w:tc>
          <w:tcPr>
            <w:tcW w:w="4876" w:type="dxa"/>
            <w:tcBorders>
              <w:top w:val="nil"/>
              <w:left w:val="nil"/>
              <w:bottom w:val="nil"/>
              <w:right w:val="nil"/>
            </w:tcBorders>
          </w:tcPr>
          <w:p>
            <w:pPr>
              <w:pStyle w:val="Normal6a"/>
            </w:pPr>
            <w:r>
              <w:t>19.</w:t>
            </w:r>
            <w:r>
              <w:tab/>
            </w:r>
            <w:r>
              <w:t xml:space="preserve">Faz votos por que o Kosovo e a Sérvia cooperem plenamente e adotem todas as medidas necessárias para levar rapidamente a julgamento os autores dos ataques terroristas perpetrados em 2023, em Banjska; </w:t>
            </w:r>
            <w:r>
              <w:rPr>
                <w:b/>
                <w:i/>
              </w:rPr>
              <w:t>condena o facto de</w:t>
            </w:r>
            <w:r>
              <w:t xml:space="preserve"> a Sérvia ainda não </w:t>
            </w:r>
            <w:r>
              <w:rPr>
                <w:b/>
                <w:i/>
              </w:rPr>
              <w:t>ter</w:t>
            </w:r>
            <w:r>
              <w:t xml:space="preserve"> julgado os culpados, nomeadamente Milan Radoičić, </w:t>
            </w:r>
            <w:r>
              <w:rPr>
                <w:b/>
                <w:i/>
              </w:rPr>
              <w:t>vice-presidente</w:t>
            </w:r>
            <w:r>
              <w:t xml:space="preserve"> do partido «Srpska Lista»;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389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Relembra que a cooperação regional e as relações de boa vizinhança continuam a ser elementos essenciais do processo de alargamento;</w:t>
            </w:r>
            <w:r>
              <w:t xml:space="preserve"> </w:t>
            </w:r>
            <w:r>
              <w:rPr>
                <w:b/>
                <w:i/>
              </w:rPr>
              <w:t>convida a Sérvia a continuar a participar numa série de iniciativas de cooperação regional que também proporcionam um fórum de diálogo e reforçam as relações de boa vizinhança na região;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390</w:t>
      </w:r>
      <w:r>
        <w:rPr>
          <w:rStyle w:val="HideTWBExt"/>
        </w:rPr>
        <w:t>&lt;/NumAm&gt;</w:t>
      </w:r>
    </w:p>
    <w:p>
      <w:pPr>
        <w:pStyle w:val="NormalBold"/>
      </w:pPr>
      <w:r>
        <w:rPr>
          <w:rStyle w:val="HideTWBExt"/>
          <w:b w:val="0"/>
        </w:rPr>
        <w:t>&lt;RepeatBlock-By&gt;</w:t>
      </w:r>
      <w:r>
        <w:rPr>
          <w:rStyle w:val="HideTWBExt"/>
          <w:b w:val="0"/>
        </w:rPr>
        <w:t>&lt;Members&gt;</w:t>
      </w:r>
      <w:r>
        <w:t>Cristian Terheş</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Sublinha que o Kosovo é parte integrante da Sérvia e que o reconhecimento da sua independência constitui uma grave violação da integridade territorial da Sérvia;</w:t>
            </w:r>
            <w:r>
              <w:t xml:space="preserve"> </w:t>
            </w:r>
            <w:r>
              <w:rPr>
                <w:b/>
                <w:i/>
              </w:rPr>
              <w:t>sublinha que este reconhecimento também criou um precedente perigoso, que foi explorado pela Rússia para justificar as suas anexações ilegais;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19-A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Reconhece o importante papel da Sérvia na região dos Balcãs Ocidentais, condenando veementemente quaisquer ações ou tentativas destinadas a afirmar uma esfera de influência que comprometeria a soberania e a integridade territorial dos países vizinhos;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w:t>
            </w:r>
          </w:p>
        </w:tc>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 </w:t>
            </w:r>
            <w:r>
              <w:rPr>
                <w:b/>
                <w:i/>
              </w:rPr>
              <w:t>congratula-se com a participação construtiva da Sérvia no diálogo e com o cumprimento de todas as principais obrigações consignadas no Acordo de Bruxelas de 2013; lamenta que, mesmo após 13 anos, as autoridades de Pristina nem sequer tenham começado a cumprir a única obrigação do Acordo de Bruxelas: a formação da comunidade de municípios sérvios, que é de importância vital para a sobrevivência dos sérvios na PA de Kosovo e Metohija.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w:t>
            </w:r>
          </w:p>
        </w:tc>
        <w:tc>
          <w:tcPr>
            <w:tcW w:w="4876" w:type="dxa"/>
            <w:tcBorders>
              <w:top w:val="nil"/>
              <w:left w:val="nil"/>
              <w:bottom w:val="nil"/>
              <w:right w:val="nil"/>
            </w:tcBorders>
          </w:tcPr>
          <w:p>
            <w:pPr>
              <w:pStyle w:val="Normal6a"/>
            </w:pPr>
            <w:r>
              <w:t>20.</w:t>
            </w:r>
            <w:r>
              <w:tab/>
            </w:r>
            <w:r>
              <w:t>Recorda que a normalização das relações com o Kosovo</w:t>
            </w:r>
            <w:r>
              <w:rPr>
                <w:b/>
                <w:i/>
              </w:rPr>
              <w:t>*</w:t>
            </w:r>
            <w:r>
              <w:t xml:space="preserve"> e a aplicação dos compromissos assumidos no âmbito do Diálogo </w:t>
            </w:r>
            <w:r>
              <w:rPr>
                <w:b/>
                <w:i/>
              </w:rPr>
              <w:t>Belgrado-Pristina</w:t>
            </w:r>
            <w:r>
              <w:t xml:space="preserve"> continuam a ser parte integrante da perspetiva europeia da Sérvia; </w:t>
            </w:r>
            <w:r>
              <w:rPr>
                <w:b/>
                <w:i/>
              </w:rPr>
              <w:t>congratula-se com a participação construtiva da Sérvia no diálogo e com o cumprimento das obrigações incluídas no Acordo de Bruxelas de 2013;</w:t>
            </w:r>
            <w:r>
              <w:t xml:space="preserve"> </w:t>
            </w:r>
            <w:r>
              <w:rPr>
                <w:b/>
                <w:i/>
              </w:rPr>
              <w:t>lamenta que, mesmo após 13 anos, as autoridades de Pristina nem sequer tenham começado a cumprir a única obrigação do Acordo de Bruxelas: a formação da comunidade de municípios sérvios, que é de importância vital para a sobrevivência dos sérvios na PA de Kosovo e Metohija.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w:t>
            </w:r>
          </w:p>
        </w:tc>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 </w:t>
            </w:r>
            <w:r>
              <w:rPr>
                <w:b/>
                <w:i/>
              </w:rPr>
              <w:t>salienta que as relações de boa vizinhança são parte integrante das obrigações da Sérvia no âmbito do alargamento e, por conseguinte, espera que a Sérvia tome medidas concretas no sentido da normalização das relações com o Kosovo;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w:t>
            </w:r>
          </w:p>
        </w:tc>
        <w:tc>
          <w:tcPr>
            <w:tcW w:w="4876" w:type="dxa"/>
            <w:tcBorders>
              <w:top w:val="nil"/>
              <w:left w:val="nil"/>
              <w:bottom w:val="nil"/>
              <w:right w:val="nil"/>
            </w:tcBorders>
          </w:tcPr>
          <w:p>
            <w:pPr>
              <w:pStyle w:val="Normal6a"/>
            </w:pPr>
            <w:r>
              <w:t>20.</w:t>
            </w:r>
            <w:r>
              <w:tab/>
            </w:r>
            <w:r>
              <w:t xml:space="preserve">Recorda que a normalização das relações com o Kosovo e a aplicação dos compromissos assumidos no âmbito do Diálogo </w:t>
            </w:r>
            <w:r>
              <w:rPr>
                <w:b/>
                <w:i/>
              </w:rPr>
              <w:t>Belgrado-Pristina</w:t>
            </w:r>
            <w:r>
              <w:t xml:space="preserve"> continuam a ser parte integrante da perspetiva europeia da Sérvia; </w:t>
            </w:r>
            <w:r>
              <w:rPr>
                <w:b/>
                <w:i/>
              </w:rPr>
              <w:t>congratula-se com a participação construtiva da Sérvia no diálogo e com o cumprimento de todas as principais obrigações constantes do Acordo de Bruxelas de 2013;</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396</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Reitera o seu pedido às autoridades sérvias para que continuem a envidar esforços no sentido de eliminar o legado deixado pelos antigos serviços secretos comunistas, tornando os seus arquivos acessíveis ao público, enquanto etapa no sentido da democratização da Sérvia e da reconciliação com os países vizinhos;</w:t>
            </w:r>
            <w:r>
              <w:t xml:space="preserve"> </w:t>
            </w:r>
            <w:r>
              <w:rPr>
                <w:b/>
                <w:i/>
              </w:rPr>
              <w:t>solicita à Sérvia que intensifique o processo de sucessão e de cumprimento das obrigações relativas à divisão dos arquivos comuns da antiga Jugoslávia;</w:t>
            </w:r>
            <w:r>
              <w:t xml:space="preserve"> </w:t>
            </w:r>
            <w:r>
              <w:rPr>
                <w:b/>
                <w:i/>
              </w:rPr>
              <w:t>reitera, neste sentido, que o pleno acesso a todos os conteúdos dos arquivos, em particular aos arquivos dos antigos serviços secretos jugoslavos (UDBA) e dos serviços secretos do exército do povo jugoslavo (KOS), se reveste de importância fundamental;</w:t>
            </w:r>
            <w:r>
              <w:t xml:space="preserve"> </w:t>
            </w:r>
            <w:r>
              <w:rPr>
                <w:b/>
                <w:i/>
              </w:rPr>
              <w:t>volta a instar as autoridades a facilitar o acesso aos arquivos referentes às antigas Repúblicas da Jugoslávia e a devolvê-los aos respetivos Governos se estes assim o solicitarem;</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397</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Congratula-se com a participação construtiva da Sérvia no diálogo e com o cumprimento das principais obrigações decorrentes do Acordo de Bruxelas de 2013;</w:t>
            </w:r>
            <w:r>
              <w:t xml:space="preserve"> </w:t>
            </w:r>
            <w:r>
              <w:rPr>
                <w:b/>
                <w:i/>
              </w:rPr>
              <w:t>lamenta que, passados mais de 13 anos, as autoridades de Pristina não tenham dado início à criação da comunidade de municípios sérvios, um elemento fundamental para a proteção da comunidade sérvia no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Reitera que as relações de boa vizinhança e a cooperação regional continuam a ser elementos essenciais do processo de alargamento;</w:t>
            </w:r>
            <w:r>
              <w:t xml:space="preserve"> </w:t>
            </w:r>
            <w:r>
              <w:rPr>
                <w:b/>
                <w:i/>
              </w:rPr>
              <w:t>salienta a importância de a Sérvia desenvolver relações de boa vizinhança, nomeadamente através de acordos de execução com os Estados-Membros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399</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Lamenta que, apesar das múltiplas advertências da Comissão Europeia no sentido de avançar com a criação da associação/comunidade de municípios de maioria sérvia, o Kosovo ainda não tenha realizado progressos a este respeito;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400</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20-B.</w:t>
            </w:r>
            <w:r>
              <w:tab/>
            </w:r>
            <w:r>
              <w:rPr>
                <w:b/>
                <w:i/>
              </w:rPr>
              <w:t>Lamenta a promoção e a instrumentalização política do conceito do chamado «mundo sérvio», que compromete a soberania, a integridade territorial e a estabilidade dos países vizinhos;</w:t>
            </w:r>
            <w:r>
              <w:t xml:space="preserve"> </w:t>
            </w:r>
            <w:r>
              <w:rPr>
                <w:b/>
                <w:i/>
              </w:rPr>
              <w:t>salienta que tais narrativas são contrárias aos princípios das relações de boa vizinhança e da cooperação regional, que são elementos centrais do processo de adesão à UE;</w:t>
            </w:r>
            <w:r>
              <w:t xml:space="preserve"> </w:t>
            </w:r>
            <w:r>
              <w:rPr>
                <w:b/>
                <w:i/>
              </w:rPr>
              <w:t>insta as autoridades sérvias a absterem-se de retóricas e ações suscetíveis de alimentar tensões regionais;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401</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20-C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20-C.</w:t>
            </w:r>
            <w:r>
              <w:tab/>
            </w:r>
            <w:r>
              <w:rPr>
                <w:b/>
                <w:i/>
              </w:rPr>
              <w:t>Condena veementemente os casos recorrentes de discurso de ódio, retórica hostil e narrativas incendiárias dirigidas aos países vizinhos, em particular à Bulgária, à Croácia, ao Kosovo e à Albânia, nomeadamente por funcionários públicos e meios de comunicação social;</w:t>
            </w:r>
            <w:r>
              <w:t xml:space="preserve"> </w:t>
            </w:r>
            <w:r>
              <w:rPr>
                <w:b/>
                <w:i/>
              </w:rPr>
              <w:t>sublinha que esse discurso é incompatível com os valores europeus e compromete a confiança, a reconciliação e a estabilidade regional;</w:t>
            </w:r>
            <w:r>
              <w:t xml:space="preserve"> </w:t>
            </w:r>
            <w:r>
              <w:rPr>
                <w:b/>
                <w:i/>
              </w:rPr>
              <w:t>insta as autoridades sérvias a combaterem ativamente o discurso de ódio, a assegurarem a responsabilização e a promoverem um clima de respeito e diálogo construtivo na região;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21-A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Reitera o seu apelo para que se melhore a qualidade do processo de diálogo através da participação das mulheres, de uma maior transparência em relação ao público e de uma participação significativa da sociedade civil;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403</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w:t>
            </w:r>
            <w:r>
              <w:rPr>
                <w:b/>
                <w:i/>
              </w:rPr>
              <w:t>do Kosovo e</w:t>
            </w:r>
            <w:r>
              <w:t xml:space="preserve"> da Sérvia</w:t>
            </w:r>
            <w:r>
              <w:rPr>
                <w:b/>
                <w:i/>
              </w:rPr>
              <w:t>, tendo em</w:t>
            </w:r>
            <w:r>
              <w:t xml:space="preserve"> vista a </w:t>
            </w:r>
            <w:r>
              <w:rPr>
                <w:b/>
                <w:i/>
              </w:rPr>
              <w:t>consecução de um acordo de</w:t>
            </w:r>
            <w:r>
              <w:t xml:space="preserve"> normalização abrangente e juridicamente </w:t>
            </w:r>
            <w:r>
              <w:rPr>
                <w:b/>
                <w:i/>
              </w:rPr>
              <w:t>vinculativo</w:t>
            </w:r>
            <w:r>
              <w:t xml:space="preserve">, com base no </w:t>
            </w:r>
            <w:r>
              <w:rPr>
                <w:b/>
                <w:i/>
              </w:rPr>
              <w:t>reconhecimento mútuo e em conformidade com o</w:t>
            </w:r>
            <w:r>
              <w:t xml:space="preserve"> direito internacional; exorta </w:t>
            </w:r>
            <w:r>
              <w:rPr>
                <w:b/>
                <w:i/>
              </w:rPr>
              <w:t>o Kosovo e a Sérvia</w:t>
            </w:r>
            <w:r>
              <w:t xml:space="preserve"> a aplicarem </w:t>
            </w:r>
            <w:r>
              <w:rPr>
                <w:b/>
                <w:i/>
              </w:rPr>
              <w:t>os Acordos</w:t>
            </w:r>
            <w:r>
              <w:t xml:space="preserve"> de Bruxelas </w:t>
            </w:r>
            <w:r>
              <w:rPr>
                <w:b/>
                <w:i/>
              </w:rPr>
              <w:t>e</w:t>
            </w:r>
            <w:r>
              <w:t xml:space="preserve"> de Ohrid</w:t>
            </w:r>
            <w:r>
              <w:rPr>
                <w:b/>
                <w:i/>
              </w:rPr>
              <w:t>, designadamente a criação da associação/comunidade de municípios de maioria</w:t>
            </w:r>
            <w:r>
              <w:t xml:space="preserve"> sérvia, </w:t>
            </w:r>
            <w:r>
              <w:rPr>
                <w:b/>
                <w:i/>
              </w:rPr>
              <w:t>e o levantamento da oposição da Sérvia à adesão</w:t>
            </w:r>
            <w:r>
              <w:t xml:space="preserve"> do Kosovo </w:t>
            </w:r>
            <w:r>
              <w:rPr>
                <w:b/>
                <w:i/>
              </w:rPr>
              <w:t>a</w:t>
            </w:r>
            <w:r>
              <w:t xml:space="preserve"> organizações regionais e internacionais</w:t>
            </w:r>
            <w:r>
              <w:rPr>
                <w:b/>
                <w:i/>
              </w:rPr>
              <w:t>, e a absterem‑se de</w:t>
            </w:r>
            <w:r>
              <w:t xml:space="preserve"> ações unilaterais </w:t>
            </w:r>
            <w:r>
              <w:rPr>
                <w:b/>
                <w:i/>
              </w:rPr>
              <w:t>suscetíveis de comprometer o processo de</w:t>
            </w:r>
            <w:r>
              <w:t xml:space="preserve"> diálogo;</w:t>
            </w:r>
          </w:p>
        </w:tc>
        <w:tc>
          <w:tcPr>
            <w:tcW w:w="4876" w:type="dxa"/>
            <w:tcBorders>
              <w:top w:val="nil"/>
              <w:left w:val="nil"/>
              <w:bottom w:val="nil"/>
              <w:right w:val="nil"/>
            </w:tcBorders>
          </w:tcPr>
          <w:p>
            <w:pPr>
              <w:pStyle w:val="Normal6a"/>
            </w:pPr>
            <w:r>
              <w:t>22.</w:t>
            </w:r>
            <w:r>
              <w:tab/>
            </w:r>
            <w:r>
              <w:t xml:space="preserve">Reafirma a importância de que se reveste a cooperação construtiva </w:t>
            </w:r>
            <w:r>
              <w:rPr>
                <w:b/>
                <w:i/>
              </w:rPr>
              <w:t>e sustentada</w:t>
            </w:r>
            <w:r>
              <w:t xml:space="preserve"> por parte das autoridades da Sérvia </w:t>
            </w:r>
            <w:r>
              <w:rPr>
                <w:b/>
                <w:i/>
              </w:rPr>
              <w:t>e do Kosovo, com</w:t>
            </w:r>
            <w:r>
              <w:t xml:space="preserve"> vista a </w:t>
            </w:r>
            <w:r>
              <w:rPr>
                <w:b/>
                <w:i/>
              </w:rPr>
              <w:t>alcançar uma</w:t>
            </w:r>
            <w:r>
              <w:t xml:space="preserve"> normalização abrangente e juridicamente </w:t>
            </w:r>
            <w:r>
              <w:rPr>
                <w:b/>
                <w:i/>
              </w:rPr>
              <w:t>vinculativa</w:t>
            </w:r>
            <w:r>
              <w:t xml:space="preserve">, com base no direito internacional </w:t>
            </w:r>
            <w:r>
              <w:rPr>
                <w:b/>
                <w:i/>
              </w:rPr>
              <w:t>e nos compromissos assumidos no âmbito do Diálogo Belgrado-Pristina</w:t>
            </w:r>
            <w:r>
              <w:t xml:space="preserve">; exorta </w:t>
            </w:r>
            <w:r>
              <w:rPr>
                <w:b/>
                <w:i/>
              </w:rPr>
              <w:t>as duas partes</w:t>
            </w:r>
            <w:r>
              <w:t xml:space="preserve"> a aplicarem </w:t>
            </w:r>
            <w:r>
              <w:rPr>
                <w:b/>
                <w:i/>
              </w:rPr>
              <w:t>integralmente o Acordo</w:t>
            </w:r>
            <w:r>
              <w:t xml:space="preserve"> de Bruxelas</w:t>
            </w:r>
            <w:r>
              <w:rPr>
                <w:b/>
                <w:i/>
              </w:rPr>
              <w:t>, o Acordo</w:t>
            </w:r>
            <w:r>
              <w:t xml:space="preserve"> de Ohrid </w:t>
            </w:r>
            <w:r>
              <w:rPr>
                <w:b/>
                <w:i/>
              </w:rPr>
              <w:t>e o respetivo anexo de execução;</w:t>
            </w:r>
            <w:r>
              <w:t xml:space="preserve"> </w:t>
            </w:r>
            <w:r>
              <w:rPr>
                <w:b/>
                <w:i/>
              </w:rPr>
              <w:t>solicita à</w:t>
            </w:r>
            <w:r>
              <w:t xml:space="preserve"> Sérvia, </w:t>
            </w:r>
            <w:r>
              <w:rPr>
                <w:b/>
                <w:i/>
              </w:rPr>
              <w:t>em particular, que comece a respeitar os compromissos assumidos no que diz respeito ao reconhecimento de documentos e símbolos, que se abstenha de impedir a participação</w:t>
            </w:r>
            <w:r>
              <w:t xml:space="preserve"> do Kosovo </w:t>
            </w:r>
            <w:r>
              <w:rPr>
                <w:b/>
                <w:i/>
              </w:rPr>
              <w:t>em</w:t>
            </w:r>
            <w:r>
              <w:t xml:space="preserve"> organizações regionais e internacionais </w:t>
            </w:r>
            <w:r>
              <w:rPr>
                <w:b/>
                <w:i/>
              </w:rPr>
              <w:t>e que evite empreender</w:t>
            </w:r>
            <w:r>
              <w:t xml:space="preserve"> ações unilaterais </w:t>
            </w:r>
            <w:r>
              <w:rPr>
                <w:b/>
                <w:i/>
              </w:rPr>
              <w:t>que comprometam o</w:t>
            </w:r>
            <w:r>
              <w:t xml:space="preserve"> diálogo; </w:t>
            </w:r>
            <w:r>
              <w:rPr>
                <w:b/>
                <w:i/>
              </w:rPr>
              <w:t>salienta a necessidade de reforçar a aplicação da legislação que protege os direitos das pessoas pertencentes a comunidades minoritárias, inclusivamente garantindo o acesso efetivo e ininterrupto à educação, aos cuidados de saúde e aos serviços públicos, o respeito pelos direitos linguísticos e de propriedade, uma representação adequada no governo central e local e a salvaguarda do património tradicional, religioso e cultural;</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w:t>
            </w:r>
            <w:r>
              <w:rPr>
                <w:b/>
                <w:i/>
              </w:rPr>
              <w:t>e</w:t>
            </w:r>
            <w:r>
              <w:t xml:space="preserve"> juridicamente vinculativo</w:t>
            </w:r>
            <w:r>
              <w:rPr>
                <w:b/>
                <w:i/>
              </w:rPr>
              <w:t>, com base no reconhecimento mútuo</w:t>
            </w:r>
            <w:r>
              <w:t xml:space="preserve"> e em conformidade com o direito internacional; exorta o Kosovo e a Sérvia a aplicarem os Acordos de Bruxelas e de Ohrid, designadamente a criação da associação/comunidade de municípios de maioria sérvia, e </w:t>
            </w:r>
            <w:r>
              <w:rPr>
                <w:b/>
                <w:i/>
              </w:rPr>
              <w:t>o levantamento da oposição da Sérvia à adesão do Kosovo a organizações regionais e internacionais, e</w:t>
            </w:r>
            <w:r>
              <w:t xml:space="preserve"> a absterem‑se de ações unilaterais suscetíveis de comprometer o processo de diálogo;</w:t>
            </w:r>
          </w:p>
        </w:tc>
        <w:tc>
          <w:tcPr>
            <w:tcW w:w="4876" w:type="dxa"/>
            <w:tcBorders>
              <w:top w:val="nil"/>
              <w:left w:val="nil"/>
              <w:bottom w:val="nil"/>
              <w:right w:val="nil"/>
            </w:tcBorders>
          </w:tcPr>
          <w:p>
            <w:pPr>
              <w:pStyle w:val="Normal6a"/>
            </w:pPr>
            <w:r>
              <w:t>22.</w:t>
            </w:r>
            <w:r>
              <w:tab/>
            </w:r>
            <w:r>
              <w:t>Reafirma a importância de que se reveste a cooperação construtiva por parte das autoridades do Kosovo e da Sérvia, tendo em vista a consecução de um acordo de normalização abrangente</w:t>
            </w:r>
            <w:r>
              <w:rPr>
                <w:b/>
                <w:i/>
              </w:rPr>
              <w:t>,</w:t>
            </w:r>
            <w:r>
              <w:t xml:space="preserve"> juridicamente vinculativo e em conformidade com o direito internacional; exorta o Kosovo e a Sérvia a aplicarem os Acordos de Bruxelas e de Ohrid, designadamente a criação da associação/comunidade de municípios de maioria sérvia, e a absterem‑se de ações unilaterais suscetíveis de comprometer o processo de diálogo;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405</w:t>
      </w:r>
      <w:r>
        <w:rPr>
          <w:rStyle w:val="HideTWBExt"/>
        </w:rPr>
        <w:t>&lt;/NumAm&gt;</w:t>
      </w:r>
    </w:p>
    <w:p>
      <w:pPr>
        <w:pStyle w:val="NormalBold"/>
      </w:pPr>
      <w:r>
        <w:rPr>
          <w:rStyle w:val="HideTWBExt"/>
          <w:b w:val="0"/>
        </w:rPr>
        <w:t>&lt;RepeatBlock-By&gt;</w:t>
      </w:r>
      <w:r>
        <w:rPr>
          <w:rStyle w:val="HideTWBExt"/>
          <w:b w:val="0"/>
        </w:rPr>
        <w:t>&lt;Members&gt;</w:t>
      </w:r>
      <w:r>
        <w:t>Francisco José Millán Mon, Antonio López-Istúriz White, Gabriel Mato, Nicolás Pascual de la Parte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e juridicamente vinculativo, </w:t>
            </w:r>
            <w:r>
              <w:rPr>
                <w:b/>
                <w:i/>
              </w:rPr>
              <w:t>com base no reconhecimento mútuo e em conformidade com o direito internacional</w:t>
            </w:r>
            <w:r>
              <w:t xml:space="preserve">; exorta o Kosovo e a Sérvia a aplicarem os Acordos de Bruxelas e de Ohrid, designadamente a criação da associação/comunidade de municípios de maioria sérvia, e </w:t>
            </w:r>
            <w:r>
              <w:rPr>
                <w:b/>
                <w:i/>
              </w:rPr>
              <w:t>o levantamento da oposição da Sérvia à adesão do Kosovo a organizações regionais e internacionais, e a absterem‑se</w:t>
            </w:r>
            <w:r>
              <w:t xml:space="preserve"> de ações unilaterais suscetíveis de comprometer o processo de diálogo;</w:t>
            </w:r>
          </w:p>
        </w:tc>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e juridicamente vinculativo, </w:t>
            </w:r>
            <w:r>
              <w:rPr>
                <w:b/>
                <w:i/>
              </w:rPr>
              <w:t>que seja aceitável para ambas as partes</w:t>
            </w:r>
            <w:r>
              <w:t xml:space="preserve">; exorta o Kosovo e a Sérvia a aplicarem os Acordos de Bruxelas e de Ohrid, designadamente a criação da associação/comunidade de municípios de maioria sérvia, e </w:t>
            </w:r>
            <w:r>
              <w:rPr>
                <w:b/>
                <w:i/>
              </w:rPr>
              <w:t>a absterem-se</w:t>
            </w:r>
            <w:r>
              <w:t xml:space="preserve"> de ações unilaterais suscetíveis de comprometer o processo de diálogo;</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406</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w:t>
            </w:r>
            <w:r>
              <w:rPr>
                <w:b/>
                <w:i/>
              </w:rPr>
              <w:t>e</w:t>
            </w:r>
            <w:r>
              <w:t xml:space="preserve"> juridicamente vinculativo</w:t>
            </w:r>
            <w:r>
              <w:rPr>
                <w:b/>
                <w:i/>
              </w:rPr>
              <w:t>, com base no reconhecimento mútuo</w:t>
            </w:r>
            <w:r>
              <w:t xml:space="preserve"> e em conformidade com o direito internacional; exorta o Kosovo e a Sérvia a aplicarem os Acordos de Bruxelas e de Ohrid, designadamente a criação da associação/comunidade de municípios de maioria sérvia, e </w:t>
            </w:r>
            <w:r>
              <w:rPr>
                <w:b/>
                <w:i/>
              </w:rPr>
              <w:t>o levantamento da oposição da Sérvia à adesão do Kosovo a organizações regionais e internacionais, e</w:t>
            </w:r>
            <w:r>
              <w:t xml:space="preserve"> a absterem‑se de ações unilaterais suscetíveis de comprometer o processo de diálogo;</w:t>
            </w:r>
          </w:p>
        </w:tc>
        <w:tc>
          <w:tcPr>
            <w:tcW w:w="4876" w:type="dxa"/>
            <w:tcBorders>
              <w:top w:val="nil"/>
              <w:left w:val="nil"/>
              <w:bottom w:val="nil"/>
              <w:right w:val="nil"/>
            </w:tcBorders>
          </w:tcPr>
          <w:p>
            <w:pPr>
              <w:pStyle w:val="Normal6a"/>
            </w:pPr>
            <w:r>
              <w:t>22.</w:t>
            </w:r>
            <w:r>
              <w:tab/>
            </w:r>
            <w:r>
              <w:t>Reafirma a importância de que se reveste a cooperação construtiva por parte das autoridades do Kosovo</w:t>
            </w:r>
            <w:r>
              <w:rPr>
                <w:b/>
                <w:i/>
              </w:rPr>
              <w:t>*</w:t>
            </w:r>
            <w:r>
              <w:t xml:space="preserve"> e da Sérvia, tendo em vista a consecução de um acordo de normalização abrangente</w:t>
            </w:r>
            <w:r>
              <w:rPr>
                <w:b/>
                <w:i/>
              </w:rPr>
              <w:t>,</w:t>
            </w:r>
            <w:r>
              <w:t xml:space="preserve"> juridicamente vinculativo e em conformidade com o direito internacional; exorta o Kosovo e a Sérvia a aplicarem os Acordos de Bruxelas e de Ohrid, designadamente a criação da associação/comunidade de municípios de maioria sérvia, e a absterem‑se de ações unilaterais suscetíveis de comprometer o processo de diálogo;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407</w:t>
      </w:r>
      <w:r>
        <w:rPr>
          <w:rStyle w:val="HideTWBExt"/>
        </w:rPr>
        <w:t>&lt;/NumAm&gt;</w:t>
      </w:r>
    </w:p>
    <w:p>
      <w:pPr>
        <w:pStyle w:val="NormalBold"/>
      </w:pPr>
      <w:r>
        <w:rPr>
          <w:rStyle w:val="HideTWBExt"/>
          <w:b w:val="0"/>
        </w:rPr>
        <w:t>&lt;RepeatBlock-By&gt;</w:t>
      </w:r>
      <w:r>
        <w:rPr>
          <w:rStyle w:val="HideTWBExt"/>
          <w:b w:val="0"/>
        </w:rPr>
        <w:t>&lt;Members&gt;</w:t>
      </w:r>
      <w:r>
        <w:t>Annamária Vicsek, Kinga Gál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w:t>
            </w:r>
            <w:r>
              <w:rPr>
                <w:b/>
                <w:i/>
              </w:rPr>
              <w:t>e</w:t>
            </w:r>
            <w:r>
              <w:t xml:space="preserve"> juridicamente vinculativo</w:t>
            </w:r>
            <w:r>
              <w:rPr>
                <w:b/>
                <w:i/>
              </w:rPr>
              <w:t>, com base no reconhecimento mútuo</w:t>
            </w:r>
            <w:r>
              <w:t xml:space="preserve"> e em conformidade com o direito internacional; exorta o Kosovo e a Sérvia a aplicarem os Acordos de Bruxelas e de Ohrid, designadamente a criação da associação/comunidade de municípios de maioria sérvia, e o levantamento da oposição da Sérvia à adesão do Kosovo a organizações regionais e internacionais, e a absterem‑se de ações unilaterais suscetíveis de comprometer o processo de diálogo;</w:t>
            </w:r>
          </w:p>
        </w:tc>
        <w:tc>
          <w:tcPr>
            <w:tcW w:w="4876" w:type="dxa"/>
            <w:tcBorders>
              <w:top w:val="nil"/>
              <w:left w:val="nil"/>
              <w:bottom w:val="nil"/>
              <w:right w:val="nil"/>
            </w:tcBorders>
          </w:tcPr>
          <w:p>
            <w:pPr>
              <w:pStyle w:val="Normal6a"/>
            </w:pPr>
            <w:r>
              <w:t>22.</w:t>
            </w:r>
            <w:r>
              <w:tab/>
            </w:r>
            <w:r>
              <w:t>Reafirma a importância de que se reveste a cooperação construtiva por parte das autoridades do Kosovo e da Sérvia, tendo em vista a consecução de um acordo de normalização abrangente</w:t>
            </w:r>
            <w:r>
              <w:rPr>
                <w:b/>
                <w:i/>
              </w:rPr>
              <w:t>,</w:t>
            </w:r>
            <w:r>
              <w:t xml:space="preserve"> juridicamente vinculativo e em conformidade com o direito internacional; exorta o Kosovo e a Sérvia a aplicarem os Acordos de Bruxelas e de Ohrid, designadamente a criação da associação/comunidade de municípios de maioria sérvia, e o levantamento da oposição da Sérvia à adesão do Kosovo a organizações regionais e internacionais, e a absterem‑se de ações unilaterais suscetíveis de comprometer o processo de diálogo;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408</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w:t>
            </w:r>
            <w:r>
              <w:rPr>
                <w:b/>
                <w:i/>
              </w:rPr>
              <w:t>e</w:t>
            </w:r>
            <w:r>
              <w:t xml:space="preserve"> juridicamente vinculativo</w:t>
            </w:r>
            <w:r>
              <w:rPr>
                <w:b/>
                <w:i/>
              </w:rPr>
              <w:t>, com base no reconhecimento mútuo</w:t>
            </w:r>
            <w:r>
              <w:t xml:space="preserve"> e em conformidade com o direito internacional; exorta o Kosovo e a Sérvia a aplicarem os Acordos de Bruxelas e de Ohrid, designadamente a criação da associação/comunidade de municípios de maioria sérvia, e o levantamento da oposição da Sérvia à adesão do Kosovo a organizações regionais e internacionais, e a absterem‑se de ações unilaterais suscetíveis de comprometer o processo de diálogo;</w:t>
            </w:r>
          </w:p>
        </w:tc>
        <w:tc>
          <w:tcPr>
            <w:tcW w:w="4876" w:type="dxa"/>
            <w:tcBorders>
              <w:top w:val="nil"/>
              <w:left w:val="nil"/>
              <w:bottom w:val="nil"/>
              <w:right w:val="nil"/>
            </w:tcBorders>
          </w:tcPr>
          <w:p>
            <w:pPr>
              <w:pStyle w:val="Normal6a"/>
            </w:pPr>
            <w:r>
              <w:t>22.</w:t>
            </w:r>
            <w:r>
              <w:tab/>
            </w:r>
            <w:r>
              <w:t>Reafirma a importância de que se reveste a cooperação construtiva por parte das autoridades do Kosovo e da Sérvia, tendo em vista a consecução de um acordo de normalização abrangente</w:t>
            </w:r>
            <w:r>
              <w:rPr>
                <w:b/>
                <w:i/>
              </w:rPr>
              <w:t>,</w:t>
            </w:r>
            <w:r>
              <w:t xml:space="preserve"> juridicamente vinculativo e em conformidade com o direito internacional; exorta o Kosovo e a Sérvia a aplicarem os Acordos de Bruxelas e de Ohrid, designadamente a criação da associação/comunidade de municípios de maioria sérvia, e o levantamento da oposição da Sérvia à adesão do Kosovo a organizações regionais e internacionais, e a absterem‑se de ações unilaterais suscetíveis de comprometer o processo de diálogo;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409</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Reafirma a importância de que se reveste a cooperação construtiva por parte das autoridades do Kosovo e da Sérvia, tendo em vista a consecução de um acordo de normalização abrangente </w:t>
            </w:r>
            <w:r>
              <w:rPr>
                <w:b/>
                <w:i/>
              </w:rPr>
              <w:t>e</w:t>
            </w:r>
            <w:r>
              <w:t xml:space="preserve"> juridicamente vinculativo</w:t>
            </w:r>
            <w:r>
              <w:rPr>
                <w:b/>
                <w:i/>
              </w:rPr>
              <w:t>, com base no reconhecimento mútuo</w:t>
            </w:r>
            <w:r>
              <w:t xml:space="preserve"> e em conformidade com o direito internacional; exorta o Kosovo e a Sérvia a aplicarem os Acordos de Bruxelas e de Ohrid, designadamente a criação da associação/comunidade de municípios de maioria sérvia, e o levantamento da oposição da Sérvia à adesão do Kosovo a organizações regionais e internacionais, e a absterem‑se de ações unilaterais suscetíveis de comprometer o processo de diálogo;</w:t>
            </w:r>
          </w:p>
        </w:tc>
        <w:tc>
          <w:tcPr>
            <w:tcW w:w="4876" w:type="dxa"/>
            <w:tcBorders>
              <w:top w:val="nil"/>
              <w:left w:val="nil"/>
              <w:bottom w:val="nil"/>
              <w:right w:val="nil"/>
            </w:tcBorders>
          </w:tcPr>
          <w:p>
            <w:pPr>
              <w:pStyle w:val="Normal6a"/>
            </w:pPr>
            <w:r>
              <w:t>22.</w:t>
            </w:r>
            <w:r>
              <w:tab/>
            </w:r>
            <w:r>
              <w:t>Reafirma a importância de que se reveste a cooperação construtiva por parte das autoridades do Kosovo e da Sérvia, tendo em vista a consecução de um acordo de normalização abrangente</w:t>
            </w:r>
            <w:r>
              <w:rPr>
                <w:b/>
                <w:i/>
              </w:rPr>
              <w:t>,</w:t>
            </w:r>
            <w:r>
              <w:t xml:space="preserve"> juridicamente vinculativo e em conformidade com o direito internacional; exorta o Kosovo e a Sérvia a aplicarem os Acordos de Bruxelas e de Ohrid, designadamente a criação da associação/comunidade de municípios de maioria sérvia, e o levantamento da oposição da Sérvia à adesão do Kosovo a organizações regionais e internacionais, e a absterem‑se de ações unilaterais suscetíveis de comprometer o processo de diálogo;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410</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Insta as autoridades judiciais na Sérvia a velarem por que sejam respeitadas as normas relativas ao direito a um julgamento equitativo e que seja feita justiça às vítimas da guerra em todos os processos relacionados com crimes de guerra;</w:t>
            </w:r>
            <w:r>
              <w:t xml:space="preserve"> </w:t>
            </w:r>
            <w:r>
              <w:rPr>
                <w:b/>
                <w:i/>
              </w:rPr>
              <w:t>urge a que a negação de crimes de guerra e a glorificação de criminosos de guerra sejam incluídas no Código Penal, para que seja possível instaurar ações penais contra qualquer forma de negação de crimes de guerra determinados pelas sentenças do Tribunal Penal Internacional para a Ex-Jugoslávia e do Tribunal Internacional de Justiça;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Lamenta que a Sérvia prossiga as suas tentativas de isolar o seu país vizinho Kosovo da cena internacional, lutando contra o seu reconhecimento ou excluindo o país das organizações internacionais;</w:t>
            </w:r>
            <w:r>
              <w:t xml:space="preserve"> </w:t>
            </w:r>
            <w:r>
              <w:rPr>
                <w:b/>
                <w:i/>
              </w:rPr>
              <w:t>insta a Sérvia a pôr termo ao seu bloqueio ao pedido do Kosovo de se tornar membro do Conselho da Europa, o que, de outro modo, estaria em contradição com o Acordo de 2013 entre o Kosovo e a Sérvia sobre a normalização das relações;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412</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22-A.</w:t>
            </w:r>
            <w:r>
              <w:tab/>
            </w:r>
            <w:r>
              <w:rPr>
                <w:b/>
                <w:i/>
              </w:rPr>
              <w:t>Condena a reiterada retórica negativa, agressiva e chauvinista dos dirigentes políticos sérvios direcionada aos países vizinhos, que compromete os esforços em prol de boas relações de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22-B.</w:t>
            </w:r>
            <w:r>
              <w:tab/>
            </w:r>
            <w:r>
              <w:rPr>
                <w:b/>
                <w:i/>
              </w:rPr>
              <w:t>Sublinha que a integração europeia não pode ser acompanhada do conceito de «mundo sérvio» (Srpski svet), que visa comprometer a paz e a estabilidade na região;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22-C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22-C.</w:t>
            </w:r>
            <w:r>
              <w:tab/>
            </w:r>
            <w:r>
              <w:rPr>
                <w:b/>
                <w:i/>
              </w:rPr>
              <w:t>Condena veementemente a recente aquisição por parte da Sérvia de mísseis balísticos ar-superfície chineses CM-400AKG, enquanto ato que compromete a estabilidade regional e agrava as tensões;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415</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e o revisionismo histórico, em particular no que diz respeito às guerras na Croácia, na </w:t>
            </w:r>
            <w:r>
              <w:rPr>
                <w:b/>
                <w:i/>
              </w:rPr>
              <w:t>Bósnia‑Herzegovina</w:t>
            </w:r>
            <w:r>
              <w:t xml:space="preserve"> e no Kosovo;</w:t>
            </w:r>
          </w:p>
        </w:tc>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e o revisionismo histórico, em particular no que diz respeito às guerras na Croácia, na </w:t>
            </w:r>
            <w:r>
              <w:rPr>
                <w:b/>
                <w:i/>
              </w:rPr>
              <w:t>Bósnia-Herzegovina</w:t>
            </w:r>
            <w:r>
              <w:t xml:space="preserve"> e no Kosovo; </w:t>
            </w:r>
            <w:r>
              <w:rPr>
                <w:b/>
                <w:i/>
              </w:rPr>
              <w:t>insta as autoridades sérvias a obterem justiça para as vítimas, reconhecendo e respeitando as sentenças judiciais sobre crimes de guerra, combatendo a impunidade dos crimes de guerra, investigando casos de pessoas desaparecidas, investigando valas comuns e apoiando os procuradores nacionais na tarefa de levar os autores dos crimes a responder perante a justiça;</w:t>
            </w:r>
            <w:r>
              <w:t xml:space="preserve"> </w:t>
            </w:r>
            <w:r>
              <w:rPr>
                <w:b/>
                <w:i/>
              </w:rPr>
              <w:t>condena veementemente a negação pública generalizada de sentenças internacionais para crimes de guerra, inclusivamente a negação do genocídio de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416</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e o revisionismo histórico, em particular no que diz respeito às guerras na Croácia, na </w:t>
            </w:r>
            <w:r>
              <w:rPr>
                <w:b/>
                <w:i/>
              </w:rPr>
              <w:t>Bósnia‑Herzegovina</w:t>
            </w:r>
            <w:r>
              <w:t xml:space="preserve"> e no Kosovo;</w:t>
            </w:r>
          </w:p>
        </w:tc>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e o revisionismo histórico, em particular no que diz respeito às guerras na Croácia, na </w:t>
            </w:r>
            <w:r>
              <w:rPr>
                <w:b/>
                <w:i/>
              </w:rPr>
              <w:t>Bósnia-Herzegovina</w:t>
            </w:r>
            <w:r>
              <w:t xml:space="preserve"> e no Kosovo; </w:t>
            </w:r>
            <w:r>
              <w:rPr>
                <w:b/>
                <w:i/>
              </w:rPr>
              <w:t>insta os líderes políticos e as autoridades públicas da Sérvia a absterem-se de campanhas que denigrem os países e povos vizinhos, nomeadamente através de uma retórica incendiária, e a condenarem-nas, e salienta que tais ações comprometem a reconciliação regional;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417</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e o revisionismo histórico, em particular no que diz respeito às guerras na Croácia, na </w:t>
            </w:r>
            <w:r>
              <w:rPr>
                <w:b/>
                <w:i/>
              </w:rPr>
              <w:t>Bósnia‑Herzegovina</w:t>
            </w:r>
            <w:r>
              <w:t xml:space="preserve"> e no Kosovo;</w:t>
            </w:r>
          </w:p>
        </w:tc>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e o revisionismo histórico, em particular no que diz respeito às guerras na Croácia, na </w:t>
            </w:r>
            <w:r>
              <w:rPr>
                <w:b/>
                <w:i/>
              </w:rPr>
              <w:t>Bósnia-Herzegovina</w:t>
            </w:r>
            <w:r>
              <w:t xml:space="preserve"> e no Kosovo; </w:t>
            </w:r>
            <w:r>
              <w:rPr>
                <w:b/>
                <w:i/>
              </w:rPr>
              <w:t>insta as autoridades sérvias a obterem justiça para as vítimas, reconhecendo e respeitando as sentenças judiciais sobre crimes de guerra, combatendo a impunidade dos crimes de guerra e apoiando os procuradores nacionais na tarefa de levar os autores dos crimes a responder perante a justiça;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418</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rPr>
                <w:b/>
                <w:i/>
              </w:rPr>
              <w:t>Solicita à</w:t>
            </w:r>
            <w:r>
              <w:t xml:space="preserve"> Sérvia </w:t>
            </w:r>
            <w:r>
              <w:rPr>
                <w:b/>
                <w:i/>
              </w:rPr>
              <w:t>que adote uma estratégia mais ativa para combater a negação dos crimes de guerra e o revisionismo</w:t>
            </w:r>
            <w:r>
              <w:t xml:space="preserve"> histórico</w:t>
            </w:r>
            <w:r>
              <w:rPr>
                <w:b/>
                <w:i/>
              </w:rPr>
              <w:t>, em particular no que diz respeito às guerras na Croácia, na Bósnia‑Herzegovina e no Kosovo</w:t>
            </w:r>
            <w:r>
              <w:t>;</w:t>
            </w:r>
          </w:p>
        </w:tc>
        <w:tc>
          <w:tcPr>
            <w:tcW w:w="4876" w:type="dxa"/>
            <w:tcBorders>
              <w:top w:val="nil"/>
              <w:left w:val="nil"/>
              <w:bottom w:val="nil"/>
              <w:right w:val="nil"/>
            </w:tcBorders>
          </w:tcPr>
          <w:p>
            <w:pPr>
              <w:pStyle w:val="Normal6a"/>
            </w:pPr>
            <w:r>
              <w:t>23.</w:t>
            </w:r>
            <w:r>
              <w:tab/>
            </w:r>
            <w:r>
              <w:rPr>
                <w:b/>
                <w:i/>
              </w:rPr>
              <w:t>Incentiva a</w:t>
            </w:r>
            <w:r>
              <w:t xml:space="preserve"> Sérvia </w:t>
            </w:r>
            <w:r>
              <w:rPr>
                <w:b/>
                <w:i/>
              </w:rPr>
              <w:t>a continuar a participar nos processos de reconciliação regional com base no respeito mútuo e num inquérito</w:t>
            </w:r>
            <w:r>
              <w:t xml:space="preserve"> histórico </w:t>
            </w:r>
            <w:r>
              <w:rPr>
                <w:b/>
                <w:i/>
              </w:rPr>
              <w:t>factual;</w:t>
            </w:r>
            <w:r>
              <w:t xml:space="preserve"> </w:t>
            </w:r>
            <w:r>
              <w:rPr>
                <w:b/>
                <w:i/>
              </w:rPr>
              <w:t>salienta que a interpretação dos acontecimentos históricos é uma questão de debate académico e social em curso em todas as sociedades afetadas e que a melhor forma de promover a reconciliação é através de um diálogo inclusivo e não prescritivo, e não através de mandatos externos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419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w:t>
            </w:r>
            <w:r>
              <w:rPr>
                <w:b/>
                <w:i/>
              </w:rPr>
              <w:t>e o revisionismo histórico, em particular no que diz respeito às guerras na Croácia, na Bósnia‑Herzegovina e no Kosovo</w:t>
            </w:r>
            <w:r>
              <w:t>;</w:t>
            </w:r>
          </w:p>
        </w:tc>
        <w:tc>
          <w:tcPr>
            <w:tcW w:w="4876" w:type="dxa"/>
            <w:tcBorders>
              <w:top w:val="nil"/>
              <w:left w:val="nil"/>
              <w:bottom w:val="nil"/>
              <w:right w:val="nil"/>
            </w:tcBorders>
          </w:tcPr>
          <w:p>
            <w:pPr>
              <w:pStyle w:val="Normal6a"/>
            </w:pPr>
            <w:r>
              <w:t>23.</w:t>
            </w:r>
            <w:r>
              <w:tab/>
            </w:r>
            <w:r>
              <w:t>Solicita à Sérvia que adote uma estratégia mais ativa para combater a negação dos crimes de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420</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w:t>
            </w:r>
            <w:r>
              <w:rPr>
                <w:b/>
                <w:i/>
              </w:rPr>
              <w:t>e o revisionismo histórico, em particular no que diz respeito às guerras na Croácia, na Bósnia‑Herzegovina e no Kosovo</w:t>
            </w:r>
            <w:r>
              <w:t>;</w:t>
            </w:r>
          </w:p>
        </w:tc>
        <w:tc>
          <w:tcPr>
            <w:tcW w:w="4876" w:type="dxa"/>
            <w:tcBorders>
              <w:top w:val="nil"/>
              <w:left w:val="nil"/>
              <w:bottom w:val="nil"/>
              <w:right w:val="nil"/>
            </w:tcBorders>
          </w:tcPr>
          <w:p>
            <w:pPr>
              <w:pStyle w:val="Normal6a"/>
            </w:pPr>
            <w:r>
              <w:t>23.</w:t>
            </w:r>
            <w:r>
              <w:tab/>
            </w:r>
            <w:r>
              <w:t>Solicita à Sérvia que adote uma estratégia mais ativa para combater a negação dos crimes de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421</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w:t>
            </w:r>
            <w:r>
              <w:rPr>
                <w:b/>
                <w:i/>
              </w:rPr>
              <w:t>para combater a negação dos</w:t>
            </w:r>
            <w:r>
              <w:t xml:space="preserve"> crimes de guerra </w:t>
            </w:r>
            <w:r>
              <w:rPr>
                <w:b/>
                <w:i/>
              </w:rPr>
              <w:t>e o revisionismo histórico</w:t>
            </w:r>
            <w:r>
              <w:t xml:space="preserve">, em particular no que diz respeito às guerras na Croácia, na </w:t>
            </w:r>
            <w:r>
              <w:rPr>
                <w:b/>
                <w:i/>
              </w:rPr>
              <w:t>Bósnia‑Herzegovina</w:t>
            </w:r>
            <w:r>
              <w:t xml:space="preserve"> e no Kosovo;</w:t>
            </w:r>
          </w:p>
        </w:tc>
        <w:tc>
          <w:tcPr>
            <w:tcW w:w="4876" w:type="dxa"/>
            <w:tcBorders>
              <w:top w:val="nil"/>
              <w:left w:val="nil"/>
              <w:bottom w:val="nil"/>
              <w:right w:val="nil"/>
            </w:tcBorders>
          </w:tcPr>
          <w:p>
            <w:pPr>
              <w:pStyle w:val="Normal6a"/>
            </w:pPr>
            <w:r>
              <w:t>23.</w:t>
            </w:r>
            <w:r>
              <w:tab/>
            </w:r>
            <w:r>
              <w:t xml:space="preserve">Solicita à Sérvia que adote uma estratégia mais ativa </w:t>
            </w:r>
            <w:r>
              <w:rPr>
                <w:b/>
                <w:i/>
              </w:rPr>
              <w:t>na investigação e ação penal contra os</w:t>
            </w:r>
            <w:r>
              <w:t xml:space="preserve"> crimes de guerra</w:t>
            </w:r>
            <w:r>
              <w:rPr>
                <w:b/>
                <w:i/>
              </w:rPr>
              <w:t>, o que também se espera de todos os outros parceiros da região</w:t>
            </w:r>
            <w:r>
              <w:t xml:space="preserve">, em particular no que diz respeito às guerras na Croácia, na </w:t>
            </w:r>
            <w:r>
              <w:rPr>
                <w:b/>
                <w:i/>
              </w:rPr>
              <w:t>Bósnia-Herzegovina</w:t>
            </w:r>
            <w:r>
              <w:t xml:space="preserve"> e no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422</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w:t>
            </w:r>
            <w:r>
              <w:rPr>
                <w:b/>
                <w:i/>
              </w:rPr>
              <w:t>para combater a negação dos</w:t>
            </w:r>
            <w:r>
              <w:t xml:space="preserve"> crimes de guerra </w:t>
            </w:r>
            <w:r>
              <w:rPr>
                <w:b/>
                <w:i/>
              </w:rPr>
              <w:t>e o revisionismo histórico</w:t>
            </w:r>
            <w:r>
              <w:t xml:space="preserve">, em particular no que diz respeito às guerras na Croácia, na </w:t>
            </w:r>
            <w:r>
              <w:rPr>
                <w:b/>
                <w:i/>
              </w:rPr>
              <w:t>Bósnia‑Herzegovina</w:t>
            </w:r>
            <w:r>
              <w:t xml:space="preserve"> e no Kosovo;</w:t>
            </w:r>
          </w:p>
        </w:tc>
        <w:tc>
          <w:tcPr>
            <w:tcW w:w="4876" w:type="dxa"/>
            <w:tcBorders>
              <w:top w:val="nil"/>
              <w:left w:val="nil"/>
              <w:bottom w:val="nil"/>
              <w:right w:val="nil"/>
            </w:tcBorders>
          </w:tcPr>
          <w:p>
            <w:pPr>
              <w:pStyle w:val="Normal6a"/>
            </w:pPr>
            <w:r>
              <w:t>23.</w:t>
            </w:r>
            <w:r>
              <w:tab/>
            </w:r>
            <w:r>
              <w:t xml:space="preserve">Solicita à Sérvia que adote uma estratégia mais ativa </w:t>
            </w:r>
            <w:r>
              <w:rPr>
                <w:b/>
                <w:i/>
              </w:rPr>
              <w:t>na investigação e ação penal contra os</w:t>
            </w:r>
            <w:r>
              <w:t xml:space="preserve"> crimes de guerra</w:t>
            </w:r>
            <w:r>
              <w:rPr>
                <w:b/>
                <w:i/>
              </w:rPr>
              <w:t>, o que também se espera de todos os parceiros referidos</w:t>
            </w:r>
            <w:r>
              <w:t xml:space="preserve">, em particular no que diz respeito às guerras na Croácia, na </w:t>
            </w:r>
            <w:r>
              <w:rPr>
                <w:b/>
                <w:i/>
              </w:rPr>
              <w:t>Bósnia-Herzegovina</w:t>
            </w:r>
            <w:r>
              <w:t xml:space="preserve"> e no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para combater a negação dos crimes de guerra </w:t>
            </w:r>
            <w:r>
              <w:rPr>
                <w:b/>
                <w:i/>
              </w:rPr>
              <w:t>e o revisionismo histórico, em particular no que diz respeito às guerras na Croácia, na Bósnia‑Herzegovina e no Kosovo</w:t>
            </w:r>
            <w:r>
              <w:t>;</w:t>
            </w:r>
          </w:p>
        </w:tc>
        <w:tc>
          <w:tcPr>
            <w:tcW w:w="4876" w:type="dxa"/>
            <w:tcBorders>
              <w:top w:val="nil"/>
              <w:left w:val="nil"/>
              <w:bottom w:val="nil"/>
              <w:right w:val="nil"/>
            </w:tcBorders>
          </w:tcPr>
          <w:p>
            <w:pPr>
              <w:pStyle w:val="Normal6a"/>
            </w:pPr>
            <w:r>
              <w:t>23.</w:t>
            </w:r>
            <w:r>
              <w:tab/>
            </w:r>
            <w:r>
              <w:t>Solicita à Sérvia que</w:t>
            </w:r>
            <w:r>
              <w:rPr>
                <w:b/>
                <w:i/>
              </w:rPr>
              <w:t>, juntamente com todos os Balcãs Ocidentais,</w:t>
            </w:r>
            <w:r>
              <w:t xml:space="preserve"> adote uma estratégia mais ativa para combater a negação dos crimes de guerra;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424</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Solicita à Sérvia que adote uma estratégia mais ativa </w:t>
            </w:r>
            <w:r>
              <w:rPr>
                <w:b/>
                <w:i/>
              </w:rPr>
              <w:t>para combater</w:t>
            </w:r>
            <w:r>
              <w:t xml:space="preserve"> a negação dos crimes de guerra e o revisionismo histórico, em particular no que diz respeito às guerras na Croácia, na Bósnia‑Herzegovina e no Kosovo;</w:t>
            </w:r>
          </w:p>
        </w:tc>
        <w:tc>
          <w:tcPr>
            <w:tcW w:w="4876" w:type="dxa"/>
            <w:tcBorders>
              <w:top w:val="nil"/>
              <w:left w:val="nil"/>
              <w:bottom w:val="nil"/>
              <w:right w:val="nil"/>
            </w:tcBorders>
          </w:tcPr>
          <w:p>
            <w:pPr>
              <w:pStyle w:val="Normal6a"/>
            </w:pPr>
            <w:r>
              <w:t>23.</w:t>
            </w:r>
            <w:r>
              <w:tab/>
            </w:r>
            <w:r>
              <w:t xml:space="preserve">Solicita à Sérvia que adote uma estratégia mais ativa </w:t>
            </w:r>
            <w:r>
              <w:rPr>
                <w:b/>
                <w:i/>
              </w:rPr>
              <w:t>na investigação e ação penal contra</w:t>
            </w:r>
            <w:r>
              <w:t xml:space="preserve"> a negação dos crimes de guerra e o revisionismo histórico, em particular no que diz respeito às guerras na Croácia, na Bósnia‑Herzegovina e no Kosovo;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425</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Insta à reconciliação histórica e à superação da discriminação e dos preconceitos do passado comunista, especialmente nos domínios educativo, dos meios de comunicação social, académico e social, como condição prévia para erradicar a linguagem de ódio contra as minorias nacionais e as nações vizinhas;</w:t>
            </w:r>
            <w:r>
              <w:t xml:space="preserve"> </w:t>
            </w:r>
            <w:r>
              <w:rPr>
                <w:b/>
                <w:i/>
              </w:rPr>
              <w:t>deplora, a este respeito, a recente retórica incendiária do governo, visando os Estados vizinhos que não apoiaram a abertura de capítulos do grupo 3 com o país;</w:t>
            </w:r>
            <w:r>
              <w:t xml:space="preserve"> </w:t>
            </w:r>
            <w:r>
              <w:rPr>
                <w:b/>
                <w:i/>
              </w:rPr>
              <w:t>lamenta a presença contínua de símbolos comunistas jugoslavos, incluindo nomes de ruas e monumentos, em espaços públicos, uma vez que tal compromete a democratização da Sérvia;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426</w:t>
      </w:r>
      <w:r>
        <w:rPr>
          <w:rStyle w:val="HideTWBExt"/>
        </w:rPr>
        <w:t>&lt;/NumAm&gt;</w:t>
      </w:r>
    </w:p>
    <w:p>
      <w:pPr>
        <w:pStyle w:val="NormalBold"/>
      </w:pPr>
      <w:r>
        <w:rPr>
          <w:rStyle w:val="HideTWBExt"/>
          <w:b w:val="0"/>
        </w:rPr>
        <w:t>&lt;RepeatBlock-By&gt;</w:t>
      </w:r>
      <w:r>
        <w:rPr>
          <w:rStyle w:val="HideTWBExt"/>
          <w:b w:val="0"/>
        </w:rPr>
        <w:t>&lt;Members&gt;</w:t>
      </w:r>
      <w:r>
        <w:t>Rasa Juknevičienė, 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Reafirma a sua posição sobre a importância de abrir e tornar públicos os arquivos de guerra e reitera o seu pedido de abertura dos arquivos da antiga Jugoslávia, em particular a garantia de acesso aos dossiês dos serviços secretos da antiga Jugoslávia (UDBA) e dos serviços de contrainformação do exército popular jugoslavo (KOS), bem como de devolução dos dossiês aos respetivos Estados sucessores, se estes a solicitarem;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427</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Lamenta que a Sérvia não tenha demonstrado um empenho genuíno no sentido de enfrentar o seu passado e investigar e julgar eficazmente os crimes de guerra, tal como refletido na sua incapacidade de indiciar suspeitos de alto nível, na ausência de um procurador-geral para os crimes de guerra desde 2023 e na negação pública generalizada de sentenças internacionais relativas a crimes de guerra, incluindo a negação do genocídio de Srebrenica;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428</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Condena a retórica agressiva e incendiária utilizada pelo presidente Vucic contra os países vizinhos ao alegar, sem provas, que a Croácia, a Albânia e o Kosovo estavam a preparar-se para atacar a Sérvia;</w:t>
            </w:r>
            <w:r>
              <w:t xml:space="preserve"> </w:t>
            </w:r>
            <w:r>
              <w:rPr>
                <w:b/>
                <w:i/>
              </w:rPr>
              <w:t>lamenta a utilização desse pretexto para adquirir mísseis supersónicos chineses e comprometer o processo de consolidação da paz na região;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429</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Sublinha a necessidade de uma cooperação regional significativa no tratamento dos crimes de guerra, evitando conflitos de jurisdições e assegurando que os crimes de guerra sejam julgados sem qualquer discriminação, sublinhando que todas as questões pendentes a este respeito devem ser plenamente resolvidas;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430</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23-A.</w:t>
            </w:r>
            <w:r>
              <w:tab/>
            </w:r>
            <w:r>
              <w:rPr>
                <w:b/>
                <w:i/>
              </w:rPr>
              <w:t>Insta a Sérvia a abster-se de desestabilizar e alimentar a retórica separatista nos seus vizinhos dos Balcãs Ocidentais, nomeadamente no que diz respeito à celebração inconstitucional do Dia da República Srpska, que ameaça a estabilidade e a integridade territorial da Bósnia-Herzegovina;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431</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Manifesta a sua preocupação pelo facto de o atual reforço militar da Sérvia, combinado com uma retórica cada vez mais hostil em relação aos países vizinhos, poder agravar as tensões regionais;</w:t>
            </w:r>
            <w:r>
              <w:t xml:space="preserve"> </w:t>
            </w:r>
            <w:r>
              <w:rPr>
                <w:b/>
                <w:i/>
              </w:rPr>
              <w:t>regista com preocupação as persistentes alegações infundadas por parte de intervenientes políticos sérvios sobre supostas ameaças militares externas de países vizinhos, bem como narrativas que correm o risco de agravar a desconfiança e alimentar a instabilidade regional;</w:t>
            </w:r>
            <w:r>
              <w:t xml:space="preserve"> </w:t>
            </w:r>
            <w:r>
              <w:rPr>
                <w:b/>
                <w:i/>
              </w:rPr>
              <w:t>lamenta a aquisição de equipamento militar à Rússia e à China, o que suscita preocupações adicionais em matéria de alinhamento estratégico e transparência;</w:t>
            </w:r>
            <w:r>
              <w:t xml:space="preserve"> </w:t>
            </w:r>
            <w:r>
              <w:rPr>
                <w:b/>
                <w:i/>
              </w:rPr>
              <w:t>insta a Sérvia a abster-se de narrativas propensas a escalada e a assegurar que as suas políticas de segurança e defesa estejam alinhadas com os valores europeus e as relações de boa vizinhança;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Insta as autoridades judiciais na Sérvia a velarem por que sejam respeitadas as normas relativas ao direito a um julgamento equitativo e que seja feita justiça às vítimas da guerra em todos os processos relacionados com crimes de guerra;</w:t>
            </w:r>
            <w:r>
              <w:t xml:space="preserve"> </w:t>
            </w:r>
            <w:r>
              <w:rPr>
                <w:b/>
                <w:i/>
              </w:rPr>
              <w:t>urge a que a negação de crimes de guerra e a glorificação de criminosos de guerra sejam incluídas no Código Penal, para que seja possível instaurar ações penais contra qualquer forma de negação de crimes de guerra determinados pelas sentenças do Tribunal Penal Internacional para a Ex-Jugoslávia e do Tribunal Internacional de Justiça;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433</w:t>
      </w:r>
      <w:r>
        <w:rPr>
          <w:rStyle w:val="HideTWBExt"/>
        </w:rPr>
        <w:t>&lt;/NumAm&gt;</w:t>
      </w:r>
    </w:p>
    <w:p>
      <w:pPr>
        <w:pStyle w:val="NormalBold"/>
      </w:pPr>
      <w:r>
        <w:rPr>
          <w:rStyle w:val="HideTWBExt"/>
          <w:b w:val="0"/>
        </w:rPr>
        <w:t>&lt;RepeatBlock-By&gt;</w:t>
      </w:r>
      <w:r>
        <w:rPr>
          <w:rStyle w:val="HideTWBExt"/>
          <w:b w:val="0"/>
        </w:rPr>
        <w:t>&lt;Members&gt;</w:t>
      </w:r>
      <w:r>
        <w:t>Davor Ivo Stier, 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23-B.</w:t>
            </w:r>
            <w:r>
              <w:tab/>
            </w:r>
            <w:r>
              <w:rPr>
                <w:b/>
                <w:i/>
              </w:rPr>
              <w:t>Reafirma a sua posição sobre a importância de abrir e tornar públicos os arquivos de guerra e reitera o seu pedido de abertura dos arquivos da antiga Jugoslávia, em particular a concessão de acesso aos dossiês dos serviços secretos da antiga Jugoslávia (UDBA) e dos serviços de contrainformação do exército popular jugoslavo (KOS), bem como de devolução dos dossiês aos respetivos governos, se estes a solicitarem;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23-C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23-C.</w:t>
            </w:r>
            <w:r>
              <w:tab/>
            </w:r>
            <w:r>
              <w:rPr>
                <w:b/>
                <w:i/>
              </w:rPr>
              <w:t>Lamenta a promoção contínua de criminosos de guerra condenados, incluindo Nikola Šainović, Vojislav Šešelj e Veselin Šljivančanin, através do partido SNS no poder e dos meios de comunicação social conexos, e proporcionando-lhes espaço para o revisionismo histórico e o discurso de ódio;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w:t>
            </w:r>
            <w:r>
              <w:rPr>
                <w:b/>
                <w:i/>
              </w:rPr>
              <w:t>, em particular no que diz respeito às</w:t>
            </w:r>
            <w:r>
              <w:t xml:space="preserve"> pessoas desaparecidas;</w:t>
            </w:r>
          </w:p>
        </w:tc>
        <w:tc>
          <w:tcPr>
            <w:tcW w:w="4876" w:type="dxa"/>
            <w:tcBorders>
              <w:top w:val="nil"/>
              <w:left w:val="nil"/>
              <w:bottom w:val="nil"/>
              <w:right w:val="nil"/>
            </w:tcBorders>
          </w:tcPr>
          <w:p>
            <w:pPr>
              <w:pStyle w:val="Normal6a"/>
            </w:pPr>
            <w:r>
              <w:t>24.</w:t>
            </w:r>
            <w:r>
              <w:tab/>
            </w:r>
            <w:r>
              <w:t xml:space="preserve">Observa que os casos não resolvidos de «pessoas desaparecidas» continuam a constituir um grave desafio </w:t>
            </w:r>
            <w:r>
              <w:rPr>
                <w:b/>
                <w:i/>
              </w:rPr>
              <w:t>e um obstáculo significativo à normalização das relações</w:t>
            </w:r>
            <w:r>
              <w:t>; insta a Sérvia a redobrar os seus esforços de reconciliação e a adotar uma abordagem mais ativa</w:t>
            </w:r>
            <w:r>
              <w:rPr>
                <w:b/>
                <w:i/>
              </w:rPr>
              <w:t>;</w:t>
            </w:r>
            <w:r>
              <w:t xml:space="preserve"> </w:t>
            </w:r>
            <w:r>
              <w:rPr>
                <w:b/>
                <w:i/>
              </w:rPr>
              <w:t>exorta a Sérvia a cooperar plenamente com as autoridades judiciais dos Estados-Membros da UE nas suas investigações sobre crimes de guerra, incluindo os que envolvem crimes contra</w:t>
            </w:r>
            <w:r>
              <w:t xml:space="preserve"> pessoas desaparecidas</w:t>
            </w:r>
            <w:r>
              <w:rPr>
                <w:b/>
                <w:i/>
              </w:rPr>
              <w:t>, e a fornecer todas as informações pertinentes que permitam a sua identificação</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436</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 em particular no que diz respeito às pessoas desaparecidas;</w:t>
            </w:r>
          </w:p>
        </w:tc>
        <w:tc>
          <w:tcPr>
            <w:tcW w:w="4876" w:type="dxa"/>
            <w:tcBorders>
              <w:top w:val="nil"/>
              <w:left w:val="nil"/>
              <w:bottom w:val="nil"/>
              <w:right w:val="nil"/>
            </w:tcBorders>
          </w:tcPr>
          <w:p>
            <w:pPr>
              <w:pStyle w:val="Normal6a"/>
            </w:pPr>
            <w:r>
              <w:t>24.</w:t>
            </w:r>
            <w:r>
              <w:tab/>
            </w:r>
            <w:r>
              <w:t xml:space="preserve">Observa que os casos não resolvidos de «pessoas desaparecidas» continuam a constituir um grave desafio; insta a Sérvia a redobrar os seus esforços de reconciliação e a adotar uma abordagem mais ativa, em particular no que diz respeito às pessoas desaparecidas; </w:t>
            </w:r>
            <w:r>
              <w:rPr>
                <w:b/>
                <w:i/>
              </w:rPr>
              <w:t>lamenta uma declaração recente do presidente Vučić, na qual acusou a Croácia, o Kosovo e a Albânia de formarem uma aliança militar contra a Sérvia e continuou a difundir falsas alegações de que a Sérvia enfrentava possíveis ataques dos referidos países vizinhos;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 em particular no que diz respeito às pessoas desaparecidas;</w:t>
            </w:r>
          </w:p>
        </w:tc>
        <w:tc>
          <w:tcPr>
            <w:tcW w:w="4876" w:type="dxa"/>
            <w:tcBorders>
              <w:top w:val="nil"/>
              <w:left w:val="nil"/>
              <w:bottom w:val="nil"/>
              <w:right w:val="nil"/>
            </w:tcBorders>
          </w:tcPr>
          <w:p>
            <w:pPr>
              <w:pStyle w:val="Normal6a"/>
            </w:pPr>
            <w:r>
              <w:t>24.</w:t>
            </w:r>
            <w:r>
              <w:tab/>
            </w:r>
            <w:r>
              <w:t xml:space="preserve">Observa que os casos não resolvidos de «pessoas desaparecidas» continuam a constituir um grave desafio; insta a Sérvia a redobrar os seus esforços de reconciliação e a adotar uma abordagem mais ativa, em particular no que diz respeito às pessoas desaparecidas; </w:t>
            </w:r>
            <w:r>
              <w:rPr>
                <w:b/>
                <w:i/>
              </w:rPr>
              <w:t>exorta a um compromisso renovado e construtivo sobre questões bilaterais pendentes, em especial a resolução de casos de pessoas desaparecidas, a liquidação de questões sucessórias, a instauração de processos judiciais eficazes contra crimes de guerra e a restituição de bens culturais;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438</w:t>
      </w:r>
      <w:r>
        <w:rPr>
          <w:rStyle w:val="HideTWBExt"/>
        </w:rPr>
        <w:t>&lt;/NumAm&gt;</w:t>
      </w:r>
    </w:p>
    <w:p>
      <w:pPr>
        <w:pStyle w:val="NormalBold"/>
      </w:pPr>
      <w:r>
        <w:rPr>
          <w:rStyle w:val="HideTWBExt"/>
          <w:b w:val="0"/>
        </w:rPr>
        <w:t>&lt;RepeatBlock-By&gt;</w:t>
      </w:r>
      <w:r>
        <w:rPr>
          <w:rStyle w:val="HideTWBExt"/>
          <w:b w:val="0"/>
        </w:rPr>
        <w:t>&lt;Members&gt;</w:t>
      </w:r>
      <w:r>
        <w:t>Davor Ivo Stier, Andrey Kovatchev, 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 em particular no que diz respeito às pessoas desaparecidas;</w:t>
            </w:r>
          </w:p>
        </w:tc>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 em particular no que diz respeito às pessoas desaparecidas</w:t>
            </w:r>
            <w:r>
              <w:rPr>
                <w:b/>
                <w:i/>
              </w:rPr>
              <w:t>, especialmente através de uma cooperação bilateral significativa com outros Estados concertados, através de um rápido intercâmbio de informações, inclusive através do acesso a documentação e arquivos</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439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 em particular no que diz respeito às pessoas desaparecidas;</w:t>
            </w:r>
          </w:p>
        </w:tc>
        <w:tc>
          <w:tcPr>
            <w:tcW w:w="4876" w:type="dxa"/>
            <w:tcBorders>
              <w:top w:val="nil"/>
              <w:left w:val="nil"/>
              <w:bottom w:val="nil"/>
              <w:right w:val="nil"/>
            </w:tcBorders>
          </w:tcPr>
          <w:p>
            <w:pPr>
              <w:pStyle w:val="Normal6a"/>
            </w:pPr>
            <w:r>
              <w:t>24.</w:t>
            </w:r>
            <w:r>
              <w:tab/>
            </w:r>
            <w:r>
              <w:t xml:space="preserve">Observa que os casos não resolvidos de «pessoas desaparecidas» continuam a constituir um grave desafio; insta a Sérvia a redobrar os seus esforços de reconciliação e a adotar uma abordagem mais ativa, em particular no que diz respeito às pessoas desaparecidas; </w:t>
            </w:r>
            <w:r>
              <w:rPr>
                <w:b/>
                <w:i/>
              </w:rPr>
              <w:t>exorta a Sérvia a adotar finalmente, de forma verdadeiramente inclusiva e transparente, a lei há muito anunciada sobre as pessoas desaparecidas;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440</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rPr>
                <w:b/>
                <w:i/>
              </w:rPr>
              <w:t>Observa que os casos não resolvidos de «pessoas desaparecidas» continuam a constituir um grave desafio;</w:t>
            </w:r>
            <w:r>
              <w:t xml:space="preserve"> </w:t>
            </w:r>
            <w:r>
              <w:rPr>
                <w:b/>
                <w:i/>
              </w:rPr>
              <w:t>insta a</w:t>
            </w:r>
            <w:r>
              <w:t xml:space="preserve"> Sérvia </w:t>
            </w:r>
            <w:r>
              <w:rPr>
                <w:b/>
                <w:i/>
              </w:rPr>
              <w:t>a redobrar os seus esforços de reconciliação e a adotar uma abordagem mais ativa, em particular no que diz respeito às</w:t>
            </w:r>
            <w:r>
              <w:t xml:space="preserve"> pessoas desaparecidas</w:t>
            </w:r>
            <w:r>
              <w:rPr>
                <w:b/>
                <w:i/>
              </w:rPr>
              <w:t>;</w:t>
            </w:r>
          </w:p>
        </w:tc>
        <w:tc>
          <w:tcPr>
            <w:tcW w:w="4876" w:type="dxa"/>
            <w:tcBorders>
              <w:top w:val="nil"/>
              <w:left w:val="nil"/>
              <w:bottom w:val="nil"/>
              <w:right w:val="nil"/>
            </w:tcBorders>
          </w:tcPr>
          <w:p>
            <w:pPr>
              <w:pStyle w:val="Normal6a"/>
            </w:pPr>
            <w:r>
              <w:t>24.</w:t>
            </w:r>
            <w:r>
              <w:tab/>
            </w:r>
            <w:r>
              <w:rPr>
                <w:b/>
                <w:i/>
              </w:rPr>
              <w:t>Congratula-se com o papel ativo da</w:t>
            </w:r>
            <w:r>
              <w:t xml:space="preserve"> Sérvia </w:t>
            </w:r>
            <w:r>
              <w:rPr>
                <w:b/>
                <w:i/>
              </w:rPr>
              <w:t>na procura de todas as</w:t>
            </w:r>
            <w:r>
              <w:t xml:space="preserve"> pessoas desaparecidas </w:t>
            </w:r>
            <w:r>
              <w:rPr>
                <w:b/>
                <w:i/>
              </w:rPr>
              <w:t>no território da antiga Jugoslávia.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441</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Observa que os casos não resolvidos de «pessoas desaparecidas» continuam a constituir um grave desafio; insta a Sérvia a redobrar os seus esforços de reconciliação e a adotar uma abordagem mais ativa, em particular no que diz respeito às pessoas desaparecidas;</w:t>
            </w:r>
          </w:p>
        </w:tc>
        <w:tc>
          <w:tcPr>
            <w:tcW w:w="4876" w:type="dxa"/>
            <w:tcBorders>
              <w:top w:val="nil"/>
              <w:left w:val="nil"/>
              <w:bottom w:val="nil"/>
              <w:right w:val="nil"/>
            </w:tcBorders>
          </w:tcPr>
          <w:p>
            <w:pPr>
              <w:pStyle w:val="Normal6a"/>
            </w:pPr>
            <w:r>
              <w:t>24.</w:t>
            </w:r>
            <w:r>
              <w:tab/>
            </w:r>
            <w:r>
              <w:t xml:space="preserve">Observa que os casos não resolvidos de «pessoas desaparecidas» continuam a constituir um grave desafio </w:t>
            </w:r>
            <w:r>
              <w:rPr>
                <w:b/>
                <w:i/>
              </w:rPr>
              <w:t>e têm também implicações para as relações entre os países da região</w:t>
            </w:r>
            <w:r>
              <w:t>; insta a Sérvia a redobrar os seus esforços de reconciliação e a adotar uma abordagem mais ativa, em particular no que diz respeito às pessoas desaparecidas;</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442</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Manifesta profunda preocupação com a decisão das autoridades de Pristina de proibir a entrada do Patriarca da Sérvia, Sua Santidade Porfirije, em igrejas no Kosovo e na sede histórica do Patriarcado em Peć; observa que a questão foi levantada pelo presidente Loucas Fourlas da Delegação do Parlamento Europeu à Comissão Parlamentar de Estabilização e Associação UE-Sérvia numa carta dirigida aos presidentes das instituições europeias, nomeadamente António Costa, Ursula von der Leyen e Roberta Metsola;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443</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Observa a cooperação da Sérvia com países terceiros no domínio da defesa, inclusivamente as importações de equipamento militar da Turquia;</w:t>
            </w:r>
            <w:r>
              <w:t xml:space="preserve"> </w:t>
            </w:r>
            <w:r>
              <w:rPr>
                <w:b/>
                <w:i/>
              </w:rPr>
              <w:t>sublinha a importância do alinhamento gradual com a política externa e de segurança comum da UE (PESC);</w:t>
            </w:r>
            <w:r>
              <w:t xml:space="preserve"> </w:t>
            </w:r>
            <w:r>
              <w:rPr>
                <w:b/>
                <w:i/>
              </w:rPr>
              <w:t>incentiva a Sérvia a reduzir a sua dependência do fornecimento de equipamento de defesa proveniente da Turquia e a reforçar a sua cooperação com os Estados-Membros da União, promovendo a interoperabilidade com a UE;</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444</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Reafirma a sua posição sobre a importância de abrir e tornar públicos os arquivos de guerra e reitera o seu pedido de abertura dos arquivos da antiga Jugoslávia, em particular a garantia de acesso aos dossiês dos serviços secretos da antiga Jugoslávia (UDBA) e dos serviços de contrainformação do exército popular jugoslavo (KOS), bem como de devolução dos dossiês aos respetivos Estados sucessores, se estes a solicitarem;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445</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Reafirma a sua posição sobre a importância de abrir e tornar públicos os arquivos de guerra e reitera o seu pedido de abertura dos arquivos da antiga Jugoslávia, em particular a concessão de acesso aos dossiês dos serviços secretos da antiga Jugoslávia (UDBA) e dos serviços de contrainformação do exército popular jugoslavo (KOS), bem como de devolução dos dossiês aos respetivos governos, se estes a solicitarem;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Observa que a Sérvia ainda acolhe canais e redes de propaganda do Kremlin, como a RT e a Sputnik;</w:t>
            </w:r>
            <w:r>
              <w:t xml:space="preserve"> </w:t>
            </w:r>
            <w:r>
              <w:rPr>
                <w:b/>
                <w:i/>
              </w:rPr>
              <w:t>recorda que estas redes são utilizadas para contornar as sanções europeias contra a Rússia e difundir a narrativa do Kremlin nos Balcãs Ocidentais e na Europa;</w:t>
            </w:r>
            <w:r>
              <w:t xml:space="preserve"> </w:t>
            </w:r>
            <w:r>
              <w:rPr>
                <w:b/>
                <w:i/>
              </w:rPr>
              <w:t>manifesta preocupação pelo facto de estes pontos de venda explorarem queixas históricas e correrem o risco de reacender as tensões nas regiões;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Reitera o seu apelo à abertura dos arquivos que dizem respeito às antigas repúblicas da Jugoslávia e à concessão de acesso aos dossiês do antigo serviço secreto jugoslavo (UDBA) e do Serviço Secreto do Exército Popular Jugoslavo (KOS), a fim de investigar exaustivamente e combater os crimes da era comunista;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448</w:t>
      </w:r>
      <w:r>
        <w:rPr>
          <w:rStyle w:val="HideTWBExt"/>
        </w:rPr>
        <w:t>&lt;/NumAm&gt;</w:t>
      </w:r>
    </w:p>
    <w:p>
      <w:pPr>
        <w:pStyle w:val="NormalBold"/>
      </w:pPr>
      <w:r>
        <w:rPr>
          <w:rStyle w:val="HideTWBExt"/>
          <w:b w:val="0"/>
        </w:rPr>
        <w:t>&lt;RepeatBlock-By&gt;</w:t>
      </w:r>
      <w:r>
        <w:rPr>
          <w:rStyle w:val="HideTWBExt"/>
          <w:b w:val="0"/>
        </w:rPr>
        <w:t>&lt;Members&gt;</w:t>
      </w:r>
      <w:r>
        <w:t>Geadis Geadi,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No que diz respeito ao diálogo com Priština, regista a criação da Comissão Conjunta para as Pessoas Desaparecidas e a realização da sua primeira reunião em 22 de janeiro de 2026, em Bruxelas, com a participação do negociador-chefe sérvio.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449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Insta as autoridades sérvias a intensificarem os esforços para assegurar o tratamento não discriminatório das minorias nacionais e a prosseguirem ativamente com as investigações e as condenações de crimes motivados pelo ódio;</w:t>
            </w:r>
            <w:r>
              <w:t xml:space="preserve"> </w:t>
            </w:r>
            <w:r>
              <w:rPr>
                <w:b/>
                <w:i/>
              </w:rPr>
              <w:t>exorta a Sérvia a assegurar que os grupos minoritários tenham igualdade de oportunidades, representação adequada na vida política e cultural, nos meios de comunicação social públicos, na administração e no sistema judicial;</w:t>
            </w:r>
            <w:r>
              <w:t xml:space="preserve"> </w:t>
            </w:r>
            <w:r>
              <w:rPr>
                <w:b/>
                <w:i/>
              </w:rPr>
              <w:t>apela à Sérvia para proteger e promover o património cultural, as línguas e as tradições das suas minorias nacionais;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Exorta a União Europeia a tomar medidas imediatas, exercendo a pressão necessária sobre as autoridades do Kosovo, a fim de permitir que o Patriarca da Sérvia aceda livremente às igrejas sagradas e exerça os seus deveres religiosos sem entraves;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451</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Recorda que a Sérvia tem acolhido campos subversivos onde cidadãos russos têm formado pessoas, incluindo da Moldávia e da Sérvia, para atacar eleições, criar caos e ameaçar a ordem pública na Moldávia, em França e na Alemanha;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452</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24-B.</w:t>
            </w:r>
            <w:r>
              <w:tab/>
            </w:r>
            <w:r>
              <w:rPr>
                <w:b/>
                <w:i/>
              </w:rPr>
              <w:t>Congratula-se com o papel ativo da Sérvia na procura de todas as pessoas desaparecidas no território da antiga Jugoslávia.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453</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Exorta o Governo sérvio a garantir à minoria croata na Sérvia os mesmos direitos de que a minoria sérvia goza na Croácia;</w:t>
            </w:r>
            <w:r>
              <w:t xml:space="preserve"> </w:t>
            </w:r>
            <w:r>
              <w:rPr>
                <w:b/>
                <w:i/>
              </w:rPr>
              <w:t>insta a Sérvia a demonstrar um empenho sincero na resolução de questões pendentes no tocante ao estatuto da minoria croata na Sérvia, especialmente em termos da utilização não discriminatória da língua croata no ensino, na administração pública e no espaço dedicado aos meios de comunicação social, bem como no respeito pelo património cultural e pelas tradições croatas na Sérvia;</w:t>
            </w:r>
            <w:r>
              <w:t xml:space="preserve"> </w:t>
            </w:r>
            <w:r>
              <w:rPr>
                <w:b/>
                <w:i/>
              </w:rPr>
              <w:t>apela ao Governo sérvio para que garanta o direito à educação em língua croata, um espaço dedicado na comunicação social, financiamento e instalações adequadas para a comunidade croata;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Insta os líderes religiosos do país a promoverem mensagens que fomentem relações de boa vizinhança e a compreensão entre os diferentes países e religiões da região, bem como a contribuírem ativamente para a prevenção de uma cultura de confronto;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455</w:t>
      </w:r>
      <w:r>
        <w:rPr>
          <w:rStyle w:val="HideTWBExt"/>
        </w:rPr>
        <w:t>&lt;/NumAm&gt;</w:t>
      </w:r>
    </w:p>
    <w:p>
      <w:pPr>
        <w:pStyle w:val="NormalBold"/>
      </w:pPr>
      <w:r>
        <w:rPr>
          <w:rStyle w:val="HideTWBExt"/>
          <w:b w:val="0"/>
        </w:rPr>
        <w:t>&lt;RepeatBlock-By&gt;</w:t>
      </w:r>
      <w:r>
        <w:rPr>
          <w:rStyle w:val="HideTWBExt"/>
          <w:b w:val="0"/>
        </w:rPr>
        <w:t>&lt;Members&gt;</w:t>
      </w:r>
      <w:r>
        <w:t>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Regista com satisfação o apoio total e inabalável da República de Chipre, um Estado-Membro da UE, aos seus esforços para pôr termo à ocupação ilegal turca de 37 % do seu território.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456</w:t>
      </w:r>
      <w:r>
        <w:rPr>
          <w:rStyle w:val="HideTWBExt"/>
        </w:rPr>
        <w:t>&lt;/NumAm&gt;</w:t>
      </w:r>
    </w:p>
    <w:p>
      <w:pPr>
        <w:pStyle w:val="NormalBold"/>
      </w:pPr>
      <w:r>
        <w:rPr>
          <w:rStyle w:val="HideTWBExt"/>
          <w:b w:val="0"/>
        </w:rPr>
        <w:t>&lt;RepeatBlock-By&gt;</w:t>
      </w:r>
      <w:r>
        <w:rPr>
          <w:rStyle w:val="HideTWBExt"/>
          <w:b w:val="0"/>
        </w:rPr>
        <w:t>&lt;Members&gt;</w:t>
      </w:r>
      <w:r>
        <w:t>Nathalie Loiseau,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24-C.</w:t>
            </w:r>
            <w:r>
              <w:tab/>
            </w:r>
            <w:r>
              <w:rPr>
                <w:b/>
                <w:i/>
              </w:rPr>
              <w:t>Considera que a inação do Governo sérvio para impedir estas atividades o torna cúmplice do Governo russo;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457</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Lamenta as ações da Sérvia conducentes à apropriação do património cultural croata e da origem da sua tradição literária e que põem em causa o estatuto da língua croata;</w:t>
            </w:r>
            <w:r>
              <w:t xml:space="preserve"> </w:t>
            </w:r>
            <w:r>
              <w:rPr>
                <w:b/>
                <w:i/>
              </w:rPr>
              <w:t>insta a Sérvia a criar um ambiente positivo para o ensino em línguas minoritárias e lamenta profundamente a violação dos direitos das minorias neste domínio;</w:t>
            </w:r>
            <w:r>
              <w:t xml:space="preserve"> </w:t>
            </w:r>
            <w:r>
              <w:rPr>
                <w:b/>
                <w:i/>
              </w:rPr>
              <w:t>exorta as autoridades competentes a assegurarem a rápida resolução dos obstáculos que impedem o funcionamento dos estabelecimentos de ensino em língua croata e a garantirem um acesso equitativo e não discriminatório à educação para a minoria croata, em conformidade com os direitos fundamentais das minorias;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458</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Reitera a necessidade de a Sérvia reforçar a transparência no que diz respeito à análise dos investimentos diretos estrangeiros;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459</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Alerta para o facto de o financiamento insuficiente das comunidades minoritárias comprometer o exercício efetivo dos principais direitos das minorias, incluindo a educação, a cultura, o acesso à informação e a utilização oficial da língua e da escrita;</w:t>
            </w:r>
            <w:r>
              <w:t xml:space="preserve"> </w:t>
            </w:r>
            <w:r>
              <w:rPr>
                <w:b/>
                <w:i/>
              </w:rPr>
              <w:t>salienta que, sem recursos financeiros adequados, o funcionamento normal dos conselhos nacionais das minorias fica comprometido, limitando assim a representação efetiva;</w:t>
            </w:r>
            <w:r>
              <w:t xml:space="preserve"> </w:t>
            </w:r>
            <w:r>
              <w:rPr>
                <w:b/>
                <w:i/>
              </w:rPr>
              <w:t>insta as autoridades sérvias a assegurarem um financiamento adequado e sustentável e a tomarem medidas decisivas para combater e condenar o discurso de ódio contra croatas, em conformidade com as normas europeias em matéria de proteção das minorias e direitos fundamentais;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460</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Regista com grande preocupação a pré-seleção de Dmitry Iordanidi, uma pessoa ligada aos serviços de informações russos que tinha sido anteriormente expulsa da Bélgica, para chefiar a missão da OSCE na Sérvia;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461</w:t>
      </w:r>
      <w:r>
        <w:rPr>
          <w:rStyle w:val="HideTWBExt"/>
        </w:rPr>
        <w:t>&lt;/NumAm&gt;</w:t>
      </w:r>
    </w:p>
    <w:p>
      <w:pPr>
        <w:pStyle w:val="NormalBold"/>
      </w:pPr>
      <w:r>
        <w:rPr>
          <w:rStyle w:val="HideTWBExt"/>
          <w:b w:val="0"/>
        </w:rPr>
        <w:t>&lt;RepeatBlock-By&gt;</w:t>
      </w:r>
      <w:r>
        <w:rPr>
          <w:rStyle w:val="HideTWBExt"/>
          <w:b w:val="0"/>
        </w:rPr>
        <w:t>&lt;Members&gt;</w:t>
      </w:r>
      <w:r>
        <w:t>Željana Zovko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24-F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24-D.</w:t>
            </w:r>
            <w:r>
              <w:tab/>
            </w:r>
            <w:r>
              <w:rPr>
                <w:b/>
                <w:i/>
              </w:rPr>
              <w:t>Apela à resolução das questões pendentes relativas à posição dos croatas e da Igreja Católica, incluindo os esforços para revitalizar as principais instituições que desempenham um papel importante no apoio à comunidade católica e na preservação da identidade nacional croata, em conformidade com as normas europeias em matéria de direitos das minorias e de proteção do património cultural;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462</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25.</w:t>
            </w:r>
            <w:r>
              <w:tab/>
            </w:r>
            <w:r>
              <w:rPr>
                <w:b/>
                <w:i/>
              </w:rPr>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w:t>
            </w:r>
            <w:r>
              <w:t xml:space="preserve"> </w:t>
            </w:r>
            <w:r>
              <w:rPr>
                <w:b/>
                <w:i/>
              </w:rPr>
              <w:t>observa com preocupação que, em janeiro de 2026, a Comissão aprovou, não obstante, a primeira disponibilização de fundos à Sérvia ao abrigo do Mecanismo para as Reformas e o Crescimento nos Balcãs Ocidentais;</w:t>
            </w:r>
            <w:r>
              <w:t xml:space="preserve"> </w:t>
            </w:r>
            <w:r>
              <w:rPr>
                <w:b/>
                <w:i/>
              </w:rPr>
              <w:t>exorta a Comissão a explicar de que forma as condições prévias foram cumpridas;</w:t>
            </w:r>
          </w:p>
        </w:tc>
        <w:tc>
          <w:tcPr>
            <w:tcW w:w="4876" w:type="dxa"/>
            <w:tcBorders>
              <w:top w:val="nil"/>
              <w:left w:val="nil"/>
              <w:bottom w:val="nil"/>
              <w:right w:val="nil"/>
            </w:tcBorders>
          </w:tcPr>
          <w:p>
            <w:pPr>
              <w:pStyle w:val="Normal6a"/>
            </w:pPr>
            <w:r>
              <w:rPr>
                <w:b/>
                <w:i/>
              </w:rPr>
              <w:t>Suprimido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w:t>
            </w:r>
          </w:p>
        </w:tc>
        <w:tc>
          <w:tcPr>
            <w:tcW w:w="4876" w:type="dxa"/>
            <w:tcBorders>
              <w:top w:val="nil"/>
              <w:left w:val="nil"/>
              <w:bottom w:val="nil"/>
              <w:right w:val="nil"/>
            </w:tcBorders>
          </w:tcPr>
          <w:p>
            <w:pPr>
              <w:pStyle w:val="Normal6a"/>
            </w:pPr>
            <w:r>
              <w:t>25.</w:t>
            </w:r>
            <w:r>
              <w:tab/>
            </w:r>
            <w:r>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w:t>
            </w:r>
            <w:r>
              <w:rPr>
                <w:b/>
                <w:i/>
              </w:rPr>
              <w:t>, bem como um envolvimento construtivo na normalização das relações com o Kosovo</w:t>
            </w:r>
            <w:r>
              <w:t xml:space="preserve">;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 </w:t>
            </w:r>
            <w:r>
              <w:rPr>
                <w:b/>
                <w:i/>
              </w:rPr>
              <w:t>considera que o financiamento europeu deve apoiar melhor as reformas democráticas do país;</w:t>
            </w:r>
            <w:r>
              <w:t xml:space="preserve"> </w:t>
            </w:r>
            <w:r>
              <w:rPr>
                <w:b/>
                <w:i/>
              </w:rPr>
              <w:t>neste contexto, solicita que o financiamento pertinente por parte da UE seja reprogramado, a fim de reorientar mais fundos para o apoio às reformas do sistema judicial e às medidas anticorrupção;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464</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w:t>
            </w:r>
          </w:p>
        </w:tc>
        <w:tc>
          <w:tcPr>
            <w:tcW w:w="4876" w:type="dxa"/>
            <w:tcBorders>
              <w:top w:val="nil"/>
              <w:left w:val="nil"/>
              <w:bottom w:val="nil"/>
              <w:right w:val="nil"/>
            </w:tcBorders>
          </w:tcPr>
          <w:p>
            <w:pPr>
              <w:pStyle w:val="Normal6a"/>
            </w:pPr>
            <w:r>
              <w:t>25.</w:t>
            </w:r>
            <w:r>
              <w:tab/>
            </w:r>
            <w:r>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w:t>
            </w:r>
            <w:r>
              <w:rPr>
                <w:b/>
                <w:i/>
              </w:rPr>
              <w:t>, que, no caso da Sérvia, claramente não foram cumpridas da forma exigida</w:t>
            </w:r>
            <w:r>
              <w:t xml:space="preserve">;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 </w:t>
            </w:r>
            <w:r>
              <w:rPr>
                <w:b/>
                <w:i/>
              </w:rPr>
              <w:t>considera que os fundos concedidos à Sérvia transmitem uma mensagem totalmente errada também a outros países que pretendem aderir à UE, dando a entender que é possível obter fundos da UE sem realizar progressos reais nas reformas necessárias para o caminho da adesão à UE;</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w:t>
            </w:r>
          </w:p>
        </w:tc>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observa com preocupação que, em janeiro de 2026, a Comissão aprovou, não obstante, a primeira disponibilização de fundos à Sérvia ao abrigo do Mecanismo para as Reformas e o Crescimento nos Balcãs Ocidentais; exorta a Comissão a explicar de que forma as condições prévias foram cumpridas; </w:t>
            </w:r>
            <w:r>
              <w:rPr>
                <w:b/>
                <w:i/>
              </w:rPr>
              <w:t>insta a Sérvia a alterar a sua legislação laboral, a fim de assegurar a plena conformidade com a Carta Social Europeia no que diz respeito ao tempo máximo de trabalho, nomeadamente através da abolição das regras que permitem que o tempo de trabalho semanal atinja 60 horas para os membros da tripulação de veículos no transporte rodoviário e 84 horas para os trabalhadores do transporte por vias navegáveis interiores;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466</w:t>
      </w:r>
      <w:r>
        <w:rPr>
          <w:rStyle w:val="HideTWBExt"/>
        </w:rPr>
        <w:t>&lt;/NumAm&gt;</w:t>
      </w:r>
    </w:p>
    <w:p>
      <w:pPr>
        <w:pStyle w:val="NormalBold"/>
      </w:pPr>
      <w:r>
        <w:rPr>
          <w:rStyle w:val="HideTWBExt"/>
          <w:b w:val="0"/>
        </w:rPr>
        <w:t>&lt;RepeatBlock-By&gt;</w:t>
      </w:r>
      <w:r>
        <w:rPr>
          <w:rStyle w:val="HideTWBExt"/>
          <w:b w:val="0"/>
        </w:rPr>
        <w:t>&lt;Members&gt;</w:t>
      </w:r>
      <w:r>
        <w:t>Mircea-Gheorghe Hava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w:t>
            </w:r>
            <w:r>
              <w:rPr>
                <w:b/>
                <w:i/>
              </w:rPr>
              <w:t>de todas as</w:t>
            </w:r>
            <w:r>
              <w:t xml:space="preserve"> obrigações em matéria de direitos humanos; observa com preocupação que, em janeiro de 2026, a Comissão aprovou</w:t>
            </w:r>
            <w:r>
              <w:rPr>
                <w:b/>
                <w:i/>
              </w:rPr>
              <w:t>, não obstante,</w:t>
            </w:r>
            <w:r>
              <w:t xml:space="preserve"> a primeira disponibilização de fundos à Sérvia ao abrigo do Mecanismo para as Reformas e o Crescimento nos Balcãs Ocidentais; exorta a Comissão a </w:t>
            </w:r>
            <w:r>
              <w:rPr>
                <w:b/>
                <w:i/>
              </w:rPr>
              <w:t>explicar de que forma as</w:t>
            </w:r>
            <w:r>
              <w:t xml:space="preserve"> condições prévias </w:t>
            </w:r>
            <w:r>
              <w:rPr>
                <w:b/>
                <w:i/>
              </w:rPr>
              <w:t>foram cumpridas</w:t>
            </w:r>
            <w:r>
              <w:t>;</w:t>
            </w:r>
          </w:p>
        </w:tc>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w:t>
            </w:r>
            <w:r>
              <w:rPr>
                <w:b/>
                <w:i/>
              </w:rPr>
              <w:t>das</w:t>
            </w:r>
            <w:r>
              <w:t xml:space="preserve"> obrigações em matéria de direitos humanos; observa com preocupação que, em janeiro de 2026, a Comissão aprovou a primeira disponibilização de fundos à Sérvia ao abrigo do Mecanismo para as Reformas e o Crescimento nos Balcãs Ocidentais; exorta a Comissão a </w:t>
            </w:r>
            <w:r>
              <w:rPr>
                <w:b/>
                <w:i/>
              </w:rPr>
              <w:t>publicar, sem demora, uma justificação pormenorizada e verificável sobre o cumprimento das</w:t>
            </w:r>
            <w:r>
              <w:t xml:space="preserve"> condições prévias</w:t>
            </w:r>
            <w:r>
              <w:rPr>
                <w:b/>
                <w:i/>
              </w:rPr>
              <w:t>, nomeadamente no que diz respeito ao Estado de direito, à liberdade dos meios de comunicação social, ao funcionamento das instituições democráticas e aos progressos alcançados na normalização das relações com o Kosovo, bem como às garantias contra a fraude, a corrupção e os conflitos de interesses</w:t>
            </w:r>
            <w:r>
              <w:t>;</w:t>
            </w:r>
          </w:p>
        </w:tc>
      </w:tr>
    </w:tbl>
    <w:p>
      <w:pPr>
        <w:pStyle w:val="AmOrLang"/>
      </w:pPr>
      <w:r>
        <w:t xml:space="preserve">Or. </w:t>
      </w:r>
      <w:r>
        <w:rPr>
          <w:rStyle w:val="HideTWBExt"/>
        </w:rPr>
        <w:t>&lt;Original&gt;</w:t>
      </w:r>
      <w:r>
        <w:rPr>
          <w:rStyle w:val="HideTWBInt"/>
        </w:rPr>
        <w:t>{RO}</w:t>
      </w:r>
      <w:r>
        <w:t>ro</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467</w:t>
      </w:r>
      <w:r>
        <w:rPr>
          <w:rStyle w:val="HideTWBExt"/>
        </w:rPr>
        <w:t>&lt;/NumAm&gt;</w:t>
      </w:r>
    </w:p>
    <w:p>
      <w:pPr>
        <w:pStyle w:val="NormalBold"/>
      </w:pPr>
      <w:r>
        <w:rPr>
          <w:rStyle w:val="HideTWBExt"/>
          <w:b w:val="0"/>
        </w:rPr>
        <w:t>&lt;RepeatBlock-By&gt;</w:t>
      </w:r>
      <w:r>
        <w:rPr>
          <w:rStyle w:val="HideTWBExt"/>
          <w:b w:val="0"/>
        </w:rPr>
        <w:t>&lt;Members&gt;</w:t>
      </w:r>
      <w:r>
        <w:t>Emmanouil Kefalogiannis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w:t>
            </w:r>
            <w:r>
              <w:rPr>
                <w:b/>
                <w:i/>
              </w:rPr>
              <w:t>observa com preocupação que, em janeiro de 2026,</w:t>
            </w:r>
            <w:r>
              <w:t xml:space="preserve"> a Comissão </w:t>
            </w:r>
            <w:r>
              <w:rPr>
                <w:b/>
                <w:i/>
              </w:rPr>
              <w:t>aprovou, não obstante, a primeira</w:t>
            </w:r>
            <w:r>
              <w:t xml:space="preserve"> disponibilização de fundos à Sérvia ao abrigo do Mecanismo para as Reformas e o Crescimento nos Balcãs Ocidentais; </w:t>
            </w:r>
            <w:r>
              <w:rPr>
                <w:b/>
                <w:i/>
              </w:rPr>
              <w:t>exorta a</w:t>
            </w:r>
            <w:r>
              <w:t xml:space="preserve"> Comissão </w:t>
            </w:r>
            <w:r>
              <w:rPr>
                <w:b/>
                <w:i/>
              </w:rPr>
              <w:t>a explicar de que forma as condições prévias foram cumpridas</w:t>
            </w:r>
            <w:r>
              <w:t>;</w:t>
            </w:r>
          </w:p>
        </w:tc>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w:t>
            </w:r>
            <w:r>
              <w:rPr>
                <w:b/>
                <w:i/>
              </w:rPr>
              <w:t>insta</w:t>
            </w:r>
            <w:r>
              <w:t xml:space="preserve"> a Comissão </w:t>
            </w:r>
            <w:r>
              <w:rPr>
                <w:b/>
                <w:i/>
              </w:rPr>
              <w:t>a assegurar que estas condições prévias sejam cumpridas aquando da análise de qualquer</w:t>
            </w:r>
            <w:r>
              <w:t xml:space="preserve"> disponibilização de fundos à Sérvia ao abrigo do Mecanismo para as Reformas e o Crescimento nos Balcãs Ocidentais; </w:t>
            </w:r>
            <w:r>
              <w:rPr>
                <w:b/>
                <w:i/>
              </w:rPr>
              <w:t>salienta que seria melhor centrar a atenção no futuro, em vez de criticar a avaliação da</w:t>
            </w:r>
            <w:r>
              <w:t xml:space="preserve"> Comissão </w:t>
            </w:r>
            <w:r>
              <w:rPr>
                <w:b/>
                <w:i/>
              </w:rPr>
              <w:t>em janeiro de 2026</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468</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w:t>
            </w:r>
            <w:r>
              <w:rPr>
                <w:b/>
                <w:i/>
              </w:rPr>
              <w:t>observa com preocupação que, em janeiro de 2026,</w:t>
            </w:r>
            <w:r>
              <w:t xml:space="preserve"> a Comissão </w:t>
            </w:r>
            <w:r>
              <w:rPr>
                <w:b/>
                <w:i/>
              </w:rPr>
              <w:t>aprovou, não obstante, a primeira</w:t>
            </w:r>
            <w:r>
              <w:t xml:space="preserve"> disponibilização de fundos à Sérvia ao abrigo do Mecanismo para as Reformas e o Crescimento nos Balcãs Ocidentais; </w:t>
            </w:r>
            <w:r>
              <w:rPr>
                <w:b/>
                <w:i/>
              </w:rPr>
              <w:t>exorta a Comissão a explicar de que forma as condições prévias foram cumpridas;</w:t>
            </w:r>
          </w:p>
        </w:tc>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w:t>
            </w:r>
            <w:r>
              <w:rPr>
                <w:b/>
                <w:i/>
              </w:rPr>
              <w:t>insta</w:t>
            </w:r>
            <w:r>
              <w:t xml:space="preserve"> a Comissão </w:t>
            </w:r>
            <w:r>
              <w:rPr>
                <w:b/>
                <w:i/>
              </w:rPr>
              <w:t>a assegurar que estas condições prévias sejam cumpridas aquando da análise de qualquer</w:t>
            </w:r>
            <w:r>
              <w:t xml:space="preserve"> disponibilização de fundos à Sérvia ao abrigo do Mecanismo para as Reformas e o Crescimento nos Balcãs Ocidentais;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469</w:t>
      </w:r>
      <w:r>
        <w:rPr>
          <w:rStyle w:val="HideTWBExt"/>
        </w:rPr>
        <w:t>&lt;/NumAm&gt;</w:t>
      </w:r>
    </w:p>
    <w:p>
      <w:pPr>
        <w:pStyle w:val="NormalBold"/>
      </w:pPr>
      <w:r>
        <w:rPr>
          <w:rStyle w:val="HideTWBExt"/>
          <w:b w:val="0"/>
        </w:rPr>
        <w:t>&lt;RepeatBlock-By&gt;</w:t>
      </w:r>
      <w:r>
        <w:rPr>
          <w:rStyle w:val="HideTWBExt"/>
          <w:b w:val="0"/>
        </w:rPr>
        <w:t>&lt;Members&gt;</w:t>
      </w:r>
      <w:r>
        <w:t>Vangelis Meimarakis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w:t>
            </w:r>
            <w:r>
              <w:rPr>
                <w:b/>
                <w:i/>
              </w:rPr>
              <w:t>observa com preocupação que, em janeiro de 2026,</w:t>
            </w:r>
            <w:r>
              <w:t xml:space="preserve"> a Comissão </w:t>
            </w:r>
            <w:r>
              <w:rPr>
                <w:b/>
                <w:i/>
              </w:rPr>
              <w:t>aprovou, não obstante, a primeira</w:t>
            </w:r>
            <w:r>
              <w:t xml:space="preserve"> disponibilização de fundos à Sérvia ao abrigo do Mecanismo para as Reformas e o Crescimento nos Balcãs Ocidentais; </w:t>
            </w:r>
            <w:r>
              <w:rPr>
                <w:b/>
                <w:i/>
              </w:rPr>
              <w:t>exorta a Comissão a explicar de que forma as condições prévias foram cumpridas;</w:t>
            </w:r>
          </w:p>
        </w:tc>
        <w:tc>
          <w:tcPr>
            <w:tcW w:w="4876" w:type="dxa"/>
            <w:tcBorders>
              <w:top w:val="nil"/>
              <w:left w:val="nil"/>
              <w:bottom w:val="nil"/>
              <w:right w:val="nil"/>
            </w:tcBorders>
          </w:tcPr>
          <w:p>
            <w:pPr>
              <w:pStyle w:val="Normal6a"/>
            </w:pPr>
            <w:r>
              <w:t>25.</w:t>
            </w:r>
            <w:r>
              <w:tab/>
            </w:r>
            <w:r>
              <w:t xml:space="preserve">Recorda que o apoio do Plano de Reformas e Crescimento está subordinado ao respeito de mecanismos democráticos efetivos, nomeadamente um sistema parlamentar pluripartidário, eleições livres e justas, meios de comunicação social pluralistas, um sistema judicial independente, o Estado de direito e o cumprimento de todas as obrigações em matéria de direitos humanos; </w:t>
            </w:r>
            <w:r>
              <w:rPr>
                <w:b/>
                <w:i/>
              </w:rPr>
              <w:t>insta</w:t>
            </w:r>
            <w:r>
              <w:t xml:space="preserve"> a Comissão </w:t>
            </w:r>
            <w:r>
              <w:rPr>
                <w:b/>
                <w:i/>
              </w:rPr>
              <w:t>a assegurar que estas condições prévias sejam cumpridas aquando da análise de qualquer</w:t>
            </w:r>
            <w:r>
              <w:t xml:space="preserve"> disponibilização de fundos à Sérvia ao abrigo do Mecanismo para as Reformas e o Crescimento nos Balcãs Ocidentais;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470</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Reitera o seu apelo para que o financiamento pertinente da UE, nomeadamente do Plano de Crescimento para os Balcãs Ocidentais, seja reprogramado para reorientar mais fundos para o apoio às reformas judiciais, às medidas anticorrupção, bem como aos meios de comunicação social independentes, às organizações da sociedade civil e ao setor cultural independente, a fim de apoiar o seu trabalho crítico, e que o apoio canalizado através do Governo sérvio seja imediatamente suspenso devido à ausência de progressos claros e credíveis nos domínios do Estado de direito, da liberdade dos meios de comunicação social e das condições eleitorais;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Observa que o processo de adesão à UE se baseia na aproximação da legislação nacional ao acervo da UE;</w:t>
            </w:r>
            <w:r>
              <w:t xml:space="preserve"> </w:t>
            </w:r>
            <w:r>
              <w:rPr>
                <w:b/>
                <w:i/>
              </w:rPr>
              <w:t>salienta a necessidade de envidar mais esforços na execução da gestão das finanças públicas e das reformas da administração pública, bem como de fazer face às persistentes restrições em matéria de capacidade administrativa através de um investimento sustentado da UE no desenvolvimento de capacidades de elevada qualidade e em quadros de partilha de conhecimentos — com base nos modelos de boas práticas existentes dos parceiros estabelecidos a nível internacional e da UE — é essencial para uma execução eficiente.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Insta a Sérvia a intensificar os esforços e a aumentar o investimento no desenvolvimento socioeconómico das suas regiões fronteiriças, a fim de combater o despovoamento e garantir que os residentes tenham acesso a serviços essenciais, incluindo oportunidades profissionais, cuidados de saúde e educação;</w:t>
            </w:r>
            <w:r>
              <w:t xml:space="preserve"> </w:t>
            </w:r>
            <w:r>
              <w:rPr>
                <w:b/>
                <w:i/>
              </w:rPr>
              <w:t>sublinha o potencial dos programas de cooperação transfronteiriça do IPA III enquanto instrumento fundamental para promover o crescimento regional sustentável a longo prazo;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473</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Observa que a Procuradoria Europeia iniciou uma investigação separada sobre a eventual utilização indevida de fundos da UE para a renovação da estação ferroviária de Novi Sad entre 2021 e 2024;</w:t>
            </w:r>
            <w:r>
              <w:t xml:space="preserve"> </w:t>
            </w:r>
            <w:r>
              <w:rPr>
                <w:b/>
                <w:i/>
              </w:rPr>
              <w:t>manifesta preocupação pelo facto de, em geral, os fundos da UE representarem um risco de corrupção e de a disponibilização de fundos avultados da UE à Sérvia promover a corrupção;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Apela à UE e aos países dos Balcãs Ocidentais para que estabeleçam um quadro para uma cooperação entre a Procuradoria Europeia (OEPP) e os seus homólogos dos Balcãs Ocidentais, a fim de assegurar que a OEPP possa exercer eficazmente as suas competências em matéria de IPA III e de fundos do Mecanismo para os Balcãs Ocidentais nos países beneficiários;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Insta a Sérvia a reforçar a proteção da saúde e da segurança no trabalho através da adoção de políticas nacionais específicas em matéria de riscos psicossociais e emergentes, nomeadamente na economia dos serviços pontuais e das plataformas, e garantindo aos trabalhadores um direito efetivo a desligar;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476</w:t>
      </w:r>
      <w:r>
        <w:rPr>
          <w:rStyle w:val="HideTWBExt"/>
        </w:rPr>
        <w:t>&lt;/NumAm&gt;</w:t>
      </w:r>
    </w:p>
    <w:p>
      <w:pPr>
        <w:pStyle w:val="NormalBold"/>
      </w:pPr>
      <w:r>
        <w:rPr>
          <w:rStyle w:val="HideTWBExt"/>
          <w:b w:val="0"/>
        </w:rPr>
        <w:t>&lt;RepeatBlock-By&gt;</w:t>
      </w:r>
      <w:r>
        <w:rPr>
          <w:rStyle w:val="HideTWBExt"/>
          <w:b w:val="0"/>
        </w:rPr>
        <w:t>&lt;Members&gt;</w:t>
      </w:r>
      <w:r>
        <w:t>Christophe Gomart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Questiona se é coerente continuar a conceder financiamento substancial, em particular ao abrigo do Instrumento de Assistência de Pré-adesão (IPA III), incluindo uma convenção de financiamento de 219,9 milhões de EUR para o período de 2025-2027;</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477</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Toma nota das declarações das autoridades sérvias sobre os explosivos encontrados perto de um gasoduto na fronteira entre a Sérvia e a Hungria pouco antes das eleições de 2026 na Hungria;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478</w:t>
      </w:r>
      <w:r>
        <w:rPr>
          <w:rStyle w:val="HideTWBExt"/>
        </w:rPr>
        <w:t>&lt;/NumAm&gt;</w:t>
      </w:r>
    </w:p>
    <w:p>
      <w:pPr>
        <w:pStyle w:val="NormalBold"/>
      </w:pPr>
      <w:r>
        <w:rPr>
          <w:rStyle w:val="HideTWBExt"/>
          <w:b w:val="0"/>
        </w:rPr>
        <w:t>&lt;RepeatBlock-By&gt;</w:t>
      </w:r>
      <w:r>
        <w:rPr>
          <w:rStyle w:val="HideTWBExt"/>
          <w:b w:val="0"/>
        </w:rPr>
        <w:t>&lt;Members&gt;</w:t>
      </w:r>
      <w:r>
        <w:t>Dan Barna, Helmut Brandstätter, Marjan Šarec, Marie-Agnes Strack-Zimmermann,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Solicita que o financiamento ao abrigo do Europa Global seja desembolsado no âmbito da condicionalidade do Estado de direito;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479</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Insta os países da UE e dos Balcãs Ocidentais a criarem um quadro para a cooperação eficaz entre a Procuradoria Europeia e os países candidatos à adesão;</w:t>
            </w:r>
            <w:r>
              <w:t xml:space="preserve"> </w:t>
            </w:r>
            <w:r>
              <w:rPr>
                <w:b/>
                <w:i/>
              </w:rPr>
              <w:t>insta a Sérvia a celebrar rapidamente acordos de trabalho bilaterais com a Procuradoria Europeia, a fim de facilitar uma cooperação estreita e a repressão da utilização abusiva dos fundos da UE, nomeadamente através do destacamento de agentes de ligação nacionais para a Procuradoria 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480</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Insta a Sérvia a assegurar que os trabalhadores domésticos sejam plenamente abrangidos pela legislação em matéria de saúde e segurança no trabalho e eficazmente protegidos na prática, nomeadamente através de uma inspeção do trabalho e de mecanismos de execução adequados, e a alargar a supervisão da inspeção do trabalho a todas as categorias de trabalhadores independentes, e não apenas aos que trabalham em estaleiros de construção;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481</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25-B.</w:t>
            </w:r>
            <w:r>
              <w:tab/>
            </w:r>
            <w:r>
              <w:rPr>
                <w:b/>
                <w:i/>
              </w:rPr>
              <w:t>Manifesta preocupação com a dimensão e o âmbito dos contratos adjudicados que estão isentos do quadro legislativo em vigor em matéria de contratos públicos;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482</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Congratula-se com a proposta da Comissão de encetar negociações com a Albânia, a Bósnia-Herzegovina, o Kosovo, o Montenegro, a Macedónia do Norte e a Sérvia com vista à sua integração no regime de «Itinerância como em casa» da UE;</w:t>
            </w:r>
            <w:r>
              <w:t xml:space="preserve"> </w:t>
            </w:r>
            <w:r>
              <w:rPr>
                <w:b/>
                <w:i/>
              </w:rPr>
              <w:t>salienta que o alargamento da zona de «Itinerância como em casa» aos Balcãs Ocidentais traria benefícios concretos para os cidadãos e as empresas, promovendo os contactos interpessoais, reforçando as relações económicas, apoiando os intercâmbios educativos e facilitando o turismo;</w:t>
            </w:r>
            <w:r>
              <w:t xml:space="preserve"> </w:t>
            </w:r>
            <w:r>
              <w:rPr>
                <w:b/>
                <w:i/>
              </w:rPr>
              <w:t>observa que esta iniciativa se baseia nos acordos de itinerância voluntários já existentes e no acordo regional de itinerância dos Balcãs Ocidentais aprovado na Cimeira de Tirana; apela à rápida adoção dos mandatos de negociação e à conclusão atempada de acordos bilaterais com os parceiros dos Balcãs Ocidentais, a fim de garantir a sua integração rápida e eficaz na zona «Itinerância como em casa»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483</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Exorta a Sérvia a melhorar as medidas de inspeção do trabalho e de prevenção no local de trabalho em relação aos riscos profissionais relacionados com o clima, incluindo o calor, a poluição e outras condições ambientais nocivas, através de mecanismos de supervisão mais sólidos, avaliações de risco, orientações e formação para empregadores e trabalhadores;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484</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Insta a Sérvia a assegurar a igualdade de remuneração entre homens e mulheres, estabelecendo sistemas de classificação profissional e de remuneração transparentes, objetivos e neutros do ponto de vista do género no setor privado e adotando medidas eficazes capazes de realizar progressos mensuráveis na redução das disparidades salariais entre homens e mulheres;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485</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25-E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Exorta a Sérvia a reforçar a liberdade de associação e o diálogo social, tomando medidas ativas para incentivar a sindicalização, em particular em setores pouco sindicalizados e novos, reduzindo os limiares excessivos de adesão para as organizações patronais e assegurando que as consultas conjuntas sejam efetivamente promovidas, incluindo no setor privado e em questões relacionadas com a transição digital;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25-F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25-F.</w:t>
            </w:r>
            <w:r>
              <w:tab/>
            </w:r>
            <w:r>
              <w:rPr>
                <w:b/>
                <w:i/>
              </w:rPr>
              <w:t>Insta a Sérvia a promover a negociação coletiva de forma mais eficaz, nomeadamente para os trabalhadores independentes economicamente dependentes ou em situação comparável à dos trabalhadores por conta de outrem, a fim de evitar abusos do falso trabalho por conta própria e assegurar que todos os trabalhadores possam melhorar as suas condições através da ação coletiva e da negociação;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487</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25-G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25-G.</w:t>
            </w:r>
            <w:r>
              <w:tab/>
            </w:r>
            <w:r>
              <w:rPr>
                <w:b/>
                <w:i/>
              </w:rPr>
              <w:t>Exorta a Sérvia a alinhar a sua legislação relativa ao direito à greve com a Carta Social Europeia, pondo termo às proibições injustificadas de greve em partes do setor da saúde, restringindo o leque excessivamente vasto de setores em que os direitos à greve podem ser restringidos e assegurando que os trabalhadores e os sindicatos sejam envolvidos em pé de igualdade com os empregadores nas decisões sobre o serviço mínimo durante as greves;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488</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25-H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25-H.</w:t>
            </w:r>
            <w:r>
              <w:tab/>
            </w:r>
            <w:r>
              <w:rPr>
                <w:b/>
                <w:i/>
              </w:rPr>
              <w:t>Insta a Sérvia a intensificar os esforços para reduzir as disparidades de género no emprego e a promover progressos mensuráveis na representação das mulheres em cargos executivos, em particular nas maiores empresas cotadas em bolsa, nomeadamente através de medidas específicas em matéria de igualdade e da publicação regular de dados desagregados;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489</w:t>
      </w:r>
      <w:r>
        <w:rPr>
          <w:rStyle w:val="HideTWBExt"/>
        </w:rPr>
        <w:t>&lt;/NumAm&gt;</w:t>
      </w:r>
    </w:p>
    <w:p>
      <w:pPr>
        <w:pStyle w:val="NormalBold"/>
      </w:pPr>
      <w:r>
        <w:rPr>
          <w:rStyle w:val="HideTWBExt"/>
          <w:b w:val="0"/>
        </w:rPr>
        <w:t>&lt;RepeatBlock-By&gt;</w:t>
      </w:r>
      <w:r>
        <w:rPr>
          <w:rStyle w:val="HideTWBExt"/>
          <w:b w:val="0"/>
        </w:rPr>
        <w:t>&lt;Members&gt;</w:t>
      </w:r>
      <w:r>
        <w:t>Danilo Della Valle, Jonas Sjöstedt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25-I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25-I.</w:t>
            </w:r>
            <w:r>
              <w:tab/>
            </w:r>
            <w:r>
              <w:rPr>
                <w:b/>
                <w:i/>
              </w:rPr>
              <w:t>Observa que o diálogo social e a consulta dos parceiros sociais continuam a ser fracos e insta as autoridades a reforçarem a negociação coletiva, na lei e na prática, a promoverem o diálogo social tripartido e bipartido e a utilizarem o Mecanismo para os Balcãs Ocidentais para apoiar o reforço das capacidades dos parceiros sociais, cujo desembolso deve continuar a depender da participação dos parceiros sociais na elaboração do programa de reformas;</w:t>
            </w:r>
            <w:r>
              <w:t xml:space="preserve"> </w:t>
            </w:r>
            <w:r>
              <w:rPr>
                <w:b/>
                <w:i/>
              </w:rPr>
              <w:t>insta ainda as autoridades a reformarem o direito do trabalho, a fim de se alinharem pelo acervo social da UE e pela lei sobre a greve, em conformidade com as convenções 87 e 98 da OIT, e a absterem-se de interferir na liberdade de associação e no funcionamento dos sindicatos.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490</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25-A.</w:t>
            </w:r>
            <w:r>
              <w:tab/>
            </w:r>
            <w:r>
              <w:rPr>
                <w:b/>
                <w:i/>
              </w:rPr>
              <w:t>Sublinha a importância estratégica de reforçar a conectividade entre a Sérvia e os Estados-Membros da União, em particular através de um maior desenvolvimento e modernização do eixo ferroviário Budapeste-Belgrado-Escópia-Salónica, como parte da rede transeuropeia de transportes (RTE-T) e do corredor Balcãs Ocidentais – Mediterrâneo Oriental;</w:t>
            </w:r>
            <w:r>
              <w:t xml:space="preserve"> </w:t>
            </w:r>
            <w:r>
              <w:rPr>
                <w:b/>
                <w:i/>
              </w:rPr>
              <w:t>salienta que a aceleração dos investimentos pertinentes pode contribuir para a convergência económica, a mobilidade sustentável e o reforço dos fluxos comerciais entre a União e a Sérvia;</w:t>
            </w:r>
            <w:r>
              <w:t xml:space="preserve"> </w:t>
            </w:r>
            <w:r>
              <w:rPr>
                <w:b/>
                <w:i/>
              </w:rPr>
              <w:t>exorta a Comissão e a Sérvia a intensificarem a sua cooperação no que diz respeito à conceção, ao financiamento e à execução dos projetos em causa, garantindo simultaneamente o cumprimento das normas da União em matéria de ambiente, contratos públicos e transparência;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25-C.</w:t>
            </w:r>
            <w:r>
              <w:tab/>
            </w:r>
            <w:r>
              <w:rPr>
                <w:b/>
                <w:i/>
              </w:rPr>
              <w:t>Insta a Sérvia a intensificar os seus esforços no sentido da transposição do acervo ambiental e climático relevante e a assegurar a aplicação adequada das normas de proteção ambiental, nomeadamente através do reforço significativo das suas capacidades administrativas e técnicas a todos os níveis governamentais, incluindo a melhoria da coordenação entre as autoridades competentes e a resolução da fragmentação de responsabilidades no setor ambiental;</w:t>
            </w:r>
            <w:r>
              <w:t xml:space="preserve"> </w:t>
            </w:r>
            <w:r>
              <w:rPr>
                <w:b/>
                <w:i/>
              </w:rPr>
              <w:t>exorta as autoridades sérvias a melhorarem a transparência e a avaliação do impacto ambiental de todos os investimentos, inclusivamente os da China e da Rússia;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492</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25-D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25-D.</w:t>
            </w:r>
            <w:r>
              <w:tab/>
            </w:r>
            <w:r>
              <w:rPr>
                <w:b/>
                <w:i/>
              </w:rPr>
              <w:t>Congratula-se com a adoção da lei relativa à avaliação dos efeitos no ambiente e da lei relativa à avaliação ambiental estratégica;</w:t>
            </w:r>
            <w:r>
              <w:t xml:space="preserve"> </w:t>
            </w:r>
            <w:r>
              <w:rPr>
                <w:b/>
                <w:i/>
              </w:rPr>
              <w:t>salienta, no entanto, que a aplicação eficaz continua a ser essencial, em particular assegurando que todos os projetos estejam sujeitos a procedimentos de avaliação completos e transparentes, que a participação do público seja significativa e atempada e que nenhuma prática administrativa, incluindo pareceres preliminares, permita que os projetos contornem um escrutínio ambiental abrangente;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493</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Regista a evolução politicamente sensível relativa à empresa petrolífera e de gás Naftna Industrija Srbije (NIS) e à transformação da sua estrutura de propriedade, no contexto das sanções impostas pelos Estados Unidos e da aquisição de uma participação maioritária na NIS pelas empresas russas Gazprom e Gazprom Neft;</w:t>
            </w:r>
          </w:p>
        </w:tc>
        <w:tc>
          <w:tcPr>
            <w:tcW w:w="4876" w:type="dxa"/>
            <w:tcBorders>
              <w:top w:val="nil"/>
              <w:left w:val="nil"/>
              <w:bottom w:val="nil"/>
              <w:right w:val="nil"/>
            </w:tcBorders>
          </w:tcPr>
          <w:p>
            <w:pPr>
              <w:pStyle w:val="Normal6a"/>
            </w:pPr>
            <w:r>
              <w:t>26.</w:t>
            </w:r>
            <w:r>
              <w:tab/>
            </w:r>
            <w:r>
              <w:rPr>
                <w:b/>
                <w:i/>
              </w:rPr>
              <w:t>Congratula-se com os esforços destinados a desagregar a Srbijagas e outras atividades no sentido da independência energética e da diversificação das fontes de energia.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494</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Regista a evolução politicamente sensível relativa à empresa petrolífera e de gás Naftna Industrija Srbije (NIS) e à transformação da sua estrutura de propriedade, no contexto das sanções impostas pelos Estados Unidos e da aquisição de uma participação maioritária na NIS pelas empresas russas Gazprom e Gazprom Neft;</w:t>
            </w:r>
          </w:p>
        </w:tc>
        <w:tc>
          <w:tcPr>
            <w:tcW w:w="4876" w:type="dxa"/>
            <w:tcBorders>
              <w:top w:val="nil"/>
              <w:left w:val="nil"/>
              <w:bottom w:val="nil"/>
              <w:right w:val="nil"/>
            </w:tcBorders>
          </w:tcPr>
          <w:p>
            <w:pPr>
              <w:pStyle w:val="Normal6a"/>
            </w:pPr>
            <w:r>
              <w:t>26.</w:t>
            </w:r>
            <w:r>
              <w:tab/>
            </w:r>
            <w:r>
              <w:t xml:space="preserve">Regista a evolução politicamente sensível relativa à empresa petrolífera e de gás Naftna Industrija Srbije (NIS) e à transformação da sua estrutura de propriedade, no contexto das sanções impostas pelos Estados Unidos e da aquisição de uma participação maioritária na NIS pelas empresas russas Gazprom e Gazprom Neft; </w:t>
            </w:r>
            <w:r>
              <w:rPr>
                <w:b/>
                <w:i/>
              </w:rPr>
              <w:t>regista o empenho e o apoio da UE e da Croácia no sentido de encontrar uma solução sustentável para esta crise;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495</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Regista a evolução politicamente sensível relativa à</w:t>
            </w:r>
            <w:r>
              <w:t xml:space="preserve"> empresa petrolífera e de gás Naftna Industrija Srbije (NIS) </w:t>
            </w:r>
            <w:r>
              <w:rPr>
                <w:b/>
                <w:i/>
              </w:rPr>
              <w:t>e à transformação da sua estrutura de propriedade</w:t>
            </w:r>
            <w:r>
              <w:t xml:space="preserve">, </w:t>
            </w:r>
            <w:r>
              <w:rPr>
                <w:b/>
                <w:i/>
              </w:rPr>
              <w:t>no contexto das sanções impostas pelos Estados Unidos e da aquisição de uma participação maioritária na NIS pelas</w:t>
            </w:r>
            <w:r>
              <w:t xml:space="preserve"> empresas russas Gazprom e Gazprom Neft;</w:t>
            </w:r>
          </w:p>
        </w:tc>
        <w:tc>
          <w:tcPr>
            <w:tcW w:w="4876" w:type="dxa"/>
            <w:tcBorders>
              <w:top w:val="nil"/>
              <w:left w:val="nil"/>
              <w:bottom w:val="nil"/>
              <w:right w:val="nil"/>
            </w:tcBorders>
          </w:tcPr>
          <w:p>
            <w:pPr>
              <w:pStyle w:val="Normal6a"/>
            </w:pPr>
            <w:r>
              <w:t>26.</w:t>
            </w:r>
            <w:r>
              <w:tab/>
            </w:r>
            <w:r>
              <w:rPr>
                <w:b/>
                <w:i/>
              </w:rPr>
              <w:t>Considera extremamente preocupante a estrutura de propriedade da</w:t>
            </w:r>
            <w:r>
              <w:t xml:space="preserve"> empresa petrolífera e de gás Naftna Industrija Srbije (NIS), </w:t>
            </w:r>
            <w:r>
              <w:rPr>
                <w:b/>
                <w:i/>
              </w:rPr>
              <w:t>na qual as</w:t>
            </w:r>
            <w:r>
              <w:t xml:space="preserve"> empresas russas Gazprom e Gazprom Neft </w:t>
            </w:r>
            <w:r>
              <w:rPr>
                <w:b/>
                <w:i/>
              </w:rPr>
              <w:t>exercem o controlo, e considera que tal situação está em total contradição com os interesses estratégicos e os objetivos de política energética da UE</w:t>
            </w:r>
            <w:r>
              <w:t xml:space="preserve">; </w:t>
            </w:r>
            <w:r>
              <w:rPr>
                <w:b/>
                <w:i/>
              </w:rPr>
              <w:t>acolhe com agrado as sanções impostas pelos Estados Unidos a este respeito;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496</w:t>
      </w:r>
      <w:r>
        <w:rPr>
          <w:rStyle w:val="HideTWBExt"/>
        </w:rPr>
        <w:t>&lt;/NumAm&gt;</w:t>
      </w:r>
    </w:p>
    <w:p>
      <w:pPr>
        <w:pStyle w:val="NormalBold"/>
      </w:pPr>
      <w:r>
        <w:rPr>
          <w:rStyle w:val="HideTWBExt"/>
          <w:b w:val="0"/>
        </w:rPr>
        <w:t>&lt;RepeatBlock-By&gt;</w:t>
      </w:r>
      <w:r>
        <w:rPr>
          <w:rStyle w:val="HideTWBExt"/>
          <w:b w:val="0"/>
        </w:rPr>
        <w:t>&lt;Members&gt;</w:t>
      </w:r>
      <w:r>
        <w:t>Hans Neuhoff</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rPr>
                <w:b/>
                <w:i/>
              </w:rPr>
              <w:t>Regista a</w:t>
            </w:r>
            <w:r>
              <w:t xml:space="preserve"> evolução </w:t>
            </w:r>
            <w:r>
              <w:rPr>
                <w:b/>
                <w:i/>
              </w:rPr>
              <w:t>politicamente sensível</w:t>
            </w:r>
            <w:r>
              <w:t xml:space="preserve"> relativa à </w:t>
            </w:r>
            <w:r>
              <w:rPr>
                <w:b/>
                <w:i/>
              </w:rPr>
              <w:t>empresa petrolífera e de gás Naftna Industrija Srbije (NIS) e à transformação da</w:t>
            </w:r>
            <w:r>
              <w:t xml:space="preserve"> sua estrutura de propriedade</w:t>
            </w:r>
            <w:r>
              <w:rPr>
                <w:b/>
                <w:i/>
              </w:rPr>
              <w:t>, no contexto das</w:t>
            </w:r>
            <w:r>
              <w:t xml:space="preserve"> sanções </w:t>
            </w:r>
            <w:r>
              <w:rPr>
                <w:b/>
                <w:i/>
              </w:rPr>
              <w:t>impostas pelos Estados Unidos e da aquisição de uma participação maioritária na NIS pelas empresas russas Gazprom e Gazprom Neft</w:t>
            </w:r>
            <w:r>
              <w:t>;</w:t>
            </w:r>
          </w:p>
        </w:tc>
        <w:tc>
          <w:tcPr>
            <w:tcW w:w="4876" w:type="dxa"/>
            <w:tcBorders>
              <w:top w:val="nil"/>
              <w:left w:val="nil"/>
              <w:bottom w:val="nil"/>
              <w:right w:val="nil"/>
            </w:tcBorders>
          </w:tcPr>
          <w:p>
            <w:pPr>
              <w:pStyle w:val="Normal6a"/>
            </w:pPr>
            <w:r>
              <w:t>26.</w:t>
            </w:r>
            <w:r>
              <w:tab/>
            </w:r>
            <w:r>
              <w:rPr>
                <w:b/>
                <w:i/>
              </w:rPr>
              <w:t>Toma nota da</w:t>
            </w:r>
            <w:r>
              <w:t xml:space="preserve"> evolução relativa à </w:t>
            </w:r>
            <w:r>
              <w:rPr>
                <w:b/>
                <w:i/>
              </w:rPr>
              <w:t>NIS e à</w:t>
            </w:r>
            <w:r>
              <w:t xml:space="preserve"> sua estrutura de propriedade</w:t>
            </w:r>
            <w:r>
              <w:rPr>
                <w:b/>
                <w:i/>
              </w:rPr>
              <w:t>;</w:t>
            </w:r>
            <w:r>
              <w:t xml:space="preserve"> </w:t>
            </w:r>
            <w:r>
              <w:rPr>
                <w:b/>
                <w:i/>
              </w:rPr>
              <w:t>recorda que o setor energético da Sérvia e os seus acordos de parceria refletem decisões soberanas em matéria de segurança energética;</w:t>
            </w:r>
            <w:r>
              <w:t xml:space="preserve"> </w:t>
            </w:r>
            <w:r>
              <w:rPr>
                <w:b/>
                <w:i/>
              </w:rPr>
              <w:t>salienta que os regimes de</w:t>
            </w:r>
            <w:r>
              <w:t xml:space="preserve"> sanções </w:t>
            </w:r>
            <w:r>
              <w:rPr>
                <w:b/>
                <w:i/>
              </w:rPr>
              <w:t>de países terceiros não criam automaticamente obrigações para os países candidatos à adesão à UE e não devem ser tratados como uma referência para a condicionalidade de adesão à UE</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497</w:t>
      </w:r>
      <w:r>
        <w:rPr>
          <w:rStyle w:val="HideTWBExt"/>
        </w:rPr>
        <w:t>&lt;/NumAm&gt;</w:t>
      </w:r>
    </w:p>
    <w:p>
      <w:pPr>
        <w:pStyle w:val="NormalBold"/>
      </w:pPr>
      <w:r>
        <w:rPr>
          <w:rStyle w:val="HideTWBExt"/>
          <w:b w:val="0"/>
        </w:rPr>
        <w:t>&lt;RepeatBlock-By&gt;</w:t>
      </w:r>
      <w:r>
        <w:rPr>
          <w:rStyle w:val="HideTWBExt"/>
          <w:b w:val="0"/>
        </w:rPr>
        <w:t>&lt;Members&gt;</w:t>
      </w:r>
      <w:r>
        <w:t>Ivaylo Valchev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Congratula-se com a proposta da Comissão de encetar negociações com a Albânia, a Bósnia-Herzegovina, o Kosovo, o Montenegro, a Macedónia do Norte e a Sérvia com vista à sua integração no regime de «Itinerância como em casa» da UE;</w:t>
            </w:r>
            <w:r>
              <w:t xml:space="preserve"> </w:t>
            </w:r>
            <w:r>
              <w:rPr>
                <w:b/>
                <w:i/>
              </w:rPr>
              <w:t>salienta que o alargamento da zona de «Itinerância como em casa» aos Balcãs Ocidentais traria benefícios concretos para os cidadãos e as empresas, promovendo os contactos interpessoais, reforçando as relações económicas, apoiando os intercâmbios educativos e facilitando o turismo;</w:t>
            </w:r>
            <w:r>
              <w:t xml:space="preserve"> </w:t>
            </w:r>
            <w:r>
              <w:rPr>
                <w:b/>
                <w:i/>
              </w:rPr>
              <w:t>observa que esta iniciativa se baseia nos acordos de itinerância voluntários já existentes e no acordo regional de itinerância dos Balcãs Ocidentais aprovado na Cimeira de Tirana; apela à rápida adoção dos mandatos de negociação e à conclusão atempada de acordos bilaterais com os parceiros dos Balcãs Ocidentais, a fim de garantir a sua integração rápida e eficaz na zona «Itinerância como em casa» da UE;</w:t>
            </w:r>
          </w:p>
        </w:tc>
      </w:tr>
    </w:tbl>
    <w:p>
      <w:pPr>
        <w:pStyle w:val="AmOrLang"/>
      </w:pPr>
      <w:r>
        <w:t xml:space="preserve">Or. </w:t>
      </w:r>
      <w:r>
        <w:rPr>
          <w:rStyle w:val="HideTWBExt"/>
        </w:rPr>
        <w:t>&lt;Original&gt;</w:t>
      </w:r>
      <w:r>
        <w:rPr>
          <w:rStyle w:val="HideTWBInt"/>
        </w:rPr>
        <w:t>{BG}</w:t>
      </w:r>
      <w:r>
        <w:t>bg</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498</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Lamenta que a Sérvia continue a celebrar acordos de gás com a Rússia, sem se alinhar com os objetivos da PESC da UE, aumentando assim a sua dependência estratégica de um único fornecedor;</w:t>
            </w:r>
            <w:r>
              <w:t xml:space="preserve"> </w:t>
            </w:r>
            <w:r>
              <w:rPr>
                <w:b/>
                <w:i/>
              </w:rPr>
              <w:t>insta as autoridades sérvias a intensificarem urgentemente os esforços para diversificar as fontes de aprovisionamento de gás, nomeadamente através do reforço da interconectividade regional, de investimentos em energias renováveis e do alinhamento com a estratégia de diversificação energética da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499</w:t>
      </w:r>
      <w:r>
        <w:rPr>
          <w:rStyle w:val="HideTWBExt"/>
        </w:rPr>
        <w:t>&lt;/NumAm&gt;</w:t>
      </w:r>
    </w:p>
    <w:p>
      <w:pPr>
        <w:pStyle w:val="NormalBold"/>
      </w:pPr>
      <w:r>
        <w:rPr>
          <w:rStyle w:val="HideTWBExt"/>
          <w:b w:val="0"/>
        </w:rPr>
        <w:t>&lt;RepeatBlock-By&gt;</w:t>
      </w:r>
      <w:r>
        <w:rPr>
          <w:rStyle w:val="HideTWBExt"/>
          <w:b w:val="0"/>
        </w:rPr>
        <w:t>&lt;Members&gt;</w:t>
      </w:r>
      <w:r>
        <w:t>Emmanouil Fragkos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Observa com preocupação a saída constante de cidadãos sérvios para o estrangeiro, o que poderá ter repercussões negativas no desenvolvimento económico e social do país;</w:t>
            </w:r>
            <w:r>
              <w:t xml:space="preserve"> </w:t>
            </w:r>
            <w:r>
              <w:rPr>
                <w:b/>
                <w:i/>
              </w:rPr>
              <w:t>exorta o Governo sérvio a adotar medidas específicas e eficazes para incentivar o regresso dos cidadãos sérvios, nomeadamente através da concessão de incentivos económicos adequados e da melhoria das condições de emprego e de vida;</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500</w:t>
      </w:r>
      <w:r>
        <w:rPr>
          <w:rStyle w:val="HideTWBExt"/>
        </w:rPr>
        <w:t>&lt;/NumAm&gt;</w:t>
      </w:r>
    </w:p>
    <w:p>
      <w:pPr>
        <w:pStyle w:val="NormalBold"/>
      </w:pPr>
      <w:r>
        <w:rPr>
          <w:rStyle w:val="HideTWBExt"/>
          <w:b w:val="0"/>
        </w:rPr>
        <w:t>&lt;RepeatBlock-By&gt;</w:t>
      </w:r>
      <w:r>
        <w:rPr>
          <w:rStyle w:val="HideTWBExt"/>
          <w:b w:val="0"/>
        </w:rPr>
        <w:t>&lt;Members&gt;</w:t>
      </w:r>
      <w:r>
        <w:t>Petras Auštrevičius, Lucia Yar, Dan Barna, Nathalie Loiseau</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Lamenta que, apesar dos esforços da Sérvia para diversificar o seu aprovisionamento energético para além da Rússia, as recentes conversações entre o presidente Vučić e Vladimir Putin tenham conduzido a um novo acordo de importação de gás com a Rússia, comprometendo os progressos do país no sentido do alinhamento com a política energética da UE e levantando sérias questões sobre o compromisso da Sérvia de reduzir a sua dependência estratégica de fontes de energia russas;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501</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Regista o bom nível de preparação da Sérvia no domínio da economia — segurança e estabilidade macroeconómicas, disciplina orçamental, estatísticas;</w:t>
            </w:r>
            <w:r>
              <w:t xml:space="preserve"> </w:t>
            </w:r>
            <w:r>
              <w:rPr>
                <w:b/>
                <w:i/>
              </w:rPr>
              <w:t>toma nota dos bons progressos em termos da Agenda Verde, da proteção do ambiente, das alterações climáticas e da rede transeuropeia;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502</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Considera que a recusa da Sérvia em aderir às sanções contra a Rússia constitui um desvio inadmissível da posição comum da UE e entende que tal compromete fundamentalmente a credibilidade do seu processo de adesão;</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503</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Reitera a importância de continuar a diversificar o aprovisionamento energético da Sérvia, a fim de reduzir a sua dependência da Rússia;</w:t>
            </w:r>
            <w:r>
              <w:t xml:space="preserve"> </w:t>
            </w:r>
            <w:r>
              <w:rPr>
                <w:b/>
                <w:i/>
              </w:rPr>
              <w:t>observa que a diversificação energética pode ser encarada como parte da orientação estratégica do país;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504</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Congratula-se com os esforços para desagregar a Srbijagas e fazer avançar as reformas destinadas a reforçar a independência energética e a diversificar as fontes de energia, nomeadamente reduzindo a dependência de fornecedores dominantes de países terceiros.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505</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Congratula-se com as medidas tomadas pelas autoridades sérvias, em 5 de abril de 2026, para prevenir o ataque terrorista contra o gasoduto servo-húngaro conhecido como «Turkish Stream», perto de Tresnjevac;</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506</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Lamenta os desafios demográficos enfrentados pela Sérvia devido ao envelhecimento da população e às baixas taxas de natalidade, exacerbadas pelo êxodo dos jovens impulsionado por incertezas políticas e dificuldades socioeconómicas;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507</w:t>
      </w:r>
      <w:r>
        <w:rPr>
          <w:rStyle w:val="HideTWBExt"/>
        </w:rPr>
        <w:t>&lt;/NumAm&gt;</w:t>
      </w:r>
    </w:p>
    <w:p>
      <w:pPr>
        <w:pStyle w:val="NormalBold"/>
      </w:pPr>
      <w:r>
        <w:rPr>
          <w:rStyle w:val="HideTWBExt"/>
          <w:b w:val="0"/>
        </w:rPr>
        <w:t>&lt;RepeatBlock-By&gt;</w:t>
      </w:r>
      <w:r>
        <w:rPr>
          <w:rStyle w:val="HideTWBExt"/>
          <w:b w:val="0"/>
        </w:rPr>
        <w:t>&lt;Members&gt;</w:t>
      </w:r>
      <w:r>
        <w:t>Annamária Vicsek, Kinga Gál, António Tânger Corrêa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Congratula-se com os esforços destinados a desagregar a Srbijagas e outras atividades no sentido da independência energética e da diversificação das fontes de energia.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508</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26-B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26-B.</w:t>
            </w:r>
            <w:r>
              <w:tab/>
            </w:r>
            <w:r>
              <w:rPr>
                <w:b/>
                <w:i/>
              </w:rPr>
              <w:t>Considera que a independência da Sérvia em relação à energia russa é um objetivo indispensável da política de segurança;</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509</w:t>
      </w:r>
      <w:r>
        <w:rPr>
          <w:rStyle w:val="HideTWBExt"/>
        </w:rPr>
        <w:t>&lt;/NumAm&gt;</w:t>
      </w:r>
    </w:p>
    <w:p>
      <w:pPr>
        <w:pStyle w:val="NormalBold"/>
      </w:pPr>
      <w:r>
        <w:rPr>
          <w:rStyle w:val="HideTWBExt"/>
          <w:b w:val="0"/>
        </w:rPr>
        <w:t>&lt;RepeatBlock-By&gt;</w:t>
      </w:r>
      <w:r>
        <w:rPr>
          <w:rStyle w:val="HideTWBExt"/>
          <w:b w:val="0"/>
        </w:rPr>
        <w:t>&lt;Members&gt;</w:t>
      </w:r>
      <w:r>
        <w:t>Emmanouil Fragkos, Galato Alexandraki, Geadis Geadi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Reitera a importância de proteger as normas ambientais na Sérvia, em particular no que concerne aos projetos de exploração mineira, no pleno respeito pelos direitos das comunidades locais;</w:t>
            </w:r>
          </w:p>
        </w:tc>
        <w:tc>
          <w:tcPr>
            <w:tcW w:w="4876" w:type="dxa"/>
            <w:tcBorders>
              <w:top w:val="nil"/>
              <w:left w:val="nil"/>
              <w:bottom w:val="nil"/>
              <w:right w:val="nil"/>
            </w:tcBorders>
          </w:tcPr>
          <w:p>
            <w:pPr>
              <w:pStyle w:val="Normal6a"/>
            </w:pPr>
            <w:r>
              <w:t>27.</w:t>
            </w:r>
            <w:r>
              <w:tab/>
            </w:r>
            <w:r>
              <w:t xml:space="preserve">Reitera a importância de proteger as normas ambientais na Sérvia, em particular no que concerne aos projetos de exploração mineira, no pleno respeito pelos direitos das comunidades locais; </w:t>
            </w:r>
            <w:r>
              <w:rPr>
                <w:b/>
                <w:i/>
              </w:rPr>
              <w:t>congratula-se com o Memorando de Entendimento entre a União Europeia e a República da Sérvia sobre uma parceria estratégica nos domínios das matérias-primas sustentáveis, das cadeias de valor das baterias e dos veículos elétricos.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510</w:t>
      </w:r>
      <w:r>
        <w:rPr>
          <w:rStyle w:val="HideTWBExt"/>
        </w:rPr>
        <w:t>&lt;/NumAm&gt;</w:t>
      </w:r>
    </w:p>
    <w:p>
      <w:pPr>
        <w:pStyle w:val="NormalBold"/>
      </w:pPr>
      <w:r>
        <w:rPr>
          <w:rStyle w:val="HideTWBExt"/>
          <w:b w:val="0"/>
        </w:rPr>
        <w:t>&lt;RepeatBlock-By&gt;</w:t>
      </w:r>
      <w:r>
        <w:rPr>
          <w:rStyle w:val="HideTWBExt"/>
          <w:b w:val="0"/>
        </w:rPr>
        <w:t>&lt;Members&gt;</w:t>
      </w:r>
      <w:r>
        <w:t>Loucas Fourlas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Reitera a importância de proteger as normas ambientais na Sérvia, em particular no que concerne aos projetos de exploração mineira, no pleno respeito pelos direitos das comunidades locais;</w:t>
            </w:r>
          </w:p>
        </w:tc>
        <w:tc>
          <w:tcPr>
            <w:tcW w:w="4876" w:type="dxa"/>
            <w:tcBorders>
              <w:top w:val="nil"/>
              <w:left w:val="nil"/>
              <w:bottom w:val="nil"/>
              <w:right w:val="nil"/>
            </w:tcBorders>
          </w:tcPr>
          <w:p>
            <w:pPr>
              <w:pStyle w:val="Normal6a"/>
            </w:pPr>
            <w:r>
              <w:t>27.</w:t>
            </w:r>
            <w:r>
              <w:tab/>
            </w:r>
            <w:r>
              <w:t xml:space="preserve">Reitera a importância de proteger as normas ambientais na Sérvia, em particular no que concerne aos projetos de exploração mineira, no pleno respeito pelos direitos das comunidades locais; </w:t>
            </w:r>
            <w:r>
              <w:rPr>
                <w:b/>
                <w:i/>
              </w:rPr>
              <w:t>congratula-se com o Memorando de Entendimento entre a União Europeia e a República da Sérvia sobre uma parceria estratégica nos domínios das matérias-primas sustentáveis, das cadeias de valor das baterias e dos veículos elétricos.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511</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Reitera a importância de </w:t>
            </w:r>
            <w:r>
              <w:rPr>
                <w:b/>
                <w:i/>
              </w:rPr>
              <w:t>proteger</w:t>
            </w:r>
            <w:r>
              <w:t xml:space="preserve"> as normas ambientais na Sérvia, em particular no que </w:t>
            </w:r>
            <w:r>
              <w:rPr>
                <w:b/>
                <w:i/>
              </w:rPr>
              <w:t>concerne</w:t>
            </w:r>
            <w:r>
              <w:t xml:space="preserve"> aos projetos de exploração mineira, </w:t>
            </w:r>
            <w:r>
              <w:rPr>
                <w:b/>
                <w:i/>
              </w:rPr>
              <w:t>no pleno respeito pelos</w:t>
            </w:r>
            <w:r>
              <w:t xml:space="preserve"> direitos das comunidades locais;</w:t>
            </w:r>
          </w:p>
        </w:tc>
        <w:tc>
          <w:tcPr>
            <w:tcW w:w="4876" w:type="dxa"/>
            <w:tcBorders>
              <w:top w:val="nil"/>
              <w:left w:val="nil"/>
              <w:bottom w:val="nil"/>
              <w:right w:val="nil"/>
            </w:tcBorders>
          </w:tcPr>
          <w:p>
            <w:pPr>
              <w:pStyle w:val="Normal6a"/>
            </w:pPr>
            <w:r>
              <w:t>27.</w:t>
            </w:r>
            <w:r>
              <w:tab/>
            </w:r>
            <w:r>
              <w:t xml:space="preserve">Reitera a importância de </w:t>
            </w:r>
            <w:r>
              <w:rPr>
                <w:b/>
                <w:i/>
              </w:rPr>
              <w:t>cumprir plenamente</w:t>
            </w:r>
            <w:r>
              <w:t xml:space="preserve"> as normas ambientais </w:t>
            </w:r>
            <w:r>
              <w:rPr>
                <w:b/>
                <w:i/>
              </w:rPr>
              <w:t>e de proteção da natureza</w:t>
            </w:r>
            <w:r>
              <w:t xml:space="preserve"> na Sérvia, em particular no que </w:t>
            </w:r>
            <w:r>
              <w:rPr>
                <w:b/>
                <w:i/>
              </w:rPr>
              <w:t>diz respeito</w:t>
            </w:r>
            <w:r>
              <w:t xml:space="preserve"> aos projetos de exploração mineira, </w:t>
            </w:r>
            <w:r>
              <w:rPr>
                <w:b/>
                <w:i/>
              </w:rPr>
              <w:t>nomeadamente também em zonas de elevado valor em termos de biodiversidade, como as zonas protegidas e as florestas seculares no leste da Sérvia, respeitando plenamente os</w:t>
            </w:r>
            <w:r>
              <w:t xml:space="preserve"> direitos das comunidades locais;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512</w:t>
      </w:r>
      <w:r>
        <w:rPr>
          <w:rStyle w:val="HideTWBExt"/>
        </w:rPr>
        <w:t>&lt;/NumAm&gt;</w:t>
      </w:r>
    </w:p>
    <w:p>
      <w:pPr>
        <w:pStyle w:val="NormalBold"/>
      </w:pPr>
      <w:r>
        <w:rPr>
          <w:rStyle w:val="HideTWBExt"/>
          <w:b w:val="0"/>
        </w:rPr>
        <w:t>&lt;RepeatBlock-By&gt;</w:t>
      </w:r>
      <w:r>
        <w:rPr>
          <w:rStyle w:val="HideTWBExt"/>
          <w:b w:val="0"/>
        </w:rPr>
        <w:t>&lt;Members&gt;</w:t>
      </w:r>
      <w:r>
        <w:t>Şerban Dimitrie Sturdza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Manifesta preocupação com a alegada degradação ambiental e o impacto social associados a projetos de extração em grande escala, nomeadamente na sequência da venda, em 2018, do complexo de extração e fusão RTB Bor à empresa chinesa Zijin, o que conduziu a uma intensificação da exploração de cobre, ouro e outros materiais raros nos municípios de Bor e Majdanpek;</w:t>
            </w:r>
            <w:r>
              <w:t xml:space="preserve"> </w:t>
            </w:r>
            <w:r>
              <w:rPr>
                <w:b/>
                <w:i/>
              </w:rPr>
              <w:t>sublinha que tais atividades suscitaram sérias preocupações quanto ao seu impacto nas comunidades locais, incluindo a deslocação de pessoas da minoria romena, alterando assim a composição étnica da zona e comprometendo as garantias constitucionais;</w:t>
            </w:r>
            <w:r>
              <w:t xml:space="preserve"> </w:t>
            </w:r>
            <w:r>
              <w:rPr>
                <w:b/>
                <w:i/>
              </w:rPr>
              <w:t>salienta que a Sérvia deve salvaguardar plenamente a sua ordem constitucional, assegurar o cumprimento rigoroso das normas ambientais e proteger os direitos das comunidades minoritárias locais e nacionais aquando da aprovação e execução desses projetos;</w:t>
            </w:r>
            <w:r>
              <w:t xml:space="preserve"> </w:t>
            </w:r>
            <w:r>
              <w:rPr>
                <w:b/>
                <w:i/>
              </w:rPr>
              <w:t>exorta as autoridades sérvias a assegurarem a plena transparência, a responsabilização e a diligência devida nos processos de adjudicação de contratos públicos, privatização e de concessão que envolvam empresas públicas estrangeiras, incluindo contratantes chineses;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513</w:t>
      </w:r>
      <w:r>
        <w:rPr>
          <w:rStyle w:val="HideTWBExt"/>
        </w:rPr>
        <w:t>&lt;/NumAm&gt;</w:t>
      </w:r>
    </w:p>
    <w:p>
      <w:pPr>
        <w:pStyle w:val="NormalBold"/>
      </w:pPr>
      <w:r>
        <w:rPr>
          <w:rStyle w:val="HideTWBExt"/>
          <w:b w:val="0"/>
        </w:rPr>
        <w:t>&lt;RepeatBlock-By&gt;</w:t>
      </w:r>
      <w:r>
        <w:rPr>
          <w:rStyle w:val="HideTWBExt"/>
          <w:b w:val="0"/>
        </w:rPr>
        <w:t>&lt;Members&gt;</w:t>
      </w:r>
      <w:r>
        <w:t>Vladimir Prebilič</w:t>
      </w:r>
      <w:r>
        <w:rPr>
          <w:rStyle w:val="HideTWBExt"/>
          <w:b w:val="0"/>
        </w:rPr>
        <w:t>&lt;/Members&gt;</w:t>
      </w:r>
    </w:p>
    <w:p>
      <w:r>
        <w:rPr>
          <w:rStyle w:val="HideTWBExt"/>
          <w:b w:val="0"/>
        </w:rPr>
        <w:t>&lt;AuNomDe&gt;</w:t>
      </w:r>
      <w:r>
        <w:rPr>
          <w:rStyle w:val="HideTWBInt"/>
        </w:rPr>
        <w:t>{Verts/ALE}</w:t>
      </w:r>
      <w:r>
        <w:t>em nome do Grupo Verts/ALE</w:t>
      </w:r>
      <w:r>
        <w:rPr>
          <w:rStyle w:val="HideTWBExt"/>
          <w:b w:val="0"/>
        </w:rPr>
        <w:t>&lt;/AuNomDe&gt;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Insta a Sérvia a acelerar o alinhamento com as Diretivas Aves e Habitats e a intensificar significativamente os esforços para identificar e pré-designar sítios para a rede Natura 2000, com vista a cumprir as obrigações fundamentais previstas no capítulo 27, bem como a expandir e gerir eficazmente as zonas protegidas, incluindo o reforço da aplicação da legislação contra os crimes contra a vida selvagem;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514</w:t>
      </w:r>
      <w:r>
        <w:rPr>
          <w:rStyle w:val="HideTWBExt"/>
        </w:rPr>
        <w:t>&lt;/NumAm&gt;</w:t>
      </w:r>
    </w:p>
    <w:p>
      <w:pPr>
        <w:pStyle w:val="NormalBold"/>
      </w:pPr>
      <w:r>
        <w:rPr>
          <w:rStyle w:val="HideTWBExt"/>
          <w:b w:val="0"/>
        </w:rPr>
        <w:t>&lt;RepeatBlock-By&gt;</w:t>
      </w:r>
      <w:r>
        <w:rPr>
          <w:rStyle w:val="HideTWBExt"/>
          <w:b w:val="0"/>
        </w:rPr>
        <w:t>&lt;Members&gt;</w:t>
      </w:r>
      <w:r>
        <w:t>Helmut Brandstätter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Exorta a Comissão a reconsiderar as novas regras do SES da UE que limitam a permanência na UE de camionistas do Montenegro, da Sérvia, da Bósnia-Herzegovina e da Macedónia do Norte a 90 dias ao longo de meio ano, ameaçando assim os meios de subsistência das pessoas nos países candidatos e potencialmente perturbando as cadeias de abastecimento na 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515</w:t>
      </w:r>
      <w:r>
        <w:rPr>
          <w:rStyle w:val="HideTWBExt"/>
        </w:rPr>
        <w:t>&lt;/NumAm&gt;</w:t>
      </w:r>
    </w:p>
    <w:p>
      <w:pPr>
        <w:pStyle w:val="NormalBold"/>
      </w:pPr>
      <w:r>
        <w:rPr>
          <w:rStyle w:val="HideTWBExt"/>
          <w:b w:val="0"/>
        </w:rPr>
        <w:t>&lt;RepeatBlock-By&gt;</w:t>
      </w:r>
      <w:r>
        <w:rPr>
          <w:rStyle w:val="HideTWBExt"/>
          <w:b w:val="0"/>
        </w:rPr>
        <w:t>&lt;Members&gt;</w:t>
      </w:r>
      <w:r>
        <w:t>Miriam Lexmann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Manifesta preocupação com os graves impactos ambientais e na saúde pública, incluindo a poluição do ar, do solo e da água, das atividades mineiras e industriais que envolvem investidores chineses, em particular as relacionadas com as operações da exploração mineira de Zijin na Sérvia;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516</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Sublinha que a propriedade estatal contínua das principais empresas do setor da energia é um ativo estratégico fundamental para a Sérvia, proporcionando um instrumento crucial para assegurar a soberania energética, proteger os cidadãos da volatilidade dos preços e gerir uma transição ecológica coordenada;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517</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Reitera o seu pesar pela falta de ação no que respeita à poluição do rio Dragovishtitsa pelas minas em funcionamento na região e aos efeitos prejudiciais para a saúde da população local e para 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518</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Insta a Sérvia a examinar e avaliar de forma adequada e transparente os investimentos provenientes de países terceiros, nomeadamente em termos de normas ambientais e de sustentabilidade;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519</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Exorta a Sérvia a implementar sem demora as medidas previstas no Memorando de Entendimento sobre a cooperação com a Bulgária no domínio da proteção do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520</w:t>
      </w:r>
      <w:r>
        <w:rPr>
          <w:rStyle w:val="HideTWBExt"/>
        </w:rPr>
        <w:t>&lt;/NumAm&gt;</w:t>
      </w:r>
    </w:p>
    <w:p>
      <w:pPr>
        <w:pStyle w:val="NormalBold"/>
      </w:pPr>
      <w:r>
        <w:rPr>
          <w:rStyle w:val="HideTWBExt"/>
          <w:b w:val="0"/>
        </w:rPr>
        <w:t>&lt;RepeatBlock-By&gt;</w:t>
      </w:r>
      <w:r>
        <w:rPr>
          <w:rStyle w:val="HideTWBExt"/>
          <w:b w:val="0"/>
        </w:rPr>
        <w:t>&lt;Members&gt;</w:t>
      </w:r>
      <w:r>
        <w:t>Geadis Geadi, Emmanouil Fragkos, Galato Alexandraki, 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Congratula-se com o Memorando de Entendimento UE-Sérvia, que deu início a uma parceria estratégica no domínio das matérias-primas sustentáveis, das cadeias de valor das baterias e dos veículos elétricos.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521</w:t>
      </w:r>
      <w:r>
        <w:rPr>
          <w:rStyle w:val="HideTWBExt"/>
        </w:rPr>
        <w:t>&lt;/NumAm&gt;</w:t>
      </w:r>
    </w:p>
    <w:p>
      <w:pPr>
        <w:pStyle w:val="NormalBold"/>
      </w:pPr>
      <w:r>
        <w:rPr>
          <w:rStyle w:val="HideTWBExt"/>
          <w:b w:val="0"/>
        </w:rPr>
        <w:t>&lt;RepeatBlock-By&gt;</w:t>
      </w:r>
      <w:r>
        <w:rPr>
          <w:rStyle w:val="HideTWBExt"/>
          <w:b w:val="0"/>
        </w:rPr>
        <w:t>&lt;Members&gt;</w:t>
      </w:r>
      <w:r>
        <w:t>Tomasz Froelich</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Incentiva a Sérvia a aprofundar a cooperação transfronteiriça com os países vizinhos, especialmente no domínio das infraestruturas rodoviárias transfronteiriças;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522</w:t>
      </w:r>
      <w:r>
        <w:rPr>
          <w:rStyle w:val="HideTWBExt"/>
        </w:rPr>
        <w:t>&lt;/NumAm&gt;</w:t>
      </w:r>
    </w:p>
    <w:p>
      <w:pPr>
        <w:pStyle w:val="NormalBold"/>
      </w:pPr>
      <w:r>
        <w:rPr>
          <w:rStyle w:val="HideTWBExt"/>
          <w:b w:val="0"/>
        </w:rPr>
        <w:t>&lt;RepeatBlock-By&gt;</w:t>
      </w:r>
      <w:r>
        <w:rPr>
          <w:rStyle w:val="HideTWBExt"/>
          <w:b w:val="0"/>
        </w:rPr>
        <w:t>&lt;Members&gt;</w:t>
      </w:r>
      <w:r>
        <w:t>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Adverte contra quaisquer novos processos de privatização não transparentes em setores estratégicos;</w:t>
            </w:r>
            <w:r>
              <w:t xml:space="preserve"> </w:t>
            </w:r>
            <w:r>
              <w:rPr>
                <w:b/>
                <w:i/>
              </w:rPr>
              <w:t>insta a Sérvia a assegurar que qualquer reestruturação ou corporatização de empresas públicas seja conduzida em plena conformidade com os princípios do diálogo social, garantindo a participação significativa dos sindicatos e dos representantes dos trabalhadores no processo de tomada de decisão, a fim de evitar a erosão dos direitos dos trabalhadores e a perda de controlo público sobre os serviços essenciais;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523</w:t>
      </w:r>
      <w:r>
        <w:rPr>
          <w:rStyle w:val="HideTWBExt"/>
        </w:rPr>
        <w:t>&lt;/NumAm&gt;</w:t>
      </w:r>
    </w:p>
    <w:p>
      <w:pPr>
        <w:pStyle w:val="NormalBold"/>
      </w:pPr>
      <w:r>
        <w:rPr>
          <w:rStyle w:val="HideTWBExt"/>
          <w:b w:val="0"/>
        </w:rPr>
        <w:t>&lt;RepeatBlock-By&gt;</w:t>
      </w:r>
      <w:r>
        <w:rPr>
          <w:rStyle w:val="HideTWBExt"/>
          <w:b w:val="0"/>
        </w:rPr>
        <w:t>&lt;Members&gt;</w:t>
      </w:r>
      <w:r>
        <w:t>Andrey Kovatchev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Reitera que são necessários mais progressos na cooperação transfronteiriça com os países vizinhos;</w:t>
            </w:r>
            <w:r>
              <w:t xml:space="preserve"> </w:t>
            </w:r>
            <w:r>
              <w:rPr>
                <w:b/>
                <w:i/>
              </w:rPr>
              <w:t>insta a Sérvia a iniciar a execução das atividades descritas no memorando de entendimento sobre a cooperação com a Bulgária em matéria de proteção do ambiente;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524</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Regista o montante considerável do apoio financeiro da UE à Sérvia;</w:t>
            </w:r>
            <w:r>
              <w:t xml:space="preserve"> </w:t>
            </w:r>
            <w:r>
              <w:rPr>
                <w:b/>
                <w:i/>
              </w:rPr>
              <w:t>convida a Comissão a assegurar a máxima rentabilidade do dinheiro dos contribuintes da UE e as condições necessárias para melhorar a competitividade estratégica das empresas da UE no mercado sérvio;</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525</w:t>
      </w:r>
      <w:r>
        <w:rPr>
          <w:rStyle w:val="HideTWBExt"/>
        </w:rPr>
        <w:t>&lt;/NumAm&gt;</w:t>
      </w:r>
    </w:p>
    <w:p>
      <w:pPr>
        <w:pStyle w:val="NormalBold"/>
      </w:pPr>
      <w:r>
        <w:rPr>
          <w:rStyle w:val="HideTWBExt"/>
          <w:b w:val="0"/>
        </w:rPr>
        <w:t>&lt;RepeatBlock-By&gt;</w:t>
      </w:r>
      <w:r>
        <w:rPr>
          <w:rStyle w:val="HideTWBExt"/>
          <w:b w:val="0"/>
        </w:rPr>
        <w:t>&lt;Members&gt;</w:t>
      </w:r>
      <w:r>
        <w:t>Stanislav Stoyanov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27-C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Salienta que a conectividade regional com a UE deve ser devidamente transposta e planeada para facilitar a promoção das empresas e dos investimentos, o que beneficiará as empresas e os contribuintes europeus;</w:t>
            </w:r>
            <w:r>
              <w:t xml:space="preserve"> </w:t>
            </w:r>
            <w:r>
              <w:rPr>
                <w:b/>
                <w:i/>
              </w:rPr>
              <w:t>insta a Sérvia a eliminar os obstáculos jurídicos e comerciais que impedem o funcionamento da interligação de gás entre a Sérvia e a Bulgária (IBS);</w:t>
            </w:r>
            <w:r>
              <w:t xml:space="preserve"> </w:t>
            </w:r>
            <w:r>
              <w:rPr>
                <w:b/>
                <w:i/>
              </w:rPr>
              <w:t>recorda que as redes transeuropeias de energia e de transportes reforçam a segurança do aprovisionamento, reduzem as dependências e reforçam as ligações económicas e interpessoais;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526</w:t>
      </w:r>
      <w:r>
        <w:rPr>
          <w:rStyle w:val="HideTWBExt"/>
        </w:rPr>
        <w:t>&lt;/NumAm&gt;</w:t>
      </w:r>
    </w:p>
    <w:p>
      <w:pPr>
        <w:pStyle w:val="NormalBold"/>
      </w:pPr>
      <w:r>
        <w:rPr>
          <w:rStyle w:val="HideTWBExt"/>
          <w:b w:val="0"/>
        </w:rPr>
        <w:t>&lt;RepeatBlock-By&gt;</w:t>
      </w:r>
      <w:r>
        <w:rPr>
          <w:rStyle w:val="HideTWBExt"/>
          <w:b w:val="0"/>
        </w:rPr>
        <w:t>&lt;Members&gt;</w:t>
      </w:r>
      <w:r>
        <w:t>Nathalie Loiseau, Dan Barna, Petras Auštrevičius,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Encarrega a sua Presidente de transmitir a presente resolução ao Presidente do Conselho Europeu, à Comissão, à </w:t>
            </w:r>
            <w:r>
              <w:rPr>
                <w:b/>
                <w:i/>
              </w:rPr>
              <w:t>Vice‑Presidente</w:t>
            </w:r>
            <w:r>
              <w:t xml:space="preserve"> da Comissão/Alta Representante da União para os Negócios Estrangeiros e a Política de Segurança, aos governos e parlamentos dos </w:t>
            </w:r>
            <w:r>
              <w:rPr>
                <w:b/>
                <w:i/>
              </w:rPr>
              <w:t>Estados‑Membros e ao</w:t>
            </w:r>
            <w:r>
              <w:t xml:space="preserve"> Presidente, ao Governo e à Assembleia Nacional da Sérvia</w:t>
            </w:r>
            <w:r>
              <w:rPr>
                <w:b/>
                <w:i/>
              </w:rPr>
              <w:t>.</w:t>
            </w:r>
          </w:p>
        </w:tc>
        <w:tc>
          <w:tcPr>
            <w:tcW w:w="4876" w:type="dxa"/>
            <w:tcBorders>
              <w:top w:val="nil"/>
              <w:left w:val="nil"/>
              <w:bottom w:val="nil"/>
              <w:right w:val="nil"/>
            </w:tcBorders>
          </w:tcPr>
          <w:p>
            <w:pPr>
              <w:pStyle w:val="Normal6a"/>
            </w:pPr>
            <w:r>
              <w:t>28.</w:t>
            </w:r>
            <w:r>
              <w:tab/>
            </w:r>
            <w:r>
              <w:t>Encarrega a sua Presidente de transmitir a presente resolução ao Presidente do Conselho Europeu, à Comissão, à </w:t>
            </w:r>
            <w:r>
              <w:rPr>
                <w:b/>
                <w:i/>
              </w:rPr>
              <w:t>Vice-Presidente</w:t>
            </w:r>
            <w:r>
              <w:t xml:space="preserve"> da Comissão/Alta Representante da União para os Negócios Estrangeiros e a Política de Segurança, aos governos e parlamentos dos </w:t>
            </w:r>
            <w:r>
              <w:rPr>
                <w:b/>
                <w:i/>
              </w:rPr>
              <w:t>Estados-Membros, à</w:t>
            </w:r>
            <w:r>
              <w:t xml:space="preserve"> Presidente, ao Governo e à Assembleia Nacional da Sérvia</w:t>
            </w:r>
            <w:r>
              <w:rPr>
                <w:b/>
                <w:i/>
              </w:rPr>
              <w:t>, e ao Presidente e ao Secretário-Geral da Organização para a Segurança e a Cooperação na Europa;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527</w:t>
      </w:r>
      <w:r>
        <w:rPr>
          <w:rStyle w:val="HideTWBExt"/>
        </w:rPr>
        <w:t>&lt;/NumAm&gt;</w:t>
      </w:r>
    </w:p>
    <w:p>
      <w:pPr>
        <w:pStyle w:val="NormalBold"/>
      </w:pPr>
      <w:r>
        <w:rPr>
          <w:rStyle w:val="HideTWBExt"/>
          <w:b w:val="0"/>
        </w:rPr>
        <w:t>&lt;RepeatBlock-By&gt;</w:t>
      </w:r>
      <w:r>
        <w:rPr>
          <w:rStyle w:val="HideTWBExt"/>
          <w:b w:val="0"/>
        </w:rPr>
        <w:t>&lt;Members&gt;</w:t>
      </w:r>
      <w:r>
        <w:t>Reinhold Lopatka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Encarrega a sua Presidente de transmitir a presente resolução ao Presidente do Conselho Europeu, à Comissão, à </w:t>
            </w:r>
            <w:r>
              <w:rPr>
                <w:b/>
                <w:i/>
              </w:rPr>
              <w:t>Vice‑Presidente</w:t>
            </w:r>
            <w:r>
              <w:t xml:space="preserve"> da Comissão/Alta Representante da União para os Negócios Estrangeiros e a Política de Segurança, aos governos e parlamentos dos </w:t>
            </w:r>
            <w:r>
              <w:rPr>
                <w:b/>
                <w:i/>
              </w:rPr>
              <w:t>Estados‑Membros</w:t>
            </w:r>
            <w:r>
              <w:t xml:space="preserve"> e ao Presidente, ao Governo e à Assembleia Nacional da Sérvia.</w:t>
            </w:r>
          </w:p>
        </w:tc>
        <w:tc>
          <w:tcPr>
            <w:tcW w:w="4876" w:type="dxa"/>
            <w:tcBorders>
              <w:top w:val="nil"/>
              <w:left w:val="nil"/>
              <w:bottom w:val="nil"/>
              <w:right w:val="nil"/>
            </w:tcBorders>
          </w:tcPr>
          <w:p>
            <w:pPr>
              <w:pStyle w:val="Normal6a"/>
            </w:pPr>
            <w:r>
              <w:t>28.</w:t>
            </w:r>
            <w:r>
              <w:tab/>
            </w:r>
            <w:r>
              <w:t xml:space="preserve">Encarrega a sua Presidente de transmitir a presente resolução ao Presidente do Conselho Europeu, à Comissão, à </w:t>
            </w:r>
            <w:r>
              <w:rPr>
                <w:b/>
                <w:i/>
              </w:rPr>
              <w:t>Vice-Presidente</w:t>
            </w:r>
            <w:r>
              <w:t xml:space="preserve"> da Comissão/Alta Representante da União para os Negócios Estrangeiros e a Política de Segurança, </w:t>
            </w:r>
            <w:r>
              <w:rPr>
                <w:b/>
                <w:i/>
              </w:rPr>
              <w:t>de traduzi-la para sérvio e de a enviar</w:t>
            </w:r>
            <w:r>
              <w:t xml:space="preserve"> aos governos e parlamentos dos </w:t>
            </w:r>
            <w:r>
              <w:rPr>
                <w:b/>
                <w:i/>
              </w:rPr>
              <w:t>Estados-Membros</w:t>
            </w:r>
            <w:r>
              <w:t xml:space="preserve"> e ao Presidente, ao Governo e à Assembleia Nacional da Sérvia.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528</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Salienta que uma das principais prioridades continua a ser a aplicação plena e adequada, na prática, da legislação recentemente adotada em matéria de avaliação de impacto ambiental (AIA) e de avaliação ambiental estratégica (AAE);</w:t>
            </w:r>
            <w:r>
              <w:t xml:space="preserve"> </w:t>
            </w:r>
            <w:r>
              <w:rPr>
                <w:b/>
                <w:i/>
              </w:rPr>
              <w:t>observa que, apesar dos progressos realizados em matéria de alinhamento legislativo, persistem preocupações no que diz respeito à transparência, à participação pública e ao risco de os projetos avançarem sem um controlo ambiental abrangente;</w:t>
            </w:r>
            <w:r>
              <w:t xml:space="preserve"> </w:t>
            </w:r>
            <w:r>
              <w:rPr>
                <w:b/>
                <w:i/>
              </w:rPr>
              <w:t>sublinha que uma aplicação eficaz é essencial para manter a credibilidade da governação ambiental;</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529</w:t>
      </w:r>
      <w:r>
        <w:rPr>
          <w:rStyle w:val="HideTWBExt"/>
        </w:rPr>
        <w:t>&lt;/NumAm&gt;</w:t>
      </w:r>
    </w:p>
    <w:p>
      <w:pPr>
        <w:pStyle w:val="NormalBold"/>
      </w:pPr>
      <w:r>
        <w:rPr>
          <w:rStyle w:val="HideTWBExt"/>
          <w:b w:val="0"/>
        </w:rPr>
        <w:t>&lt;RepeatBlock-By&gt;</w:t>
      </w:r>
      <w:r>
        <w:rPr>
          <w:rStyle w:val="HideTWBExt"/>
          <w:b w:val="0"/>
        </w:rPr>
        <w:t>&lt;Members&gt;</w:t>
      </w:r>
      <w:r>
        <w:t>Tonino Picula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28-A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28-A.</w:t>
            </w:r>
            <w:r>
              <w:tab/>
            </w:r>
            <w:r>
              <w:rPr>
                <w:b/>
                <w:i/>
              </w:rPr>
              <w:t>Congratula-se com a proposta da Comissão de encetar negociações para alargar o regime «itinerância como em casa» da UE aos Balcãs Ocidentais e apela a uma rápida conclusão das negociações;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530</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28-B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28-B.</w:t>
            </w:r>
            <w:r>
              <w:tab/>
            </w:r>
            <w:r>
              <w:rPr>
                <w:b/>
                <w:i/>
              </w:rPr>
              <w:t>Apela a que sejam envidados mais esforços para fazer avançar o alinhamento com as Diretivas Aves e Habitats e para acelerar a preparação da rede Natura 2000;</w:t>
            </w:r>
            <w:r>
              <w:t xml:space="preserve"> </w:t>
            </w:r>
            <w:r>
              <w:rPr>
                <w:b/>
                <w:i/>
              </w:rPr>
              <w:t>observa que os progressos na identificação e preparação dos locais continuam a ser limitados, o que pode atrasar o cumprimento, por parte da Sérvia, dos requisitos fundamentais em matéria de biodiversidade previstos no capítulo 27;</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Alteração</w:t>
      </w:r>
      <w:r>
        <w:tab/>
      </w:r>
      <w:r>
        <w:tab/>
      </w:r>
      <w:r>
        <w:rPr>
          <w:rStyle w:val="HideTWBExt"/>
        </w:rPr>
        <w:t>&lt;NumAm&gt;</w:t>
      </w:r>
      <w:r>
        <w:t>531</w:t>
      </w:r>
      <w:r>
        <w:rPr>
          <w:rStyle w:val="HideTWBExt"/>
        </w:rPr>
        <w:t>&lt;/NumAm&gt;</w:t>
      </w:r>
    </w:p>
    <w:p>
      <w:pPr>
        <w:pStyle w:val="NormalBold"/>
      </w:pPr>
      <w:r>
        <w:rPr>
          <w:rStyle w:val="HideTWBExt"/>
          <w:b w:val="0"/>
        </w:rPr>
        <w:t>&lt;RepeatBlock-By&gt;</w:t>
      </w:r>
      <w:r>
        <w:rPr>
          <w:rStyle w:val="HideTWBExt"/>
          <w:b w:val="0"/>
        </w:rPr>
        <w:t>&lt;Members&gt;</w:t>
      </w:r>
      <w:r>
        <w:t>Sebastian Everding, Danilo Della Valle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Proposta de resolução</w:t>
      </w:r>
      <w:r>
        <w:rPr>
          <w:rStyle w:val="HideTWBExt"/>
        </w:rPr>
        <w:t>&lt;/DocAmend&gt;</w:t>
      </w:r>
    </w:p>
    <w:p>
      <w:pPr>
        <w:pStyle w:val="NormalBold"/>
      </w:pPr>
      <w:r>
        <w:rPr>
          <w:rStyle w:val="HideTWBExt"/>
        </w:rPr>
        <w:t>&lt;Article&gt;</w:t>
      </w:r>
      <w:r>
        <w:t>N.º 28-C (novo)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Proposta de resolução</w:t>
            </w:r>
          </w:p>
        </w:tc>
        <w:tc>
          <w:tcPr>
            <w:tcW w:w="4876" w:type="dxa"/>
            <w:tcBorders>
              <w:top w:val="nil"/>
              <w:left w:val="nil"/>
              <w:bottom w:val="nil"/>
              <w:right w:val="nil"/>
            </w:tcBorders>
          </w:tcPr>
          <w:p>
            <w:pPr>
              <w:pStyle w:val="AmColumnHeading"/>
            </w:pPr>
            <w:r>
              <w:t>Alteração</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28-C.</w:t>
            </w:r>
            <w:r>
              <w:tab/>
            </w:r>
            <w:r>
              <w:rPr>
                <w:b/>
                <w:i/>
              </w:rPr>
              <w:t>Manifesta preocupação com as crescentes pressões das indústrias extrativas sobre zonas de biodiversidade de elevado valor, incluindo zonas protegidas e ecossistemas florestais seculares;</w:t>
            </w:r>
            <w:r>
              <w:t xml:space="preserve"> </w:t>
            </w:r>
            <w:r>
              <w:rPr>
                <w:b/>
                <w:i/>
              </w:rPr>
              <w:t>salienta a importância de assegurar que essas zonas sejam efetivamente salvaguardadas e que nenhum projeto seja autorizado sem o pleno cumprimento da legislação ambiental e de procedimentos de avaliação sólidos.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786.972</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82</w:t>
    </w:r>
    <w:r>
      <w:fldChar w:fldCharType="end"/>
    </w:r>
    <w:r>
      <w:t>/</w:t>
    </w:r>
    <w:r>
      <w:fldChar w:fldCharType="begin"/>
    </w:r>
    <w:r>
      <w:instrText xml:space="preserve"> NUMPAGES </w:instrText>
    </w:r>
    <w:r>
      <w:fldChar w:fldCharType="separate"/>
    </w:r>
    <w:r>
      <w:t>82</w:t>
    </w:r>
    <w:r>
      <w:fldChar w:fldCharType="end"/>
    </w:r>
    <w:r>
      <w:tab/>
    </w:r>
    <w:r>
      <w:rPr>
        <w:rStyle w:val="HideTWBExt"/>
      </w:rPr>
      <w:t>&lt;PathFdR&gt;</w:t>
    </w:r>
    <w:r>
      <w:t>AM\1341076PT.docx</w:t>
    </w:r>
    <w:r>
      <w:rPr>
        <w:rStyle w:val="HideTWBExt"/>
      </w:rPr>
      <w:t>&lt;/PathFdR&gt;</w:t>
    </w:r>
  </w:p>
  <w:p>
    <w:pPr>
      <w:pStyle w:val="EPFooter2"/>
    </w:pPr>
    <w:r>
      <w:t>PT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AM\1341076PT.docx</w:t>
    </w:r>
    <w:r>
      <w:rPr>
        <w:rStyle w:val="HideTWBExt"/>
      </w:rPr>
      <w:t>&lt;/PathFdR&gt;</w:t>
    </w:r>
    <w:r>
      <w:tab/>
    </w:r>
    <w:r>
      <w:fldChar w:fldCharType="begin"/>
    </w:r>
    <w:r>
      <w:instrText xml:space="preserve"> PAGE </w:instrText>
    </w:r>
    <w:r>
      <w:fldChar w:fldCharType="separate"/>
    </w:r>
    <w:r>
      <w:t>81</w:t>
    </w:r>
    <w:r>
      <w:fldChar w:fldCharType="end"/>
    </w:r>
    <w:r>
      <w:t>/</w:t>
    </w:r>
    <w:r>
      <w:fldChar w:fldCharType="begin"/>
    </w:r>
    <w:r>
      <w:instrText xml:space="preserve"> NUMPAGES </w:instrText>
    </w:r>
    <w:r>
      <w:fldChar w:fldCharType="separate"/>
    </w:r>
    <w:r>
      <w:t>82</w:t>
    </w:r>
    <w:r>
      <w:fldChar w:fldCharType="end"/>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ab/>
    </w:r>
    <w:r>
      <w:tab/>
    </w:r>
    <w:r>
      <w:t>PT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AM\1341076PT.docx</w:t>
    </w:r>
    <w:r>
      <w:rPr>
        <w:rStyle w:val="HideTWBExt"/>
      </w:rPr>
      <w:t>&lt;/PathFdR&gt;</w:t>
    </w:r>
    <w:r>
      <w:tab/>
    </w:r>
    <w:r>
      <w:tab/>
    </w:r>
    <w:r>
      <w:t>PE</w:t>
    </w:r>
    <w:r>
      <w:rPr>
        <w:rStyle w:val="HideTWBExt"/>
      </w:rPr>
      <w:t>&lt;NoPE&gt;</w:t>
    </w:r>
    <w:r>
      <w:t>786.972</w:t>
    </w:r>
    <w:r>
      <w:rPr>
        <w:rStyle w:val="HideTWBExt"/>
      </w:rPr>
      <w:t>&lt;/NoPE&gt;</w:t>
    </w:r>
    <w:r>
      <w:rPr>
        <w:rStyle w:val="HideTWBExt"/>
      </w:rPr>
      <w:t>&lt;Version&gt;</w:t>
    </w:r>
    <w:r>
      <w:t>v01-00</w:t>
    </w:r>
    <w:r>
      <w:rPr>
        <w:rStyle w:val="HideTWBExt"/>
      </w:rPr>
      <w:t>&lt;/Version&gt;</w:t>
    </w:r>
  </w:p>
  <w:p>
    <w:pPr>
      <w:pStyle w:val="EPFooter2"/>
    </w:pPr>
    <w:r>
      <w:t>PT</w:t>
    </w:r>
    <w:r>
      <w:tab/>
    </w:r>
    <w:r>
      <w:rPr>
        <w:rStyle w:val="EPFooter2Motto"/>
      </w:rPr>
      <w:t>Unida na diversidade</w:t>
    </w:r>
    <w:r>
      <w:tab/>
    </w:r>
    <w:r>
      <w:t>PT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t-P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82</Pages>
  <Words>16205</Words>
  <Characters>90075</Characters>
  <Application>Microsoft Office Word</Application>
  <DocSecurity>0</DocSecurity>
  <Lines>1</Lines>
  <Paragraphs>1349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105095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1341076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490505</vt:lpwstr>
  </property>
  <property fmtid="{D5CDD505-2E9C-101B-9397-08002B2CF9AE}" pid="7" name="dmxml.render.traceId">
    <vt:lpwstr>6a09dbb911de4cc7b9edf3e56e73eefa</vt:lpwstr>
  </property>
  <property fmtid="{D5CDD505-2E9C-101B-9397-08002B2CF9AE}" pid="8" name="FooterPath">
    <vt:lpwstr>AM\1341076PT.docx</vt:lpwstr>
  </property>
  <property fmtid="{D5CDD505-2E9C-101B-9397-08002B2CF9AE}" pid="9" name="PE Number">
    <vt:lpwstr>786.972</vt:lpwstr>
  </property>
  <property fmtid="{D5CDD505-2E9C-101B-9397-08002B2CF9AE}" pid="10" name="UID">
    <vt:lpwstr>eu.europa.europarl-DIN1-2026-0000095280_02.00-pt-01.00_text-xml</vt:lpwstr>
  </property>
</Properties>
</file>