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Raportul Comisiei din 2025 privind Serbia</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îndeamnă autoritățile sârbe să extindă disponibilitatea serviciilor publice de radiodifuziune în toate limbile minorităților din întreaga țară, asigurând accesul egal la mass-media pentru toate comunitățile, bazându-se în același timp pe bunele practici din regiunea Voivodina;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invită autoritățile sârbe, în contextul procesului de aderare a Serbiei la UE, să acorde prioritate punerii în aplicare depline, eficace și coerente a cadrului juridic și de politică existent pentru protecția persoanelor care aparțin minorităților naționale, în conformitate cu obligațiile care îi revin acestei țări în temeiul Convenției-cadru a Consiliului Europei pentru protecția minorităților naționale și cu respectarea standardelor europene relevante;</w:t>
            </w:r>
            <w:r>
              <w:t xml:space="preserve"> </w:t>
            </w:r>
            <w:r>
              <w:rPr>
                <w:b/>
                <w:i/>
              </w:rPr>
              <w:t>îndeamnă autoritățile să asigure progrese concrete și măsurabile în toate sectoarele-cheie, inclusiv în educație, administrația publică, accesul la mass-media și libertatea religioasă, prin consolidarea mecanismelor de asigurare a respectării legii, prevenirea practicilor discriminatorii și stabilirea unor termene clare, monitorizarea periodică și raportarea transparentă, pentru a garanta exercitarea efectivă a drepturilor minorităților în practică;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își reiterează îngrijorarea cu privire la aplicarea restrictivă și arbitrară a Legii privind șederea permanentă și temporară legată de inactivarea adresei a mii de albanezi în sudul Serbiei;</w:t>
            </w:r>
            <w:r>
              <w:t xml:space="preserve"> </w:t>
            </w:r>
            <w:r>
              <w:rPr>
                <w:b/>
                <w:i/>
              </w:rPr>
              <w:t>solicită Departamentului de control intern al Ministerului de Interne și Parchetului să investigheze acțiunile secțiilor de poliție din Bujanovac, Preševo și Medveđa;</w:t>
            </w:r>
            <w:r>
              <w:t xml:space="preserve"> </w:t>
            </w:r>
            <w:r>
              <w:rPr>
                <w:b/>
                <w:i/>
              </w:rPr>
              <w:t>îndeamnă Ministerul de Interne să publice cât mai curând posibil statistici cuprinzătoare privind cetățenii a căror adresă a fost inactivată în perioada 2011-2024 în Medveđa, Bujanovac și Preševo, defalcate în funcție de naționalitate/etnie;</w:t>
            </w:r>
            <w:r>
              <w:t xml:space="preserve"> </w:t>
            </w:r>
            <w:r>
              <w:rPr>
                <w:b/>
                <w:i/>
              </w:rPr>
              <w:t>subliniază că Ministerul administrației publice și al administrației autonome locale trebuie să stopeze procesul de eliminare a cetățenilor cu adrese inactivate din registrul electoral unificat;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regretă în termenii cei mai fermi recentele acțiuni intruzive ale poliției în incinta universităților, inclusiv perchezițiile și confiscarea documentației interne și anchetarea rectorului Universității din Belgrad Vladan Đokić, care a fost difuzată în direct pe canale de televiziune proguvernamentale, indicând un nivel de instrumentalizare politică incompatibil cu principiile autonomiei instituționale, respectării garanțiilor procedurale și statului de drept;</w:t>
            </w:r>
            <w:r>
              <w:t xml:space="preserve"> </w:t>
            </w:r>
            <w:r>
              <w:rPr>
                <w:b/>
                <w:i/>
              </w:rPr>
              <w:t>invită autoritățile competente să efectueze o anchetă focalizată, transparentă și întemeiată din punct de vedere juridic în urma decesului tragic al unui student la Facultatea de Filozofie;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reiterează faptul că relațiile de bună vecinătate și cooperarea regională sunt în continuare elemente esențiale ale procesului de extindere;</w:t>
            </w:r>
            <w:r>
              <w:t xml:space="preserve"> </w:t>
            </w:r>
            <w:r>
              <w:rPr>
                <w:b/>
                <w:i/>
              </w:rPr>
              <w:t>invită Serbia să pună capăt restricțiilor de intrare pentru activiștii și artiștii societății civile regionale, deoarece astfel de practici subminează dialogul și cooperarea regională;</w:t>
            </w:r>
            <w:r>
              <w:t xml:space="preserve"> </w:t>
            </w:r>
            <w:r>
              <w:rPr>
                <w:b/>
                <w:i/>
              </w:rPr>
              <w:t>subliniază că este important ca Serbia să dezvolte relații de bună vecinătate, să pună în practică acorduri bilaterale și să soluționeze problemele bilaterale nerezolvate cu vecinii săi;</w:t>
            </w:r>
            <w:r>
              <w:t xml:space="preserve"> </w:t>
            </w:r>
            <w:r>
              <w:rPr>
                <w:b/>
                <w:i/>
              </w:rPr>
              <w:t>ia act de participarea Serbiei la inițiativele regionale și de implicarea sa activă în Planul de creștere pentru Balcanii de Vest și în piața regională comună;</w:t>
            </w:r>
            <w:r>
              <w:t xml:space="preserve"> </w:t>
            </w:r>
            <w:r>
              <w:rPr>
                <w:b/>
                <w:i/>
              </w:rPr>
              <w:t>evidențiază faptul că respectarea drepturilor minorităților naționale este o condiție esențială pentru progresul Serbiei pe calea sa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reiterează faptul că Serbia nu trebuie să influențeze politica internă a țărilor învecinate din Balcanii de Vest, inclusiv în ceea ce privește sărbătorirea neconstituțională a Zilei Republicii Srpska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18i.</w:t>
            </w:r>
            <w:r>
              <w:tab/>
            </w:r>
            <w:r>
              <w:rPr>
                <w:b/>
                <w:i/>
              </w:rPr>
              <w:t>reiterează faptul că Serbia nu trebuie să mai influențeze politica internă a țărilor învecinate din Balcanii de Vest, inclusiv în ceea ce privește sărbătorirea neconstituțională a Zilei Republicii Srpska în Bosnia și Herțegovina și punerea sub semnul întrebării a hotărârilor judecătorești din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j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18j.</w:t>
            </w:r>
            <w:r>
              <w:tab/>
            </w:r>
            <w:r>
              <w:rPr>
                <w:b/>
                <w:i/>
              </w:rPr>
              <w:t>își exprimă îngrijorarea cu privire la discursul promovat de autoritățile sârbe, care prezintă țările învecinate ca fiind o amenințare militară iminentă la adresa Serbiei;</w:t>
            </w:r>
            <w:r>
              <w:t xml:space="preserve"> </w:t>
            </w:r>
            <w:r>
              <w:rPr>
                <w:b/>
                <w:i/>
              </w:rPr>
              <w:t>subliniază că o astfel de retorică riscă să escaladeze inutil tensiunile din regiune și să submineze relațiile de bună vecinătate;</w:t>
            </w:r>
            <w:r>
              <w:t xml:space="preserve"> </w:t>
            </w:r>
            <w:r>
              <w:rPr>
                <w:b/>
                <w:i/>
              </w:rPr>
              <w:t>invită autoritățile sârbe să se abțină de la discursuri destabilizatoare și să se implice în mod constructiv în dialogul și cooperarea regională în materie de securitate, în conformitate cu valorile și angajamentele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așteaptă din partea Serbiei și a Kosovo</w:t>
            </w:r>
            <w:r>
              <w:t xml:space="preserve"> să coopereze </w:t>
            </w:r>
            <w:r>
              <w:rPr>
                <w:b/>
                <w:i/>
              </w:rPr>
              <w:t>pe deplin și să ia toate măsurile necesare</w:t>
            </w:r>
            <w:r>
              <w:t xml:space="preserve"> pentru </w:t>
            </w:r>
            <w:r>
              <w:rPr>
                <w:b/>
                <w:i/>
              </w:rPr>
              <w:t>a-i aduce rapid în fața justiției pe autorii atacului terorist</w:t>
            </w:r>
            <w:r>
              <w:t xml:space="preserve"> de la Banjska din 2023</w:t>
            </w:r>
            <w:r>
              <w:rPr>
                <w:b/>
                <w:i/>
              </w:rPr>
              <w:t>;</w:t>
            </w:r>
            <w:r>
              <w:t xml:space="preserve"> </w:t>
            </w:r>
            <w:r>
              <w:rPr>
                <w:b/>
                <w:i/>
              </w:rPr>
              <w:t>regretă că Serbia încă nu i-a urmărit penal pe autori, în special pe Milan Radoičić, vicepreședintele Srpska Lista</w:t>
            </w:r>
            <w:r>
              <w:t>;</w:t>
            </w:r>
          </w:p>
        </w:tc>
        <w:tc>
          <w:tcPr>
            <w:tcW w:w="4876" w:type="dxa"/>
            <w:tcBorders>
              <w:top w:val="nil"/>
              <w:left w:val="nil"/>
              <w:bottom w:val="nil"/>
              <w:right w:val="nil"/>
            </w:tcBorders>
          </w:tcPr>
          <w:p>
            <w:pPr>
              <w:pStyle w:val="Normal6a"/>
            </w:pPr>
            <w:r>
              <w:t>19.</w:t>
            </w:r>
            <w:r>
              <w:tab/>
            </w:r>
            <w:r>
              <w:rPr>
                <w:b/>
                <w:i/>
              </w:rPr>
              <w:t>invită toate părțile</w:t>
            </w:r>
            <w:r>
              <w:t xml:space="preserve"> să coopereze pentru </w:t>
            </w:r>
            <w:r>
              <w:rPr>
                <w:b/>
                <w:i/>
              </w:rPr>
              <w:t>a stabili faptele complete legate de incidentul</w:t>
            </w:r>
            <w:r>
              <w:t xml:space="preserve"> de la Banjska din 2023 </w:t>
            </w:r>
            <w:r>
              <w:rPr>
                <w:b/>
                <w:i/>
              </w:rPr>
              <w:t>prin proceduri judiciare legale;</w:t>
            </w:r>
            <w:r>
              <w:t xml:space="preserve"> </w:t>
            </w:r>
            <w:r>
              <w:rPr>
                <w:b/>
                <w:i/>
              </w:rPr>
              <w:t>reamintește că procedurile penale trebuie să respecte principiul unui proces echitabil și prezumția de nevinovăție;</w:t>
            </w:r>
            <w:r>
              <w:t xml:space="preserve"> </w:t>
            </w:r>
            <w:r>
              <w:rPr>
                <w:b/>
                <w:i/>
              </w:rPr>
              <w:t>subliniază că procedurile judiciare țin de competența exclusivă a autorităților naționale ale Serbiei și nu trebuie să fie supuse niciunei presiuni politice externe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așteaptă din partea Serbiei </w:t>
            </w:r>
            <w:r>
              <w:rPr>
                <w:b/>
                <w:i/>
              </w:rPr>
              <w:t>și a Kosovo să coopereze pe deplin și</w:t>
            </w:r>
            <w:r>
              <w:t xml:space="preserve"> să ia toate măsurile necesare pentru a-i aduce rapid în fața justiției pe autorii atacului terorist de la Banjska din 2023; regretă că Serbia încă nu i-a urmărit penal pe autori, în special pe Milan Radoičić, </w:t>
            </w:r>
            <w:r>
              <w:rPr>
                <w:b/>
                <w:i/>
              </w:rPr>
              <w:t>vicepreședintele</w:t>
            </w:r>
            <w:r>
              <w:t xml:space="preserve"> Srpska Lista;</w:t>
            </w:r>
          </w:p>
        </w:tc>
        <w:tc>
          <w:tcPr>
            <w:tcW w:w="4876" w:type="dxa"/>
            <w:tcBorders>
              <w:top w:val="nil"/>
              <w:left w:val="nil"/>
              <w:bottom w:val="nil"/>
              <w:right w:val="nil"/>
            </w:tcBorders>
          </w:tcPr>
          <w:p>
            <w:pPr>
              <w:pStyle w:val="Normal6a"/>
            </w:pPr>
            <w:r>
              <w:t>19.</w:t>
            </w:r>
            <w:r>
              <w:tab/>
            </w:r>
            <w:r>
              <w:t xml:space="preserve">așteaptă din partea Serbiei să ia toate măsurile necesare </w:t>
            </w:r>
            <w:r>
              <w:rPr>
                <w:b/>
                <w:i/>
              </w:rPr>
              <w:t>și să coopereze pe deplin cu Kosovo</w:t>
            </w:r>
            <w:r>
              <w:t xml:space="preserve"> pentru a-i aduce </w:t>
            </w:r>
            <w:r>
              <w:rPr>
                <w:b/>
                <w:i/>
              </w:rPr>
              <w:t>în cele din urmă</w:t>
            </w:r>
            <w:r>
              <w:t xml:space="preserve"> rapid în fața justiției pe autorii atacului terorist de la Banjska din 2023; regretă că Serbia încă nu i-a urmărit penal pe autori, în special pe Milan Radoičić, </w:t>
            </w:r>
            <w:r>
              <w:rPr>
                <w:b/>
                <w:i/>
              </w:rPr>
              <w:t>fostul vicepreședinte al</w:t>
            </w:r>
            <w:r>
              <w:t xml:space="preserve">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așteaptă din partea Serbiei și a Kosovo să coopereze pe deplin și să ia toate măsurile necesare pentru a-i aduce rapid în fața justiției pe autorii atacului terorist de la Banjska din 2023; regretă că Serbia încă nu i-a urmărit penal pe autori, în special pe Milan Radoičić, vicepreședintele Srpska Lista;</w:t>
            </w:r>
          </w:p>
        </w:tc>
        <w:tc>
          <w:tcPr>
            <w:tcW w:w="4876" w:type="dxa"/>
            <w:tcBorders>
              <w:top w:val="nil"/>
              <w:left w:val="nil"/>
              <w:bottom w:val="nil"/>
              <w:right w:val="nil"/>
            </w:tcBorders>
          </w:tcPr>
          <w:p>
            <w:pPr>
              <w:pStyle w:val="Normal6a"/>
            </w:pPr>
            <w:r>
              <w:t>19.</w:t>
            </w:r>
            <w:r>
              <w:tab/>
            </w:r>
            <w:r>
              <w:t>așteaptă din partea Serbiei și a Kosovo</w:t>
            </w:r>
            <w:r>
              <w:rPr>
                <w:b/>
                <w:i/>
              </w:rPr>
              <w:t>*</w:t>
            </w:r>
            <w:r>
              <w:rPr>
                <w:b/>
                <w:i/>
                <w:vertAlign w:val="superscript"/>
              </w:rPr>
              <w:t>1a</w:t>
            </w:r>
            <w:r>
              <w:t xml:space="preserve"> să coopereze pe deplin și să ia toate măsurile necesare pentru a-i aduce rapid în fața justiției pe autorii atacului terorist de la Banjska din 2023; regretă că Serbia încă nu i-a urmărit penal pe autori, în special pe Milan Radoičić, vicepreședintele Srpska Lista;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Această denumire nu aduce atingere pozițiilor privind statutul și este conformă cu Rezoluția 1244/99 a Consiliului de Securitate al ONU și cu Avizul CIJ privind declarația de independență a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atacului terorist de la Banjska din 2023; regretă că Serbia încă nu i-a urmărit penal pe autori, în special pe Milan Radoičić, </w:t>
            </w:r>
            <w:r>
              <w:rPr>
                <w:b/>
                <w:i/>
              </w:rPr>
              <w:t>vicepreședintele</w:t>
            </w:r>
            <w:r>
              <w:t xml:space="preserve"> Srpska Lista;</w:t>
            </w:r>
          </w:p>
        </w:tc>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atacului terorist de la Banjska din 2023; regretă că Serbia încă nu i-a urmărit penal pe autori, în special pe Milan Radoičić, </w:t>
            </w:r>
            <w:r>
              <w:rPr>
                <w:b/>
                <w:i/>
              </w:rPr>
              <w:t>fostul vicepreședinte al</w:t>
            </w:r>
            <w:r>
              <w:t xml:space="preserve">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așteaptă din partea Serbiei și a Kosovo să coopereze pe deplin și să ia toate măsurile necesare pentru a-i aduce rapid în fața justiției pe autorii atacului terorist de la Banjska din 2023; regretă că Serbia încă nu i-a urmărit penal pe autori, în special pe Milan Radoičić</w:t>
            </w:r>
            <w:r>
              <w:rPr>
                <w:b/>
                <w:i/>
              </w:rPr>
              <w:t>, vicepreședintele Srpska Lista</w:t>
            </w:r>
            <w:r>
              <w:t>;</w:t>
            </w:r>
          </w:p>
        </w:tc>
        <w:tc>
          <w:tcPr>
            <w:tcW w:w="4876" w:type="dxa"/>
            <w:tcBorders>
              <w:top w:val="nil"/>
              <w:left w:val="nil"/>
              <w:bottom w:val="nil"/>
              <w:right w:val="nil"/>
            </w:tcBorders>
          </w:tcPr>
          <w:p>
            <w:pPr>
              <w:pStyle w:val="Normal6a"/>
            </w:pPr>
            <w:r>
              <w:t>19.</w:t>
            </w:r>
            <w:r>
              <w:tab/>
            </w:r>
            <w:r>
              <w:t>așteaptă din partea Serbiei și a Kosovo să coopereze pe deplin și să ia toate măsurile necesare pentru a-i aduce rapid în fața justiției pe autorii atacului terorist de la Banjska din 2023; regretă că Serbia încă nu i-a urmărit penal pe autori, în special pe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w:t>
            </w:r>
            <w:r>
              <w:rPr>
                <w:b/>
                <w:i/>
              </w:rPr>
              <w:t>atacului terorist</w:t>
            </w:r>
            <w:r>
              <w:t xml:space="preserve"> de la Banjska din 2023; regretă că Serbia încă nu i-a urmărit penal pe autori, în special pe Milan Radoičić, </w:t>
            </w:r>
            <w:r>
              <w:rPr>
                <w:b/>
                <w:i/>
              </w:rPr>
              <w:t>vicepreședintele</w:t>
            </w:r>
            <w:r>
              <w:t xml:space="preserve"> Srpska Lista;</w:t>
            </w:r>
          </w:p>
        </w:tc>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w:t>
            </w:r>
            <w:r>
              <w:rPr>
                <w:b/>
                <w:i/>
              </w:rPr>
              <w:t>incidentului</w:t>
            </w:r>
            <w:r>
              <w:t xml:space="preserve"> de la Banjska din 2023; regretă că Serbia încă nu i-a urmărit penal pe autori, în special pe Milan Radoičić, </w:t>
            </w:r>
            <w:r>
              <w:rPr>
                <w:b/>
                <w:i/>
              </w:rPr>
              <w:t>fostul vicepreședinte al</w:t>
            </w:r>
            <w:r>
              <w:t xml:space="preserve">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atacului terorist de la Banjska din 2023; </w:t>
            </w:r>
            <w:r>
              <w:rPr>
                <w:b/>
                <w:i/>
              </w:rPr>
              <w:t>regretă</w:t>
            </w:r>
            <w:r>
              <w:t xml:space="preserve"> că Serbia încă nu i-a urmărit penal pe autori, în special pe Milan Radoičić, vicepreședintele Srpska Lista;</w:t>
            </w:r>
          </w:p>
        </w:tc>
        <w:tc>
          <w:tcPr>
            <w:tcW w:w="4876" w:type="dxa"/>
            <w:tcBorders>
              <w:top w:val="nil"/>
              <w:left w:val="nil"/>
              <w:bottom w:val="nil"/>
              <w:right w:val="nil"/>
            </w:tcBorders>
          </w:tcPr>
          <w:p>
            <w:pPr>
              <w:pStyle w:val="Normal6a"/>
            </w:pPr>
            <w:r>
              <w:t>19.</w:t>
            </w:r>
            <w:r>
              <w:tab/>
            </w:r>
            <w:r>
              <w:t xml:space="preserve">așteaptă din partea Serbiei și a Kosovo să coopereze pe deplin și să ia toate măsurile necesare pentru a-i aduce rapid în fața justiției pe autorii atacului terorist de la Banjska din 2023; </w:t>
            </w:r>
            <w:r>
              <w:rPr>
                <w:b/>
                <w:i/>
              </w:rPr>
              <w:t>condamnă</w:t>
            </w:r>
            <w:r>
              <w:t xml:space="preserve"> că Serbia încă nu i-a urmărit penal pe autori, în special pe Milan Radoičić, vicepreședintele Srpska Lista;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reamintește faptul că cooperarea regională și relațiile de bună vecinătate rămân elemente esențiale ale procesului de extindere;</w:t>
            </w:r>
            <w:r>
              <w:t xml:space="preserve"> </w:t>
            </w:r>
            <w:r>
              <w:rPr>
                <w:b/>
                <w:i/>
              </w:rPr>
              <w:t>invită Serbia să își continue implicarea într-o serie de inițiative de cooperare regională care oferă, de asemenea, un forum de dialog și consolidează relațiile de bună vecinătate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subliniază că Kosovo face parte integrantă din Serbia și că recunoașterea independenței sale constituie o încălcare gravă a integrității teritoriale a Serbiei;</w:t>
            </w:r>
            <w:r>
              <w:t xml:space="preserve"> </w:t>
            </w:r>
            <w:r>
              <w:rPr>
                <w:b/>
                <w:i/>
              </w:rPr>
              <w:t>subliniază că această recunoaștere a creat, de asemenea, un precedent periculos, care a fost exploatat de Rusia pentru a-și justifica anexările ilegale;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recunoaște rolul important al Serbiei în regiunea Balcanilor de Vest, condamnând totodată cu fermitate orice acțiuni sau încercări menite să afirme o sferă de influență care ar submina suveranitatea și integritatea teritorială a țărilor învecinate;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normalizarea relațiilor cu Kosovo și punerea în aplicare a angajamentelor asumate în cadrul dialogului Belgrad-Priștina rămân o parte integrantă a perspectivei europene a Serbiei;</w:t>
            </w:r>
          </w:p>
        </w:tc>
        <w:tc>
          <w:tcPr>
            <w:tcW w:w="4876" w:type="dxa"/>
            <w:tcBorders>
              <w:top w:val="nil"/>
              <w:left w:val="nil"/>
              <w:bottom w:val="nil"/>
              <w:right w:val="nil"/>
            </w:tcBorders>
          </w:tcPr>
          <w:p>
            <w:pPr>
              <w:pStyle w:val="Normal6a"/>
            </w:pPr>
            <w:r>
              <w:t>20.</w:t>
            </w:r>
            <w:r>
              <w:tab/>
            </w:r>
            <w:r>
              <w:t xml:space="preserve">reamintește că normalizarea relațiilor cu Kosovo și punerea în aplicare a angajamentelor asumate în cadrul dialogului Belgrad-Priștina rămân o parte integrantă a perspectivei europene a Serbiei; </w:t>
            </w:r>
            <w:r>
              <w:rPr>
                <w:b/>
                <w:i/>
              </w:rPr>
              <w:t>salută participarea constructivă a Serbiei la dialog și îndeplinirea tuturor obligațiilor majore prevăzute în Acordul de la Bruxelles din 2013. Regretă că, chiar și după 13 ani, autoritățile din Priștina nici măcar nu au început să onoreze singura obligație prevăzută în Acordul de la Bruxelles – formarea Comunității municipalităților sârbe, care este de o importanță vitală pentru supraviețuirea sârbilor în AP Kosovo și Metohia.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normalizarea relațiilor cu Kosovo și punerea în aplicare a angajamentelor asumate în cadrul dialogului Belgrad-Priștina rămân o parte integrantă a perspectivei europene a Serbiei;</w:t>
            </w:r>
          </w:p>
        </w:tc>
        <w:tc>
          <w:tcPr>
            <w:tcW w:w="4876" w:type="dxa"/>
            <w:tcBorders>
              <w:top w:val="nil"/>
              <w:left w:val="nil"/>
              <w:bottom w:val="nil"/>
              <w:right w:val="nil"/>
            </w:tcBorders>
          </w:tcPr>
          <w:p>
            <w:pPr>
              <w:pStyle w:val="Normal6a"/>
            </w:pPr>
            <w:r>
              <w:t>20.</w:t>
            </w:r>
            <w:r>
              <w:tab/>
            </w:r>
            <w:r>
              <w:t>reamintește că normalizarea relațiilor cu Kosovo</w:t>
            </w:r>
            <w:r>
              <w:rPr>
                <w:b/>
                <w:i/>
              </w:rPr>
              <w:t>*</w:t>
            </w:r>
            <w:r>
              <w:t xml:space="preserve"> și punerea în aplicare a angajamentelor asumate în cadrul dialogului Belgrad-Priștina rămân o parte integrantă a perspectivei europene a Serbiei; </w:t>
            </w:r>
            <w:r>
              <w:rPr>
                <w:b/>
                <w:i/>
              </w:rPr>
              <w:t>salută participarea constructivă a Serbiei la dialog și îndeplinirea obligațiilor incluse în Acordul de la Bruxelles din 2013;</w:t>
            </w:r>
            <w:r>
              <w:t xml:space="preserve"> </w:t>
            </w:r>
            <w:r>
              <w:rPr>
                <w:b/>
                <w:i/>
              </w:rPr>
              <w:t>regretă că, chiar și după 13 ani, autoritățile din Priștina nici măcar nu au început să onoreze singura obligație din Acordul de la Bruxelles – formarea Comunității municipalităților sârbe, care este de o importanță vitală pentru supraviețuirea sârbilor în AP Kosovo și Metohia.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normalizarea relațiilor cu Kosovo și punerea în aplicare a angajamentelor asumate în cadrul dialogului Belgrad-Priștina rămân o parte integrantă a perspectivei europene a Serbiei;</w:t>
            </w:r>
          </w:p>
        </w:tc>
        <w:tc>
          <w:tcPr>
            <w:tcW w:w="4876" w:type="dxa"/>
            <w:tcBorders>
              <w:top w:val="nil"/>
              <w:left w:val="nil"/>
              <w:bottom w:val="nil"/>
              <w:right w:val="nil"/>
            </w:tcBorders>
          </w:tcPr>
          <w:p>
            <w:pPr>
              <w:pStyle w:val="Normal6a"/>
            </w:pPr>
            <w:r>
              <w:t>20.</w:t>
            </w:r>
            <w:r>
              <w:tab/>
            </w:r>
            <w:r>
              <w:t xml:space="preserve">reamintește că normalizarea relațiilor cu Kosovo și punerea în aplicare a angajamentelor asumate în cadrul dialogului Belgrad-Priștina rămân o parte integrantă a perspectivei europene a Serbiei; </w:t>
            </w:r>
            <w:r>
              <w:rPr>
                <w:b/>
                <w:i/>
              </w:rPr>
              <w:t>subliniază că relațiile de bună vecinătate fac parte integrantă din obligațiile Serbiei în materie de extindere și, prin urmare, se așteaptă ca Serbia să ia măsuri practice în direcția normalizării relațiilor cu Kosovo;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normalizarea relațiilor cu Kosovo și punerea în aplicare a angajamentelor asumate în cadrul dialogului Belgrad-Priștina rămân o parte integrantă a perspectivei europene a Serbiei;</w:t>
            </w:r>
          </w:p>
        </w:tc>
        <w:tc>
          <w:tcPr>
            <w:tcW w:w="4876" w:type="dxa"/>
            <w:tcBorders>
              <w:top w:val="nil"/>
              <w:left w:val="nil"/>
              <w:bottom w:val="nil"/>
              <w:right w:val="nil"/>
            </w:tcBorders>
          </w:tcPr>
          <w:p>
            <w:pPr>
              <w:pStyle w:val="Normal6a"/>
            </w:pPr>
            <w:r>
              <w:t>20.</w:t>
            </w:r>
            <w:r>
              <w:tab/>
            </w:r>
            <w:r>
              <w:t xml:space="preserve">reamintește că normalizarea relațiilor cu Kosovo și punerea în aplicare a angajamentelor asumate în cadrul dialogului Belgrad-Priștina rămân o parte integrantă a perspectivei europene a Serbiei; </w:t>
            </w:r>
            <w:r>
              <w:rPr>
                <w:b/>
                <w:i/>
              </w:rPr>
              <w:t>salută participarea constructivă a Serbiei la dialog și îndeplinirea tuturor obligațiilor majore cuprinse în Acordul de la Bruxelles din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își reiterează apelul adresat autorităților sârbe de a-și continua eforturile de eliminare a moștenirii fostelor servicii secrete comuniste prin punerea dosarelor sale la dispoziția publicului, ca un pas către democratizarea Serbiei și către reconcilierea cu țările învecinate;</w:t>
            </w:r>
            <w:r>
              <w:t xml:space="preserve"> </w:t>
            </w:r>
            <w:r>
              <w:rPr>
                <w:b/>
                <w:i/>
              </w:rPr>
              <w:t>invită Serbia să intensifice procesul de succesiune și punerea în aplicare a obligațiilor privind divizarea arhivei comune a fostei Iugoslavii;</w:t>
            </w:r>
            <w:r>
              <w:t xml:space="preserve"> </w:t>
            </w:r>
            <w:r>
              <w:rPr>
                <w:b/>
                <w:i/>
              </w:rPr>
              <w:t>reiterează, în acest sens, că accesul deplin la toate materialele de arhivă, în special la cele ale fostelor Servicii Secrete Iugoslave (UDBA) și ale Serviciului Secret al Armatei Poporului Iugoslav (KOS) are o semnificație esențială;</w:t>
            </w:r>
            <w:r>
              <w:t xml:space="preserve"> </w:t>
            </w:r>
            <w:r>
              <w:rPr>
                <w:b/>
                <w:i/>
              </w:rPr>
              <w:t>își reiterează apelul către autorități de a facilita accesul la arhivele care privesc fostele republici ale Iugoslaviei și de a le returna guvernelor respective dacă acestea le solicită;</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salută participarea constructivă a Serbiei la dialog și implementarea obligațiilor majore ce derivă din Acordul de la Bruxelles din 2013;</w:t>
            </w:r>
            <w:r>
              <w:t xml:space="preserve"> </w:t>
            </w:r>
            <w:r>
              <w:rPr>
                <w:b/>
                <w:i/>
              </w:rPr>
              <w:t>își exprimă regretul cu privire la faptul că, peste 13 ani mai târziu, autoritățile din Priștina nu au început înființarea Comunității municipalităților sârbe, un element-cheie pentru protecția comunității sârbe din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reiterează faptul că relațiile de bună vecinătate și cooperarea regională sunt în continuare elemente esențiale ale procesului de extindere;</w:t>
            </w:r>
            <w:r>
              <w:t xml:space="preserve"> </w:t>
            </w:r>
            <w:r>
              <w:rPr>
                <w:b/>
                <w:i/>
              </w:rPr>
              <w:t>subliniază că este important ca Serbia să dezvolte relații de bună vecinătate, în special prin punerea în aplicare a acordurilor cu statele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regretă că, în pofida numeroaselor avertismente din partea Comisiei Europene privind înființarea Asociației/Comunității municipalităților cu majoritate sârbă, Kosovo nu a înregistrat încă progrese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regretă promovarea și instrumentalizarea politică a conceptului așa-numitei „lumi sârbe”, care subminează suveranitatea, integritatea teritorială și stabilitatea țărilor învecinate;</w:t>
            </w:r>
            <w:r>
              <w:t xml:space="preserve"> </w:t>
            </w:r>
            <w:r>
              <w:rPr>
                <w:b/>
                <w:i/>
              </w:rPr>
              <w:t>subliniază că astfel de discursuri contravin principiilor relațiilor de bună vecinătate și cooperării regionale, care sunt elemente esențiale ale procesului de aderare la UE;</w:t>
            </w:r>
            <w:r>
              <w:t xml:space="preserve"> </w:t>
            </w:r>
            <w:r>
              <w:rPr>
                <w:b/>
                <w:i/>
              </w:rPr>
              <w:t>invită autoritățile sârbe să se abțină de la retorici și acțiuni care ar putea alimenta tensiunile regionale;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condamnă cu fermitate cazurile recurente de discursuri de incitare la ură, retorică ostilă și discursuri incendiare îndreptate împotriva țărilor învecinate, în special Bulgaria, Croația, Kosovo și Albania, inclusiv de către funcționari publici și canale mass-media;</w:t>
            </w:r>
            <w:r>
              <w:t xml:space="preserve"> </w:t>
            </w:r>
            <w:r>
              <w:rPr>
                <w:b/>
                <w:i/>
              </w:rPr>
              <w:t>subliniază că un astfel de discurs este incompatibil cu valorile europene și subminează încrederea, reconcilierea și stabilitatea regională;</w:t>
            </w:r>
            <w:r>
              <w:t xml:space="preserve"> </w:t>
            </w:r>
            <w:r>
              <w:rPr>
                <w:b/>
                <w:i/>
              </w:rPr>
              <w:t>invită autoritățile sârbe să combată în mod activ discursurile de incitare la ură, să asigure tragerea la răspundere și să promoveze un climat de respect și un dialog constructiv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solicită din nou îmbunătățirea calității procesului de dialog prin participarea femeilor, creșterea transparenței față de public și implicarea semnificativă a societății civile;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w:t>
            </w:r>
            <w:r>
              <w:rPr>
                <w:b/>
                <w:i/>
              </w:rPr>
              <w:t>și din Serbia pentru a se ajunge la un acord de normalizare cuprinzător și obligatoriu</w:t>
            </w:r>
            <w:r>
              <w:t xml:space="preserve"> din punct de vedere juridic, </w:t>
            </w:r>
            <w:r>
              <w:rPr>
                <w:b/>
                <w:i/>
              </w:rPr>
              <w:t>bazat pe recunoașterea reciprocă și</w:t>
            </w:r>
            <w:r>
              <w:t xml:space="preserve"> în conformitate cu dreptul internațional; invită </w:t>
            </w:r>
            <w:r>
              <w:rPr>
                <w:b/>
                <w:i/>
              </w:rPr>
              <w:t>atât Kosovo, cât și Serbia</w:t>
            </w:r>
            <w:r>
              <w:t xml:space="preserve"> să pună în aplicare </w:t>
            </w:r>
            <w:r>
              <w:rPr>
                <w:b/>
                <w:i/>
              </w:rPr>
              <w:t>acordurile</w:t>
            </w:r>
            <w:r>
              <w:t xml:space="preserve"> de la Bruxelles </w:t>
            </w:r>
            <w:r>
              <w:rPr>
                <w:b/>
                <w:i/>
              </w:rPr>
              <w:t>și</w:t>
            </w:r>
            <w:r>
              <w:t xml:space="preserve"> de la Ohrid</w:t>
            </w:r>
            <w:r>
              <w:rPr>
                <w:b/>
                <w:i/>
              </w:rPr>
              <w:t>, inclusiv crearea asociației/comunității municipalităților cu majoritate sârbă,</w:t>
            </w:r>
            <w:r>
              <w:t xml:space="preserve"> și solicită Serbiei </w:t>
            </w:r>
            <w:r>
              <w:rPr>
                <w:b/>
                <w:i/>
              </w:rPr>
              <w:t>să ridice opoziția față de aderarea</w:t>
            </w:r>
            <w:r>
              <w:t xml:space="preserve"> Kosovo la organizații regionale și internaționale și să evite </w:t>
            </w:r>
            <w:r>
              <w:rPr>
                <w:b/>
                <w:i/>
              </w:rPr>
              <w:t>acțiunile unilaterale care ar putea submina procesul de dialog</w:t>
            </w:r>
            <w:r>
              <w:t>;</w:t>
            </w:r>
          </w:p>
        </w:tc>
        <w:tc>
          <w:tcPr>
            <w:tcW w:w="4876" w:type="dxa"/>
            <w:tcBorders>
              <w:top w:val="nil"/>
              <w:left w:val="nil"/>
              <w:bottom w:val="nil"/>
              <w:right w:val="nil"/>
            </w:tcBorders>
          </w:tcPr>
          <w:p>
            <w:pPr>
              <w:pStyle w:val="Normal6a"/>
            </w:pPr>
            <w:r>
              <w:t>22.</w:t>
            </w:r>
            <w:r>
              <w:tab/>
            </w:r>
            <w:r>
              <w:t xml:space="preserve">reiterează importanța unei implicări constructive </w:t>
            </w:r>
            <w:r>
              <w:rPr>
                <w:b/>
                <w:i/>
              </w:rPr>
              <w:t>și susținute</w:t>
            </w:r>
            <w:r>
              <w:t xml:space="preserve"> a autorităților din </w:t>
            </w:r>
            <w:r>
              <w:rPr>
                <w:b/>
                <w:i/>
              </w:rPr>
              <w:t>Serbia și</w:t>
            </w:r>
            <w:r>
              <w:t xml:space="preserve"> Kosovo </w:t>
            </w:r>
            <w:r>
              <w:rPr>
                <w:b/>
                <w:i/>
              </w:rPr>
              <w:t>în vederea obținerii unei normalizări cuprinzătoare și obligatorii</w:t>
            </w:r>
            <w:r>
              <w:t xml:space="preserve"> din punct de vedere juridic, în conformitate cu dreptul internațional </w:t>
            </w:r>
            <w:r>
              <w:rPr>
                <w:b/>
                <w:i/>
              </w:rPr>
              <w:t>și cu angajamentele asumate în cadrul dialogului facilitat de UE</w:t>
            </w:r>
            <w:r>
              <w:t xml:space="preserve">; invită </w:t>
            </w:r>
            <w:r>
              <w:rPr>
                <w:b/>
                <w:i/>
              </w:rPr>
              <w:t>ambele părți</w:t>
            </w:r>
            <w:r>
              <w:t xml:space="preserve"> să pună în aplicare </w:t>
            </w:r>
            <w:r>
              <w:rPr>
                <w:b/>
                <w:i/>
              </w:rPr>
              <w:t>integral Acordul</w:t>
            </w:r>
            <w:r>
              <w:t xml:space="preserve"> de la Bruxelles</w:t>
            </w:r>
            <w:r>
              <w:rPr>
                <w:b/>
                <w:i/>
              </w:rPr>
              <w:t>, Acordul</w:t>
            </w:r>
            <w:r>
              <w:t xml:space="preserve"> de la Ohrid și </w:t>
            </w:r>
            <w:r>
              <w:rPr>
                <w:b/>
                <w:i/>
              </w:rPr>
              <w:t>anexa de punere în aplicare aferentă;</w:t>
            </w:r>
            <w:r>
              <w:t xml:space="preserve"> solicită Serbiei</w:t>
            </w:r>
            <w:r>
              <w:rPr>
                <w:b/>
                <w:i/>
              </w:rPr>
              <w:t>, în special, să înceapă punerea în aplicare a obligațiilor asumate privind recunoașterea documentelor și simbolurilor, să se abțină de la obstrucționarea participării</w:t>
            </w:r>
            <w:r>
              <w:t xml:space="preserve"> Kosovo la organizații regionale și internaționale și să evite </w:t>
            </w:r>
            <w:r>
              <w:rPr>
                <w:b/>
                <w:i/>
              </w:rPr>
              <w:t>orice acțiune unilaterală care subminează dialogul;</w:t>
            </w:r>
            <w:r>
              <w:t xml:space="preserve"> </w:t>
            </w:r>
            <w:r>
              <w:rPr>
                <w:b/>
                <w:i/>
              </w:rPr>
              <w:t>subliniază necesitatea de a consolida punerea în aplicare a legislației care protejează drepturile persoanelor aparținând comunităților minoritare, inclusiv prin asigurarea accesului efectiv și neîntrerupt la educație, asistență medicală și servicii publice, prin respectarea drepturilor lingvistice și de proprietate, prin reprezentarea adecvată în administrația centrală și locală și prin protejarea patrimoniului tradițional, religios și cultural</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w:t>
            </w:r>
            <w:r>
              <w:t xml:space="preserve"> și în conformitate cu dreptul internațional; invită atât Kosovo, cât și Serbia să pună în aplicare acordurile de la Bruxelles și de la Ohrid, inclusiv crearea asociației/comunității municipalităților cu majoritate sârbă</w:t>
            </w:r>
            <w:r>
              <w:rPr>
                <w:b/>
                <w:i/>
              </w:rPr>
              <w:t>, și solicită Serbiei să ridice opoziția față de aderarea Kosovo la organizații regionale și internaționale</w:t>
            </w:r>
            <w:r>
              <w:t xml:space="preserv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 și din Serbia pentru a se ajunge la un acord de normalizare cuprinzător</w:t>
            </w:r>
            <w:r>
              <w:rPr>
                <w:b/>
                <w:i/>
              </w:rPr>
              <w:t>,</w:t>
            </w:r>
            <w:r>
              <w:t xml:space="preserve"> obligatoriu din punct de vedere juridic și în conformitate cu dreptul internațional; invită atât Kosovo, cât și Serbia să pună în aplicare acordurile de la Bruxelles și de la Ohrid, inclusiv crearea asociației/comunității municipalităților cu majoritate sârbă și să evite acțiunile unilaterale care ar putea submina procesul de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 și în conformitate cu dreptul internațional</w:t>
            </w:r>
            <w:r>
              <w:t>;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 și din Serbia pentru a se ajunge la un acord de normalizare cuprinzător</w:t>
            </w:r>
            <w:r>
              <w:rPr>
                <w:b/>
                <w:i/>
              </w:rPr>
              <w:t>,</w:t>
            </w:r>
            <w:r>
              <w:t xml:space="preserve"> obligatoriu din punct de vedere juridic </w:t>
            </w:r>
            <w:r>
              <w:rPr>
                <w:b/>
                <w:i/>
              </w:rPr>
              <w:t>acceptabil ambelor părți</w:t>
            </w:r>
            <w:r>
              <w:t>;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w:t>
            </w:r>
            <w:r>
              <w:t xml:space="preserve"> și în conformitate cu dreptul internațional; invită atât Kosovo, cât și Serbia să pună în aplicare acordurile de la Bruxelles și de la Ohrid, inclusiv crearea asociației/comunității municipalităților cu majoritate sârbă</w:t>
            </w:r>
            <w:r>
              <w:rPr>
                <w:b/>
                <w:i/>
              </w:rPr>
              <w:t>, și solicită Serbiei să ridice opoziția față de aderarea Kosovo la organizații regionale și internaționale</w:t>
            </w:r>
            <w:r>
              <w:t xml:space="preserv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w:t>
            </w:r>
            <w:r>
              <w:rPr>
                <w:b/>
                <w:i/>
              </w:rPr>
              <w:t>*</w:t>
            </w:r>
            <w:r>
              <w:t> și din Serbia pentru a se ajunge la un acord de normalizare cuprinzător</w:t>
            </w:r>
            <w:r>
              <w:rPr>
                <w:b/>
                <w:i/>
              </w:rPr>
              <w:t>,</w:t>
            </w:r>
            <w:r>
              <w:t xml:space="preserve"> obligatoriu din punct de vedere juridic și în conformitate cu dreptul internațional; invită atât Kosovo, cât și Serbia să pună în aplicare acordurile de la Bruxelles și de la Ohrid, inclusiv crearea asociației/comunității municipalităților cu majoritate sârbă și să evite acțiunile unilaterale care ar putea submina procesul de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w:t>
            </w:r>
            <w:r>
              <w:t xml:space="preserve">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 și din Serbia pentru a se ajunge la un acord de normalizare cuprinzător</w:t>
            </w:r>
            <w:r>
              <w:rPr>
                <w:b/>
                <w:i/>
              </w:rPr>
              <w:t>,</w:t>
            </w:r>
            <w:r>
              <w:t xml:space="preserve"> obligatoriu din punct de vedere juridic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w:t>
            </w:r>
            <w:r>
              <w:t xml:space="preserve">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 și din Serbia pentru a se ajunge la un acord de normalizare cuprinzător</w:t>
            </w:r>
            <w:r>
              <w:rPr>
                <w:b/>
                <w:i/>
              </w:rPr>
              <w:t>,</w:t>
            </w:r>
            <w:r>
              <w:t xml:space="preserve"> obligatoriu din punct de vedere juridic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reiterează importanța unei implicări constructive a autorităților din Kosovo și din Serbia pentru a se ajunge la un acord de normalizare cuprinzător </w:t>
            </w:r>
            <w:r>
              <w:rPr>
                <w:b/>
                <w:i/>
              </w:rPr>
              <w:t>și</w:t>
            </w:r>
            <w:r>
              <w:t xml:space="preserve"> obligatoriu din punct de vedere juridic</w:t>
            </w:r>
            <w:r>
              <w:rPr>
                <w:b/>
                <w:i/>
              </w:rPr>
              <w:t>, bazat pe recunoașterea reciprocă</w:t>
            </w:r>
            <w:r>
              <w:t xml:space="preserve">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c>
          <w:tcPr>
            <w:tcW w:w="4876" w:type="dxa"/>
            <w:tcBorders>
              <w:top w:val="nil"/>
              <w:left w:val="nil"/>
              <w:bottom w:val="nil"/>
              <w:right w:val="nil"/>
            </w:tcBorders>
          </w:tcPr>
          <w:p>
            <w:pPr>
              <w:pStyle w:val="Normal6a"/>
            </w:pPr>
            <w:r>
              <w:t>22.</w:t>
            </w:r>
            <w:r>
              <w:tab/>
            </w:r>
            <w:r>
              <w:t>reiterează importanța unei implicări constructive a autorităților din Kosovo și din Serbia pentru a se ajunge la un acord de normalizare cuprinzător</w:t>
            </w:r>
            <w:r>
              <w:rPr>
                <w:b/>
                <w:i/>
              </w:rPr>
              <w:t>,</w:t>
            </w:r>
            <w:r>
              <w:t xml:space="preserve"> obligatoriu din punct de vedere juridic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la organizații regionale și internaționale și să evite acțiunile unilaterale care ar putea submina procesul de dialog;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invită autoritățile judiciare din Serbia să asigure respectarea standardelor privind un proces echitabil și să le facă dreptate victimelor războiului și să soluționeze cazurile de crime de război;</w:t>
            </w:r>
            <w:r>
              <w:t xml:space="preserve"> </w:t>
            </w:r>
            <w:r>
              <w:rPr>
                <w:b/>
                <w:i/>
              </w:rPr>
              <w:t>solicită ca negarea crimelor de război și glorificarea criminalilor de război să fie incluse în Codul penal în vederea urmăririi penale a oricărei forme de negare a crimelor de război stabilite prin verdictele Tribunalului Penal Internațional pentru Fosta Iugoslavie și ale Curții Internaționale de Justiție;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regretă că Serbia își continuă încercările de a izola țara vecină Kosovo de scena internațională prin desfășurarea de campanii împotriva recunoașterii sau prin excluderea țării din organizațiile internaționale;</w:t>
            </w:r>
            <w:r>
              <w:t xml:space="preserve"> </w:t>
            </w:r>
            <w:r>
              <w:rPr>
                <w:b/>
                <w:i/>
              </w:rPr>
              <w:t>invită Serbia să își înceteze blocada asupra cererii de aderare la Consiliul Europei depuse de Kosovo, blocadă care, de altfel, încalcă Acordul din 2013 de normalizare a relațiilor dintre Serbia și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condamnă retorica negativă, agresivă și șovinistă repetată a conducerii politice sârbe îndreptată împotriva țărilor învecinate, care subminează eforturile de relații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subliniază că integrarea europeană nu poate merge mână în mână cu conceptul de lume sârbă (Srpski svet), care urmărește să submineze pacea și stabilitatea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condamnă cu fermitate recenta achiziționare de către Serbia a rachetelor balistice CM-400AKG aer-sol din China, ca act care subminează stabilitatea regională și sporește tensiunile;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invită Serbia să adopte o abordare mai activă pentru a combate negarea crimelor de război și revizionismul istoric,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și revizionismul istoric, în special în ceea ce privește războaiele din Croația, Bosnia și Herțegovina și Kosovo; </w:t>
            </w:r>
            <w:r>
              <w:rPr>
                <w:b/>
                <w:i/>
              </w:rPr>
              <w:t>invită autoritățile sârbe să facă dreptate victimelor, prin recunoașterea și respectarea sentințelor judecătorești privind crimele de război, combaterea impunității pentru crimele de război, anchetarea cazurilor de persoane dispărute, cercetarea gropilor comune și sprijinirea eforturilor procurorilor naționali de a-i aduce pe făptași în fața justiției;</w:t>
            </w:r>
            <w:r>
              <w:t xml:space="preserve"> </w:t>
            </w:r>
            <w:r>
              <w:rPr>
                <w:b/>
                <w:i/>
              </w:rPr>
              <w:t>condamnă cu fermitate negarea publică și la scară largă a sentințelor internaționale pentru crime de război, inclusiv negarea genocidului de la Srebrenița;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invită Serbia să adopte o abordare mai activă pentru a combate negarea crimelor de război și revizionismul istoric,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și revizionismul istoric, în special în ceea ce privește războaiele din Croația, Bosnia și Herțegovina și Kosovo; </w:t>
            </w:r>
            <w:r>
              <w:rPr>
                <w:b/>
                <w:i/>
              </w:rPr>
              <w:t>invită liderii politici și autoritățile publice din Serbia să se abțină și să condamne campaniile care defăimează țările și popoarele învecinate, inclusiv prin retorică incendiară, și subliniază că astfel de acțiuni subminează reconcilierea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invită Serbia să adopte o abordare mai activă pentru a combate negarea crimelor de război și revizionismul istoric,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și revizionismul istoric, în special în ceea ce privește războaiele din Croația, Bosnia și Herțegovina și Kosovo; </w:t>
            </w:r>
            <w:r>
              <w:rPr>
                <w:b/>
                <w:i/>
              </w:rPr>
              <w:t>invită autoritățile sârbe să facă dreptate victimelor, prin recunoașterea și respectarea sentințelor judecătorești privind crimele de război, combaterea impunității pentru crimele de război și sprijinirea eforturilor procurorilor naționali de a-i aduce pe făptași în fața justiției;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invită</w:t>
            </w:r>
            <w:r>
              <w:t xml:space="preserve"> Serbia să </w:t>
            </w:r>
            <w:r>
              <w:rPr>
                <w:b/>
                <w:i/>
              </w:rPr>
              <w:t>adopte o abordare mai activă pentru a combate negarea crimelor de război și revizionismul istoric, în special în ceea ce privește războaiele din Croația, Bosnia și Herțegovina și Kosovo</w:t>
            </w:r>
            <w:r>
              <w:t>;</w:t>
            </w:r>
          </w:p>
        </w:tc>
        <w:tc>
          <w:tcPr>
            <w:tcW w:w="4876" w:type="dxa"/>
            <w:tcBorders>
              <w:top w:val="nil"/>
              <w:left w:val="nil"/>
              <w:bottom w:val="nil"/>
              <w:right w:val="nil"/>
            </w:tcBorders>
          </w:tcPr>
          <w:p>
            <w:pPr>
              <w:pStyle w:val="Normal6a"/>
            </w:pPr>
            <w:r>
              <w:t>23.</w:t>
            </w:r>
            <w:r>
              <w:tab/>
            </w:r>
            <w:r>
              <w:rPr>
                <w:b/>
                <w:i/>
              </w:rPr>
              <w:t>încurajează</w:t>
            </w:r>
            <w:r>
              <w:t xml:space="preserve"> Serbia să </w:t>
            </w:r>
            <w:r>
              <w:rPr>
                <w:b/>
                <w:i/>
              </w:rPr>
              <w:t>își continue angajamentul față de procesele de reconciliere regională bazate pe respect reciproc și pe anchete istorice factuale;</w:t>
            </w:r>
            <w:r>
              <w:t xml:space="preserve"> </w:t>
            </w:r>
            <w:r>
              <w:rPr>
                <w:b/>
                <w:i/>
              </w:rPr>
              <w:t>subliniază că interpretarea evenimentelor istorice este o chestiune de dezbatere academică și societală continuă în toate societățile afectate și că reconcilierea este cel mai bine deservită de un dialog incluziv, fără caracter prescriptiv, mai degrabă decât de mandate externe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w:t>
            </w:r>
            <w:r>
              <w:rPr>
                <w:b/>
                <w:i/>
              </w:rPr>
              <w:t>și revizionismul istoric, în special în ceea ce privește războaiele din Croația, Bosnia și Herțegovina și Kosovo</w:t>
            </w:r>
            <w:r>
              <w:t>;</w:t>
            </w:r>
          </w:p>
        </w:tc>
        <w:tc>
          <w:tcPr>
            <w:tcW w:w="4876" w:type="dxa"/>
            <w:tcBorders>
              <w:top w:val="nil"/>
              <w:left w:val="nil"/>
              <w:bottom w:val="nil"/>
              <w:right w:val="nil"/>
            </w:tcBorders>
          </w:tcPr>
          <w:p>
            <w:pPr>
              <w:pStyle w:val="Normal6a"/>
            </w:pPr>
            <w:r>
              <w:t>23.</w:t>
            </w:r>
            <w:r>
              <w:tab/>
            </w:r>
            <w:r>
              <w:t>invită Serbia să adopte o abordare mai activă pentru a combate negarea crimelor de război;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w:t>
            </w:r>
            <w:r>
              <w:rPr>
                <w:b/>
                <w:i/>
              </w:rPr>
              <w:t>și revizionismul istoric, în special în ceea ce privește războaiele din Croația, Bosnia și Herțegovina și Kosovo</w:t>
            </w:r>
            <w:r>
              <w:t>;</w:t>
            </w:r>
          </w:p>
        </w:tc>
        <w:tc>
          <w:tcPr>
            <w:tcW w:w="4876" w:type="dxa"/>
            <w:tcBorders>
              <w:top w:val="nil"/>
              <w:left w:val="nil"/>
              <w:bottom w:val="nil"/>
              <w:right w:val="nil"/>
            </w:tcBorders>
          </w:tcPr>
          <w:p>
            <w:pPr>
              <w:pStyle w:val="Normal6a"/>
            </w:pPr>
            <w:r>
              <w:t>23.</w:t>
            </w:r>
            <w:r>
              <w:tab/>
            </w:r>
            <w:r>
              <w:t>invită Serbia să adopte o abordare mai activă pentru a combate negarea crimelor de război;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w:t>
            </w:r>
            <w:r>
              <w:rPr>
                <w:b/>
                <w:i/>
              </w:rPr>
              <w:t>pentru a combate negarea</w:t>
            </w:r>
            <w:r>
              <w:t xml:space="preserve"> crimelor de război </w:t>
            </w:r>
            <w:r>
              <w:rPr>
                <w:b/>
                <w:i/>
              </w:rPr>
              <w:t>și revizionismul istoric</w:t>
            </w:r>
            <w:r>
              <w:t>,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w:t>
            </w:r>
            <w:r>
              <w:rPr>
                <w:b/>
                <w:i/>
              </w:rPr>
              <w:t>în anchetarea și urmărirea penală a</w:t>
            </w:r>
            <w:r>
              <w:t xml:space="preserve"> crimelor de război</w:t>
            </w:r>
            <w:r>
              <w:rPr>
                <w:b/>
                <w:i/>
              </w:rPr>
              <w:t>, abordare care este așteptată, de asemenea, din partea tuturor celorlalți parteneri din regiune</w:t>
            </w:r>
            <w:r>
              <w:t>, în special în ceea ce privește războaiele din Croația, Bosnia și Herțegovina și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w:t>
            </w:r>
            <w:r>
              <w:rPr>
                <w:b/>
                <w:i/>
              </w:rPr>
              <w:t>pentru a combate negarea</w:t>
            </w:r>
            <w:r>
              <w:t xml:space="preserve"> crimelor de război </w:t>
            </w:r>
            <w:r>
              <w:rPr>
                <w:b/>
                <w:i/>
              </w:rPr>
              <w:t>și revizionismul istoric</w:t>
            </w:r>
            <w:r>
              <w:t>,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w:t>
            </w:r>
            <w:r>
              <w:rPr>
                <w:b/>
                <w:i/>
              </w:rPr>
              <w:t>în anchetarea și urmărirea penală a</w:t>
            </w:r>
            <w:r>
              <w:t xml:space="preserve"> crimelor de război</w:t>
            </w:r>
            <w:r>
              <w:rPr>
                <w:b/>
                <w:i/>
              </w:rPr>
              <w:t>, abordare care este așteptată, de asemenea, din partea tuturor partenerilor menționați</w:t>
            </w:r>
            <w:r>
              <w:t>, în special în ceea ce privește războaiele din Croația, Bosnia și Herțegovina și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pentru a combate negarea crimelor de război </w:t>
            </w:r>
            <w:r>
              <w:rPr>
                <w:b/>
                <w:i/>
              </w:rPr>
              <w:t>și revizionismul istoric, în special în ceea ce privește războaiele din Croația, Bosnia și Herțegovina și Kosovo</w:t>
            </w:r>
            <w:r>
              <w:t>;</w:t>
            </w:r>
          </w:p>
        </w:tc>
        <w:tc>
          <w:tcPr>
            <w:tcW w:w="4876" w:type="dxa"/>
            <w:tcBorders>
              <w:top w:val="nil"/>
              <w:left w:val="nil"/>
              <w:bottom w:val="nil"/>
              <w:right w:val="nil"/>
            </w:tcBorders>
          </w:tcPr>
          <w:p>
            <w:pPr>
              <w:pStyle w:val="Normal6a"/>
            </w:pPr>
            <w:r>
              <w:t>23.</w:t>
            </w:r>
            <w:r>
              <w:tab/>
            </w:r>
            <w:r>
              <w:t>invită Serbia</w:t>
            </w:r>
            <w:r>
              <w:rPr>
                <w:b/>
                <w:i/>
              </w:rPr>
              <w:t>, împreună cu toate țările din Balcanii de Vest,</w:t>
            </w:r>
            <w:r>
              <w:t xml:space="preserve"> să adopte o abordare mai activă pentru a combate negarea crimelor de război;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invită Serbia să adopte o abordare mai activă pentru a </w:t>
            </w:r>
            <w:r>
              <w:rPr>
                <w:b/>
                <w:i/>
              </w:rPr>
              <w:t>combate</w:t>
            </w:r>
            <w:r>
              <w:t xml:space="preserve"> negarea crimelor de război și revizionismul istoric, în special în ceea ce privește războaiele din Croația, Bosnia și Herțegovina și Kosovo;</w:t>
            </w:r>
          </w:p>
        </w:tc>
        <w:tc>
          <w:tcPr>
            <w:tcW w:w="4876" w:type="dxa"/>
            <w:tcBorders>
              <w:top w:val="nil"/>
              <w:left w:val="nil"/>
              <w:bottom w:val="nil"/>
              <w:right w:val="nil"/>
            </w:tcBorders>
          </w:tcPr>
          <w:p>
            <w:pPr>
              <w:pStyle w:val="Normal6a"/>
            </w:pPr>
            <w:r>
              <w:t>23.</w:t>
            </w:r>
            <w:r>
              <w:tab/>
            </w:r>
            <w:r>
              <w:t xml:space="preserve">invită Serbia să adopte o abordare mai activă pentru a </w:t>
            </w:r>
            <w:r>
              <w:rPr>
                <w:b/>
                <w:i/>
              </w:rPr>
              <w:t>ancheta și urmări penal</w:t>
            </w:r>
            <w:r>
              <w:t xml:space="preserve"> negarea crimelor de război și revizionismul istoric, în special în ceea ce privește războaiele din Croația, Bosnia și Herțegovina și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solicită reconcilierea istorică și depășirea discriminării și a prejudecăților din trecutul comunist, în special în sferele educației, mass-mediei, academică și socială, aceasta fiind o condiție prealabilă pentru eradicarea limbajului caracterizat de ură împotriva minorităților naționale și a națiunilor învecinate;</w:t>
            </w:r>
            <w:r>
              <w:t xml:space="preserve"> </w:t>
            </w:r>
            <w:r>
              <w:rPr>
                <w:b/>
                <w:i/>
              </w:rPr>
              <w:t>regretă, în acest sens, recenta retorică incendiară a guvernului, care a vizat statele învecinate care nu au sprijinit deschiderea grupului tematic 3 cu această țară;</w:t>
            </w:r>
            <w:r>
              <w:t xml:space="preserve"> </w:t>
            </w:r>
            <w:r>
              <w:rPr>
                <w:b/>
                <w:i/>
              </w:rPr>
              <w:t>regretă prezența continuă a simbolurilor comuniste iugoslave, inclusiv a numelor de străzi și monumentelor, în spațiile publice, deoarece acest lucru subminează democratizarea Serbiei;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își reiterează poziția referitoare la importanța deschiderii și a publicării arhivelor de război și își reiterează solicitarea de a deschide arhivele fostei Iugoslavii și, în special, de a garanta acces la dosarele fostului serviciu secret iugoslav (UDBA) și ale serviciului de contrainformații al armatei populare iugoslave (KOS), precum și de a restitui dosarele statelor succesoare, dacă ele solicită acest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regretă că Serbia nu a demonstrat un angajament real de a-și aborda trecutul și de a ancheta și urmări penal în mod eficace crimele de război, astfel cum se reflectă în netrimiterea în judecată a suspecților de rang înalt, în absența unui procuror-șef pentru crimele de război din 2023 și în negarea publică pe scară largă a verdictelor privind crimele de război internaționale, inclusiv negarea genocidului de la Srebrenița;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condamnă retorica agresivă și incendiară utilizată de președintele Vučić împotriva vecinilor atunci când a susținut, fără dovezi, că Croația, Albania și Kosovo se pregăteau să atace Serbia;</w:t>
            </w:r>
            <w:r>
              <w:t xml:space="preserve"> </w:t>
            </w:r>
            <w:r>
              <w:rPr>
                <w:b/>
                <w:i/>
              </w:rPr>
              <w:t>regretă utilizarea unui astfel de pretext pentru a achiziționa rachete supersonice chineze și pentru a submina procesul de consolidare a păcii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subliniază necesitatea unei cooperări regionale semnificative în gestionarea crimelor de război prin evitarea conflictelor de jurisdicție și prin asigurarea urmăririi penale a crimelor de război fără nicio discriminare, subliniind că toate chestiunile nesoluționate în această privință trebuie soluționate pe deplin;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invită Serbia să se abțină de la destabilizarea și alimentarea retoricii separatiste la vecinii săi din Balcanii de Vest, inclusiv în ceea ce privește sărbătorirea neconstituțională a Zilei Republicii Srpska, care amenință stabilitatea și integritatea teritorială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își exprimă îngrijorarea cu privire la faptul că consolidarea continuă a capacității militare de către Serbia, combinată cu retorica din ce în ce mai ostilă față de țările învecinate, riscă să exacerbeze tensiunile regionale;</w:t>
            </w:r>
            <w:r>
              <w:t xml:space="preserve"> </w:t>
            </w:r>
            <w:r>
              <w:rPr>
                <w:b/>
                <w:i/>
              </w:rPr>
              <w:t>ia act cu îngrijorare de afirmațiile nefondate persistente ale actorilor politici sârbi cu privire la presupusele amenințări militare externe din partea țărilor învecinate, precum și de discursurile care riscă să adâncească neîncrederea și să alimenteze instabilitatea regională;</w:t>
            </w:r>
            <w:r>
              <w:t xml:space="preserve"> </w:t>
            </w:r>
            <w:r>
              <w:rPr>
                <w:b/>
                <w:i/>
              </w:rPr>
              <w:t>regretă achiziționarea de echipamente militare din Rusia și China, ceea ce ridică noi semne de întrebare cu privire la alinierea strategică și la transparență;</w:t>
            </w:r>
            <w:r>
              <w:t xml:space="preserve"> </w:t>
            </w:r>
            <w:r>
              <w:rPr>
                <w:b/>
                <w:i/>
              </w:rPr>
              <w:t>invită Serbia să se abțină de la discursuri care incită la escaladare și să se asigure că politicile sale de securitate și apărare sunt aliniate la valorile europene și la relațiile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invită autoritățile judiciare din Serbia să asigure respectarea standardelor privind un proces echitabil și să le facă dreptate victimelor războiului și să soluționeze cazurile de crime de război;</w:t>
            </w:r>
            <w:r>
              <w:t xml:space="preserve"> </w:t>
            </w:r>
            <w:r>
              <w:rPr>
                <w:b/>
                <w:i/>
              </w:rPr>
              <w:t>solicită ca negarea crimelor de război și glorificarea criminalilor de război să fie incluse în Codul penal în vederea urmăririi penale a oricărei forme de negare a crimelor de război stabilite prin verdictele Tribunalului Penal Internațional pentru Fosta Iugoslavie și ale Curții Internaționale de Justiție;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își reiterează poziția referitoare la importanța deschiderii și a publicării arhivelor de război și își reiterează solicitarea de a deschide arhivele fostei Iugoslavii și, în special, de a acorda acces la dosarele fostului serviciu secret iugoslav (UDBA) și ale serviciului de contrainformații al armatei populare iugoslave (KOS), precum și de a restitui dosarele guvernelor respective, dacă ele solicită acest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regretă promovarea continuă a criminalilor de război condamnați, inclusiv a lui Nikola Šainović, Vojislav Šešelj și Veselin Šljivančanin, de către partidul SNS aflat la conducere și de canalele mass-media conexe și faptul că li se oferă acestora spațiul pentru revizionism istoric și discursuri de incitare la ură;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w:t>
            </w:r>
            <w:r>
              <w:rPr>
                <w:b/>
                <w:i/>
              </w:rPr>
              <w:t>, în special în ceea ce privește persoanele</w:t>
            </w:r>
            <w:r>
              <w:t xml:space="preserve"> dispărute;</w:t>
            </w:r>
          </w:p>
        </w:tc>
        <w:tc>
          <w:tcPr>
            <w:tcW w:w="4876" w:type="dxa"/>
            <w:tcBorders>
              <w:top w:val="nil"/>
              <w:left w:val="nil"/>
              <w:bottom w:val="nil"/>
              <w:right w:val="nil"/>
            </w:tcBorders>
          </w:tcPr>
          <w:p>
            <w:pPr>
              <w:pStyle w:val="Normal6a"/>
            </w:pPr>
            <w:r>
              <w:t>24.</w:t>
            </w:r>
            <w:r>
              <w:tab/>
            </w:r>
            <w:r>
              <w:t xml:space="preserve">constată că dosarele nerezolvate privind „persoane dispărute” rămân o provocare serioasă </w:t>
            </w:r>
            <w:r>
              <w:rPr>
                <w:b/>
                <w:i/>
              </w:rPr>
              <w:t>și un obstacol semnificativ în calea normalizării relațiilor</w:t>
            </w:r>
            <w:r>
              <w:t>; îndeamnă Serbia să își intensifice eforturile de reconciliere și să adopte o abordare mai activă</w:t>
            </w:r>
            <w:r>
              <w:rPr>
                <w:b/>
                <w:i/>
              </w:rPr>
              <w:t>;</w:t>
            </w:r>
            <w:r>
              <w:t xml:space="preserve"> </w:t>
            </w:r>
            <w:r>
              <w:rPr>
                <w:b/>
                <w:i/>
              </w:rPr>
              <w:t>invită Serbia să coopereze pe deplin cu autoritățile judiciare ale statelor membre ale UE în anchetele lor privind crimele de război, inclusiv cele care implică crime împotriva persoanelor</w:t>
            </w:r>
            <w:r>
              <w:t xml:space="preserve"> dispărute</w:t>
            </w:r>
            <w:r>
              <w:rPr>
                <w:b/>
                <w:i/>
              </w:rPr>
              <w:t>, și să furnizeze toate informațiile relevante care să permită identificarea acestora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t xml:space="preserve">constată că dosarele nerezolvate privind „persoane dispărute” rămân o provocare serioasă; îndeamnă Serbia să își intensifice eforturile de reconciliere și să adopte o abordare mai activă, în special în ceea ce privește persoanele dispărute; </w:t>
            </w:r>
            <w:r>
              <w:rPr>
                <w:b/>
                <w:i/>
              </w:rPr>
              <w:t>regretă o declarație recentă a președintelui Vučić, în care acesta a acuzat Croația, Kosovo și Albania de formarea unei alianțe militare împotriva Serbiei și a continuat să răspândească afirmații false potrivit cărora Serbia se confruntă cu posibile atacuri din partea acestor țări învecinate;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t xml:space="preserve">constată că dosarele nerezolvate privind „persoane dispărute” rămân o provocare serioasă; îndeamnă Serbia să își intensifice eforturile de reconciliere și să adopte o abordare mai activă, în special în ceea ce privește persoanele dispărute; </w:t>
            </w:r>
            <w:r>
              <w:rPr>
                <w:b/>
                <w:i/>
              </w:rPr>
              <w:t>solicită un angajament reînnoit și constructiv cu privire la chestiunile bilaterale nesoluționate, în special soluționarea cazurilor de persoane dispărute, soluționarea chestiunilor succesorale, urmărirea penală eficace a crimelor de război, restituirea bunurilor culturale;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r>
              <w:rPr>
                <w:b/>
                <w:i/>
              </w:rPr>
              <w:t>, îndeosebi printr-o cooperare bilaterală semnificativă cu alte state concertate, printr-un schimb rapid de informații, inclusiv prin accesul la documentație și arhive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t xml:space="preserve">constată că dosarele nerezolvate privind „persoane dispărute” rămân o provocare serioasă; îndeamnă Serbia să își intensifice eforturile de reconciliere și să adopte o abordare mai activă, în special în ceea ce privește persoanele dispărute; </w:t>
            </w:r>
            <w:r>
              <w:rPr>
                <w:b/>
                <w:i/>
              </w:rPr>
              <w:t>îndeamnă Serbia să adopte în sfârșit Legea privind persoanele dispărute, anunțată de mult timp, într-un mod cu adevărat incluziv și transparent;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constată că dosarele nerezolvate privind „persoane</w:t>
            </w:r>
            <w:r>
              <w:t xml:space="preserve"> dispărute</w:t>
            </w:r>
            <w:r>
              <w:rPr>
                <w:b/>
                <w:i/>
              </w:rPr>
              <w:t>” rămân o provocare serioasă;</w:t>
            </w:r>
            <w:r>
              <w:t xml:space="preserve"> </w:t>
            </w:r>
            <w:r>
              <w:rPr>
                <w:b/>
                <w:i/>
              </w:rPr>
              <w:t>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rPr>
                <w:b/>
                <w:i/>
              </w:rPr>
              <w:t>salută rolul activ al Serbiei în găsirea tuturor persoanelor</w:t>
            </w:r>
            <w:r>
              <w:t xml:space="preserve"> dispărute </w:t>
            </w:r>
            <w:r>
              <w:rPr>
                <w:b/>
                <w:i/>
              </w:rPr>
              <w:t>pe teritoriul fostei Iugoslavii.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constată că dosarele nerezolvate privind „persoane dispărute” rămân o provocare serioasă; îndeamnă Serbia să își intensifice eforturile de reconciliere și să adopte o abordare mai activă, în special în ceea ce privește persoanele dispărute;</w:t>
            </w:r>
          </w:p>
        </w:tc>
        <w:tc>
          <w:tcPr>
            <w:tcW w:w="4876" w:type="dxa"/>
            <w:tcBorders>
              <w:top w:val="nil"/>
              <w:left w:val="nil"/>
              <w:bottom w:val="nil"/>
              <w:right w:val="nil"/>
            </w:tcBorders>
          </w:tcPr>
          <w:p>
            <w:pPr>
              <w:pStyle w:val="Normal6a"/>
            </w:pPr>
            <w:r>
              <w:t>24.</w:t>
            </w:r>
            <w:r>
              <w:tab/>
            </w:r>
            <w:r>
              <w:t xml:space="preserve">constată că dosarele nerezolvate privind „persoane dispărute” rămân o provocare serioasă </w:t>
            </w:r>
            <w:r>
              <w:rPr>
                <w:b/>
                <w:i/>
              </w:rPr>
              <w:t>și, de asemenea, au implicații pentru relațiile dintre țările din regiune</w:t>
            </w:r>
            <w:r>
              <w:t>; îndeamnă Serbia să își intensifice eforturile de reconciliere și să adopte o abordare mai activă, în special în ceea ce privește persoanele dispărute;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își exprimă profunda îngrijorare cu privire la decizia autorităților din Priștina de a interzice intrarea Patriarhului Serbiei, Sfinția Sa Porfirie, în bisericile din Kosovo și la sediul istoric al Patriarhatului din Peć; ia act de faptul că această chestiune a fost ridicată de președintele Loucas Fourlas al Delegației Parlamentului European la Comisia parlamentară de stabilizare și de asociere UE-Serbia într-o scrisoare adresată președinților instituțiilor europene, și anume António Costa, Ursula von der Leyen și Roberta Metsola;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ia act de cooperarea Serbiei cu țări terțe în domeniul apărării, inclusiv de importurile de echipamente militare din Turcia;</w:t>
            </w:r>
            <w:r>
              <w:t xml:space="preserve"> </w:t>
            </w:r>
            <w:r>
              <w:rPr>
                <w:b/>
                <w:i/>
              </w:rPr>
              <w:t>subliniază importanța unei alinieri treptate la politica externă și de securitate comună (PESC) a UE;</w:t>
            </w:r>
            <w:r>
              <w:t xml:space="preserve"> </w:t>
            </w:r>
            <w:r>
              <w:rPr>
                <w:b/>
                <w:i/>
              </w:rPr>
              <w:t>încurajează Serbia să își limiteze dependența de furnizarea de echipamente de apărare din Turcia și să își întărească cooperarea cu statele membre ale UE, promovând interoperabilitatea cu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își reiterează poziția referitoare la importanța deschiderii și a publicării arhivelor de război și își reiterează solicitarea de a deschide arhivele fostei Iugoslavii și, în special, de a garanta acces la dosarele fostului serviciu secret iugoslav (UDBA) și ale serviciului de contrainformații al armatei populare iugoslave (KOS), precum și de a restitui dosarele statelor succesoare, dacă ele solicită acest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își reiterează poziția referitoare la importanța deschiderii și a publicării arhivelor de război și își reiterează solicitarea de a deschide arhivele fostei Iugoslavii și, în special, de a acorda acces la dosarele fostului serviciu secret iugoslav (UDBA) și ale serviciului de contrainformații al armatei populare iugoslave (KOS), precum și de a restitui dosarele guvernelor respective, dacă ele solicită acest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ia act de faptul că Serbia găzduiește în continuare canale și rețele de propagandă ale Kremlinului, cum ar fi RT și Sputnik;</w:t>
            </w:r>
            <w:r>
              <w:t xml:space="preserve"> </w:t>
            </w:r>
            <w:r>
              <w:rPr>
                <w:b/>
                <w:i/>
              </w:rPr>
              <w:t>reamintește că aceste rețele sunt utilizate pentru a eluda sancțiunile europene împotriva Rusiei și pentru a răspândi discursul Kremlinului în Balcanii de Vest și mai departe în Europa;</w:t>
            </w:r>
            <w:r>
              <w:t xml:space="preserve"> </w:t>
            </w:r>
            <w:r>
              <w:rPr>
                <w:b/>
                <w:i/>
              </w:rPr>
              <w:t>este îngrijorat de faptul că aceste canale exploatează nemulțumirile istorice și riscă să reaprindă tensiunile în aceste regiuni;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își reiterează apelul de a se deschide arhivele care privesc fostele republici ale Iugoslaviei și de a se permite accesul la dosarele fostului serviciu secret iugoslav (UDBA) și ale serviciului secret al armatei populare iugoslave (KOS) în vederea cercetării și soluționării în profunzime a crimelor din epoca comunistă;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în ceea ce privește dialogul cu Priștina, ia act de înființarea Comisiei mixte pentru persoane dispărute și de organizarea primei sale reuniuni la 22 ianuarie 2026 la Bruxelles, cu participarea negociatorului-șef sârb.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invită autoritățile sârbe să își intensifice eforturile pentru a asigura tratamentul nediscriminatoriu al minorităților naționale și să continue în mod activ anchetele și condamnările pentru infracțiunile motivate de ură;</w:t>
            </w:r>
            <w:r>
              <w:t xml:space="preserve"> </w:t>
            </w:r>
            <w:r>
              <w:rPr>
                <w:b/>
                <w:i/>
              </w:rPr>
              <w:t>invită Serbia să se asigure că grupurile minoritare au șanse egale și o reprezentare adecvată în viața politică și culturală, în mass-media publică, în administrație și în sistemul judiciar;</w:t>
            </w:r>
            <w:r>
              <w:t xml:space="preserve"> </w:t>
            </w:r>
            <w:r>
              <w:rPr>
                <w:b/>
                <w:i/>
              </w:rPr>
              <w:t>invită Serbia să protejeze și să promoveze patrimoniul cultural, limbile și tradițiile minorităților sale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invită Uniunea Europeană să ia măsuri imediate, exercitând presiunea necesară asupra autorităților din Kosovo, pentru a permite Patriarhului Serbiei să aibă acces liber la bisericile sfinte și să își exercite îndatoririle religioase fără obstacole;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reamintește că Serbia găzduiește tabere subversive în care cetățeni ruși instruiesc persoane, inclusiv din Moldova și Serbia, să atace alegerile, să creeze haos și să amenințe ordinea publică în Moldova, Franța și Germania;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salută rolul activ al Serbiei în găsirea tuturor persoanelor dispărute pe teritoriul fostei Iugoslavii.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solicită guvernului sârb să asigure minorității croate din Serbia drepturi egale cu cele de care se bucură minoritatea sârbă în Croația;</w:t>
            </w:r>
            <w:r>
              <w:t xml:space="preserve"> </w:t>
            </w:r>
            <w:r>
              <w:rPr>
                <w:b/>
                <w:i/>
              </w:rPr>
              <w:t>invită Serbia să dea dovadă de un angajament sincer față de soluționarea problemelor nerezolvate cu privire la statutul minorității croate din Serbia, în special în legătură cu utilizarea nediscriminatorie a limbii croate în educație, în administrația publică și în spațiul mediatic dedicat, precum și respectarea patrimoniului cultural croat și a tradițiilor croate în Serbia;</w:t>
            </w:r>
            <w:r>
              <w:t xml:space="preserve"> </w:t>
            </w:r>
            <w:r>
              <w:rPr>
                <w:b/>
                <w:i/>
              </w:rPr>
              <w:t>invită guvernul sârb să garanteze dreptul la educație în limba croată, un spațiu mediatic dedicat, finanțare și facilități adecvate pentru comunitatea croată;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invită liderii religioși din țară să promoveze mesaje care să favorizeze relații de bună vecinătate și înțelegere între diferitele țări și religii din regiune, precum și să contribuie activ la prevenirea unei culturi a confruntării;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constată cu satisfacție sprijinul deplin și de neclintit acordat Republicii Cipru, stat membru al UE, în eforturile sale de a pune capăt ocupării ilegale de către Turcia a 37 % din teritoriul său.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consideră că lipsa de acțiune a guvernului sârb pentru a preveni aceste activități îl face complice al guvernului 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regretă acțiunile Serbiei prin care aceasta își însușește patrimoniul cultural croat și originea tradiției sale literare și care pun sub semnul întrebării statutul limbii croate;</w:t>
            </w:r>
            <w:r>
              <w:t xml:space="preserve"> </w:t>
            </w:r>
            <w:r>
              <w:rPr>
                <w:b/>
                <w:i/>
              </w:rPr>
              <w:t>invită Serbia să creeze o atmosferă pozitivă pentru educația în limbile minorităților și regretă încălcarea drepturilor minorităților în acest domeniu;</w:t>
            </w:r>
            <w:r>
              <w:t xml:space="preserve"> </w:t>
            </w:r>
            <w:r>
              <w:rPr>
                <w:b/>
                <w:i/>
              </w:rPr>
              <w:t>invită autoritățile competente să asigure eliminarea promptă a obstacolelor care împiedică funcționarea instituțiilor de învățământ în limba croată și să garanteze accesul egal și nediscriminatoriu la educație al minorității croate, în conformitate cu drepturile fundamentale ale minorităților;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reiterează necesitatea ca Serbia să consolideze transparența în ceea ce privește examinarea investițiilor străine directe;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avertizează că finanțarea insuficientă a comunităților minoritare subminează exercitarea efectivă a drepturilor fundamentale ale minorităților, inclusiv în materie de educație, cultură, acces la informație și utilizarea oficială a limbii și a scrierii;</w:t>
            </w:r>
            <w:r>
              <w:t xml:space="preserve"> </w:t>
            </w:r>
            <w:r>
              <w:rPr>
                <w:b/>
                <w:i/>
              </w:rPr>
              <w:t>subliniază că, în lipsa unor resurse financiare adecvate, funcționarea normală a consiliilor minorităților naționale este pusă în pericol, ceea ce limitează reprezentarea efectivă;</w:t>
            </w:r>
            <w:r>
              <w:t xml:space="preserve"> </w:t>
            </w:r>
            <w:r>
              <w:rPr>
                <w:b/>
                <w:i/>
              </w:rPr>
              <w:t>invită autoritățile sârbe să asigure o finanțare adecvată și durabilă și să ia măsuri decisive pentru a combate și a condamna discursurile de incitare la ură care îi vizează pe croați, în conformitate cu standardele europene privind protecția minorităților și drepturile fundamentale;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ia act cu profundă îngrijorare de preselectarea lui Dmitry Iordanidi, o persoană care are legături cu serviciile de informații ruse și care fusese anterior expulzată din Belgia, pentru a conduce misiunea OSCE în Serbia;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24f.</w:t>
            </w:r>
            <w:r>
              <w:tab/>
            </w:r>
            <w:r>
              <w:rPr>
                <w:b/>
                <w:i/>
              </w:rPr>
              <w:t>solicită soluționarea chestiunilor restante privind poziția croaților și a Bisericii Catolice, inclusiv eforturile de revitalizare a instituțiilor-cheie care joacă un rol important în sprijinirea comunității catolice și în păstrarea identității naționale croate, în conformitate cu standardele europene privind drepturile minorităților și protecția patrimoniului cultural;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w:t>
            </w:r>
            <w:r>
              <w:t xml:space="preserve"> </w:t>
            </w:r>
            <w:r>
              <w:rPr>
                <w:b/>
                <w:i/>
              </w:rPr>
              <w:t>constată cu îngrijorare că, în ianuarie 2026, Comisia a aprobat totuși prima deblocare de fonduri către Serbia în cadrul Mecanismului de reformă și creștere pentru Balcanii de Vest;</w:t>
            </w:r>
            <w:r>
              <w:t xml:space="preserve"> </w:t>
            </w:r>
            <w:r>
              <w:rPr>
                <w:b/>
                <w:i/>
              </w:rPr>
              <w:t>invită Comisia să explice modul în care au fost îndeplinite condițiile prealabile;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că sprijinul acordat în cadrul Planului </w:t>
            </w:r>
            <w:r>
              <w:rPr>
                <w:b/>
                <w:i/>
              </w:rPr>
              <w:t>de reformă</w:t>
            </w:r>
            <w:r>
              <w:t xml:space="preserve">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constată cu îngrijorare că, în ianuarie 2026, Comisia a aprobat totuși prima deblocare de fonduri către Serbia în cadrul Mecanismului de reformă și creștere pentru Balcanii de Vest; invită Comisia să explice modul în care au fost îndeplinite condițiile prealabile;</w:t>
            </w:r>
          </w:p>
        </w:tc>
        <w:tc>
          <w:tcPr>
            <w:tcW w:w="4876" w:type="dxa"/>
            <w:tcBorders>
              <w:top w:val="nil"/>
              <w:left w:val="nil"/>
              <w:bottom w:val="nil"/>
              <w:right w:val="nil"/>
            </w:tcBorders>
          </w:tcPr>
          <w:p>
            <w:pPr>
              <w:pStyle w:val="Normal6a"/>
            </w:pPr>
            <w:r>
              <w:t>25.</w:t>
            </w:r>
            <w:r>
              <w:tab/>
            </w:r>
            <w:r>
              <w:t>reamintește că sprijinul acordat în cadrul Planului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w:t>
            </w:r>
            <w:r>
              <w:rPr>
                <w:b/>
                <w:i/>
              </w:rPr>
              <w:t>, precum și de angajarea constructivă în procesul de normalizare a relațiilor cu Kosovo</w:t>
            </w:r>
            <w:r>
              <w:t xml:space="preserve">; constată cu îngrijorare că, în ianuarie 2026, Comisia a aprobat totuși prima deblocare de fonduri către Serbia în cadrul Mecanismului de reformă și creștere pentru Balcanii de Vest; invită Comisia să explice modul în care au fost îndeplinite condițiile prealabile; </w:t>
            </w:r>
            <w:r>
              <w:rPr>
                <w:b/>
                <w:i/>
              </w:rPr>
              <w:t>consideră că finanțarea europeană ar trebui să sprijine mai bine reformele democratice ale țării;</w:t>
            </w:r>
            <w:r>
              <w:t xml:space="preserve"> </w:t>
            </w:r>
            <w:r>
              <w:rPr>
                <w:b/>
                <w:i/>
              </w:rPr>
              <w:t>în acest context, solicită reprogramarea fondurilor relevante existente și viitoare ale UE, pentru a redirecționa mai multe fonduri către sprijinirea reformelor judiciare și a măsurilor de combatere a corupției;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constată cu îngrijorare că, în ianuarie 2026, Comisia a aprobat totuși prima deblocare de fonduri către Serbia în cadrul Mecanismului de reformă și creștere pentru Balcanii de Vest; invită Comisia să explice modul în care au fost îndeplinite condițiile prealabile;</w:t>
            </w:r>
          </w:p>
        </w:tc>
        <w:tc>
          <w:tcPr>
            <w:tcW w:w="4876" w:type="dxa"/>
            <w:tcBorders>
              <w:top w:val="nil"/>
              <w:left w:val="nil"/>
              <w:bottom w:val="nil"/>
              <w:right w:val="nil"/>
            </w:tcBorders>
          </w:tcPr>
          <w:p>
            <w:pPr>
              <w:pStyle w:val="Normal6a"/>
            </w:pPr>
            <w:r>
              <w:t>25.</w:t>
            </w:r>
            <w:r>
              <w:tab/>
            </w:r>
            <w:r>
              <w:t>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w:t>
            </w:r>
            <w:r>
              <w:rPr>
                <w:b/>
                <w:i/>
              </w:rPr>
              <w:t>, care în cazul Serbiei nu au fost îndeplinite la standardele necesare</w:t>
            </w:r>
            <w:r>
              <w:t xml:space="preserve">; constată cu îngrijorare că, în ianuarie 2026, Comisia a aprobat totuși prima deblocare de fonduri către Serbia în cadrul Mecanismului de reformă și creștere pentru Balcanii de Vest; invită Comisia să explice modul în care au fost îndeplinite condițiile prealabile; </w:t>
            </w:r>
            <w:r>
              <w:rPr>
                <w:b/>
                <w:i/>
              </w:rPr>
              <w:t>consideră că fondurile acordate Serbiei transmit un mesaj complet greșit și altor țări care doresc să adere la UE, și anume că este posibil să se obțină fonduri UE fără a se înregistra progrese reale în ceea ce privește reformele necesare pentru aderarea la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constată cu îngrijorare că, în ianuarie 2026, Comisia a aprobat totuși prima deblocare de fonduri către Serbia în cadrul Mecanismului de reformă și creștere pentru Balcanii de Vest; invită Comisia să explice modul în care au fost îndeplinite condițiile prealabile;</w:t>
            </w:r>
          </w:p>
        </w:tc>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constată cu îngrijorare că, în ianuarie 2026, Comisia a aprobat totuși prima deblocare de fonduri către Serbia în cadrul Mecanismului de reformă și creștere pentru Balcanii de Vest; invită Comisia să explice modul în care au fost îndeplinite condițiile prealabile; </w:t>
            </w:r>
            <w:r>
              <w:rPr>
                <w:b/>
                <w:i/>
              </w:rPr>
              <w:t>invită Serbia să își modifice legislația muncii pentru a asigura respectarea deplină a Cartei sociale europene în ceea ce privește durata maximă a timpului de lucru, în special prin abrogarea normelor care permit ca timpul de lucru săptămânal să ajungă la 60 de ore pentru membrii echipajelor vehiculelor din transportul rutier și la 84 de ore pentru lucrătorii din transportul pe căile navigabile interioare;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că sprijinul acordat în cadrul Planului </w:t>
            </w:r>
            <w:r>
              <w:rPr>
                <w:b/>
                <w:i/>
              </w:rPr>
              <w:t>de reformă</w:t>
            </w:r>
            <w:r>
              <w:t xml:space="preserve"> de reformă și creștere este condiționat de respectarea unor mecanisme democratice eficace, inclusiv un sistem parlamentar pluripartit, alegeri libere și corecte, o mass-media pluralistă, un sistem judiciar independent, statul de drept și îndeplinirea </w:t>
            </w:r>
            <w:r>
              <w:rPr>
                <w:b/>
                <w:i/>
              </w:rPr>
              <w:t>tuturor</w:t>
            </w:r>
            <w:r>
              <w:t xml:space="preserve"> obligațiilor în materie de drepturi ale omului; constată cu îngrijorare că, în ianuarie 2026, Comisia a aprobat </w:t>
            </w:r>
            <w:r>
              <w:rPr>
                <w:b/>
                <w:i/>
              </w:rPr>
              <w:t>totuși</w:t>
            </w:r>
            <w:r>
              <w:t xml:space="preserve"> prima deblocare de fonduri către Serbia în cadrul Mecanismului de reformă și creștere pentru Balcanii de Vest; invită Comisia să </w:t>
            </w:r>
            <w:r>
              <w:rPr>
                <w:b/>
                <w:i/>
              </w:rPr>
              <w:t>explice modul în care au fost îndeplinite condițiile</w:t>
            </w:r>
            <w:r>
              <w:t xml:space="preserve"> prealabile;</w:t>
            </w:r>
          </w:p>
        </w:tc>
        <w:tc>
          <w:tcPr>
            <w:tcW w:w="4876" w:type="dxa"/>
            <w:tcBorders>
              <w:top w:val="nil"/>
              <w:left w:val="nil"/>
              <w:bottom w:val="nil"/>
              <w:right w:val="nil"/>
            </w:tcBorders>
          </w:tcPr>
          <w:p>
            <w:pPr>
              <w:pStyle w:val="Normal6a"/>
            </w:pPr>
            <w:r>
              <w:t>25.</w:t>
            </w:r>
            <w:r>
              <w:tab/>
            </w:r>
            <w:r>
              <w:t xml:space="preserve">reamintește că sprijinul acordat în cadrul Planului de reformă și creștere este condiționat de respectarea unor mecanisme democratice eficace, inclusiv un sistem parlamentar pluripartit, alegeri libere și corecte, o mass-media pluralistă, un sistem judiciar independent, statul de drept și îndeplinirea obligațiilor în materie de drepturi ale omului; constată cu îngrijorare că, în ianuarie 2026, Comisia a aprobat prima deblocare de fonduri către Serbia în cadrul Mecanismului de reformă și creștere pentru Balcanii de Vest; invită Comisia să </w:t>
            </w:r>
            <w:r>
              <w:rPr>
                <w:b/>
                <w:i/>
              </w:rPr>
              <w:t>publice, fără întârziere, o justificare detaliată și verificabilă privind îndeplinirea condițiilor</w:t>
            </w:r>
            <w:r>
              <w:t xml:space="preserve"> prealabile</w:t>
            </w:r>
            <w:r>
              <w:rPr>
                <w:b/>
                <w:i/>
              </w:rPr>
              <w:t>, inclusiv în ceea ce privește statul de drept, libertatea mass-mediei, funcționarea instituțiilor democratice și progresele în normalizarea relațiilor cu Kosovo, precum și garanțiile împotriva fraudei, corupției și conflictelor de interese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constată cu îngrijorare că, în ianuarie 2026,</w:t>
            </w:r>
            <w:r>
              <w:t xml:space="preserve"> Comisia </w:t>
            </w:r>
            <w:r>
              <w:rPr>
                <w:b/>
                <w:i/>
              </w:rPr>
              <w:t>a aprobat totuși prima</w:t>
            </w:r>
            <w:r>
              <w:t xml:space="preserve"> deblocare de fonduri către Serbia în cadrul Mecanismului de reformă și creștere pentru Balcanii de Vest; </w:t>
            </w:r>
            <w:r>
              <w:rPr>
                <w:b/>
                <w:i/>
              </w:rPr>
              <w:t>invită Comisia să explice modul în care au fost îndeplinite condițiile prealabile</w:t>
            </w:r>
            <w:r>
              <w:t>;</w:t>
            </w:r>
          </w:p>
        </w:tc>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invită</w:t>
            </w:r>
            <w:r>
              <w:t xml:space="preserve"> Comisia </w:t>
            </w:r>
            <w:r>
              <w:rPr>
                <w:b/>
                <w:i/>
              </w:rPr>
              <w:t>să se asigure că aceste condiții prealabile sunt îndeplinite, atunci când examinează orice</w:t>
            </w:r>
            <w:r>
              <w:t xml:space="preserve"> deblocare de fonduri către Serbia în cadrul Mecanismului de reformă și creștere pentru Balcanii de Vest; </w:t>
            </w:r>
            <w:r>
              <w:rPr>
                <w:b/>
                <w:i/>
              </w:rPr>
              <w:t>subliniază că ar fi preferabil să se pună accentul pe viitor, mai degrabă decât să se critice evaluarea Comisiei din ianuarie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constată cu îngrijorare că, în ianuarie 2026,</w:t>
            </w:r>
            <w:r>
              <w:t xml:space="preserve"> Comisia </w:t>
            </w:r>
            <w:r>
              <w:rPr>
                <w:b/>
                <w:i/>
              </w:rPr>
              <w:t>a aprobat totuși prima</w:t>
            </w:r>
            <w:r>
              <w:t xml:space="preserve"> deblocare de fonduri către Serbia în cadrul Mecanismului de reformă și creștere pentru Balcanii de Vest; </w:t>
            </w:r>
            <w:r>
              <w:rPr>
                <w:b/>
                <w:i/>
              </w:rPr>
              <w:t>invită Comisia să explice modul în care au fost îndeplinite condițiile prealabile;</w:t>
            </w:r>
          </w:p>
        </w:tc>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invită</w:t>
            </w:r>
            <w:r>
              <w:t xml:space="preserve"> Comisia </w:t>
            </w:r>
            <w:r>
              <w:rPr>
                <w:b/>
                <w:i/>
              </w:rPr>
              <w:t>să se asigure că aceste condiții prealabile sunt îndeplinite, atunci când examinează orice</w:t>
            </w:r>
            <w:r>
              <w:t xml:space="preserve"> deblocare de fonduri către Serbia în cadrul Mecanismului de reformă și creștere pentru Balcanii de 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constată cu îngrijorare că, în ianuarie 2026,</w:t>
            </w:r>
            <w:r>
              <w:t xml:space="preserve"> Comisia </w:t>
            </w:r>
            <w:r>
              <w:rPr>
                <w:b/>
                <w:i/>
              </w:rPr>
              <w:t>a aprobat totuși prima</w:t>
            </w:r>
            <w:r>
              <w:t xml:space="preserve"> deblocare de fonduri către Serbia în cadrul Mecanismului de reformă și creștere pentru Balcanii de Vest; </w:t>
            </w:r>
            <w:r>
              <w:rPr>
                <w:b/>
                <w:i/>
              </w:rPr>
              <w:t>invită Comisia să explice modul în care au fost îndeplinite condițiile prealabile;</w:t>
            </w:r>
          </w:p>
        </w:tc>
        <w:tc>
          <w:tcPr>
            <w:tcW w:w="4876" w:type="dxa"/>
            <w:tcBorders>
              <w:top w:val="nil"/>
              <w:left w:val="nil"/>
              <w:bottom w:val="nil"/>
              <w:right w:val="nil"/>
            </w:tcBorders>
          </w:tcPr>
          <w:p>
            <w:pPr>
              <w:pStyle w:val="Normal6a"/>
            </w:pPr>
            <w:r>
              <w:t>25.</w:t>
            </w:r>
            <w:r>
              <w:tab/>
            </w:r>
            <w:r>
              <w:t xml:space="preserve">reamintește că sprijinul acordat în cadrul Planului de reformă de reformă și creștere este condiționat de respectarea unor mecanisme democratice eficace, inclusiv un sistem parlamentar pluripartit, alegeri libere și corecte, o mass-media pluralistă, un sistem judiciar independent, statul de drept și îndeplinirea tuturor obligațiilor în materie de drepturi ale omului; </w:t>
            </w:r>
            <w:r>
              <w:rPr>
                <w:b/>
                <w:i/>
              </w:rPr>
              <w:t>invită</w:t>
            </w:r>
            <w:r>
              <w:t xml:space="preserve"> Comisia </w:t>
            </w:r>
            <w:r>
              <w:rPr>
                <w:b/>
                <w:i/>
              </w:rPr>
              <w:t>să se asigure că aceste condiții prealabile sunt îndeplinite, atunci când examinează orice</w:t>
            </w:r>
            <w:r>
              <w:t xml:space="preserve"> deblocare de fonduri către Serbia în cadrul Mecanismului de reformă și creștere pentru Balcanii de 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își reiterează apelul ca fondurile relevante ale UE, inclusiv cele din cadrul Planului de creștere pentru Balcanii de Vest, să fie reprogramate pentru a redirecționa mai multe fonduri către sprijinirea reformelor judiciare, a măsurilor de combatere a corupției, precum și a mass-mediei independente, a organizațiilor societății civile și a sectorului cultural independent, în vederea sprijinirii activităților lor esențiale, iar sprijinul canalizat prin intermediul guvernului sârb să fie suspendat imediat ca urmare a lipsei de progrese clare și credibile în ceea ce privește statul de drept, libertatea mass-mediei și condițiile electorale;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atrage atenția că procesul de aderare la UE se bazează pe apropierea legislației naționale de acquis-ul UE;</w:t>
            </w:r>
            <w:r>
              <w:t xml:space="preserve"> </w:t>
            </w:r>
            <w:r>
              <w:rPr>
                <w:b/>
                <w:i/>
              </w:rPr>
              <w:t>subliniază necesitatea unor eforturi suplimentare pentru punerea în aplicare a reformelor privind gestionarea finanțelor publice și administrația publică, precum și pentru depășirea constrângerilor persistente în materie de capacitate administrativă, prin investiții susținute ale UE în dezvoltarea capacităților de înaltă calitate și în cadre de schimb de cunoștințe – întemeiate pe modele existente de bune practici dezvoltate de parteneri consacrați la nivelul UE și la nivel internațional – care este esențială pentru o punere în aplicare eficientă.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invită Serbia să își intensifice eforturile și să crească investițiile în dezvoltarea socioeconomică a regiunilor sale de frontieră pentru a aborda depopularea și a asigura accesul rezidenților la servicii esențiale, inclusiv la oportunități profesionale, asistență medicală și educație;</w:t>
            </w:r>
            <w:r>
              <w:t xml:space="preserve"> </w:t>
            </w:r>
            <w:r>
              <w:rPr>
                <w:b/>
                <w:i/>
              </w:rPr>
              <w:t>subliniază potențialul programelor de cooperare transfrontalieră IPA III ca instrument-cheie de promovare a creșterii regionale durabile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ia act de faptul că Parchetul European (EPPO) a lansat o investigație separată privind posibila utilizare necorespunzătoare a fondurilor UE pentru lucrările de renovare a gării din Novi Sad din perioada 2021-2024;</w:t>
            </w:r>
            <w:r>
              <w:t xml:space="preserve"> </w:t>
            </w:r>
            <w:r>
              <w:rPr>
                <w:b/>
                <w:i/>
              </w:rPr>
              <w:t>își exprimă îngrijorarea că, în general, fondurile UE prezintă un risc de corupție și că alocarea unor fonduri masive ale UE către Serbia alimentează corupția;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solicită ca UE și țările din Balcanii de Vest să instituie un cadru de cooperare între Parchetul European (EPPO) și omologii săi din Balcanii de Vest, pentru a garanta că EPPO își poate exercita efectiv competențele în ceea ce privește fondurile IPA III și fondurile din cadrul Mecanismului pentru Balcanii de Vest în țările beneficiare;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invită Serbia să consolideze protecția sănătății și a siguranței la locul de muncă prin adoptarea unor politici naționale specifice privind riscurile psihosociale și riscurile emergente, inclusiv în economia muncii la cerere și în economia platformelor, și prin garantarea efectivă a dreptului lucrătorilor la deconectare;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se întreabă dacă este coerent să se ofere în continuare o finanțare substanțială, în special în cadrul Instrumentului de asistență pentru preaderare (IPA III), inclusiv al acordului de finanțare în valoare de 219,9 de milioane EUR pentru perioada 2025-2027;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ia act de declarațiile autorităților sârbe privind explozibilii descoperiți în apropierea unei conducte de gaz la frontiera dintre Serbia și Ungaria, cu puțin timp înainte de alegerile din 2026 din Ungaria;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solicită ca finanțarea în cadrul instrumentului „Europa globală” să fie acordate numai sub rezerva unei condiționalități mai stricte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solicită UE și țărilor din Balcanii de Vest să stabilească un cadru de cooperare eficientă între Parchetul European (EPPO) și țările candidate la aderare;</w:t>
            </w:r>
            <w:r>
              <w:t xml:space="preserve"> </w:t>
            </w:r>
            <w:r>
              <w:rPr>
                <w:b/>
                <w:i/>
              </w:rPr>
              <w:t>îndeamnă Serbia să încheie rapid acorduri de lucru bilaterale cu EPPO pentru a facilita cooperarea strânsă și urmărirea penală a cazurilor de utilizare abuzivă a fondurilor UE, inclusiv prin detașarea unor ofițeri naționali de legătură la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invită Serbia să se asigure că lucrătorii casnici sunt pe deplin acoperiți de legislația privind sănătatea și siguranța la locul de muncă și sunt protejați efectiv în practică, inclusiv prin mecanisme adecvate de inspecție a muncii și de asigurare a respectării legislației, și să extindă supravegherea inspectoratului de muncă la toate categoriile de lucrători independenți, nu numai la cei care lucrează pe șantierele de construcții;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își exprimă îngrijorarea cu privire la amploarea și domeniul de aplicare al contractelor atribuite care sunt exceptate de la cadrul legislativ existent în materie de achiziții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salută propunerea Comisiei de a deschide negocieri cu Albania, Bosnia și Herțegovina, Kosovo, Muntenegru, Macedonia de Nord și Serbia în vederea integrării acestora în regimul UE de roaming la prețurile de pe piața națională (Roam Like at Home);</w:t>
            </w:r>
            <w:r>
              <w:t xml:space="preserve"> </w:t>
            </w:r>
            <w:r>
              <w:rPr>
                <w:b/>
                <w:i/>
              </w:rPr>
              <w:t>subliniază că extinderea zonei de roaming la prețurile de pe piața națională la Balcanii de Vest ar aduce beneficii concrete atât cetățenilor, cât și întreprinderilor, favorizând contactele interumane, stimulând legăturile economice, sprijinind schimburile educaționale și facilitând turismul;</w:t>
            </w:r>
            <w:r>
              <w:t xml:space="preserve"> </w:t>
            </w:r>
            <w:r>
              <w:rPr>
                <w:b/>
                <w:i/>
              </w:rPr>
              <w:t>constată că această inițiativă se bazează pe acordurile voluntare existente în materie de roaming și pe acordul regional de roaming pentru Balcanii de Vest, aprobat în cadrul summitului de la Tirana; solicită adoptarea rapidă a mandatelor de negociere și încheierea în timp util a acordurilor bilaterale cu partenerii din Balcanii de Vest, pentru a asigura integrarea rapidă și efectivă a acestora în spațiul UE de roaming la prețurile de pe piața 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invită Serbia să îmbunătățească inspecția muncii și măsurile de prevenție la locul de muncă în ceea ce privește riscurile profesionale legate de climă, inclusiv căldura, poluarea și alte condiții de mediu dăunătoare, prin mecanisme de supraveghere mai puternice, evaluări ale riscurilor, orientări și formare pentru angajatori și lucrători;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invită Serbia să asigure egalitatea de remunerare între femei și bărbați prin instituirea, în sectorul privat, a unor sisteme de clasificare a locurilor de muncă și de remunerare care să fie transparente, obiective și neutre din perspectiva genului, precum și prin adoptarea unor măsuri eficace capabile să genereze progrese măsurabile în reducerea decalajului de remunerare între femei și bărbați;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invită Serbia să consolideze libertatea de asociere și dialogul social prin luarea de măsuri active pentru a încuraja sindicalizarea, în special în sectoarele slab sindicalizate și în cele noi, prin reducerea pragurilor excesive de afiliere pentru organizațiile patronale și prin asigurarea promovării efective a consultărilor comune, inclusiv în sectorul privat și cu privire la aspecte legate de tranziția digitală;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invită Serbia să promoveze mai eficient negocierile colective, inclusiv pentru lucrătorii independenți care sunt dependenți din punct de vedere economic sau care se află într-o situație comparabilă cu cea a lucrătorilor salariați, pentru a preveni abuzurile legate de activități independente false și pentru a garanta că toți lucrătorii sunt în măsură să își îmbunătățească condițiile prin acțiuni și negocieri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invită Serbia să își alinieze legislația privind dreptul la grevă la Carta socială europeană, prin eliminarea interdicțiilor nejustificate privind greva în anumite părți ale sectorului sănătății, prin restrângerea sferei excesiv de largi a sectoarelor în care dreptul la grevă poate fi limitat și prin asigurarea implicării lucrătorilor și a sindicatelor, în condiții de egalitate cu angajatorii, în deciziile privind serviciul minim în timpul grevelor;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invită Serbia să își intensifice eforturile de reducere a disparității de gen în ceea ce privește ocuparea forței de muncă și să promoveze progrese măsurabile în reprezentarea femeilor în funcții executive, în special în cele mai mari societăți cotate la bursă, inclusiv prin măsuri specifice în favoarea egalității și prin publicarea periodică a unor date defalcate;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constată că dialogul social și consultarea partenerilor sociali rămân slabe și invită autoritățile să consolideze negocierile colective, în drept și în practică, să promoveze dialogul social tripartit și bipartit și să utilizeze Mecanismul pentru Balcanii de Vest pentru a sprijini consolidarea capacităților partenerilor sociali, a căror plată trebuie să rămână condiționată de implicarea partenerilor sociali în elaborarea Agendei de reformă;</w:t>
            </w:r>
            <w:r>
              <w:t xml:space="preserve"> </w:t>
            </w:r>
            <w:r>
              <w:rPr>
                <w:b/>
                <w:i/>
              </w:rPr>
              <w:t>invită, de asemenea, autoritățile să reformeze legislația muncii pentru a o alinia la acquis-ul social al UE și la Legea privind greva, în conformitate cu convențiile OIM 87 și 98, și să se abțină de la orice ingerință în libertatea de asociere și în funcționarea sindicatelor;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subliniază importanța strategică a consolidării conectivității dintre Serbia și statele membre ale UE, în special prin dezvoltarea și modernizarea în continuare a liniei de cale ferată Budapesta-Belgrad-Skopje-Salonic, ca secțiune a rețelei transeuropene de transport (TEN-T) și a coridorului Balcanii de Vest – estul Mării Mediterane;</w:t>
            </w:r>
            <w:r>
              <w:t xml:space="preserve"> </w:t>
            </w:r>
            <w:r>
              <w:rPr>
                <w:b/>
                <w:i/>
              </w:rPr>
              <w:t>subliniază că accelerarea investițiilor relevante poate contribui la convergența economică, la mobilitatea sustenabilă și la consolidarea fluxurilor comerciale dintre Uniune și Serbia;</w:t>
            </w:r>
            <w:r>
              <w:t xml:space="preserve"> </w:t>
            </w:r>
            <w:r>
              <w:rPr>
                <w:b/>
                <w:i/>
              </w:rPr>
              <w:t>invită Comisia și Serbia să își intensifice cooperarea în ceea ce privește planificarea, finanțarea și punerea în aplicare a proiectelor relevante, asigurând, în același timp, respectarea standardelor Uniunii în materie de mediu, achiziții publice și transparență;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invită Serbia să își intensifice eforturile în vederea transpunerii acquis-ului relevant în domeniul mediului și al climei și să asigure aplicarea corespunzătoare a standardelor de protecție a mediului, inclusiv prin consolidarea semnificativă a capacităților sale administrative și tehnice la toate nivelurile de guvernare, prin îmbunătățirea coordonării între autoritățile competente și prin remedierea fragmentării responsabilităților în sectorul mediului;</w:t>
            </w:r>
            <w:r>
              <w:t xml:space="preserve"> </w:t>
            </w:r>
            <w:r>
              <w:rPr>
                <w:b/>
                <w:i/>
              </w:rPr>
              <w:t>îndeamnă autoritățile sârbe să îmbunătățească transparența și evaluarea impactului asupra mediului pentru toate investițiile, inclusiv cele provenite din China și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salută adoptarea Legii privind evaluarea impactului asupra mediului și a Legii privind evaluarea strategică de mediu;</w:t>
            </w:r>
            <w:r>
              <w:t xml:space="preserve"> </w:t>
            </w:r>
            <w:r>
              <w:rPr>
                <w:b/>
                <w:i/>
              </w:rPr>
              <w:t>subliniază totuși că punerea în aplicare efectivă rămâne esențială, în special pentru a se garanta că toate proiectele fac obiectul unor proceduri de evaluare complete și transparente, că participarea publicului este reală și în timp util și că nicio practică administrativă, inclusiv avizele preliminare, nu permite proiectelor să eludeze o examinare cuprinzătoare a impactului asupra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ia act de evoluțiile sensibile din punct de vedere politic în ceea ce privește societatea de petrol și gaze Naftna Industrija Srbije (NIS) și transformarea structurii acționariatului acesteia, în contextul sancțiunilor impuse de Statele Unite și al faptului că pachetul majoritar de acțiuni al NIS este deținut de societățile ruse Gazprom și Gazprom Neft</w:t>
            </w:r>
            <w:r>
              <w:t>;</w:t>
            </w:r>
          </w:p>
        </w:tc>
        <w:tc>
          <w:tcPr>
            <w:tcW w:w="4876" w:type="dxa"/>
            <w:tcBorders>
              <w:top w:val="nil"/>
              <w:left w:val="nil"/>
              <w:bottom w:val="nil"/>
              <w:right w:val="nil"/>
            </w:tcBorders>
          </w:tcPr>
          <w:p>
            <w:pPr>
              <w:pStyle w:val="Normal6a"/>
            </w:pPr>
            <w:r>
              <w:t>26.</w:t>
            </w:r>
            <w:r>
              <w:tab/>
            </w:r>
            <w:r>
              <w:rPr>
                <w:b/>
                <w:i/>
              </w:rPr>
              <w:t>salută eforturile care vizează separarea activităților Srbijagas și a altor activități în vederea independenței energetice și a diversificării surselor de energie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ia act de evoluțiile sensibile din punct de vedere politic în ceea ce privește societatea de petrol și gaze Naftna Industrija Srbije (NIS) și transformarea structurii acționariatului acesteia, în contextul sancțiunilor impuse de Statele Unite și al faptului că pachetul majoritar de acțiuni al NIS este deținut de societățile ruse Gazprom și Gazprom Neft;</w:t>
            </w:r>
          </w:p>
        </w:tc>
        <w:tc>
          <w:tcPr>
            <w:tcW w:w="4876" w:type="dxa"/>
            <w:tcBorders>
              <w:top w:val="nil"/>
              <w:left w:val="nil"/>
              <w:bottom w:val="nil"/>
              <w:right w:val="nil"/>
            </w:tcBorders>
          </w:tcPr>
          <w:p>
            <w:pPr>
              <w:pStyle w:val="Normal6a"/>
            </w:pPr>
            <w:r>
              <w:t>26.</w:t>
            </w:r>
            <w:r>
              <w:tab/>
            </w:r>
            <w:r>
              <w:t xml:space="preserve">ia act de evoluțiile sensibile din punct de vedere politic în ceea ce privește societatea de petrol și gaze Naftna Industrija Srbije (NIS) și transformarea structurii acționariatului acesteia, în contextul sancțiunilor impuse de Statele Unite și al faptului că pachetul majoritar de acțiuni al NIS este deținut de societățile ruse Gazprom și Gazprom Neft; </w:t>
            </w:r>
            <w:r>
              <w:rPr>
                <w:b/>
                <w:i/>
              </w:rPr>
              <w:t>ia act de angajamentul și sprijinul UE și al Croației pentru identificarea unei soluții durabile la această criză;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ia act de evoluțiile sensibile din punct de vedere politic în ceea ce privește societatea de petrol și gaze</w:t>
            </w:r>
            <w:r>
              <w:t xml:space="preserve"> Naftna Industrija Srbije (NIS) </w:t>
            </w:r>
            <w:r>
              <w:rPr>
                <w:b/>
                <w:i/>
              </w:rPr>
              <w:t>și transformarea structurii acționariatului acesteia</w:t>
            </w:r>
            <w:r>
              <w:t xml:space="preserve">, </w:t>
            </w:r>
            <w:r>
              <w:rPr>
                <w:b/>
                <w:i/>
              </w:rPr>
              <w:t>în contextul sancțiunilor impuse de Statele Unite și al faptului că pachetul majoritar de acțiuni al NIS este deținut de societățile ruse</w:t>
            </w:r>
            <w:r>
              <w:t xml:space="preserve"> Gazprom și Gazprom Neft;</w:t>
            </w:r>
          </w:p>
        </w:tc>
        <w:tc>
          <w:tcPr>
            <w:tcW w:w="4876" w:type="dxa"/>
            <w:tcBorders>
              <w:top w:val="nil"/>
              <w:left w:val="nil"/>
              <w:bottom w:val="nil"/>
              <w:right w:val="nil"/>
            </w:tcBorders>
          </w:tcPr>
          <w:p>
            <w:pPr>
              <w:pStyle w:val="Normal6a"/>
            </w:pPr>
            <w:r>
              <w:t>26.</w:t>
            </w:r>
            <w:r>
              <w:tab/>
            </w:r>
            <w:r>
              <w:rPr>
                <w:b/>
                <w:i/>
              </w:rPr>
              <w:t>consideră că structura acționariatului întreprinderii petroliere și gaziere</w:t>
            </w:r>
            <w:r>
              <w:t xml:space="preserve"> Naftna Industrija Srbije (NIS) </w:t>
            </w:r>
            <w:r>
              <w:rPr>
                <w:b/>
                <w:i/>
              </w:rPr>
              <w:t>reprezintă un motiv serios de îngrijorare</w:t>
            </w:r>
            <w:r>
              <w:t xml:space="preserve">, </w:t>
            </w:r>
            <w:r>
              <w:rPr>
                <w:b/>
                <w:i/>
              </w:rPr>
              <w:t>având în vedere că întreprinderile rusești</w:t>
            </w:r>
            <w:r>
              <w:t xml:space="preserve"> Gazprom și Gazprom Neft </w:t>
            </w:r>
            <w:r>
              <w:rPr>
                <w:b/>
                <w:i/>
              </w:rPr>
              <w:t>dețin o participație de control în cadrul acesteia și consideră că acest lucru contravine complet intereselor strategice și obiectivelor politicii energetice ale UE</w:t>
            </w:r>
            <w:r>
              <w:t xml:space="preserve">; </w:t>
            </w:r>
            <w:r>
              <w:rPr>
                <w:b/>
                <w:i/>
              </w:rPr>
              <w:t>salută călduros sancțiunile impuse de SUA în această privință;</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ia act de evoluțiile </w:t>
            </w:r>
            <w:r>
              <w:rPr>
                <w:b/>
                <w:i/>
              </w:rPr>
              <w:t>sensibile din punct de vedere politic</w:t>
            </w:r>
            <w:r>
              <w:t xml:space="preserve"> în ceea ce privește </w:t>
            </w:r>
            <w:r>
              <w:rPr>
                <w:b/>
                <w:i/>
              </w:rPr>
              <w:t>societatea de petrol și gaze Naftna Industrija Srbije (NIS) și transformarea structurii</w:t>
            </w:r>
            <w:r>
              <w:t xml:space="preserve"> acționariatului </w:t>
            </w:r>
            <w:r>
              <w:rPr>
                <w:b/>
                <w:i/>
              </w:rPr>
              <w:t>acesteia, în contextul sancțiunilor impuse de Statele Unite și al faptului că pachetul majoritar de acțiuni al NIS este deținut de societățile ruse Gazprom și Gazprom Neft</w:t>
            </w:r>
            <w:r>
              <w:t>;</w:t>
            </w:r>
          </w:p>
        </w:tc>
        <w:tc>
          <w:tcPr>
            <w:tcW w:w="4876" w:type="dxa"/>
            <w:tcBorders>
              <w:top w:val="nil"/>
              <w:left w:val="nil"/>
              <w:bottom w:val="nil"/>
              <w:right w:val="nil"/>
            </w:tcBorders>
          </w:tcPr>
          <w:p>
            <w:pPr>
              <w:pStyle w:val="Normal6a"/>
            </w:pPr>
            <w:r>
              <w:t>26.</w:t>
            </w:r>
            <w:r>
              <w:tab/>
            </w:r>
            <w:r>
              <w:t xml:space="preserve">ia act de evoluțiile în ceea ce privește </w:t>
            </w:r>
            <w:r>
              <w:rPr>
                <w:b/>
                <w:i/>
              </w:rPr>
              <w:t>NIS și structura</w:t>
            </w:r>
            <w:r>
              <w:t xml:space="preserve"> acționariatului </w:t>
            </w:r>
            <w:r>
              <w:rPr>
                <w:b/>
                <w:i/>
              </w:rPr>
              <w:t>său;</w:t>
            </w:r>
            <w:r>
              <w:t xml:space="preserve"> </w:t>
            </w:r>
            <w:r>
              <w:rPr>
                <w:b/>
                <w:i/>
              </w:rPr>
              <w:t>reamintește că sectorul energetic al Serbiei și acordurile sale de parteneriat reflectă decizii suverane privind securitatea energetică;</w:t>
            </w:r>
            <w:r>
              <w:t xml:space="preserve"> </w:t>
            </w:r>
            <w:r>
              <w:rPr>
                <w:b/>
                <w:i/>
              </w:rPr>
              <w:t>subliniază că regimurile de sancțiuni ale țărilor terțe nu creează în mod automat obligații pentru țările candidate la aderarea la UE și nu ar trebui tratate ca un criteriu de referință pentru condiționalitatea legată de aderarea 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salută propunerea Comisiei de a deschide negocieri cu Albania, Bosnia și Herțegovina, Kosovo, Muntenegru, Macedonia de Nord și Serbia în vederea integrării acestora în regimul UE de roaming la prețurile de pe piața națională;</w:t>
            </w:r>
            <w:r>
              <w:t xml:space="preserve"> </w:t>
            </w:r>
            <w:r>
              <w:rPr>
                <w:b/>
                <w:i/>
              </w:rPr>
              <w:t>subliniază că extinderea zonei de roaming la prețurile de pe piața națională la Balcanii de Vest ar aduce beneficii concrete atât cetățenilor, cât și întreprinderilor, favorizând contactele interumane, stimulând legăturile economice, sprijinind schimburile educaționale și facilitând turismul;</w:t>
            </w:r>
            <w:r>
              <w:t xml:space="preserve"> </w:t>
            </w:r>
            <w:r>
              <w:rPr>
                <w:b/>
                <w:i/>
              </w:rPr>
              <w:t>constată că această inițiativă se bazează pe acordurile voluntare existente în materie de roaming și pe acordul regional de roaming pentru Balcanii de Vest, aprobat în cadrul summitului de la Tirana; solicită adoptarea rapidă a mandatelor de negociere și încheierea în timp util a acordurilor bilaterale cu partenerii din Balcanii de Vest, pentru a asigura integrarea rapidă și eficientă a acestora în spațiul UE de roaming la prețurile de pe piața națională;</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regretă că Serbia continuă să încheie acorduri privind gazele cu Rusia, fără a se alinia la obiectivele PESC ale UE, sporind astfel dependența sa strategică de un singur furnizor;</w:t>
            </w:r>
            <w:r>
              <w:t xml:space="preserve"> </w:t>
            </w:r>
            <w:r>
              <w:rPr>
                <w:b/>
                <w:i/>
              </w:rPr>
              <w:t>invită autoritățile sârbe să își intensifice urgent eforturile de diversificare a surselor de aprovizionare cu gaze, inclusiv prin îmbunătățirea interconectivității regionale, prin investiții în energie din surse regenerabile și prin alinierea la strategia UE de diversificare energetică;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ia act cu îngrijorare de exodul constant al cetățenilor sârbi către țări străine, ceea ce poate avea implicații negative pentru dezvoltarea economică și socială a Serbiei;</w:t>
            </w:r>
            <w:r>
              <w:t xml:space="preserve"> </w:t>
            </w:r>
            <w:r>
              <w:rPr>
                <w:b/>
                <w:i/>
              </w:rPr>
              <w:t>invită guvernul sârb să adopte măsuri specifice și eficace pentru a atrage înapoi cetățenii sârbi, printre altele, prin furnizarea de stimulente economice adecvate și prin îmbunătățirea condițiilor de muncă și de viață;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regretă că, în pofida eforturilor Serbiei de a-și diversifica aprovizionarea cu energie din afara Rusiei, discuțiile recente dintre președintele Vučić și Vladimir Putin au condus la un nou acord cu Rusia privind importul de gaze, subminând progresele țării în direcția alinierii la politica energetică a UE și ridicând semne de întrebare serioase cu privire la angajamentul Serbiei de a-și reduce dependența strategică de sursele de energie rusești;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ia act de nivelul bun de pregătire al Serbiei în domeniul economiei – securitate și stabilitate macroeconomică, disciplină fiscală, statistică;</w:t>
            </w:r>
            <w:r>
              <w:t xml:space="preserve"> </w:t>
            </w:r>
            <w:r>
              <w:rPr>
                <w:b/>
                <w:i/>
              </w:rPr>
              <w:t>constată progrese satisfăcătoare în ceea ce privește Agenda verde, protecția mediului, schimbările climatice și rețeaua transeuropeană;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consideră că refuzul Serbiei de a se alătura sancțiunilor împotriva Rusiei reprezintă o abatere inacceptabilă de la linia comună a UE și că subminează în mod fundamental credibilitatea procesului de aderare a țării;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reiterează importanța continuării diversificării aprovizionării cu energie a Serbiei, pentru a-și reduce dependența de Rusia;</w:t>
            </w:r>
            <w:r>
              <w:t xml:space="preserve"> </w:t>
            </w:r>
            <w:r>
              <w:rPr>
                <w:b/>
                <w:i/>
              </w:rPr>
              <w:t>constată că diversificarea energetică poate fi privită ca parte a orientării strategice a țării;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salută eforturile de separare a activităților Srbijagas și de promovare a reformelor menite să consolideze independența energetică și să diversifice sursele de energie, în special prin reducerea dependenței de furnizorii dominanți din țări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salută acțiunile întreprinse de autoritățile sârbe la 5 aprilie 2026 pentru a preveni atacul terorist împotriva gazoductului sârbo-maghiar, cunoscut sub numele de „Turkish Stream”, în apropiere de Trešnjevac;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ia act cu regret de provocările demografice cu care se confruntă Serbia, generate de îmbătrânirea populației și de ratele scăzute ale natalității, agravate de exodul tinerilor determinat de incertitudinea politică și de dificultățile socioeconomice;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salută eforturile care vizează separarea activităților Srbijagas și a altor activități în vederea independenței energetice și a diversificării surselor de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consideră că este un obiectiv esențial al politicii de securitate ca Serbia să renunțe la energia rusească;</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reiterează importanța protejării standardelor de mediu în Serbia, în special în ceea ce privește proiectele miniere, respectând totodată pe deplin drepturile comunităților locale;</w:t>
            </w:r>
          </w:p>
        </w:tc>
        <w:tc>
          <w:tcPr>
            <w:tcW w:w="4876" w:type="dxa"/>
            <w:tcBorders>
              <w:top w:val="nil"/>
              <w:left w:val="nil"/>
              <w:bottom w:val="nil"/>
              <w:right w:val="nil"/>
            </w:tcBorders>
          </w:tcPr>
          <w:p>
            <w:pPr>
              <w:pStyle w:val="Normal6a"/>
            </w:pPr>
            <w:r>
              <w:t>27.</w:t>
            </w:r>
            <w:r>
              <w:tab/>
            </w:r>
            <w:r>
              <w:t xml:space="preserve">reiterează importanța protejării standardelor de mediu în Serbia, în special în ceea ce privește proiectele miniere, respectând totodată pe deplin drepturile comunităților locale; </w:t>
            </w:r>
            <w:r>
              <w:rPr>
                <w:b/>
                <w:i/>
              </w:rPr>
              <w:t>salută Memorandumul de înțelegere între Uniunea Europeană și Republica Serbia referitor la un parteneriat strategic privind materiile prime durabile, lanțurile valorice ale bateriilor și vehiculele electrice.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reiterează importanța protejării standardelor de mediu în Serbia, în special în ceea ce privește proiectele miniere, respectând totodată pe deplin drepturile comunităților locale;</w:t>
            </w:r>
          </w:p>
        </w:tc>
        <w:tc>
          <w:tcPr>
            <w:tcW w:w="4876" w:type="dxa"/>
            <w:tcBorders>
              <w:top w:val="nil"/>
              <w:left w:val="nil"/>
              <w:bottom w:val="nil"/>
              <w:right w:val="nil"/>
            </w:tcBorders>
          </w:tcPr>
          <w:p>
            <w:pPr>
              <w:pStyle w:val="Normal6a"/>
            </w:pPr>
            <w:r>
              <w:t>27.</w:t>
            </w:r>
            <w:r>
              <w:tab/>
            </w:r>
            <w:r>
              <w:t xml:space="preserve">reiterează importanța protejării standardelor de mediu în Serbia, în special în ceea ce privește proiectele miniere, respectând totodată pe deplin drepturile comunităților locale; </w:t>
            </w:r>
            <w:r>
              <w:rPr>
                <w:b/>
                <w:i/>
              </w:rPr>
              <w:t>salută Memorandumul de înțelegere între Uniunea Europeană și Republica Serbia referitor la un parteneriat strategic privind materiile prime durabile, lanțurile valorice ale bateriilor și vehiculele electrice.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reiterează importanța </w:t>
            </w:r>
            <w:r>
              <w:rPr>
                <w:b/>
                <w:i/>
              </w:rPr>
              <w:t>protejării</w:t>
            </w:r>
            <w:r>
              <w:t xml:space="preserve"> standardelor de mediu în Serbia, în special în ceea ce privește proiectele miniere, respectând totodată pe deplin drepturile comunităților locale;</w:t>
            </w:r>
          </w:p>
        </w:tc>
        <w:tc>
          <w:tcPr>
            <w:tcW w:w="4876" w:type="dxa"/>
            <w:tcBorders>
              <w:top w:val="nil"/>
              <w:left w:val="nil"/>
              <w:bottom w:val="nil"/>
              <w:right w:val="nil"/>
            </w:tcBorders>
          </w:tcPr>
          <w:p>
            <w:pPr>
              <w:pStyle w:val="Normal6a"/>
            </w:pPr>
            <w:r>
              <w:t>27.</w:t>
            </w:r>
            <w:r>
              <w:tab/>
            </w:r>
            <w:r>
              <w:t xml:space="preserve">reiterează importanța </w:t>
            </w:r>
            <w:r>
              <w:rPr>
                <w:b/>
                <w:i/>
              </w:rPr>
              <w:t>respectării depline a</w:t>
            </w:r>
            <w:r>
              <w:t xml:space="preserve"> standardelor de mediu </w:t>
            </w:r>
            <w:r>
              <w:rPr>
                <w:b/>
                <w:i/>
              </w:rPr>
              <w:t>și de protecție a naturii</w:t>
            </w:r>
            <w:r>
              <w:t xml:space="preserve"> în Serbia, în special în ceea ce privește proiectele miniere</w:t>
            </w:r>
            <w:r>
              <w:rPr>
                <w:b/>
                <w:i/>
              </w:rPr>
              <w:t>, mai ales în zonele cu o valoare ridicată a biodiversității, cum ar fi zonele protejate și pădurile seculare din estul Serbiei</w:t>
            </w:r>
            <w:r>
              <w:t>, respectând totodată pe deplin drepturile comunităților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își exprimă îngrijorarea cu privire la degradarea mediului și la impactul social semnalate în legătură cu proiectele extractive de mare amploare, în special în urma vânzării, în 2018, a Complexului minier și Metalurgic RTB Bor către societatea chineză Zijin, care a condus la intensificarea exploatării cuprului, aurului și a altor materiale rare în municipalitățile Bor și Majdanpek;</w:t>
            </w:r>
            <w:r>
              <w:t xml:space="preserve"> </w:t>
            </w:r>
            <w:r>
              <w:rPr>
                <w:b/>
                <w:i/>
              </w:rPr>
              <w:t>subliniază că astfel de activități au generat preocupări serioase cu privire la impactul lor asupra comunităților locale, inclusiv strămutarea unor persoane aparținând minorității române, modificând astfel componența etnică a zonei și subminând garanțiile constituționale;</w:t>
            </w:r>
            <w:r>
              <w:t xml:space="preserve"> </w:t>
            </w:r>
            <w:r>
              <w:rPr>
                <w:b/>
                <w:i/>
              </w:rPr>
              <w:t>subliniază că Serbia trebuie să își protejeze pe deplin ordinea constituțională, să asigure respectarea strictă a standardelor de mediu și să protejeze drepturile comunităților locale și ale comunităților aparținând minorităților naționale atunci când aprobă și pune în aplicare astfel de proiecte;</w:t>
            </w:r>
            <w:r>
              <w:t xml:space="preserve"> </w:t>
            </w:r>
            <w:r>
              <w:rPr>
                <w:b/>
                <w:i/>
              </w:rPr>
              <w:t>invită autoritățile sârbe să asigure transparența deplină, răspunderea și diligența necesară în procesele de achiziții publice, privatizare și concesionare care implică întreprinderi de stat străine, inclusiv contractanți chinezi;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invită Serbia să accelereze alinierea la Directiva privind păsările și la Directiva privind habitatele și să își intensifice semnificativ eforturile de identificare și predesemnare a siturilor pentru rețeaua Natura 2000, în vederea îndeplinirii principalelor obligații prevăzute în capitolul 27, precum și să extindă și să gestioneze în mod eficace zonele protejate, inclusiv prin consolidarea asigurării respectării legislației împotriva infracțiunilor legate de speciile sălbatice;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invită Comisia să reexamineze noile norme ale UE privind EES care limitează șederea în UE a șoferilor de camioane din Muntenegru, Serbia, Bosnia și Macedonia de Nord la 90 de zile într-o jumătate de an, amenințând astfel mijloacele de subzistență ale persoanelor din țările candidate și riscând să perturbe lanțurile de aprovizionare din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este preocupat de impactul grav asupra mediului și a sănătății publice, inclusiv poluarea aerului, a solului și a apei, generat de activitățile miniere și industriale care implică investitori chinezi, în special cele legate de operațiunile desfășurate de Zijin Mining în Serbia;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subliniază că deținerea în continuare de către stat a principalelor întreprinderi din domeniul energiei este un activ strategic fundamental pentru Serbia, oferind un instrument esențial pentru a asigura suveranitatea energetică, a proteja cetățenii de volatilitatea prețurilor și a gestiona o tranziție verde coordonată;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își reiterează regretul față de lipsa de acțiune în cazul poluării râului Dragovištica de către minele care își desfășoară activitatea în regiune și față de efectul dăunător pentru sănătatea localnicilor și pentru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invită Serbia să examineze și să evalueze în mod corespunzător și transparent investițiile provenite din țări terțe, în special în ceea ce privește standardele de mediu și sustenabilitatea;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invită Serbia să pună în aplicare fără întârziere activitățile prevăzute în Memorandumul de înțelegere privind cooperarea în domeniul protecției mediului încheiat cu Bulgaria;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salută Memorandumul de înțelegere dintre UE și Serbia privind un parteneriat strategic în domeniul materiilor prime durabile, al lanțurilor valorice ale bateriilor și al vehiculelor electrice;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încurajează Serbia să aprofundeze cooperarea transfrontalieră cu țările vecine, în special în domeniul infrastructurii rutiere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avertizează cu privire la orice alte procese de privatizare netransparente în sectoarele strategice;</w:t>
            </w:r>
            <w:r>
              <w:t xml:space="preserve"> </w:t>
            </w:r>
            <w:r>
              <w:rPr>
                <w:b/>
                <w:i/>
              </w:rPr>
              <w:t>îndeamnă Serbia să se asigure că orice restructurare sau corporatizare a întreprinderilor de stat se desfășoară cu respectarea deplină a principiilor dialogului social, garantând implicarea semnificativă a sindicatelor și a reprezentanților lucrătorilor în procesul decizional, pentru a preveni erodarea drepturilor lucrătorilor și pierderea controlului public asupra serviciilor esențiale;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subliniază necesitatea unor progrese suplimentare în cooperarea transfrontalieră cu țările învecinate;</w:t>
            </w:r>
            <w:r>
              <w:t xml:space="preserve"> </w:t>
            </w:r>
            <w:r>
              <w:rPr>
                <w:b/>
                <w:i/>
              </w:rPr>
              <w:t>îndeamnă Serbia să înceapă punerea în aplicare a activităților prevăzute în Memorandumul de înțelegere privind cooperarea în domeniul protecției mediului încheiat cu Bulgaria;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ia act de valoarea considerabilă a sprijinului financiar acordat de UE Serbiei;</w:t>
            </w:r>
            <w:r>
              <w:t xml:space="preserve"> </w:t>
            </w:r>
            <w:r>
              <w:rPr>
                <w:b/>
                <w:i/>
              </w:rPr>
              <w:t>invită Comisia să asigure un randament maxim pentru banii contribuabililor din UE și condițiile necesare pentru a îmbunătăți competitivitatea strategică a întreprinderilor din UE pe piața din Serbia;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subliniază că conectivitatea regională cu UE ar trebui transpusă și planificată în mod corespunzător pentru a facilita promovarea afacerilor și a investițiilor care vor aduce beneficii întreprinderilor europene și contribuabililor europeni;</w:t>
            </w:r>
            <w:r>
              <w:t xml:space="preserve"> </w:t>
            </w:r>
            <w:r>
              <w:rPr>
                <w:b/>
                <w:i/>
              </w:rPr>
              <w:t>invită Serbia să elimine obstacolele juridice și comerciale care împiedică exploatarea interconectorului de gaze Serbia-Bulgaria (IBS);</w:t>
            </w:r>
            <w:r>
              <w:t xml:space="preserve"> </w:t>
            </w:r>
            <w:r>
              <w:rPr>
                <w:b/>
                <w:i/>
              </w:rPr>
              <w:t>reamintește că rețelele transeuropene de energie și de transport consolidează securitatea aprovizionării, reduc dependențele și consolidează legăturile economice și interpersonale;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încredințează Președintei sarcina de a transmite prezenta rezoluție Președintelui Consiliului European, Comisiei, Vicepreședintei Comisiei/Înaltei Reprezentante a Uniunii pentru afaceri externe și politica de securitate, guvernelor și parlamentelor statelor membre, </w:t>
            </w:r>
            <w:r>
              <w:rPr>
                <w:b/>
                <w:i/>
              </w:rPr>
              <w:t>precum și</w:t>
            </w:r>
            <w:r>
              <w:t xml:space="preserve"> Președintelui, Guvernului și Adunării Naționale a Serbiei</w:t>
            </w:r>
            <w:r>
              <w:rPr>
                <w:b/>
                <w:i/>
              </w:rPr>
              <w:t>.</w:t>
            </w:r>
          </w:p>
        </w:tc>
        <w:tc>
          <w:tcPr>
            <w:tcW w:w="4876" w:type="dxa"/>
            <w:tcBorders>
              <w:top w:val="nil"/>
              <w:left w:val="nil"/>
              <w:bottom w:val="nil"/>
              <w:right w:val="nil"/>
            </w:tcBorders>
          </w:tcPr>
          <w:p>
            <w:pPr>
              <w:pStyle w:val="Normal6a"/>
            </w:pPr>
            <w:r>
              <w:t>28.</w:t>
            </w:r>
            <w:r>
              <w:tab/>
            </w:r>
            <w:r>
              <w:t>încredințează Președintei sarcina de a transmite prezenta rezoluție Președintelui Consiliului European, Comisiei, Vicepreședintei Comisiei/Înaltei Reprezentante a Uniunii pentru afaceri externe și politica de securitate, guvernelor și parlamentelor statelor membre, președintelui, guvernului și Adunării naționale a Serbiei</w:t>
            </w:r>
            <w:r>
              <w:rPr>
                <w:b/>
                <w:i/>
              </w:rPr>
              <w:t>, precum și președintelui și secretarului general al Organizației pentru Securitate și Cooperare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încredințează Președintei sarcina de a transmite prezenta rezoluție Președintelui Consiliului European, Comisiei, Vicepreședintei Comisiei/Înaltei Reprezentante a Uniunii pentru afaceri externe și politica de securitate, guvernelor și parlamentelor statelor membre, precum și Președintelui, Guvernului și Adunării Naționale a Serbiei</w:t>
            </w:r>
            <w:r>
              <w:rPr>
                <w:b/>
                <w:i/>
              </w:rPr>
              <w:t>.</w:t>
            </w:r>
          </w:p>
        </w:tc>
        <w:tc>
          <w:tcPr>
            <w:tcW w:w="4876" w:type="dxa"/>
            <w:tcBorders>
              <w:top w:val="nil"/>
              <w:left w:val="nil"/>
              <w:bottom w:val="nil"/>
              <w:right w:val="nil"/>
            </w:tcBorders>
          </w:tcPr>
          <w:p>
            <w:pPr>
              <w:pStyle w:val="Normal6a"/>
            </w:pPr>
            <w:r>
              <w:t>28.</w:t>
            </w:r>
            <w:r>
              <w:tab/>
            </w:r>
            <w:r>
              <w:t xml:space="preserve">încredințează Președintei sarcina de a transmite prezenta rezoluție Președintelui Consiliului European, Comisiei, Vicepreședintei Comisiei/Înaltei Reprezentante a Uniunii pentru afaceri externe și politica de securitate, </w:t>
            </w:r>
            <w:r>
              <w:rPr>
                <w:b/>
                <w:i/>
              </w:rPr>
              <w:t>precum și de a dispune traducerea acesteia în limba sârbă și transmiterea ei</w:t>
            </w:r>
            <w:r>
              <w:t xml:space="preserve"> guvernelor și parlamentelor statelor membre, precum și președintelui, guvernului și Adunării Naționale a Serbiei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subliniază că o prioritate esențială rămâne punerea în aplicare deplină și corespunzătoare în practică a legislației recent adoptate privind evaluarea impactului asupra mediului (EIM) și evaluarea strategică de mediu (SEA);</w:t>
            </w:r>
            <w:r>
              <w:t xml:space="preserve"> </w:t>
            </w:r>
            <w:r>
              <w:rPr>
                <w:b/>
                <w:i/>
              </w:rPr>
              <w:t>constată că, în pofida progreselor înregistrate în alinierea legislativă, persistă preocupări cu privire la transparență, participarea publicului și riscul ca proiectele să avanseze fără o examinare cuprinzătoare a impactului asupra mediului;</w:t>
            </w:r>
            <w:r>
              <w:t xml:space="preserve"> </w:t>
            </w:r>
            <w:r>
              <w:rPr>
                <w:b/>
                <w:i/>
              </w:rPr>
              <w:t>subliniază că o punere în aplicare efectivă este esențială pentru menținerea credibilității guvernanței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salută propunerea Comisiei de a începe negocieri pentru extinderea regimului UE de roaming la prețurile de pe piața națională și la Balcanii de Vest și solicită încheierea rapidă a negocierilor;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solicită eforturi suplimentare pentru a avansa alinierea la Directiva privind păsările și la Directiva privind habitatele și pentru a accelera pregătirea rețelei Natura 2000;</w:t>
            </w:r>
            <w:r>
              <w:t xml:space="preserve"> </w:t>
            </w:r>
            <w:r>
              <w:rPr>
                <w:b/>
                <w:i/>
              </w:rPr>
              <w:t>ia act de faptul că progresele înregistrate în identificarea și pregătirea siturilor rămân limitate, ceea ce riscă să întârzie conformarea Serbiei la cerințele esențiale privind biodiversitatea prevăzute în capitolul 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își exprimă îngrijorarea cu privire la presiunile tot mai mari exercitate de industriile extractive asupra zonelor cu biodiversitate de mare valoare, inclusiv asupra zonelor protejate și a ecosistemelor forestiere seculare;</w:t>
            </w:r>
            <w:r>
              <w:t xml:space="preserve"> </w:t>
            </w:r>
            <w:r>
              <w:rPr>
                <w:b/>
                <w:i/>
              </w:rPr>
              <w:t>subliniază importanța asigurării unei protecții efective a acestor zone și a faptului că niciun proiect nu este autorizat fără respectarea deplină a legislației de mediu și fără proceduri solide de evaluare;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80</w:t>
    </w:r>
    <w:r>
      <w:fldChar w:fldCharType="end"/>
    </w:r>
    <w:r>
      <w:t>/</w:t>
    </w:r>
    <w:r>
      <w:fldChar w:fldCharType="begin"/>
    </w:r>
    <w:r>
      <w:instrText xml:space="preserve"> NUMPAGES </w:instrText>
    </w:r>
    <w:r>
      <w:fldChar w:fldCharType="separate"/>
    </w:r>
    <w:r>
      <w:t>80</w:t>
    </w:r>
    <w:r>
      <w:fldChar w:fldCharType="end"/>
    </w:r>
    <w:r>
      <w:tab/>
    </w:r>
    <w:r>
      <w:rPr>
        <w:rStyle w:val="HideTWBExt"/>
      </w:rPr>
      <w:t>&lt;PathFdR&gt;</w:t>
    </w:r>
    <w:r>
      <w:t>AM\1341076RO.docx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AM\1341076RO.docx</w:t>
    </w:r>
    <w:r>
      <w:rPr>
        <w:rStyle w:val="HideTWBExt"/>
      </w:rPr>
      <w:t>&lt;/PathFdR&gt;</w:t>
    </w:r>
    <w:r>
      <w:tab/>
    </w:r>
    <w:r>
      <w:fldChar w:fldCharType="begin"/>
    </w:r>
    <w:r>
      <w:instrText xml:space="preserve"> PAGE </w:instrText>
    </w:r>
    <w:r>
      <w:fldChar w:fldCharType="separate"/>
    </w:r>
    <w:r>
      <w:t>79</w:t>
    </w:r>
    <w:r>
      <w:fldChar w:fldCharType="end"/>
    </w:r>
    <w:r>
      <w:t>/</w:t>
    </w:r>
    <w:r>
      <w:fldChar w:fldCharType="begin"/>
    </w:r>
    <w:r>
      <w:instrText xml:space="preserve"> NUMPAGES </w:instrText>
    </w:r>
    <w:r>
      <w:fldChar w:fldCharType="separate"/>
    </w:r>
    <w:r>
      <w:t>80</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AM\1341076RO.docx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80</Pages>
  <Words>15314</Words>
  <Characters>92401</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491107</vt:lpwstr>
  </property>
  <property fmtid="{D5CDD505-2E9C-101B-9397-08002B2CF9AE}" pid="7" name="dmxml.render.traceId">
    <vt:lpwstr>6a0adb776543d07683da3728c040bd6d</vt:lpwstr>
  </property>
  <property fmtid="{D5CDD505-2E9C-101B-9397-08002B2CF9AE}" pid="8" name="FooterPath">
    <vt:lpwstr>AM\1341076RO.docx</vt:lpwstr>
  </property>
  <property fmtid="{D5CDD505-2E9C-101B-9397-08002B2CF9AE}" pid="9" name="PE Number">
    <vt:lpwstr>786.972</vt:lpwstr>
  </property>
  <property fmtid="{D5CDD505-2E9C-101B-9397-08002B2CF9AE}" pid="10" name="UID">
    <vt:lpwstr>eu.europa.europarl-DIN1-2026-0000095280_02.00-ro-01.00_text-xml</vt:lpwstr>
  </property>
</Properties>
</file>