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Utskottet för utrikesfrågor</w:t>
      </w:r>
      <w:r>
        <w:rPr>
          <w:rStyle w:val="HideTWBExt"/>
        </w:rPr>
        <w:t>&lt;/Commission&gt;</w:t>
      </w:r>
    </w:p>
    <w:p>
      <w:pPr>
        <w:pStyle w:val="LineBottom"/>
      </w:pPr>
      <w:r>
        <w:t xml:space="preserve"> </w:t>
      </w:r>
    </w:p>
    <w:p>
      <w:pPr>
        <w:pStyle w:val="CoverReference"/>
      </w:pPr>
      <w:r>
        <w:rPr>
          <w:rStyle w:val="HideTWBExt"/>
        </w:rPr>
        <w:t>&lt;RefProc&gt;</w:t>
      </w:r>
      <w:r>
        <w:t>2026/2004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{10/07/2026}</w:t>
      </w:r>
      <w:r>
        <w:t>10.7.2026</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1</w:t>
      </w:r>
      <w:r>
        <w:t xml:space="preserve"> - </w:t>
      </w:r>
      <w:r>
        <w:t>277</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Mounir Satouri</w:t>
      </w:r>
      <w:r>
        <w:rPr>
          <w:rStyle w:val="HideTWBExt"/>
        </w:rPr>
        <w:t>&lt;/Rapporteur&gt;</w:t>
      </w:r>
    </w:p>
    <w:p>
      <w:pPr>
        <w:pStyle w:val="CoverNormal24a"/>
      </w:pPr>
      <w:r>
        <w:rPr>
          <w:rStyle w:val="HideTWBExt"/>
        </w:rPr>
        <w:t>&lt;DocRefPE&gt;</w:t>
      </w:r>
      <w:r>
        <w:t>(PE787.829v01-00)</w:t>
      </w:r>
      <w:r>
        <w:rPr>
          <w:rStyle w:val="HideTWBExt"/>
        </w:rPr>
        <w:t>&lt;/DocRefPE&gt;</w:t>
      </w:r>
    </w:p>
    <w:p>
      <w:pPr>
        <w:pStyle w:val="CoverNormal"/>
      </w:pPr>
      <w:r>
        <w:rPr>
          <w:rStyle w:val="HideTWBExt"/>
        </w:rPr>
        <w:t>&lt;Titre&gt;</w:t>
      </w:r>
      <w:r>
        <w:t>En EU-strategi för att skydda och stärka det internationella rättssystemet och dess institutioner, mekanismer och partner</w:t>
      </w:r>
      <w:r>
        <w:rPr>
          <w:rStyle w:val="HideTWBExt"/>
        </w:rPr>
        <w:t>&lt;/Titre&gt;</w:t>
      </w:r>
    </w:p>
    <w:p>
      <w:pPr>
        <w:pStyle w:val="CoverNormal24a"/>
      </w:pPr>
      <w:r>
        <w:rPr>
          <w:rStyle w:val="HideTWBExt"/>
        </w:rPr>
        <w:t>&lt;DocRef&gt;</w:t>
      </w:r>
      <w:r>
        <w:t>(2026/2004(INI))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Europarådets konvention till skydd för advokatyrket, som antogs den 12 maj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de arresteringsorder som Internationella brottmålsdomstolen utfärdade den 17 mars 2023 mot Vladimir Putin och Maria Lvova-Belova, och de efterföljande arresteringsorder som utfärdats i samband med situationen i Ukraina,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Michał Kobosko, Hilde Vautmans, Bernard Guetta, Dan Barna, Lucia Yar, Dainius Žalimas,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sitt betänkande om motverkande av transnationellt förtryck – i riktning mot en EU-strategi för att skydda Europas suveränitet och demokratiska värden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Antagna texter, P10_TA(2026)0203.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Michał Kobosko, Hilde Vautmans, Bernard Guetta, Dan Barna, Lucia Yar, Dainius Žalimas,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den preliminära granskning som åklagarmyndigheten vid Internationella brottmålsdomstolen genomfört av situationen i Republiken Litauen/Republiken Belarus (ICC-01/24-1),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18a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domarna av den 24 juni 2008 från Europeiska domstolen för de mänskliga rättigheterna i målen Isaak mot Turkiet och Solomou m.fl. mot</w:t>
            </w:r>
            <w:r>
              <w:t xml:space="preserve"> </w:t>
            </w:r>
            <w:r>
              <w:rPr>
                <w:b/>
                <w:i/>
              </w:rPr>
              <w:t>Turkiet, beträffande kränkningar av rätten till liv enligt artikel 2 i den europeiska konventionen om de mänskliga rättigheterna,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18b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de internationella arresteringsorder som utfärdats av Republiken Cyperns myndigheter i samband med morden på Tassos Isaak och Solomos Solomou i FN:s buffertzon på Cypern i augusti 1996,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med beaktande av dekret 14203 av den 6 februari 2025 från Förenta staternas president (om sanktioner mot ICC), som antogs i enlighet med IEEPA och NEA och som förbjuder allt materiellt bistånd, all sponsring och allt tillhandahållande av ekonomiskt, materiellt eller tekniskt stöd, eller varor eller tjänster, till personer som är uppförda på sanktionsförteckningen,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med beaktande av de tvångsmedel som </w:t>
            </w:r>
            <w:r>
              <w:rPr>
                <w:b/>
                <w:i/>
              </w:rPr>
              <w:t>den amerikanska administrationen antog den 9 juli och den 4 september 2025</w:t>
            </w:r>
            <w:r>
              <w:t xml:space="preserve"> och som påverkar innehavare av FN-mandat</w:t>
            </w:r>
            <w:r>
              <w:rPr>
                <w:b/>
                <w:i/>
              </w:rPr>
              <w:t>, däribland den särskilda rapportören för situationen för de mänskliga rättigheterna i de palestinska territorier som varit ockuperade sedan 1967, Francesca Albanese, samt</w:t>
            </w:r>
            <w:r>
              <w:t xml:space="preserve"> organisationer som samarbetar med </w:t>
            </w:r>
            <w:r>
              <w:rPr>
                <w:b/>
                <w:i/>
              </w:rPr>
              <w:t>ICC, bland annat Al-Haq</w:t>
            </w:r>
            <w:r>
              <w:t xml:space="preserve">, </w:t>
            </w:r>
            <w:r>
              <w:rPr>
                <w:b/>
                <w:i/>
              </w:rPr>
              <w:t>Al Mezan Center for Human Rights och Palestinian Centre for Human Rights,</w:t>
            </w:r>
          </w:p>
        </w:tc>
        <w:tc>
          <w:tcPr>
            <w:tcW w:w="4876" w:type="dxa"/>
            <w:tcBorders>
              <w:top w:val="nil"/>
              <w:left w:val="nil"/>
              <w:bottom w:val="nil"/>
              <w:right w:val="nil"/>
            </w:tcBorders>
          </w:tcPr>
          <w:p>
            <w:pPr>
              <w:pStyle w:val="Normal6a"/>
            </w:pPr>
            <w:r>
              <w:t>–</w:t>
            </w:r>
            <w:r>
              <w:tab/>
            </w:r>
            <w:r>
              <w:t xml:space="preserve">med beaktande av de tvångsmedel som </w:t>
            </w:r>
            <w:r>
              <w:rPr>
                <w:b/>
                <w:i/>
              </w:rPr>
              <w:t>antagits av tredjeländer</w:t>
            </w:r>
            <w:r>
              <w:t xml:space="preserve"> och som påverkar innehavare av FN-mandat </w:t>
            </w:r>
            <w:r>
              <w:rPr>
                <w:b/>
                <w:i/>
              </w:rPr>
              <w:t>och</w:t>
            </w:r>
            <w:r>
              <w:t xml:space="preserve"> organisationer </w:t>
            </w:r>
            <w:r>
              <w:rPr>
                <w:b/>
                <w:i/>
              </w:rPr>
              <w:t>i det civila samhället</w:t>
            </w:r>
            <w:r>
              <w:t xml:space="preserve"> som samarbetar med </w:t>
            </w:r>
            <w:r>
              <w:rPr>
                <w:b/>
                <w:i/>
              </w:rPr>
              <w:t>Internationella brottmålsdomstolen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de interimistiska föreläggandena från distriktsdomstolen i Maine i målet Smith mot Trump, 1:25-cv-00158 av den 11 april 2025, och från den federala domstolen för det södra distriktet i New York i målet Rona mot</w:t>
            </w:r>
            <w:r>
              <w:t xml:space="preserve"> </w:t>
            </w:r>
            <w:r>
              <w:rPr>
                <w:b/>
                <w:i/>
              </w:rPr>
              <w:t>Trump, 1:25-cv-03114 av den 15 april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med beaktande av det preliminära föreläggandet av den 13 maj 2026 från Richard Leon, domare vid Förenta staternas distriktsdomstol för District of Columbia, om upphörande med sanktionerna mot Francesca Albanese,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med beaktande av det preliminära föreläggandet av den 13 maj 2026 från Richard Leon, domare vid Förenta staternas distriktsdomstol för District of Columbia, om upphörande med sanktionerna mot Francesca Albanese,</w:t>
            </w:r>
          </w:p>
        </w:tc>
        <w:tc>
          <w:tcPr>
            <w:tcW w:w="4876" w:type="dxa"/>
            <w:tcBorders>
              <w:top w:val="nil"/>
              <w:left w:val="nil"/>
              <w:bottom w:val="nil"/>
              <w:right w:val="nil"/>
            </w:tcBorders>
          </w:tcPr>
          <w:p>
            <w:pPr>
              <w:pStyle w:val="Normal6a"/>
            </w:pPr>
            <w:r>
              <w:t>–</w:t>
            </w:r>
            <w:r>
              <w:tab/>
            </w:r>
            <w:r>
              <w:t xml:space="preserve">med beaktande av det preliminära föreläggandet av den 13 maj 2026 från Richard Leon, domare vid Förenta staternas distriktsdomstol för District of Columbia, om upphörande med sanktionerna mot Francesca Albanese, </w:t>
            </w:r>
            <w:r>
              <w:rPr>
                <w:b/>
                <w:i/>
              </w:rPr>
              <w:t>och av det efterföljande beslutet från Förenta staternas appellationsdomstol av den 22 maj 2026 om upphävande av ett sådant föreläggandes verkan, vilket ledde till att dessa sanktioner återinfördes och att Francesca Albanese återuppfördes på sanktionslistan från Office of Foreign Assets Control (Ofac) den 27 maj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 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Europeiska unionens domstols dom av den 21 december 2021 i mål C-124/20, Bank Melli Iran,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 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Europaparlamentets och rådets förordning (EU) 2023/2675 av den 22 november 2023 om skydd av unionen och dess medlemsstater mot ekonomiskt tvång från tredjeländer,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28a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Internationella brottmålsdomstolens oberoende expertgranskning från september 2020,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29a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FN:s deklaration om enskildas, gruppers och samhällsorgans rätt och ansvar att främja och skydda allmänt erkända mänskliga rättigheter och grundläggande friheter,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29b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2026 års rapport från FN:s särskilda rapportör om ensidiga tvångsåtgärder,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 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det gemensamma meddelandet av den 20 juni 2023 från kommissionen och unionens höga representant för utrikes frågor och säkerhetspolitik om en europeisk strategi för ekonomisk säkerhet (JOIN(2023)0020),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36a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uttalandet av den 6 april 2026 från sammanslutningen av internationella straffrättsliga åklagare (AICLP) om situationen för Internationella brottmålsdomstolens åklagare,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med beaktande av Internationella kriminalpolisorganisationens (INTERPOL) konstitution, särskilt artikel 2, enligt vilken organisationen ska agera i enlighet med den allmänna förklaringen om de mänskliga rättigheterna,</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37a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domstolens dom (fjärde avdelningen) av den 11 juni 2026 i mål C-81/24, LH mot OTP banka d.d., tidigare Nova Kreditna Banka Maribor,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Arkadiusz Mularczyk, 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med beaktande av EU:s viseringskodex och handbok,</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Internationell rättskipning omfattar oberoende och opartiska domstolar, tribunaler och utredningsmekanismer som inrättats enligt internationell rätt, inbegripet ICC, Internationella domstolen, FN-stödda mekanismer och internationella domstolar, hybriddomstolar eller internationaliserade domstolar, med mandat att bekämpa straffrihet för de allvarligaste kränkningarna av internationell rätt, inbegripet krigsförbrytelser, brott mot mänskligheten, folkmord och aggressionsbrottet.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EU:s åtagande att stödja internationell rättskipning ingår i unionens politik för yttre åtgärder, som syftar till att upprätthålla de mänskliga rättigheterna och rättsstaten. Några exempel på viktiga åtgärder är finansiering och försvar av ICC genom befintliga rättsliga instrument, finansiering av åtgärder som rör ansvarsutkrävande genom instrumentet för grannskapet, utvecklingssamarbete och internationellt samarbete – Europa i världen, förstärkning av övergångsrättvisa, tillhandahållande av stöd till utredningar och gottgörelse till brottsoffer, stöd till Eurojust och FN-stödda utredningsmekanismer, partnerskap med organisationer i det civila samhället och förstärkning av det rättsliga samarbetet med länder utanför EU. Förordningen om den blockerande stadgan</w:t>
            </w:r>
            <w:r>
              <w:rPr>
                <w:vertAlign w:val="superscript"/>
              </w:rPr>
              <w:t>8</w:t>
            </w:r>
            <w:r>
              <w:t xml:space="preserve">är ett rättsligt verktyg </w:t>
            </w:r>
            <w:r>
              <w:rPr>
                <w:b/>
                <w:i/>
              </w:rPr>
              <w:t>som kan användas för att</w:t>
            </w:r>
            <w:r>
              <w:t xml:space="preserve"> skydda </w:t>
            </w:r>
            <w:r>
              <w:rPr>
                <w:b/>
                <w:i/>
              </w:rPr>
              <w:t>berörda aktörer</w:t>
            </w:r>
            <w:r>
              <w:t xml:space="preserve"> från de extraterritoriella effekterna av utländska sanktioner.</w:t>
            </w:r>
          </w:p>
        </w:tc>
        <w:tc>
          <w:tcPr>
            <w:tcW w:w="4876" w:type="dxa"/>
            <w:tcBorders>
              <w:top w:val="nil"/>
              <w:left w:val="nil"/>
              <w:bottom w:val="nil"/>
              <w:right w:val="nil"/>
            </w:tcBorders>
          </w:tcPr>
          <w:p>
            <w:pPr>
              <w:pStyle w:val="Normal6a"/>
            </w:pPr>
            <w:r>
              <w:t>A.</w:t>
            </w:r>
            <w:r>
              <w:tab/>
            </w:r>
            <w:r>
              <w:t>EU:s åtagande att stödja internationell rättskipning ingår i unionens politik för yttre åtgärder, som syftar till att upprätthålla de mänskliga rättigheterna och rättsstaten. Några exempel på viktiga åtgärder är finansiering och försvar av ICC genom befintliga rättsliga instrument, finansiering av åtgärder som rör ansvarsutkrävande genom instrumentet för grannskapet, utvecklingssamarbete och internationellt samarbete – Europa i världen, förstärkning av övergångsrättvisa, tillhandahållande av stöd till utredningar och gottgörelse till brottsoffer, stöd till Eurojust och FN-stödda utredningsmekanismer, partnerskap med organisationer i det civila samhället och förstärkning av det rättsliga samarbetet med länder utanför EU. Förordningen om den blockerande stadgan</w:t>
            </w:r>
            <w:r>
              <w:rPr>
                <w:vertAlign w:val="superscript"/>
              </w:rPr>
              <w:t>8</w:t>
            </w:r>
            <w:r>
              <w:t xml:space="preserve"> är ett rättsligt verktyg </w:t>
            </w:r>
            <w:r>
              <w:rPr>
                <w:b/>
                <w:i/>
              </w:rPr>
              <w:t>genom vilket EU kan</w:t>
            </w:r>
            <w:r>
              <w:t xml:space="preserve"> skydda </w:t>
            </w:r>
            <w:r>
              <w:rPr>
                <w:b/>
                <w:i/>
              </w:rPr>
              <w:t>enskilda personer, organisationer och institutioner som är etablerade inom dess jurisdiktion</w:t>
            </w:r>
            <w:r>
              <w:t xml:space="preserve"> från de extraterritoriella effekterna av utländska sanktioner. </w:t>
            </w:r>
            <w:r>
              <w:rPr>
                <w:b/>
                <w:i/>
              </w:rPr>
              <w:t>Denna förordning kan fungera som ett viktigt skydd mot åtgärder som undergräver de internationella rättsliga institutionernas oberoende, inbegripet Internationella brottmålsdomstolen, genom att skydda drabbade parter från tillämpning av sanktioner som saknar grund i internationell rätt och genom att stärka unionens engagemang för multilateralism, rättsväsendets oberoende och den internationella regelbaserade ordningen.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Rådets förordning (EG) nr 2271/96 av den 22 november 1996 om skydd mot följderna av tillämpning av extraterritoriell lagstiftning som antas av ett tredje land, och åtgärder som grundar sig på eller är en följd av denna lagstiftning (EGT L 309, 29.11.1996, s. 1, ELI: http://data.europa.eu/eli/reg/1996/2271/oj).</w:t>
            </w:r>
          </w:p>
        </w:tc>
        <w:tc>
          <w:tcPr>
            <w:tcW w:w="4876" w:type="dxa"/>
            <w:tcBorders>
              <w:top w:val="nil"/>
              <w:left w:val="nil"/>
              <w:bottom w:val="nil"/>
              <w:right w:val="nil"/>
            </w:tcBorders>
          </w:tcPr>
          <w:p>
            <w:pPr>
              <w:pStyle w:val="Normal6a"/>
            </w:pPr>
            <w:r>
              <w:rPr>
                <w:vertAlign w:val="superscript"/>
              </w:rPr>
              <w:t>8</w:t>
            </w:r>
            <w:r>
              <w:t xml:space="preserve"> </w:t>
            </w:r>
            <w:r>
              <w:t>Rådets förordning (EG) nr 2271/96 av den 22 november 1996 om skydd mot följderna av tillämpning av extraterritoriell lagstiftning som antas av ett tredje land, och åtgärder som grundar sig på eller är en följd av denna lagstiftning (EGT L 309, 29.11.1996, s. 1, ELI: http://data.europa.eu/eli/reg/1996/2271/oj).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EU:s åtagande att stödja internationell rättskipning ingår i unionens politik för yttre åtgärder, som syftar till att upprätthålla de mänskliga rättigheterna och rättsstaten. Några exempel på viktiga åtgärder är finansiering och försvar av ICC genom befintliga rättsliga instrument, finansiering av åtgärder som rör ansvarsutkrävande genom instrumentet för grannskapet, utvecklingssamarbete och internationellt samarbete – Europa i världen, förstärkning av övergångsrättvisa, tillhandahållande av stöd till utredningar och gottgörelse till brottsoffer, stöd till Eurojust och FN-stödda utredningsmekanismer, partnerskap med organisationer i det civila samhället och förstärkning av det rättsliga samarbetet med länder utanför EU. </w:t>
            </w:r>
            <w:r>
              <w:rPr>
                <w:b/>
                <w:i/>
              </w:rPr>
              <w:t>Förordningen om den blockerande stadgan</w:t>
            </w:r>
            <w:r>
              <w:rPr>
                <w:b/>
                <w:i/>
                <w:vertAlign w:val="superscript"/>
              </w:rPr>
              <w:t>8</w:t>
            </w:r>
            <w:r>
              <w:rPr>
                <w:b/>
                <w:i/>
              </w:rPr>
              <w:t>är ett rättsligt verktyg som kan användas för att skydda berörda aktörer från de extraterritoriella effekterna av utländska sanktioner.</w:t>
            </w:r>
          </w:p>
        </w:tc>
        <w:tc>
          <w:tcPr>
            <w:tcW w:w="4876" w:type="dxa"/>
            <w:tcBorders>
              <w:top w:val="nil"/>
              <w:left w:val="nil"/>
              <w:bottom w:val="nil"/>
              <w:right w:val="nil"/>
            </w:tcBorders>
          </w:tcPr>
          <w:p>
            <w:pPr>
              <w:pStyle w:val="Normal6a"/>
            </w:pPr>
            <w:r>
              <w:t>A.</w:t>
            </w:r>
            <w:r>
              <w:tab/>
            </w:r>
            <w:r>
              <w:t>EU:s åtagande att stödja internationell rättskipning ingår i unionens politik för yttre åtgärder, som syftar till att upprätthålla de mänskliga rättigheterna och rättsstaten. Några exempel på viktiga åtgärder är finansiering och försvar av ICC genom befintliga rättsliga instrument, finansiering av åtgärder som rör ansvarsutkrävande genom instrumentet för grannskapet, utvecklingssamarbete och internationellt samarbete – Europa i världen, förstärkning av övergångsrättvisa, tillhandahållande av stöd till utredningar och gottgörelse till brottsoffer, stöd till Eurojust och FN-stödda utredningsmekanismer, partnerskap med organisationer i det civila samhället och förstärkning av det rättsliga samarbetet med länder utanför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Rådets förordning (EG) nr 2271/96 av den 22 november 1996 om skydd mot följderna av tillämpning av extraterritoriell lagstiftning som antas av ett tredje land, och åtgärder som grundar sig på eller är en följd av denna lagstiftning (EGT L 309, 29.11.1996, s. 1, ELI: http://data.europa.eu/eli/reg/1996/2271/oj).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EU:s åtagande att stödja internationell rättskipning ingår i unionens politik för yttre åtgärder, som syftar till att upprätthålla de mänskliga rättigheterna och rättsstaten. Några exempel på viktiga åtgärder är finansiering och försvar av ICC genom befintliga rättsliga instrument, finansiering av åtgärder som rör ansvarsutkrävande genom instrumentet för grannskapet, utvecklingssamarbete och internationellt samarbete – Europa i världen, förstärkning av övergångsrättvisa, tillhandahållande av stöd till utredningar och gottgörelse till brottsoffer, stöd till Eurojust och FN-stödda utredningsmekanismer, partnerskap med organisationer i det civila samhället och förstärkning av det rättsliga samarbetet med länder utanför EU. Förordningen om den blockerande stadgan</w:t>
            </w:r>
            <w:r>
              <w:rPr>
                <w:vertAlign w:val="superscript"/>
              </w:rPr>
              <w:t>8</w:t>
            </w:r>
            <w:r>
              <w:t>är ett rättsligt verktyg som kan användas för att skydda berörda aktörer från de extraterritoriella effekterna av utländska sanktioner.</w:t>
            </w:r>
          </w:p>
        </w:tc>
        <w:tc>
          <w:tcPr>
            <w:tcW w:w="4876" w:type="dxa"/>
            <w:tcBorders>
              <w:top w:val="nil"/>
              <w:left w:val="nil"/>
              <w:bottom w:val="nil"/>
              <w:right w:val="nil"/>
            </w:tcBorders>
          </w:tcPr>
          <w:p>
            <w:pPr>
              <w:pStyle w:val="Normal6a"/>
            </w:pPr>
            <w:r>
              <w:t>A.</w:t>
            </w:r>
            <w:r>
              <w:tab/>
            </w:r>
            <w:r>
              <w:t xml:space="preserve">EU:s åtagande att stödja internationell rättskipning ingår i unionens politik för yttre åtgärder </w:t>
            </w:r>
            <w:r>
              <w:rPr>
                <w:b/>
                <w:i/>
              </w:rPr>
              <w:t>och mål</w:t>
            </w:r>
            <w:r>
              <w:t xml:space="preserve">, som syftar till att upprätthålla de mänskliga rättigheterna och rättsstaten. Några exempel på viktiga åtgärder är finansiering och försvar av ICC genom befintliga rättsliga instrument, finansiering av åtgärder som rör ansvarsutkrävande genom instrumentet för grannskapet, utvecklingssamarbete och internationellt samarbete – Europa i världen, förstärkning av övergångsrättvisa, tillhandahållande av stöd till utredningar och gottgörelse till brottsoffer, stöd till Eurojust och FN-stödda utredningsmekanismer, partnerskap med </w:t>
            </w:r>
            <w:r>
              <w:rPr>
                <w:b/>
                <w:i/>
              </w:rPr>
              <w:t>människorättsförsvarare och</w:t>
            </w:r>
            <w:r>
              <w:t xml:space="preserve"> organisationer i det civila samhället och förstärkning av det rättsliga samarbetet med länder utanför EU. Förordningen om den blockerande stadgan</w:t>
            </w:r>
            <w:r>
              <w:rPr>
                <w:vertAlign w:val="superscript"/>
              </w:rPr>
              <w:t>8</w:t>
            </w:r>
            <w:r>
              <w:t xml:space="preserve"> är ett rättsligt verktyg som kan användas för att skydda berörda aktörer från de extraterritoriella effekterna av utländska sanktioner.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Rådets förordning (EG) nr 2271/96 av den 22 november 1996 om skydd mot följderna av tillämpning av extraterritoriell lagstiftning som antas av ett tredje land, och åtgärder som grundar sig på eller är en följd av denna lagstiftning (EGT L 309, 29.11.1996, s. 1, ELI: http://data.europa.eu/eli/reg/1996/2271/oj).</w:t>
            </w:r>
          </w:p>
        </w:tc>
        <w:tc>
          <w:tcPr>
            <w:tcW w:w="4876" w:type="dxa"/>
            <w:tcBorders>
              <w:top w:val="nil"/>
              <w:left w:val="nil"/>
              <w:bottom w:val="nil"/>
              <w:right w:val="nil"/>
            </w:tcBorders>
          </w:tcPr>
          <w:p>
            <w:pPr>
              <w:pStyle w:val="Normal6a"/>
            </w:pPr>
            <w:r>
              <w:rPr>
                <w:vertAlign w:val="superscript"/>
              </w:rPr>
              <w:t>8</w:t>
            </w:r>
            <w:r>
              <w:t xml:space="preserve"> </w:t>
            </w:r>
            <w:r>
              <w:t>Rådets förordning (EG) nr 2271/96 av den 22 november 1996 om skydd mot följderna av tillämpning av extraterritoriell lagstiftning som antas av ett tredje land, och åtgärder som grundar sig på eller är en följd av denna lagstiftning (EGT L 309, 29.11.1996, s. 1, ELI: http://data.europa.eu/eli/reg/1996/2271/oj).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EU:s åtagande att stödja internationell rättskipning ingår i unionens politik för yttre åtgärder, som syftar till att upprätthålla de mänskliga rättigheterna </w:t>
            </w:r>
            <w:r>
              <w:rPr>
                <w:b/>
                <w:i/>
              </w:rPr>
              <w:t>och</w:t>
            </w:r>
            <w:r>
              <w:t xml:space="preserve"> rättsstaten. Några exempel på viktiga åtgärder är finansiering och försvar av ICC genom befintliga rättsliga instrument, finansiering av åtgärder som rör ansvarsutkrävande genom instrumentet för grannskapet, utvecklingssamarbete och internationellt samarbete – Europa i världen, förstärkning av övergångsrättvisa, tillhandahållande av stöd till utredningar och gottgörelse till brottsoffer, stöd till Eurojust och FN-stödda utredningsmekanismer, partnerskap med organisationer i det civila samhället och förstärkning av det rättsliga samarbetet med länder utanför EU. Förordningen om den blockerande stadgan</w:t>
            </w:r>
            <w:r>
              <w:rPr>
                <w:vertAlign w:val="superscript"/>
              </w:rPr>
              <w:t>8</w:t>
            </w:r>
            <w:r>
              <w:t>är ett rättsligt verktyg som kan användas för att skydda berörda aktörer från de extraterritoriella effekterna av utländska sanktioner.</w:t>
            </w:r>
          </w:p>
        </w:tc>
        <w:tc>
          <w:tcPr>
            <w:tcW w:w="4876" w:type="dxa"/>
            <w:tcBorders>
              <w:top w:val="nil"/>
              <w:left w:val="nil"/>
              <w:bottom w:val="nil"/>
              <w:right w:val="nil"/>
            </w:tcBorders>
          </w:tcPr>
          <w:p>
            <w:pPr>
              <w:pStyle w:val="Normal6a"/>
            </w:pPr>
            <w:r>
              <w:t>A.</w:t>
            </w:r>
            <w:r>
              <w:tab/>
            </w:r>
            <w:r>
              <w:t>EU:s åtagande att stödja internationell rättskipning ingår i unionens politik för yttre åtgärder, som syftar till att upprätthålla de mänskliga rättigheterna</w:t>
            </w:r>
            <w:r>
              <w:rPr>
                <w:b/>
                <w:i/>
              </w:rPr>
              <w:t>,</w:t>
            </w:r>
            <w:r>
              <w:t xml:space="preserve"> rättsstaten </w:t>
            </w:r>
            <w:r>
              <w:rPr>
                <w:b/>
                <w:i/>
              </w:rPr>
              <w:t>och den regelbaserade ordningen</w:t>
            </w:r>
            <w:r>
              <w:t>. Några exempel på viktiga åtgärder är finansiering och försvar av ICC genom befintliga rättsliga instrument, finansiering av åtgärder som rör ansvarsutkrävande genom instrumentet för grannskapet, utvecklingssamarbete och internationellt samarbete – Europa i världen, förstärkning av övergångsrättvisa, tillhandahållande av stöd till utredningar och gottgörelse till brottsoffer, stöd till Eurojust och FN-stödda utredningsmekanismer, partnerskap med organisationer i det civila samhället och förstärkning av det rättsliga samarbetet med länder utanför EU. Förordningen om den blockerande stadgan</w:t>
            </w:r>
            <w:r>
              <w:rPr>
                <w:vertAlign w:val="superscript"/>
              </w:rPr>
              <w:t>8</w:t>
            </w:r>
            <w:r>
              <w:t xml:space="preserve"> är ett rättsligt verktyg som kan användas för att skydda berörda aktörer från de extraterritoriella effekterna av utländska sanktioner.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Rådets förordning (EG) nr 2271/96 av den 22 november 1996 om skydd mot följderna av tillämpning av extraterritoriell lagstiftning som antas av ett tredje land, och åtgärder som grundar sig på eller är en följd av denna lagstiftning (EGT L 309, 29.11.1996, s. 1, ELI: http://data.europa.eu/eli/reg/1996/2271/oj).</w:t>
            </w:r>
          </w:p>
        </w:tc>
        <w:tc>
          <w:tcPr>
            <w:tcW w:w="4876" w:type="dxa"/>
            <w:tcBorders>
              <w:top w:val="nil"/>
              <w:left w:val="nil"/>
              <w:bottom w:val="nil"/>
              <w:right w:val="nil"/>
            </w:tcBorders>
          </w:tcPr>
          <w:p>
            <w:pPr>
              <w:pStyle w:val="Normal6a"/>
            </w:pPr>
            <w:r>
              <w:rPr>
                <w:vertAlign w:val="superscript"/>
              </w:rPr>
              <w:t>8</w:t>
            </w:r>
            <w:r>
              <w:t xml:space="preserve"> </w:t>
            </w:r>
            <w:r>
              <w:t>Rådets förordning (EG) nr 2271/96 av den 22 november 1996 om skydd mot följderna av tillämpning av extraterritoriell lagstiftning som antas av ett tredje land, och åtgärder som grundar sig på eller är en följd av denna lagstiftning (EGT L 309, 29.11.1996, s. 1, ELI: http://data.europa.eu/eli/reg/1996/2271/oj).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Michał Kobosko, Hilde Vautmans, Bernard Guetta, Dan Barna, Lucia Yar, Dainius Žalimas,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ICC spelar en unik och oumbärlig roll för att säkerställa ansvarsskyldighet för de allvarligaste brotten enligt internationell rätt.</w:t>
            </w:r>
            <w:r>
              <w:t xml:space="preserve"> </w:t>
            </w:r>
            <w:r>
              <w:rPr>
                <w:b/>
                <w:i/>
              </w:rPr>
              <w:t>Dess mandat är särskilt viktigt i en tid som präglas av en ökande relativisering av grundläggande värden, spridning av desinformation som syftar till att undergräva internationell rättvisa och den regelbaserade världsordningen samt uppkomsten av nya gränsöverskridande hot, inbegripet transnationellt förtryck, som syftar till att skrämma offer, vittnen, människorättsförsvarare och rättsliga aktörer utanför de nationella gränserna.</w:t>
            </w:r>
            <w:r>
              <w:t xml:space="preserve"> </w:t>
            </w:r>
            <w:r>
              <w:rPr>
                <w:b/>
                <w:i/>
              </w:rPr>
              <w:t>Unionen bör därför bekräfta sitt orubbliga stöd för ICC och erkänna dess särskilda roll för att skydda internationell rättskipning och rättsstaten.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Artiklarna 3 och 21 i EU-fördraget kräver samstämmighet mellan EU:s inre och yttre åtgärder. Underlåtenhet att stödja internationella rättsliga mekanismer och fullgöra internationella skyldigheter skulle undergräva trovärdigheten i EU:s yttre åtgärder.</w:t>
            </w:r>
          </w:p>
        </w:tc>
        <w:tc>
          <w:tcPr>
            <w:tcW w:w="4876" w:type="dxa"/>
            <w:tcBorders>
              <w:top w:val="nil"/>
              <w:left w:val="nil"/>
              <w:bottom w:val="nil"/>
              <w:right w:val="nil"/>
            </w:tcBorders>
          </w:tcPr>
          <w:p>
            <w:pPr>
              <w:pStyle w:val="Normal6a"/>
            </w:pPr>
            <w:r>
              <w:t>B.</w:t>
            </w:r>
            <w:r>
              <w:tab/>
            </w:r>
            <w:r>
              <w:t xml:space="preserve">Artiklarna 3 och 21 i EU-fördraget kräver </w:t>
            </w:r>
            <w:r>
              <w:rPr>
                <w:b/>
                <w:i/>
              </w:rPr>
              <w:t>”strikt efterlevnad och utveckling av internationell rätt, inklusive respekt för principerna i Förenta nationernas stadga”, liksom</w:t>
            </w:r>
            <w:r>
              <w:t xml:space="preserve"> samstämmighet mellan EU:s inre och yttre åtgärder. Underlåtenhet att stödja internationella rättsliga mekanismer och fullgöra internationella skyldigheter skulle undergräva trovärdigheten i EU:s yttre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Artiklarna 3 och 21 i EU-fördraget kräver samstämmighet mellan EU:s inre och yttre åtgärder. Underlåtenhet att stödja internationella rättsliga mekanismer och fullgöra internationella skyldigheter skulle undergräva trovärdigheten i EU:s yttre åtgärder.</w:t>
            </w:r>
          </w:p>
        </w:tc>
        <w:tc>
          <w:tcPr>
            <w:tcW w:w="4876" w:type="dxa"/>
            <w:tcBorders>
              <w:top w:val="nil"/>
              <w:left w:val="nil"/>
              <w:bottom w:val="nil"/>
              <w:right w:val="nil"/>
            </w:tcBorders>
          </w:tcPr>
          <w:p>
            <w:pPr>
              <w:pStyle w:val="Normal6a"/>
            </w:pPr>
            <w:r>
              <w:t>B.</w:t>
            </w:r>
            <w:r>
              <w:tab/>
            </w:r>
            <w:r>
              <w:t>Artiklarna 3 och 21 i EU-fördraget kräver</w:t>
            </w:r>
            <w:r>
              <w:rPr>
                <w:b/>
                <w:i/>
              </w:rPr>
              <w:t>, av såväl medlemsstaterna som EU:s institutioner,</w:t>
            </w:r>
            <w:r>
              <w:t xml:space="preserve"> samstämmighet mellan EU:s inre och yttre åtgärder. Underlåtenhet att stödja internationella rättsliga mekanismer och fullgöra internationella skyldigheter skulle undergräva </w:t>
            </w:r>
            <w:r>
              <w:rPr>
                <w:b/>
                <w:i/>
              </w:rPr>
              <w:t>sammanhållningen,</w:t>
            </w:r>
            <w:r>
              <w:t xml:space="preserve"> trovärdigheten </w:t>
            </w:r>
            <w:r>
              <w:rPr>
                <w:b/>
                <w:i/>
              </w:rPr>
              <w:t>och enheten</w:t>
            </w:r>
            <w:r>
              <w:t xml:space="preserve"> i EU:s yttre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Artiklarna 3 och 21 i EU-fördraget kräver samstämmighet mellan EU:s inre och yttre åtgärder. </w:t>
            </w:r>
            <w:r>
              <w:rPr>
                <w:b/>
                <w:i/>
              </w:rPr>
              <w:t>Underlåtenhet att stödja internationella rättsliga mekanismer och fullgöra internationella skyldigheter skulle undergräva trovärdigheten i EU:s yttre åtgärder</w:t>
            </w:r>
            <w:r>
              <w:t>.</w:t>
            </w:r>
          </w:p>
        </w:tc>
        <w:tc>
          <w:tcPr>
            <w:tcW w:w="4876" w:type="dxa"/>
            <w:tcBorders>
              <w:top w:val="nil"/>
              <w:left w:val="nil"/>
              <w:bottom w:val="nil"/>
              <w:right w:val="nil"/>
            </w:tcBorders>
          </w:tcPr>
          <w:p>
            <w:pPr>
              <w:pStyle w:val="Normal6a"/>
            </w:pPr>
            <w:r>
              <w:t>B.</w:t>
            </w:r>
            <w:r>
              <w:tab/>
            </w:r>
            <w:r>
              <w:t xml:space="preserve">Artiklarna 3 och 21 i EU-fördraget kräver samstämmighet mellan EU:s inre och yttre åtgärder. </w:t>
            </w:r>
            <w:r>
              <w:rPr>
                <w:b/>
                <w:i/>
              </w:rPr>
              <w:t>Rättspolitik och utrikespolitik hör alltjämt till medlemsstaternas befogenheter.</w:t>
            </w:r>
            <w:r>
              <w:t xml:space="preserve"> </w:t>
            </w:r>
            <w:r>
              <w:rPr>
                <w:b/>
                <w:i/>
              </w:rPr>
              <w:t>EU:s trovärdighet är beroende av dess förmåga att skapa välstånd och säkerhet för skattebetalarna och mervärde för medlemsstaterna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Det transatlantiska partnerskapet och det nära samarbetet mellan demokratier är alltjämt en hörnsten i unionens yttre åtgärder.</w:t>
            </w:r>
            <w:r>
              <w:t xml:space="preserve"> </w:t>
            </w:r>
            <w:r>
              <w:rPr>
                <w:b/>
                <w:i/>
              </w:rPr>
              <w:t>Unionens handels- och associeringsavtal, och den politiska dialog som de upprättar, utgör en effektiv och icke-tvingande ram för att främja Romstadgans universalitet och integritet, respekten för det internationella rättssystemet och rättsstatens principer samt för att fördjupa samarbetet med tredjeländer.</w:t>
            </w:r>
            <w:r>
              <w:t xml:space="preserve"> </w:t>
            </w:r>
            <w:r>
              <w:rPr>
                <w:b/>
                <w:i/>
              </w:rPr>
              <w:t>Meningsskiljaktigheter med partner om det internationella rättssystemet bör inte lösas genom upptrappning, utan i stället genom dialog och diplomatiskt engagemang. Samtidigt är det angeläget att minska de beroenden som utsätter unionen för extraterritoriella påtryckningar.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Den primära auktoriteten i utrikesfrågor och internationell rättskipning ligger hos medlemsstaterna, eftersom det är de som är de direkta undertecknarna av internationella fördrag.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Syftet med rådets beslut 2011/168/PESC om Internationella brottmålsdomstolen (ICC) är att främja bredast möjliga deltagande av EU i ICC, främja universellt stöd för Romstadgan, bevara Romstadgans integritet, stödja ICC:s oberoende och dess effektiva och ändamålsenliga funktion samt stödja samarbetet med ICC.</w:t>
            </w:r>
            <w:r>
              <w:t xml:space="preserve"> </w:t>
            </w:r>
            <w:r>
              <w:rPr>
                <w:b/>
                <w:i/>
              </w:rPr>
              <w:t>Medlemsstaterna uppmanas att tillhandahålla tekniskt och ekonomiskt stöd för att möjliggöra deltagande i och genomförande av Romstadgan och att ingå ad hoc-arrangemang och ad hoc-avtal så att ICC kan fungera ändamålsenligt.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Samtliga medlemsstater är parter i Romstadgan för Internationella brottmålsdomstolen (ICC). Europeiska unionen är en av domstolens starkaste institutionella tillskyndare, och ratificeringen av Romstadgan förblir ett kriterium för unionsmedlemskap för framtida medlemmar.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I enlighet med den bindande biståndsskyldighet som följer av avtalet mellan Internationella brottmålsdomstolen och Europeiska unionen om samarbete och bistånd har EU och domstolen kommit överens om att underlätta ett korrekt fullgörande av sina respektive uppgifter, att när så är lämpligt samarbeta nära och att höra varandra i frågor av gemensamt intresse i enlighet med bestämmelserna i avtalet och i överensstämmelse med bestämmelserna i EU-fördraget och stadgan.</w:t>
            </w:r>
            <w:r>
              <w:t xml:space="preserve"> </w:t>
            </w:r>
            <w:r>
              <w:rPr>
                <w:b/>
                <w:i/>
              </w:rPr>
              <w:t>I syfte att fullgöra denna skyldighet till samarbete och bistånd har parterna kommit överens om att upprätta lämpliga regelbundna kontakter mellan domstolen och EU:s kontaktpunkt för domstolen.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Enligt artikel 216.2 i EUF-fördraget ska avtal som ingås av unionen vara bindande för unionens institutioner och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Som domstol i högsta instans är ICC helt integrerat i rättssystemet i alla stater som är parter i Romstadgan.</w:t>
            </w:r>
          </w:p>
        </w:tc>
        <w:tc>
          <w:tcPr>
            <w:tcW w:w="4876" w:type="dxa"/>
            <w:tcBorders>
              <w:top w:val="nil"/>
              <w:left w:val="nil"/>
              <w:bottom w:val="nil"/>
              <w:right w:val="nil"/>
            </w:tcBorders>
          </w:tcPr>
          <w:p>
            <w:pPr>
              <w:pStyle w:val="Normal6a"/>
            </w:pPr>
            <w:r>
              <w:t>D.</w:t>
            </w:r>
            <w:r>
              <w:tab/>
            </w:r>
            <w:r>
              <w:t>Som domstol i högsta instans är ICC helt integrerat i rättssystemet i alla stater som är parter i Romstadgan</w:t>
            </w:r>
            <w:r>
              <w:rPr>
                <w:b/>
                <w:i/>
              </w:rPr>
              <w:t>, i enlighet med principen om komplementaritet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Enligt artikel 89 i Romstadgan är dess parter, däribland de EU-medlemsstater som har undertecknat Romstadgan, skyldiga att tillmötesgå framställningar om gripande och överlämnande av misstänkta med arresteringsorder.</w:t>
            </w:r>
            <w:r>
              <w:t xml:space="preserve"> </w:t>
            </w:r>
            <w:r>
              <w:rPr>
                <w:b/>
                <w:i/>
              </w:rPr>
              <w:t>De stater som är parter i ICC måste fullgöra sina skyldigheter enligt Romstadgan för att säkerställa ansvarsskyldighet.</w:t>
            </w:r>
            <w:r>
              <w:t xml:space="preserve"> </w:t>
            </w:r>
            <w:r>
              <w:rPr>
                <w:b/>
                <w:i/>
              </w:rPr>
              <w:t>Ett bristande samarbete från en EU-konventionsstats sida skulle inte bara hindra ICC:s förmåga att ställa förövare till svars, utan också förvägra offren tillgång till rättvisa.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Allvarliga farhågor har uttryckts kring uppfattningen om ICC:s opartiskhet efter utfärdandet av arresteringsorder mot Israels premiärminister Benjamin Netanyahu och f.d. försvarsminister Yoav Gallant.</w:t>
            </w:r>
            <w:r>
              <w:t xml:space="preserve"> </w:t>
            </w:r>
            <w:r>
              <w:rPr>
                <w:b/>
                <w:i/>
              </w:rPr>
              <w:t>Varje uppfattning om politisering eller selektiv tillämpning av internationell straffrätt riskerar att undergräva domstolens trovärdighet, allmänhetens förtroende och effektiviteten i den regelbaserade internationella rättsordningen.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Den internationella straffrättens trovärdighet är beroende av dess oberoende, opartiskhet, komplementaritet, respekt för ett korrekt rättsförfarande och strikt efterlevnad av den tillämpliga jurisdiktionsramen.</w:t>
            </w:r>
            <w:r>
              <w:t xml:space="preserve"> </w:t>
            </w:r>
            <w:r>
              <w:rPr>
                <w:b/>
                <w:i/>
              </w:rPr>
              <w:t>Politiska institutioner bör undvika att föregripa pågående rättsliga förfaranden eller ersätta oberoende domstolars roll.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 en tid då Internationella brottmålsdomstolen utsätts för exempellösa tvångsåtgärder och hot har flera initiativ från allmänheten krävt att domstolen ska tilldelas Nobels fredspris, som ett erkännande av dess viktiga roll för att försvara internationell rätt, ansvarsutkrävande och kampen mot straffrihet.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Den 17 mars 2023 utfärdade ICC arresteringsorder mot Vladimir Putin och Maria Lvova-Belova, kommissarie för barns rättigheter, för krigsförbrytelser i samband med olaglig deportering och förflyttning av barn från tillfälligt ockuperade territorier i Ukraina.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ICC:s chefsåklagare, Karim Khan, har stängts av av presidiet för ICC:s stadgepartsförsamling som en del av en disciplinär process som inletts efter anklagelser mot honom om sexuella övergrepp.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Den internationella rättskipningens trovärdighet och effektivitet är beroende av dess opartiskhet, universalitet och konsekventa tillämpning, utan dubbla måttstockar eller selektiv verkställighet.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Den 24 juni 2024 utfärdade ICC arresteringsorder mot Sergej Sjojgu, f.d. försvarsminister i Ryska federationen, och Valerij Gerasimov, chef för generalstaben vid Ryska federationens väpnade styrkor, för påstått ansvar för krigsförbrytelser och brott mot mänskligheten, däribland att ha riktat attacker mot civila 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Mobbning och sexuella trakasserier har varit ett återkommande problem vid ICC.</w:t>
            </w:r>
            <w:r>
              <w:t xml:space="preserve"> </w:t>
            </w:r>
            <w:r>
              <w:rPr>
                <w:b/>
                <w:i/>
              </w:rPr>
              <w:t>Enligt interna utredare nästan fördubblades anklagelserna om mobbning under 2025, trots tidigare löften om att förbättra situationen.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ICC har behörighet endast om ett land har ratificerat Romstadgan, frivilligt har underkastat sig ICC:s jurisdiktion eller har hänskjutits till ICC av FN:s säkerhetsråd.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Ett antal länder, inklusive nära partner som USA och Israel, är inte parter i Romstadgan för Internationella brottmålsdomstolen.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Tvångsmedel införda av länder som inte är parter i Romstadgan riktas mot enskilda personer, däribland EU-medborgare, och enheter som arbetar med internationella mekanismer för ansvarsutkrävande, såsom domare och åklagare vid ICC, innehavare av FN-mandat och organisationer i det civila samhället. Sådana tvångsmedel hotar processerna för ansvarsutkrävande och jurisdiktionernas oberoende och har extraterritoriella effekter i EU.</w:t>
            </w:r>
          </w:p>
        </w:tc>
        <w:tc>
          <w:tcPr>
            <w:tcW w:w="4876" w:type="dxa"/>
            <w:tcBorders>
              <w:top w:val="nil"/>
              <w:left w:val="nil"/>
              <w:bottom w:val="nil"/>
              <w:right w:val="nil"/>
            </w:tcBorders>
          </w:tcPr>
          <w:p>
            <w:pPr>
              <w:pStyle w:val="Normal6a"/>
            </w:pPr>
            <w:r>
              <w:t>E.</w:t>
            </w:r>
            <w:r>
              <w:tab/>
            </w:r>
            <w:r>
              <w:t xml:space="preserve">Tvångsmedel införda av länder som inte är parter i Romstadgan riktas mot enskilda personer, däribland EU-medborgare, och enheter som arbetar med internationella mekanismer för ansvarsutkrävande, såsom domare och åklagare vid ICC, innehavare av FN-mandat och organisationer i det civila samhället. Sådana tvångsmedel hotar processerna för ansvarsutkrävande och jurisdiktionernas oberoende och har extraterritoriella effekter i EU </w:t>
            </w:r>
            <w:r>
              <w:rPr>
                <w:b/>
                <w:i/>
              </w:rPr>
              <w:t>och andra internationella institutioner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USA har infört tvångsåtgärder enligt dekret 14203 mot enskilda personer och organisationer som samarbetar med internationella rättsliga mekanismer, däribland ICC:s domare Reine Alapini-Gansou, Solomy Balungi Bossa, Beti Hohler, Luz del Carmen Ibáñez Carranza, Nicolas Guillou, Kimberly Prost, Gocha Lordkipanidze och Erdenebalsuren Damdin samt FN:s särskilda rapportör Francesca Albanese.</w:t>
            </w:r>
            <w:r>
              <w:t xml:space="preserve"> </w:t>
            </w:r>
            <w:r>
              <w:rPr>
                <w:b/>
                <w:i/>
              </w:rPr>
              <w:t>Dessa åtgärder omfattar uppförande på USA: förteckning över särskilt utpekade personer (Specially Designated Nationals), frysning av tillgångar, restriktioner för transaktioner som involverar amerikaner, allvarliga hinder för tillgång till bank- och betaltjänster och en avkylande effekt på advokater, organisationer i det civila samhället, vittnen och brottsoffer som samarbetar med ICC.</w:t>
            </w:r>
            <w:r>
              <w:t xml:space="preserve"> </w:t>
            </w:r>
            <w:r>
              <w:rPr>
                <w:b/>
                <w:i/>
              </w:rPr>
              <w:t>Sådana åtgärder utgör direkta hot mot aktörer inom internationell rättskipning och syftar till att hindra insatser för ansvarsutkrävande avseende påstådda brott som begåtts av amerikanska eller israeliska medborgare.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USA har antagit åtgärder enligt dekret 14203 vilka påverkar enskilda personer och organisationer som samarbetar med ICC och andra internationella rättsliga mekanismer samt FN:s särskilda rapportör om situationen för de mänskliga rättigheterna på de ockuperade palestinska territorierna.</w:t>
            </w:r>
            <w:r>
              <w:t xml:space="preserve"> </w:t>
            </w:r>
            <w:r>
              <w:rPr>
                <w:b/>
                <w:i/>
              </w:rPr>
              <w:t>Det har uttryckts oro över att sådana åtgärder kan hindra samarbetet med internationella rättsliga insatser och processer för ansvarsutkrävande.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Tvångsåtgärder mot FN:s fackorgan undergräver det internationella rättssystemet, dess institutioner och mekanismer och deras förmåga att utföra sina uppdrag på ett effektivt sätt.</w:t>
            </w:r>
            <w:r>
              <w:t xml:space="preserve"> </w:t>
            </w:r>
            <w:r>
              <w:rPr>
                <w:b/>
                <w:i/>
              </w:rPr>
              <w:t>Sådana åtgärder blockerar bland annat tillhandahållandet av livsnödvändigt humanitärt bistånd och hindrar uppfyllandet av principerna i internationell rätt.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De mest akuta pågående tvångsåtgärderna mot domstolen utgörs av de straffrättsliga förfaranden och utevarodomar som Ryska federationen har inlett mot ICC:s åklagare och domare i samband med arresteringsordern mot Vladimir Putin.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Sådana </w:t>
            </w:r>
            <w:r>
              <w:rPr>
                <w:b/>
                <w:i/>
              </w:rPr>
              <w:t>tvångsmedel är olagliga</w:t>
            </w:r>
            <w:r>
              <w:t xml:space="preserve"> och utgör ett allvarligt hot mot </w:t>
            </w:r>
            <w:r>
              <w:rPr>
                <w:b/>
                <w:i/>
              </w:rPr>
              <w:t>EU:s och medlemsstaternas</w:t>
            </w:r>
            <w:r>
              <w:t xml:space="preserve"> suveränitet.</w:t>
            </w:r>
          </w:p>
        </w:tc>
        <w:tc>
          <w:tcPr>
            <w:tcW w:w="4876" w:type="dxa"/>
            <w:tcBorders>
              <w:top w:val="nil"/>
              <w:left w:val="nil"/>
              <w:bottom w:val="nil"/>
              <w:right w:val="nil"/>
            </w:tcBorders>
          </w:tcPr>
          <w:p>
            <w:pPr>
              <w:pStyle w:val="Normal6a"/>
            </w:pPr>
            <w:r>
              <w:t>F.</w:t>
            </w:r>
            <w:r>
              <w:tab/>
            </w:r>
            <w:r>
              <w:t xml:space="preserve">Sådana </w:t>
            </w:r>
            <w:r>
              <w:rPr>
                <w:b/>
                <w:i/>
              </w:rPr>
              <w:t>tvångsåtgärder är oförenliga med internationell rätt och internationell hövlighet, undergräver de internationella rättsliga institutionernas oberoende</w:t>
            </w:r>
            <w:r>
              <w:t xml:space="preserve"> och utgör ett allvarligt hot mot </w:t>
            </w:r>
            <w:r>
              <w:rPr>
                <w:b/>
                <w:i/>
              </w:rPr>
              <w:t>Europeiska unionens och dess medlemsstaters rättsordning, strategiska oberoende och</w:t>
            </w:r>
            <w:r>
              <w:t xml:space="preserve"> suveränitet.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Sådana tvångsmedel </w:t>
            </w:r>
            <w:r>
              <w:rPr>
                <w:b/>
                <w:i/>
              </w:rPr>
              <w:t>är olagliga och</w:t>
            </w:r>
            <w:r>
              <w:t xml:space="preserve"> utgör ett </w:t>
            </w:r>
            <w:r>
              <w:rPr>
                <w:b/>
                <w:i/>
              </w:rPr>
              <w:t>allvarligt</w:t>
            </w:r>
            <w:r>
              <w:t xml:space="preserve"> hot mot EU:s och medlemsstaternas suveränitet.</w:t>
            </w:r>
          </w:p>
        </w:tc>
        <w:tc>
          <w:tcPr>
            <w:tcW w:w="4876" w:type="dxa"/>
            <w:tcBorders>
              <w:top w:val="nil"/>
              <w:left w:val="nil"/>
              <w:bottom w:val="nil"/>
              <w:right w:val="nil"/>
            </w:tcBorders>
          </w:tcPr>
          <w:p>
            <w:pPr>
              <w:pStyle w:val="Normal6a"/>
            </w:pPr>
            <w:r>
              <w:t>F.</w:t>
            </w:r>
            <w:r>
              <w:tab/>
            </w:r>
            <w:r>
              <w:t>Sådana tvångsmedel utgör</w:t>
            </w:r>
            <w:r>
              <w:rPr>
                <w:b/>
                <w:i/>
              </w:rPr>
              <w:t>, när de tillämpas extraterritoriellt i strid med internationell rätt, en otillbörlig inblandning i den europeiska rättsordningen och</w:t>
            </w:r>
            <w:r>
              <w:t xml:space="preserve"> ett hot mot EU:s och medlemsstaternas suveränitet</w:t>
            </w:r>
            <w:r>
              <w:rPr>
                <w:b/>
                <w:i/>
              </w:rPr>
              <w:t>, vilket kräver ett proportionerligt och samordnat svar på europeisk nivå</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Sådana tvångsmedel är olagliga och utgör ett allvarligt hot mot EU:s och medlemsstaternas suveränitet.</w:t>
            </w:r>
          </w:p>
        </w:tc>
        <w:tc>
          <w:tcPr>
            <w:tcW w:w="4876" w:type="dxa"/>
            <w:tcBorders>
              <w:top w:val="nil"/>
              <w:left w:val="nil"/>
              <w:bottom w:val="nil"/>
              <w:right w:val="nil"/>
            </w:tcBorders>
          </w:tcPr>
          <w:p>
            <w:pPr>
              <w:pStyle w:val="Normal6a"/>
            </w:pPr>
            <w:r>
              <w:t>F.</w:t>
            </w:r>
            <w:r>
              <w:tab/>
            </w:r>
            <w:r>
              <w:t xml:space="preserve">Sådana tvångsmedel är olagliga och utgör ett allvarligt hot mot EU:s och medlemsstaternas suveränitet </w:t>
            </w:r>
            <w:r>
              <w:rPr>
                <w:b/>
                <w:i/>
              </w:rPr>
              <w:t>och den internationella ordningen</w:t>
            </w:r>
            <w:r>
              <w:t xml:space="preserve">. </w:t>
            </w:r>
            <w:r>
              <w:rPr>
                <w:b/>
                <w:i/>
              </w:rPr>
              <w:t>De utgör ett hot mot demokratiska processer och utgör utländsk inblandning i val och andra demokratiska processer.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Sådana tvångsmedel är olagliga och utgör ett allvarligt hot mot EU:s och medlemsstaternas suveränitet.</w:t>
            </w:r>
          </w:p>
        </w:tc>
        <w:tc>
          <w:tcPr>
            <w:tcW w:w="4876" w:type="dxa"/>
            <w:tcBorders>
              <w:top w:val="nil"/>
              <w:left w:val="nil"/>
              <w:bottom w:val="nil"/>
              <w:right w:val="nil"/>
            </w:tcBorders>
          </w:tcPr>
          <w:p>
            <w:pPr>
              <w:pStyle w:val="Normal6a"/>
            </w:pPr>
            <w:r>
              <w:t>F.</w:t>
            </w:r>
            <w:r>
              <w:tab/>
            </w:r>
            <w:r>
              <w:t>Sådana tvångsmedel är olagliga och utgör ett allvarligt hot mot EU:s och medlemsstaternas suveränitet</w:t>
            </w:r>
            <w:r>
              <w:rPr>
                <w:b/>
                <w:i/>
              </w:rPr>
              <w:t>, och framför allt mot den internationella rättsordningen och den internationella rättskipningens oberoende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Sådana tvångsmedel är olagliga och utgör ett allvarligt hot mot EU:s och medlemsstaternas suveränitet.</w:t>
            </w:r>
          </w:p>
        </w:tc>
        <w:tc>
          <w:tcPr>
            <w:tcW w:w="4876" w:type="dxa"/>
            <w:tcBorders>
              <w:top w:val="nil"/>
              <w:left w:val="nil"/>
              <w:bottom w:val="nil"/>
              <w:right w:val="nil"/>
            </w:tcBorders>
          </w:tcPr>
          <w:p>
            <w:pPr>
              <w:pStyle w:val="Normal6a"/>
            </w:pPr>
            <w:r>
              <w:t>F.</w:t>
            </w:r>
            <w:r>
              <w:tab/>
            </w:r>
            <w:r>
              <w:t xml:space="preserve">Sådana tvångsmedel är olagliga och utgör ett allvarligt hot mot EU:s och medlemsstaternas suveränitet </w:t>
            </w:r>
            <w:r>
              <w:rPr>
                <w:b/>
                <w:i/>
              </w:rPr>
              <w:t>och påverkar integriteten i EU:s rättssystem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Sådana </w:t>
            </w:r>
            <w:r>
              <w:rPr>
                <w:b/>
                <w:i/>
              </w:rPr>
              <w:t>tvångsmedel är olagliga och utgör ett allvarligt hot mot EU:s och medlemsstaternas suveränitet</w:t>
            </w:r>
            <w:r>
              <w:t>.</w:t>
            </w:r>
          </w:p>
        </w:tc>
        <w:tc>
          <w:tcPr>
            <w:tcW w:w="4876" w:type="dxa"/>
            <w:tcBorders>
              <w:top w:val="nil"/>
              <w:left w:val="nil"/>
              <w:bottom w:val="nil"/>
              <w:right w:val="nil"/>
            </w:tcBorders>
          </w:tcPr>
          <w:p>
            <w:pPr>
              <w:pStyle w:val="Normal6a"/>
            </w:pPr>
            <w:r>
              <w:t>F.</w:t>
            </w:r>
            <w:r>
              <w:tab/>
            </w:r>
            <w:r>
              <w:t xml:space="preserve">Sådana </w:t>
            </w:r>
            <w:r>
              <w:rPr>
                <w:b/>
                <w:i/>
              </w:rPr>
              <w:t>tvångsåtgärder är omotiverade och oförenliga med det internationella rättssystemet och rättsstatens principer, och de undergräver EU:s strategiska oberoende och integriteten i dess rättsordning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Sådana tvångsmedel är olagliga och utgör ett allvarligt hot mot EU:s och medlemsstaternas suveränitet.</w:t>
            </w:r>
          </w:p>
        </w:tc>
        <w:tc>
          <w:tcPr>
            <w:tcW w:w="4876" w:type="dxa"/>
            <w:tcBorders>
              <w:top w:val="nil"/>
              <w:left w:val="nil"/>
              <w:bottom w:val="nil"/>
              <w:right w:val="nil"/>
            </w:tcBorders>
          </w:tcPr>
          <w:p>
            <w:pPr>
              <w:pStyle w:val="Normal6a"/>
            </w:pPr>
            <w:r>
              <w:t>F.</w:t>
            </w:r>
            <w:r>
              <w:tab/>
            </w:r>
            <w:r>
              <w:t xml:space="preserve">Sådana tvångsmedel är olagliga och utgör ett allvarligt hot mot EU:s och medlemsstaternas suveränitet </w:t>
            </w:r>
            <w:r>
              <w:rPr>
                <w:b/>
                <w:i/>
              </w:rPr>
              <w:t>och undergräver därmed EU:s intressen och demokratiska värden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Sådana tvångsmedel </w:t>
            </w:r>
            <w:r>
              <w:rPr>
                <w:b/>
                <w:i/>
              </w:rPr>
              <w:t>är</w:t>
            </w:r>
            <w:r>
              <w:t xml:space="preserve"> olagliga och utgör ett allvarligt hot mot EU:s och medlemsstaternas suveränitet.</w:t>
            </w:r>
          </w:p>
        </w:tc>
        <w:tc>
          <w:tcPr>
            <w:tcW w:w="4876" w:type="dxa"/>
            <w:tcBorders>
              <w:top w:val="nil"/>
              <w:left w:val="nil"/>
              <w:bottom w:val="nil"/>
              <w:right w:val="nil"/>
            </w:tcBorders>
          </w:tcPr>
          <w:p>
            <w:pPr>
              <w:pStyle w:val="Normal6a"/>
            </w:pPr>
            <w:r>
              <w:t>F.</w:t>
            </w:r>
            <w:r>
              <w:tab/>
            </w:r>
            <w:r>
              <w:t xml:space="preserve">Sådana tvångsmedel </w:t>
            </w:r>
            <w:r>
              <w:rPr>
                <w:b/>
                <w:i/>
              </w:rPr>
              <w:t>kan vara</w:t>
            </w:r>
            <w:r>
              <w:t xml:space="preserve"> olagliga och utgör ett allvarligt hot mot EU:s </w:t>
            </w:r>
            <w:r>
              <w:rPr>
                <w:b/>
                <w:i/>
              </w:rPr>
              <w:t>intressen</w:t>
            </w:r>
            <w:r>
              <w:t xml:space="preserve"> och medlemsstaternas suveränitet.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Sådana tvångsmedel är olagliga och utgör ett allvarligt hot mot EU:s och medlemsstaternas suveränitet.</w:t>
            </w:r>
          </w:p>
        </w:tc>
        <w:tc>
          <w:tcPr>
            <w:tcW w:w="4876" w:type="dxa"/>
            <w:tcBorders>
              <w:top w:val="nil"/>
              <w:left w:val="nil"/>
              <w:bottom w:val="nil"/>
              <w:right w:val="nil"/>
            </w:tcBorders>
          </w:tcPr>
          <w:p>
            <w:pPr>
              <w:pStyle w:val="Normal6a"/>
            </w:pPr>
            <w:r>
              <w:t>F.</w:t>
            </w:r>
            <w:r>
              <w:tab/>
            </w:r>
            <w:r>
              <w:t xml:space="preserve">Sådana tvångsmedel är olagliga och utgör ett allvarligt hot mot EU:s </w:t>
            </w:r>
            <w:r>
              <w:rPr>
                <w:b/>
                <w:i/>
              </w:rPr>
              <w:t>oberoende</w:t>
            </w:r>
            <w:r>
              <w:t xml:space="preserve"> och medlemsstaternas suveränitet.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Ett tredjeland kan utöva ekonomiskt tvång genom att avsiktligt anta lagar eller andra författningar med extraterritoriella effekter som är avsedda att tillämpas utanför dess jurisdiktion, och genom att använda ekonomiska ömsesidiga beroenden som vapen eller utnyttja sin dominerande ställning på tjänstemarknaderna för att främja sina egna nationella intressen, vilket kan kräva effektiva motåtgärder.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Ett antal organisationer i det civila samhället som dokumenterar internationella brott är utsatta för tvångsmedel på grund av sitt samarbete med ICC eller med icke-statliga organisationer som samarbetar med ICC eller med innehavare av FN-mandat.</w:t>
            </w:r>
          </w:p>
        </w:tc>
        <w:tc>
          <w:tcPr>
            <w:tcW w:w="4876" w:type="dxa"/>
            <w:tcBorders>
              <w:top w:val="nil"/>
              <w:left w:val="nil"/>
              <w:bottom w:val="nil"/>
              <w:right w:val="nil"/>
            </w:tcBorders>
          </w:tcPr>
          <w:p>
            <w:pPr>
              <w:pStyle w:val="Normal6a"/>
            </w:pPr>
            <w:r>
              <w:t>G.</w:t>
            </w:r>
            <w:r>
              <w:tab/>
            </w:r>
            <w:r>
              <w:t xml:space="preserve">Ett antal organisationer i det civila samhället som dokumenterar internationella brott är utsatta för tvångsmedel på grund av sitt samarbete med ICC eller med icke-statliga organisationer som samarbetar med ICC eller med innehavare av FN-mandat. </w:t>
            </w:r>
            <w:r>
              <w:rPr>
                <w:b/>
                <w:i/>
              </w:rPr>
              <w:t>Organisationer i det civila samhället och brottsoffergrupper är en viktig del av den internationella rättsliga strukturen.</w:t>
            </w:r>
            <w:r>
              <w:t xml:space="preserve"> </w:t>
            </w:r>
            <w:r>
              <w:rPr>
                <w:b/>
                <w:i/>
              </w:rPr>
              <w:t>Organisationer som är verksamma i sammanhang där allvarliga internationella brott har begåtts eller fortsätter att begås utsätts i allt högre grad för politiska attacker och en urholkning av sitt ekonomiska stöd.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rPr>
                <w:b/>
                <w:i/>
              </w:rPr>
              <w:t>.</w:t>
            </w:r>
            <w:r>
              <w:tab/>
            </w:r>
            <w:r>
              <w:t xml:space="preserve">Sådana tvångsmedel begränsar deras möjlighet att samla in, bevara och överföra bevis, </w:t>
            </w:r>
            <w:r>
              <w:rPr>
                <w:b/>
                <w:i/>
              </w:rPr>
              <w:t>vilket</w:t>
            </w:r>
            <w:r>
              <w:t xml:space="preserve"> äventyrar förfarandena för ansvarsutkrävande och brottsoffrens rättigheter.</w:t>
            </w:r>
          </w:p>
        </w:tc>
        <w:tc>
          <w:tcPr>
            <w:tcW w:w="4876" w:type="dxa"/>
            <w:tcBorders>
              <w:top w:val="nil"/>
              <w:left w:val="nil"/>
              <w:bottom w:val="nil"/>
              <w:right w:val="nil"/>
            </w:tcBorders>
          </w:tcPr>
          <w:p>
            <w:pPr>
              <w:pStyle w:val="Normal6a"/>
            </w:pPr>
            <w:r>
              <w:t>H</w:t>
            </w:r>
            <w:r>
              <w:tab/>
            </w:r>
            <w:r>
              <w:t>Sådana tvångsmedel begränsar</w:t>
            </w:r>
            <w:r>
              <w:rPr>
                <w:b/>
                <w:i/>
              </w:rPr>
              <w:t> allvarligt</w:t>
            </w:r>
            <w:r>
              <w:t xml:space="preserve"> deras möjlighet att samla in, bevara och överföra bevis, </w:t>
            </w:r>
            <w:r>
              <w:rPr>
                <w:b/>
                <w:i/>
              </w:rPr>
              <w:t>skapar en avkylande effekt på organisationer i det civila samhället, vittnen, brottsoffer och rättstillämpare som samarbetar med internationella rättsliga mekanismer och</w:t>
            </w:r>
            <w:r>
              <w:t xml:space="preserve"> äventyrar </w:t>
            </w:r>
            <w:r>
              <w:rPr>
                <w:b/>
                <w:i/>
              </w:rPr>
              <w:t>därmed</w:t>
            </w:r>
            <w:r>
              <w:t xml:space="preserve"> förfarandena för ansvarsutkrävande och brottsoffrens rättigheter </w:t>
            </w:r>
            <w:r>
              <w:rPr>
                <w:b/>
                <w:i/>
              </w:rPr>
              <w:t>och den bredare kampen mot straffrihet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rPr>
                <w:b/>
                <w:i/>
              </w:rPr>
              <w:t>.</w:t>
            </w:r>
            <w:r>
              <w:tab/>
            </w:r>
            <w:r>
              <w:t>Sådana tvångsmedel begränsar deras möjlighet att samla in, bevara och överföra bevis, vilket äventyrar förfarandena för ansvarsutkrävande och brottsoffrens rättigheter.</w:t>
            </w:r>
          </w:p>
        </w:tc>
        <w:tc>
          <w:tcPr>
            <w:tcW w:w="4876" w:type="dxa"/>
            <w:tcBorders>
              <w:top w:val="nil"/>
              <w:left w:val="nil"/>
              <w:bottom w:val="nil"/>
              <w:right w:val="nil"/>
            </w:tcBorders>
          </w:tcPr>
          <w:p>
            <w:pPr>
              <w:pStyle w:val="Normal6a"/>
            </w:pPr>
            <w:r>
              <w:t>H</w:t>
            </w:r>
            <w:r>
              <w:tab/>
            </w:r>
            <w:r>
              <w:t>Sådana tvångsmedel begränsar deras möjlighet att samla in, bevara och överföra bevis, vilket äventyrar förfarandena för ansvarsutkrävande och brottsoffrens rättigheter</w:t>
            </w:r>
            <w:r>
              <w:rPr>
                <w:b/>
                <w:i/>
              </w:rPr>
              <w:t> och undergräver ICC:s förmåga att arbeta för erkännande, lagföring och bestraffning av de allvarligaste internationella brotten och därigenom bekämpa straffrihet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rPr>
                <w:b/>
                <w:i/>
              </w:rPr>
              <w:t>.</w:t>
            </w:r>
            <w:r>
              <w:tab/>
            </w:r>
            <w:r>
              <w:t>Sådana tvångsmedel begränsar deras möjlighet att samla in, bevara och överföra bevis, vilket äventyrar förfarandena för ansvarsutkrävande och brottsoffrens rättigheter.</w:t>
            </w:r>
          </w:p>
        </w:tc>
        <w:tc>
          <w:tcPr>
            <w:tcW w:w="4876" w:type="dxa"/>
            <w:tcBorders>
              <w:top w:val="nil"/>
              <w:left w:val="nil"/>
              <w:bottom w:val="nil"/>
              <w:right w:val="nil"/>
            </w:tcBorders>
          </w:tcPr>
          <w:p>
            <w:pPr>
              <w:pStyle w:val="Normal6a"/>
            </w:pPr>
            <w:r>
              <w:t>H</w:t>
            </w:r>
            <w:r>
              <w:tab/>
            </w:r>
            <w:r>
              <w:t xml:space="preserve">Sådana tvångsmedel begränsar deras möjlighet att samla in, bevara och överföra bevis, vilket äventyrar förfarandena för ansvarsutkrävande och brottsoffrens rättigheter </w:t>
            </w:r>
            <w:r>
              <w:rPr>
                <w:b/>
                <w:i/>
              </w:rPr>
              <w:t>och potentiellt utsätter dem för livsfara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Utöver de sanktioner som USA har antagit mot den särskilda rapportören om situationen för de mänskliga rättigheterna på de sedan 1967 ockuperade palestinska territorierna, Francesca Albanese, har vissa EU-medlemsstater uttryckt oro över hennes beteende, inbegripet påståenden om partiskhet och påstådda antisemitiska kommentarer.</w:t>
            </w:r>
            <w:r>
              <w:t xml:space="preserve"> </w:t>
            </w:r>
            <w:r>
              <w:rPr>
                <w:b/>
                <w:i/>
              </w:rPr>
              <w:t>Innehavare av FN-mandat måste balansera detta med strikt efterlevnad av sitt mandat och opartiskhet.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Offren för de allvarligaste brotten enligt internationell rätt har rätt till sanning, rättvisa och gottgörelse, vilket måste förbli centralt för alla EU:s strategier för internationell rättskipning.</w:t>
            </w:r>
            <w:r>
              <w:t xml:space="preserve"> </w:t>
            </w:r>
            <w:r>
              <w:rPr>
                <w:b/>
                <w:i/>
              </w:rPr>
              <w:t>Ensidiga utländska tvångsåtgärder, bland annat genom en övernitisk efterlevnad från finansinstitutens sida, riskerar att göra det svårare för brottsofferfonden och andra gottgörelsemekanismer att fungera effektivt och betala ut ersättning till offer.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Banker, försäkringsbolag och betalningsleverantörer riskerar böter och utestängning från marknader om de upprätthåller eller upprättar förbindelser med ICC eller enheter och personer som är föremål för sådana tvångsmedel. Detta har lett till att många privata aktörer går alltför långt i sin efterlevnad för att minska sin riskexponering. Alltför långtgående efterlevnad och extraterritoriella effekter tar sig uttryck i störningar av väsentliga tjänster för enskilda personer och organisationer.</w:t>
            </w:r>
          </w:p>
        </w:tc>
        <w:tc>
          <w:tcPr>
            <w:tcW w:w="4876" w:type="dxa"/>
            <w:tcBorders>
              <w:top w:val="nil"/>
              <w:left w:val="nil"/>
              <w:bottom w:val="nil"/>
              <w:right w:val="nil"/>
            </w:tcBorders>
          </w:tcPr>
          <w:p>
            <w:pPr>
              <w:pStyle w:val="Normal6a"/>
            </w:pPr>
            <w:r>
              <w:t>I.</w:t>
            </w:r>
            <w:r>
              <w:tab/>
            </w:r>
            <w:r>
              <w:t>Banker, försäkringsbolag och betalningsleverantörer riskerar böter och utestängning från marknader om de upprätthåller eller upprättar förbindelser med ICC eller enheter och personer som är föremål för sådana tvångsmedel. Detta har lett till att många privata aktörer går alltför långt i sin efterlevnad för att minska sin riskexponering. Alltför långtgående efterlevnad och extraterritoriella effekter tar sig uttryck i störningar av väsentliga tjänster för enskilda personer och organisationer</w:t>
            </w:r>
            <w:r>
              <w:rPr>
                <w:b/>
                <w:i/>
              </w:rPr>
              <w:t>, vilket leder till att ensidiga utländska tvångsåtgärder får effekter inom EU:s territorium i avsaknad av motsvarande rättsliga skyldigheter på EU-nivå</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Banker, försäkringsbolag och betalningsleverantörer riskerar böter och utestängning från marknader om de upprätthåller eller upprättar förbindelser med ICC eller enheter och personer som är föremål för sådana tvångsmedel. Detta har lett till att många privata aktörer går alltför långt i sin efterlevnad för att minska sin riskexponering. Alltför långtgående efterlevnad och extraterritoriella effekter tar sig uttryck i störningar av väsentliga tjänster för enskilda personer och organisationer.</w:t>
            </w:r>
          </w:p>
        </w:tc>
        <w:tc>
          <w:tcPr>
            <w:tcW w:w="4876" w:type="dxa"/>
            <w:tcBorders>
              <w:top w:val="nil"/>
              <w:left w:val="nil"/>
              <w:bottom w:val="nil"/>
              <w:right w:val="nil"/>
            </w:tcBorders>
          </w:tcPr>
          <w:p>
            <w:pPr>
              <w:pStyle w:val="Normal6a"/>
            </w:pPr>
            <w:r>
              <w:t>I.</w:t>
            </w:r>
            <w:r>
              <w:tab/>
            </w:r>
            <w:r>
              <w:t>Banker</w:t>
            </w:r>
            <w:r>
              <w:rPr>
                <w:b/>
                <w:i/>
              </w:rPr>
              <w:t>, leverantörer av it-system</w:t>
            </w:r>
            <w:r>
              <w:t>, försäkringsbolag och betalningsleverantörer riskerar böter och utestängning från marknader om de upprätthåller eller upprättar förbindelser med ICC eller enheter och personer som är föremål för sådana tvångsmedel. Detta har lett till att många privata aktörer går alltför långt i sin efterlevnad för att minska sin riskexponering. Alltför långtgående efterlevnad och extraterritoriella effekter tar sig uttryck i störningar av väsentliga tjänster för enskilda personer och organisationer.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 sin dom av den 11 juni 2026 i mål C-81/24, som meddelades efter en begäran om förhandsavgörande, slog Europeiska unionens domstol fast att direktiv 2014/92/EU inte tillåter medlemsstaterna att kräva att kreditinstitut ska vägra att öppna ett betalkonto med grundläggande funktioner för en konsument enbart av det skälet att konsumenten är upptagen på en förteckning över personer som är föremål för restriktiva åtgärder som införts av ett tredjeland, såvida inte det berörda kreditinstitutet har gjort en individuell bedömning av risken för penningtvätt eller finansiering av terrorism i samband med den avsedda affärsförbindelsen.</w:t>
            </w:r>
            <w:r>
              <w:t xml:space="preserve"> </w:t>
            </w:r>
            <w:r>
              <w:rPr>
                <w:b/>
                <w:i/>
              </w:rPr>
              <w:t>Denna dom bekräftar att övernitisk efterlevnad av ensidiga sanktioner från tredjeländer inte kan motivera begränsningar av tillgången till grundläggande banktjänster som är oförenliga med unionsrätten.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 målet Jenec (C-81/24) fann Europeiska unionens domstol att EU-rätten inte kan tolkas som att kreditinstitut automatiskt måste vägra att ingå en affärsförbindelse med en person som är uppförd på någon av förteckningarna från Ofac/SDN.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De extraterritoriella effekterna av sådana åtgärder förstärks av de globala, finansiella, digitala och tekniska systemens strukturella beroende av infrastruktur utanför EU.</w:t>
            </w:r>
          </w:p>
        </w:tc>
        <w:tc>
          <w:tcPr>
            <w:tcW w:w="4876" w:type="dxa"/>
            <w:tcBorders>
              <w:top w:val="nil"/>
              <w:left w:val="nil"/>
              <w:bottom w:val="nil"/>
              <w:right w:val="nil"/>
            </w:tcBorders>
          </w:tcPr>
          <w:p>
            <w:pPr>
              <w:pStyle w:val="Normal6a"/>
            </w:pPr>
            <w:r>
              <w:t>J.</w:t>
            </w:r>
            <w:r>
              <w:tab/>
            </w:r>
            <w:r>
              <w:t>De extraterritoriella effekterna av sådana åtgärder förstärks av de globala, finansiella, digitala och tekniska systemens strukturella beroende av infrastruktur utanför EU</w:t>
            </w:r>
            <w:r>
              <w:rPr>
                <w:b/>
                <w:i/>
              </w:rPr>
              <w:t>, vilket visar på behovet av större europeiskt oberoende i central finansiell, digital och teknisk infrastruktur för att stå emot utländska tvångsåtgärder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De extraterritoriella effekterna av sådana åtgärder förstärks av de globala, finansiella, digitala och tekniska systemens strukturella beroende av infrastruktur utanför EU.</w:t>
            </w:r>
          </w:p>
        </w:tc>
        <w:tc>
          <w:tcPr>
            <w:tcW w:w="4876" w:type="dxa"/>
            <w:tcBorders>
              <w:top w:val="nil"/>
              <w:left w:val="nil"/>
              <w:bottom w:val="nil"/>
              <w:right w:val="nil"/>
            </w:tcBorders>
          </w:tcPr>
          <w:p>
            <w:pPr>
              <w:pStyle w:val="Normal6a"/>
            </w:pPr>
            <w:r>
              <w:t>J.</w:t>
            </w:r>
            <w:r>
              <w:tab/>
            </w:r>
            <w:r>
              <w:t xml:space="preserve">De extraterritoriella effekterna av sådana åtgärder förstärks av de globala, finansiella, digitala och tekniska systemens strukturella beroende av infrastruktur </w:t>
            </w:r>
            <w:r>
              <w:rPr>
                <w:b/>
                <w:i/>
              </w:rPr>
              <w:t>och tjänsteleverantörer</w:t>
            </w:r>
            <w:r>
              <w:t xml:space="preserve"> utanför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De extraterritoriella effekterna av sådana åtgärder förstärks av de globala, finansiella, digitala och tekniska systemens strukturella beroende av infrastruktur </w:t>
            </w:r>
            <w:r>
              <w:rPr>
                <w:b/>
                <w:i/>
              </w:rPr>
              <w:t>utanför EU.</w:t>
            </w:r>
          </w:p>
        </w:tc>
        <w:tc>
          <w:tcPr>
            <w:tcW w:w="4876" w:type="dxa"/>
            <w:tcBorders>
              <w:top w:val="nil"/>
              <w:left w:val="nil"/>
              <w:bottom w:val="nil"/>
              <w:right w:val="nil"/>
            </w:tcBorders>
          </w:tcPr>
          <w:p>
            <w:pPr>
              <w:pStyle w:val="Normal6a"/>
            </w:pPr>
            <w:r>
              <w:t>J.</w:t>
            </w:r>
            <w:r>
              <w:tab/>
            </w:r>
            <w:r>
              <w:t xml:space="preserve">De extraterritoriella effekterna av sådana åtgärder förstärks av de globala, finansiella, digitala och tekniska systemens strukturella beroende av </w:t>
            </w:r>
            <w:r>
              <w:rPr>
                <w:b/>
                <w:i/>
              </w:rPr>
              <w:t>icke-europeisk</w:t>
            </w:r>
            <w:r>
              <w:t xml:space="preserve"> infrastruktur</w:t>
            </w:r>
            <w:r>
              <w:rPr>
                <w:b/>
                <w:i/>
              </w:rPr>
              <w: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Dessa beroenden är koncentrerade till kritiska områden, bland annat beroendet av korrespondentbank- och dollarclearingförbindelser utanför EU, betalnings- och kortbehandlingsnätverk och leverantörer av moln-, datavärds- och programvarutjänster utanför EU.</w:t>
            </w:r>
            <w:r>
              <w:t xml:space="preserve"> </w:t>
            </w:r>
            <w:r>
              <w:rPr>
                <w:b/>
                <w:i/>
              </w:rPr>
              <w:t>Sådana beroenden begränsar också unionens konkurrenskraft och innovationsförmåga.</w:t>
            </w:r>
            <w:r>
              <w:t xml:space="preserve"> </w:t>
            </w:r>
            <w:r>
              <w:rPr>
                <w:b/>
                <w:i/>
              </w:rPr>
              <w:t>Sådana leverantörer kan, inom ramen för den extraterritoriella räckvidden för tredjeländers lagstiftning, såsom amerikanska CLOUD Act, tvingas att lämna ut uppgifter oavsett var de lagras.</w:t>
            </w:r>
            <w:r>
              <w:t xml:space="preserve"> </w:t>
            </w:r>
            <w:r>
              <w:rPr>
                <w:b/>
                <w:i/>
              </w:rPr>
              <w:t>Genom att minska dessa beroenden tar man itu med roten till det extraterritoriella inflytandet, inte bara dess symtom.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Unionens åtgärder är beroende av digital infrastruktur, såsom molntjänster, datamiljöer och konnektivitetsnätverk, som kan utsättas för påtryckningar från tredjeländer genom tillämpning av eller hot om sanktioner och andra tvångsåtgärder, vilket skapar sårbarheter som kan påverka kontinuiteten och autonomin i unionens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Utländska extraterritoriella åtgärder har, trots att de inte är rättsligt tillämpliga i unionen, skadliga praktiska effekter inom det europeiska rättsliga området genom det amerikanska finanssystemets dominans och globala finansförmedlares övernitiska efterlevnad.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rPr>
                <w:b/>
                <w:i/>
              </w:rPr>
              <w:t>Det finns ett akut behov av att mildra</w:t>
            </w:r>
            <w:r>
              <w:t xml:space="preserve"> dessa </w:t>
            </w:r>
            <w:r>
              <w:rPr>
                <w:b/>
                <w:i/>
              </w:rPr>
              <w:t>effekter, eftersom de försvagar</w:t>
            </w:r>
            <w:r>
              <w:t xml:space="preserve"> utredningar, vittnesskyddet och insamlingen och bevarandet av bevis, </w:t>
            </w:r>
            <w:r>
              <w:rPr>
                <w:b/>
                <w:i/>
              </w:rPr>
              <w:t>har hämmande verkan, inbegripet självcensur, och leder</w:t>
            </w:r>
            <w:r>
              <w:t xml:space="preserve"> till minskat samarbete med mekanismer för ansvarsutkrävande.</w:t>
            </w:r>
          </w:p>
        </w:tc>
        <w:tc>
          <w:tcPr>
            <w:tcW w:w="4876" w:type="dxa"/>
            <w:tcBorders>
              <w:top w:val="nil"/>
              <w:left w:val="nil"/>
              <w:bottom w:val="nil"/>
              <w:right w:val="nil"/>
            </w:tcBorders>
          </w:tcPr>
          <w:p>
            <w:pPr>
              <w:pStyle w:val="Normal6a"/>
            </w:pPr>
            <w:r>
              <w:t>K.</w:t>
            </w:r>
            <w:r>
              <w:tab/>
            </w:r>
            <w:r>
              <w:t xml:space="preserve">Dessa </w:t>
            </w:r>
            <w:r>
              <w:rPr>
                <w:b/>
                <w:i/>
              </w:rPr>
              <w:t>åtgärder kan försvaga</w:t>
            </w:r>
            <w:r>
              <w:t xml:space="preserve"> utredningar, vittnesskyddet och insamlingen och bevarandet av bevis, </w:t>
            </w:r>
            <w:r>
              <w:rPr>
                <w:b/>
                <w:i/>
              </w:rPr>
              <w:t>och kan också leda</w:t>
            </w:r>
            <w:r>
              <w:t xml:space="preserve"> till minskat samarbete med mekanismer för ansvarsutkrävande.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Det finns ett akut behov av att mildra dessa effekter, eftersom de försvagar utredningar, vittnesskyddet och insamlingen och bevarandet av bevis, har hämmande verkan, inbegripet självcensur, och leder till minskat samarbete med mekanismer för ansvarsutkrävande.</w:t>
            </w:r>
          </w:p>
        </w:tc>
        <w:tc>
          <w:tcPr>
            <w:tcW w:w="4876" w:type="dxa"/>
            <w:tcBorders>
              <w:top w:val="nil"/>
              <w:left w:val="nil"/>
              <w:bottom w:val="nil"/>
              <w:right w:val="nil"/>
            </w:tcBorders>
          </w:tcPr>
          <w:p>
            <w:pPr>
              <w:pStyle w:val="Normal6a"/>
            </w:pPr>
            <w:r>
              <w:t>K.</w:t>
            </w:r>
            <w:r>
              <w:tab/>
            </w:r>
            <w:r>
              <w:t>Det finns ett akut behov av att mildra</w:t>
            </w:r>
            <w:r>
              <w:rPr>
                <w:b/>
                <w:i/>
              </w:rPr>
              <w:t>, motverka eller neutralisera</w:t>
            </w:r>
            <w:r>
              <w:t xml:space="preserve"> dessa effekter, eftersom de försvagar utredningar, vittnesskyddet</w:t>
            </w:r>
            <w:r>
              <w:rPr>
                <w:b/>
                <w:i/>
              </w:rPr>
              <w:t>, det rättsliga biståndet</w:t>
            </w:r>
            <w:r>
              <w:t xml:space="preserve"> och insamlingen och bevarandet av bevis, har hämmande verkan, inbegripet självcensur, och leder till minskat samarbete med mekanismer för ansvarsutkrävande.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Det breda komplexet av befintliga EU-stödinstrument för internationell rättskipning bör bedömas i syfte att kartlägga </w:t>
            </w:r>
            <w:r>
              <w:rPr>
                <w:b/>
                <w:i/>
              </w:rPr>
              <w:t>effektivitetsbrister, såsom avsaknaden av en särskild övergripande EU-strategi</w:t>
            </w:r>
            <w:r>
              <w:t>.</w:t>
            </w:r>
          </w:p>
        </w:tc>
        <w:tc>
          <w:tcPr>
            <w:tcW w:w="4876" w:type="dxa"/>
            <w:tcBorders>
              <w:top w:val="nil"/>
              <w:left w:val="nil"/>
              <w:bottom w:val="nil"/>
              <w:right w:val="nil"/>
            </w:tcBorders>
          </w:tcPr>
          <w:p>
            <w:pPr>
              <w:pStyle w:val="Normal6a"/>
            </w:pPr>
            <w:r>
              <w:t>L.</w:t>
            </w:r>
            <w:r>
              <w:tab/>
            </w:r>
            <w:r>
              <w:t xml:space="preserve">Det breda komplexet av befintliga EU-stödinstrument för internationell rättskipning bör bedömas i syfte att kartlägga </w:t>
            </w:r>
            <w:r>
              <w:rPr>
                <w:b/>
                <w:i/>
              </w:rPr>
              <w:t>och avhjälpa effektivitets- och samordningsbrister och för att säkerställa en fullständig och konsekvent användning av befintliga instrument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Det breda komplexet av befintliga EU-stödinstrument för internationell rättskipning bör </w:t>
            </w:r>
            <w:r>
              <w:rPr>
                <w:b/>
                <w:i/>
              </w:rPr>
              <w:t>bedömas i syfte att kartlägga effektivitetsbrister, såsom avsaknaden av en särskild övergripande EU-strategi</w:t>
            </w:r>
            <w:r>
              <w:t>.</w:t>
            </w:r>
          </w:p>
        </w:tc>
        <w:tc>
          <w:tcPr>
            <w:tcW w:w="4876" w:type="dxa"/>
            <w:tcBorders>
              <w:top w:val="nil"/>
              <w:left w:val="nil"/>
              <w:bottom w:val="nil"/>
              <w:right w:val="nil"/>
            </w:tcBorders>
          </w:tcPr>
          <w:p>
            <w:pPr>
              <w:pStyle w:val="Normal6a"/>
            </w:pPr>
            <w:r>
              <w:t>L.</w:t>
            </w:r>
            <w:r>
              <w:tab/>
            </w:r>
            <w:r>
              <w:t xml:space="preserve">Det breda komplexet av befintliga EU-stödinstrument för internationell rättskipning bör </w:t>
            </w:r>
            <w:r>
              <w:rPr>
                <w:b/>
                <w:i/>
              </w:rPr>
              <w:t>utvärderas grundligt med avseende på deras effektivitet och mervärde när det gäller ansvarsutkrävande för allvarliga internationella brott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Det breda komplexet av befintliga EU-stödinstrument för internationell rättskipning bör bedömas </w:t>
            </w:r>
            <w:r>
              <w:rPr>
                <w:b/>
                <w:i/>
              </w:rPr>
              <w:t>i syfte att kartlägga effektivitetsbrister, såsom avsaknaden av en särskild övergripande EU-strategi</w:t>
            </w:r>
            <w:r>
              <w:t>.</w:t>
            </w:r>
          </w:p>
        </w:tc>
        <w:tc>
          <w:tcPr>
            <w:tcW w:w="4876" w:type="dxa"/>
            <w:tcBorders>
              <w:top w:val="nil"/>
              <w:left w:val="nil"/>
              <w:bottom w:val="nil"/>
              <w:right w:val="nil"/>
            </w:tcBorders>
          </w:tcPr>
          <w:p>
            <w:pPr>
              <w:pStyle w:val="Normal6a"/>
            </w:pPr>
            <w:r>
              <w:t>L.</w:t>
            </w:r>
            <w:r>
              <w:tab/>
            </w:r>
            <w:r>
              <w:t xml:space="preserve">Det breda komplexet av befintliga EU-stödinstrument för internationell rättskipning bör bedömas </w:t>
            </w:r>
            <w:r>
              <w:rPr>
                <w:b/>
                <w:i/>
              </w:rPr>
              <w:t>kritiskt för att förhindra att byråkratiska överlappningar skapas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Ma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I sin resolution av den 24 februari 2026 om fyra år av Rysslands anfallskrig mot Ukraina och av den 30 april 2026 om säkerställande av ansvarsskyldighet och rättvisa med anledning av Rysslands fortsatta attacker mot civilbefolkningen i Ukraina framhöll parlamentet sitt fulla stöd för Internationella brottmålsdomstolens utredning och påminde om medlemsstaternas skyldigheter enligt Romstadgan att gripa och överlämna personer som omfattas av Internationella brottmålsdomstolens arresteringsorder och som reser in på deras territorium.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Mb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I sitt betänkande av den 29 april 2026 om kommissionens rättsstatsrapport för 2025 upprepade parlamentet EU:s starka stöd för Internationella domstolen och Internationella brottmålsdomstolen som nödvändiga, oberoende och opartiska institutioner och uppmanade kommissionen att i sina rättsstatsrapporter ange fall där Internationella brottmålsdomstolens arresteringsorder inte har verkställts samt uppmanade medlemsstaterna att fullt ut följa internationella domstolars avgöranden.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Mc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Mc.</w:t>
            </w:r>
            <w:r>
              <w:tab/>
            </w:r>
            <w:r>
              <w:rPr>
                <w:b/>
                <w:i/>
              </w:rPr>
              <w:t>I sin resolution av den 11 september 2025 Gaza på bristningsgränsen: EU:s insatser för att bekämpa hungersnöden, det akuta behovet att släppa gisslan och vägen mot en tvåstatslösning uppmanade parlamentet alla medlemsstater att fullgöra sina skyldigheter enligt Romstadgan och att verkställa alla arresteringsorder som utfärdats av Internationella brottmålsdomstolen (ICC) samt påminde om att Internationella domstolens bindande beslut måste genomföras fullt ut, inklusive när det gäller att säkerställa humanitärt tillträde till Gaza.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Md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Md.</w:t>
            </w:r>
            <w:r>
              <w:tab/>
            </w:r>
            <w:r>
              <w:rPr>
                <w:b/>
                <w:i/>
              </w:rPr>
              <w:t>I sin resolution av den 2 april 2025 om genomförandet av den gemensamma utrikes – och säkerhetspolitiken – årsrapport 2024 uttryckte parlamentet sin djupa oro över USA:s sanktioner mot ICC, dess åklagare, domare och personal, som utgör ett allvarligt angrepp på det internationella rättssystemet, och uppmanade också kommissionen att snabbt aktivera den blockerande stadgan.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Na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Som ständig medlem av FN:s säkerhetsråd bär Ryssland ansvar för internationell fred och säkerhet enligt FN-stadgan.</w:t>
            </w:r>
            <w:r>
              <w:t xml:space="preserve"> </w:t>
            </w:r>
            <w:r>
              <w:rPr>
                <w:b/>
                <w:i/>
              </w:rPr>
              <w:t>Ryssland för samtidigt ett anfallskrig mot Ukraina och systematiska hybridkampanjer mot Europa.</w:t>
            </w:r>
            <w:r>
              <w:t xml:space="preserve"> </w:t>
            </w:r>
            <w:r>
              <w:rPr>
                <w:b/>
                <w:i/>
              </w:rPr>
              <w:t>I mars 2023 utfärdade ICC arresteringsorder mot Rysslands president Vladimir Putin och kommissarien för barns rättigheter Maria Lvova-Belova för krigsförbrytelsen olaglig deportering av ukrainska barn från tillfälligt ockuperade territorier.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Na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EU:s ram för ekonomisk säkerhet erbjuder befintliga instrument genom vilka strukturella beroenden på de finansiella, digitala och tekniska områdena kan minskas, vilket minskar den extraterritoriella räckvidden för utländska tvångsåtgärder och stärker unionens konkurrenskraft och innovationsbas, utan att det behövs nya organ, instrument eller budgetåtaganden eller ytterligare regelbörda.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Na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Unionen har antagit förordning (EU) 2023/2675 om skydd av unionen och dess medlemsstater mot ekonomiskt tvång från tredjeländer, som erbjuder en viktig ram för att avskräcka från och motverka omotiverad utländsk inblandning, stärka unionens ekonomiska säkerhet och samtidigt upprätthålla åtagandet om en öppen och konkurrenskraftig ekonomi.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Arkadiusz Mularczyk,Sebastian Tynkkynen,Michał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Na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Ansvar för aggressionsbrottet kan för närvarande inte utkrävas vid ICC på grund av begränsningar av jurisdiktionen enligt Romstadgan.</w:t>
            </w:r>
            <w:r>
              <w:t xml:space="preserve"> </w:t>
            </w:r>
            <w:r>
              <w:rPr>
                <w:b/>
                <w:i/>
              </w:rPr>
              <w:t>Inrättandet av en särskild tribunal för aggressionsbrottet mot Ukraina fyller denna lucka i ansvarsutkrävandet, säkerställer rättvisa, avskräcker från framtida kränkningar och upprätthåller den regelbaserade världsordningen.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Geadis Geadi,Emmanouil Fragkos,Galato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Na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Den långvariga underlåtenheten att verkställa arresteringsorder i fall som rör allvarliga kränkningar av rätten till liv undergräver offrens rättigheter, försvagar allmänhetens förtroende för internationell rättskipning och främjar strafflöshet.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Nb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I maj 2026 antog den ryska statsduman en lag som tillåter president Putin att sätta in väpnade styrkor utomlands mot stater eller internationella domstolar som ställer ryska medborgare inför rätta.</w:t>
            </w:r>
            <w:r>
              <w:t xml:space="preserve"> </w:t>
            </w:r>
            <w:r>
              <w:rPr>
                <w:b/>
                <w:i/>
              </w:rPr>
              <w:t>Detta utgör ett direkt hot mot stater som fullgör sina skyldigheter enligt Romstadgan och mot integriteten hos det internationella rättssystemet som helhet.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Geadis Geadi,Emmanouil Fragkos,Galato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Nc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Nc.</w:t>
            </w:r>
            <w:r>
              <w:tab/>
            </w:r>
            <w:r>
              <w:rPr>
                <w:b/>
                <w:i/>
              </w:rPr>
              <w:t>Luckor i ansvarsutkrävandet kan uppstå när misstänkta befinner sig på territorier eller i områden där internationella mekanismer för polisiärt samarbete inte kan verka på grund av olösta statusfrågor, icke-erkännande eller avsaknad av erkända kanaler för rättsligt och polisiärt samarbete.</w:t>
            </w:r>
            <w:r>
              <w:t xml:space="preserve"> </w:t>
            </w:r>
            <w:r>
              <w:rPr>
                <w:b/>
                <w:i/>
              </w:rPr>
              <w:t>Sådana luckor får inte leda till strafflöshet vid allvarliga kränkningar av de mänskliga rättigheterna eller internationella brott.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Nb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Ryska federationen bär enligt internationell rätt det fulla ansvaret för alla skador och förluster som orsakats av dess anfallskrig mot Ukraina.</w:t>
            </w:r>
            <w:r>
              <w:t xml:space="preserve"> </w:t>
            </w:r>
            <w:r>
              <w:rPr>
                <w:b/>
                <w:i/>
              </w:rPr>
              <w:t>I FN:s generalförsamlings resolution A/RES/ES-11/5 erkändes behovet att i samarbete med Ukraina inrätta en internationell mekanism för gottgörelse och ett internationellt register över skador.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Geadis Geadi,Emmanouil Fragkos,Galato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Nb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Fallen med Tassos Isaak och Solomos Solomou, som dödades i augusti 1996 i FN:s buffertzon på Cypern, är alltjämt talande för behovet att säkerställa ansvarsskyldighet, rättsligt samarbete och verkställande av arresteringsorder i fall med allvarliga kränkningar av de mänskliga rättigheterna.</w:t>
            </w:r>
            <w:r>
              <w:t xml:space="preserve"> </w:t>
            </w:r>
            <w:r>
              <w:rPr>
                <w:b/>
                <w:i/>
              </w:rPr>
              <w:t>Rättskipning som försenas i årtionden innebär att offren och deras familjer förvägras faktisk rättvisa.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Nc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Nc.</w:t>
            </w:r>
            <w:r>
              <w:tab/>
            </w:r>
            <w:r>
              <w:rPr>
                <w:b/>
                <w:i/>
              </w:rPr>
              <w:t>Skaderegistret och den internationella skadeståndskommissionen för Ukraina utgör centrala delar av den internationella kompensationsmekanismen för Ukraina.</w:t>
            </w:r>
            <w:r>
              <w:t xml:space="preserve"> </w:t>
            </w:r>
            <w:r>
              <w:rPr>
                <w:b/>
                <w:i/>
              </w:rPr>
              <w:t>Det krävs tillräckligt många ratificeringar och tillräckliga ekonomiska bidrag för att konventionen om inrättande av en internationell skadeståndskommission för Ukraina ska kunna träda i kraft snabbt och fungera effektivt.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Nd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Nd.</w:t>
            </w:r>
            <w:r>
              <w:tab/>
            </w:r>
            <w:r>
              <w:rPr>
                <w:b/>
                <w:i/>
              </w:rPr>
              <w:t>Inrättandet av Särskilda tribunalen för aggressionsbrottet mot Ukraina är avgörande för att fylla luckan i ansvarsutkrävandet när det gäller aggressionsbrottet och för att säkerställa att de som är mest ansvariga för Rysslands anfallskrig ställs inför rätta.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Ne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Ne.</w:t>
            </w:r>
            <w:r>
              <w:tab/>
            </w:r>
            <w:r>
              <w:rPr>
                <w:b/>
                <w:i/>
              </w:rPr>
              <w:t>När så är rättsligt möjligt, och med full respekt för grundläggande rättigheter och rättsliga skyddsåtgärder, bör förverkade och återvunna tillgångar med koppling till Rysslands anfallskrig mot Ukraina, inklusive tillgångar med koppling till överträdelser eller kringgående av unionens restriktiva åtgärder, gå till att stödja Ukraina, inbegripet landets återuppbyggnad och ersättningen till offren.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w:t>
            </w:r>
            <w:r>
              <w:tab/>
            </w:r>
            <w:r>
              <w:rPr>
                <w:b/>
                <w:i/>
              </w:rPr>
              <w:t>Rådets förordning (EG) nr 2271/96, i dess ändrade lydelse, antogs för att skydda fysiska och juridiska personer inom EU mot extraterritoriell tillämpning av tredjeländers lagstiftning.</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Rima Hassan,Pernando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Rådets förordning (EG) nr 2271/96, i dess ändrade lydelse, antogs för att skydda fysiska och juridiska personer inom EU mot extraterritoriell tillämpning av tredjeländers lagstiftning.</w:t>
            </w:r>
          </w:p>
        </w:tc>
        <w:tc>
          <w:tcPr>
            <w:tcW w:w="4876" w:type="dxa"/>
            <w:tcBorders>
              <w:top w:val="nil"/>
              <w:left w:val="nil"/>
              <w:bottom w:val="nil"/>
              <w:right w:val="nil"/>
            </w:tcBorders>
          </w:tcPr>
          <w:p>
            <w:pPr>
              <w:pStyle w:val="Normal6a"/>
            </w:pPr>
            <w:r>
              <w:t>O.</w:t>
            </w:r>
            <w:r>
              <w:tab/>
            </w:r>
            <w:r>
              <w:t xml:space="preserve">Rådets förordning (EG) nr 2271/96, i dess ändrade lydelse, antogs för att skydda fysiska och juridiska personer inom EU mot extraterritoriell tillämpning av tredjeländers lagstiftning. </w:t>
            </w:r>
            <w:r>
              <w:rPr>
                <w:b/>
                <w:i/>
              </w:rPr>
              <w:t>Den blockerande stadgan är ett av dessa verktyg.</w:t>
            </w:r>
            <w:r>
              <w:t xml:space="preserve"> </w:t>
            </w:r>
            <w:r>
              <w:rPr>
                <w:b/>
                <w:i/>
              </w:rPr>
              <w:t>När den är aktiverad är det förbjudet för EU:s aktörer att efterleva de förtecknade utländska sanktionerna eller kraven, och utländska domstols- eller förvaltningsbeslut som grundar sig på de lagarna erkänns eller verkställs inte i EU, och slutligen kan företag eller personer i EU få ersättning för skador som orsakats av tillämpningen av dessa utländska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w:t>
            </w:r>
            <w:r>
              <w:tab/>
            </w:r>
            <w:r>
              <w:rPr>
                <w:b/>
                <w:i/>
              </w:rPr>
              <w:t>Europaparlamentet har upprepade gånger uppmanat kommissionen att aktivera EU:s blockerande stadga för att skydda ICC.</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Arkadiusz Mularczyk,Sebastian Tynkkynen,Michał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w:t>
            </w:r>
            <w:r>
              <w:tab/>
            </w:r>
            <w:r>
              <w:rPr>
                <w:b/>
                <w:i/>
              </w:rPr>
              <w:t>Europaparlamentet har upprepade gånger uppmanat kommissionen att aktivera EU:s blockerande stadga för att skydda ICC.</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Europaparlamentet har upprepade gånger uppmanat kommissionen att aktivera EU:s blockerande stadga för att skydda ICC.</w:t>
            </w:r>
          </w:p>
        </w:tc>
        <w:tc>
          <w:tcPr>
            <w:tcW w:w="4876" w:type="dxa"/>
            <w:tcBorders>
              <w:top w:val="nil"/>
              <w:left w:val="nil"/>
              <w:bottom w:val="nil"/>
              <w:right w:val="nil"/>
            </w:tcBorders>
          </w:tcPr>
          <w:p>
            <w:pPr>
              <w:pStyle w:val="Normal6a"/>
            </w:pPr>
            <w:r>
              <w:t>P.</w:t>
            </w:r>
            <w:r>
              <w:tab/>
            </w:r>
            <w:r>
              <w:t xml:space="preserve">Europaparlamentet har upprepade gånger uppmanat kommissionen att aktivera EU:s blockerande stadga för att skydda ICC. </w:t>
            </w:r>
            <w:r>
              <w:rPr>
                <w:b/>
                <w:i/>
              </w:rPr>
              <w:t>Belgiens och Sloveniens begäran om att EU:s blockerande stadga ska åberopas som svar på Förenta staternas sanktioner mot ICC har ännu inte besvarats av kommissionen.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rPr>
                <w:b/>
                <w:i/>
              </w:rPr>
              <w:t>Bilagan till rådets förordning (EG) nr 2271/96 har inte uppdaterats så att den återspeglar den senaste utvecklingen.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rPr>
                <w:b/>
                <w:i/>
              </w:rPr>
              <w:t>Bilagan till rådets förordning (EG) nr 2271/96 har inte uppdaterats så att den återspeglar den senaste utvecklingen.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Rima Hassan,Pernando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Bilagan till rådets förordning (EG) nr 2271/96 har inte uppdaterats så att den återspeglar den senaste utvecklingen.</w:t>
            </w:r>
          </w:p>
        </w:tc>
        <w:tc>
          <w:tcPr>
            <w:tcW w:w="4876" w:type="dxa"/>
            <w:tcBorders>
              <w:top w:val="nil"/>
              <w:left w:val="nil"/>
              <w:bottom w:val="nil"/>
              <w:right w:val="nil"/>
            </w:tcBorders>
          </w:tcPr>
          <w:p>
            <w:pPr>
              <w:pStyle w:val="Normal6a"/>
            </w:pPr>
            <w:r>
              <w:t>Q.</w:t>
            </w:r>
            <w:r>
              <w:tab/>
            </w:r>
            <w:r>
              <w:t xml:space="preserve">Bilagan till rådets förordning (EG) nr 2271/96 har inte uppdaterats så att den återspeglar den senaste utvecklingen. </w:t>
            </w:r>
            <w:r>
              <w:rPr>
                <w:b/>
                <w:i/>
              </w:rPr>
              <w:t>Kommissionen kan ändra bilagan för att ta med amerikanska tvångsåtgärder mot ICC, dess tjänstemän, juridiska ombud, organisationer i det civila samhället och alla personer eller enheter som samarbetar med internationella mekanismer för ansvarsutkrävande.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Arkadiusz Mularczyk,Sebastian Tynkkynen,Michał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w:t>
            </w:r>
            <w:r>
              <w:tab/>
            </w:r>
            <w:r>
              <w:rPr>
                <w:b/>
                <w:i/>
              </w:rPr>
              <w:t>En aktivering av den blockerande stadgan skulle visa på EU:s förmåga att värna integriteten i sin rättsordning mot de extraterritoriella effekterna av åtgärder som vidtas av länder utanför EU och att upprätthålla EU:s suveränitet.</w:t>
            </w:r>
            <w:r>
              <w:t xml:space="preserve"> </w:t>
            </w:r>
            <w:r>
              <w:rPr>
                <w:b/>
                <w:i/>
              </w:rPr>
              <w:t>En aktivering av stadgan skulle också vara en kraftfull symbol för EU:s stöd till den internationella rättskipningen, dess aktörer och partner samt innebära betydande stöd till EU:s ekonomiska aktörer i form av tydliga riktlinjer.</w:t>
            </w:r>
            <w:r>
              <w:t xml:space="preserve"> </w:t>
            </w:r>
            <w:r>
              <w:rPr>
                <w:b/>
                <w:i/>
              </w:rPr>
              <w:t>Fortsatt underlåtenhet att aktivera den skulle kunna utgöra ett potentiellt åsidosättande av EU:s skyldighet enligt samarbetsavtalet med ICC.</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rPr>
                <w:b/>
                <w:i/>
              </w:rPr>
              <w:t>En aktivering</w:t>
            </w:r>
            <w:r>
              <w:t xml:space="preserve"> av den blockerande stadgan </w:t>
            </w:r>
            <w:r>
              <w:rPr>
                <w:b/>
                <w:i/>
              </w:rPr>
              <w:t>skulle visa på EU:s förmåga att värna integriteten i sin rättsordning mot de</w:t>
            </w:r>
            <w:r>
              <w:t xml:space="preserve"> extraterritoriella </w:t>
            </w:r>
            <w:r>
              <w:rPr>
                <w:b/>
                <w:i/>
              </w:rPr>
              <w:t>effekterna av åtgärder som vidtas av länder utanför EU och att upprätthålla EU:s suveränitet</w:t>
            </w:r>
            <w:r>
              <w:t xml:space="preserve">. </w:t>
            </w:r>
            <w:r>
              <w:rPr>
                <w:b/>
                <w:i/>
              </w:rPr>
              <w:t>En aktivering av stadgan skulle också vara en kraftfull symbol för EU:s stöd till den internationella rättskipningen, dess aktörer och partner samt innebära betydande stöd till EU:s ekonomiska aktörer i form av tydliga riktlinjer.</w:t>
            </w:r>
            <w:r>
              <w:t xml:space="preserve"> </w:t>
            </w:r>
            <w:r>
              <w:rPr>
                <w:b/>
                <w:i/>
              </w:rPr>
              <w:t>Fortsatt underlåtenhet att aktivera den skulle kunna utgöra ett potentiellt åsidosättande av EU:s skyldighet enligt samarbetsavtalet med ICC.</w:t>
            </w:r>
          </w:p>
        </w:tc>
        <w:tc>
          <w:tcPr>
            <w:tcW w:w="4876" w:type="dxa"/>
            <w:tcBorders>
              <w:top w:val="nil"/>
              <w:left w:val="nil"/>
              <w:bottom w:val="nil"/>
              <w:right w:val="nil"/>
            </w:tcBorders>
          </w:tcPr>
          <w:p>
            <w:pPr>
              <w:pStyle w:val="Normal6a"/>
            </w:pPr>
            <w:r>
              <w:t>R.</w:t>
            </w:r>
            <w:r>
              <w:tab/>
            </w:r>
            <w:r>
              <w:rPr>
                <w:b/>
                <w:i/>
              </w:rPr>
              <w:t>Den blockerande stadgan är avsedd att skydda EU:s aktörer, såväl enskilda som företag, från extraterritoriell tillämpning av tredjeländers lagstiftning och kan ses som ett verktyg för att stärka Europas strategiska oberoende.</w:t>
            </w:r>
            <w:r>
              <w:t xml:space="preserve"> </w:t>
            </w:r>
            <w:r>
              <w:rPr>
                <w:b/>
                <w:i/>
              </w:rPr>
              <w:t>2021 års ändring</w:t>
            </w:r>
            <w:r>
              <w:t xml:space="preserve"> av den blockerande stadgan </w:t>
            </w:r>
            <w:r>
              <w:rPr>
                <w:b/>
                <w:i/>
              </w:rPr>
              <w:t>syftar till att ytterligare avskräcka och motverka tredjeländers olagliga</w:t>
            </w:r>
            <w:r>
              <w:t xml:space="preserve"> extraterritoriella </w:t>
            </w:r>
            <w:r>
              <w:rPr>
                <w:b/>
                <w:i/>
              </w:rPr>
              <w:t>tillämpning av sanktioner mot EU-aktörer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rPr>
                <w:b/>
                <w:i/>
              </w:rPr>
              <w:t>En aktivering av</w:t>
            </w:r>
            <w:r>
              <w:t xml:space="preserve"> den blockerande stadgan </w:t>
            </w:r>
            <w:r>
              <w:rPr>
                <w:b/>
                <w:i/>
              </w:rPr>
              <w:t>skulle visa på EU:s förmåga att värna integriteten i sin rättsordning mot de extraterritoriella effekterna av åtgärder som vidtas av länder utanför EU och att upprätthålla EU:s suveränitet.</w:t>
            </w:r>
            <w:r>
              <w:t xml:space="preserve"> </w:t>
            </w:r>
            <w:r>
              <w:rPr>
                <w:b/>
                <w:i/>
              </w:rPr>
              <w:t>En aktivering av stadgan skulle också vara en kraftfull symbol för EU:s stöd till den internationella rättskipningen, dess aktörer och partner samt innebära betydande stöd till</w:t>
            </w:r>
            <w:r>
              <w:t xml:space="preserve"> EU:s ekonomiska aktörer </w:t>
            </w:r>
            <w:r>
              <w:rPr>
                <w:b/>
                <w:i/>
              </w:rPr>
              <w:t>i form av tydliga riktlinjer.</w:t>
            </w:r>
            <w:r>
              <w:t xml:space="preserve"> </w:t>
            </w:r>
            <w:r>
              <w:rPr>
                <w:b/>
                <w:i/>
              </w:rPr>
              <w:t>Fortsatt underlåtenhet att aktivera den skulle kunna utgöra ett potentiellt åsidosättande av EU:s skyldighet enligt samarbetsavtalet med ICC</w:t>
            </w:r>
            <w:r>
              <w:t>.</w:t>
            </w:r>
          </w:p>
        </w:tc>
        <w:tc>
          <w:tcPr>
            <w:tcW w:w="4876" w:type="dxa"/>
            <w:tcBorders>
              <w:top w:val="nil"/>
              <w:left w:val="nil"/>
              <w:bottom w:val="nil"/>
              <w:right w:val="nil"/>
            </w:tcBorders>
          </w:tcPr>
          <w:p>
            <w:pPr>
              <w:pStyle w:val="Normal6a"/>
            </w:pPr>
            <w:r>
              <w:t>R.</w:t>
            </w:r>
            <w:r>
              <w:tab/>
            </w:r>
            <w:r>
              <w:t xml:space="preserve">Den blockerande stadgan </w:t>
            </w:r>
            <w:r>
              <w:rPr>
                <w:b/>
                <w:i/>
              </w:rPr>
              <w:t>utformades för att skydda</w:t>
            </w:r>
            <w:r>
              <w:t xml:space="preserve"> EU:s ekonomiska aktörer </w:t>
            </w:r>
            <w:r>
              <w:rPr>
                <w:b/>
                <w:i/>
              </w:rPr>
              <w:t>som är verksamma inom internationell handel och kapitalrörelser, inte för att skydda internationella organisationer, rättsliga institutioner, deras domare och tjänstemän eller människorättsförsvarare, som inte är ekonomiska aktörer.</w:t>
            </w:r>
            <w:r>
              <w:t xml:space="preserve"> </w:t>
            </w:r>
            <w:r>
              <w:rPr>
                <w:b/>
                <w:i/>
              </w:rPr>
              <w:t>Såsom erkänns av EU-domstolen i mål C-124/20 innebär stadgan att de EU-aktörer som omfattas av dess tillämpningsområde ska fullgöra motstridiga efterlevnadsskyldigheter, vilket riskerar att förvärra snarare än minska den alltför långtgående efterlevnaden.</w:t>
            </w:r>
            <w:r>
              <w:t xml:space="preserve"> </w:t>
            </w:r>
            <w:r>
              <w:rPr>
                <w:b/>
                <w:i/>
              </w:rPr>
              <w:t>Det mest effektiva och varaktiga skyddet består i att minska de strukturella beroenden som ger utländska tvångsåtgärder deras extraterritoriella räckvidd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En aktivering av den blockerande stadgan skulle visa på EU:s förmåga att värna integriteten i sin rättsordning mot de extraterritoriella effekterna av åtgärder som vidtas av länder utanför EU och att upprätthålla EU:s suveränitet. En aktivering av stadgan skulle också vara en kraftfull symbol för </w:t>
            </w:r>
            <w:r>
              <w:rPr>
                <w:b/>
                <w:i/>
              </w:rPr>
              <w:t>EU:s stöd</w:t>
            </w:r>
            <w:r>
              <w:t xml:space="preserve"> till den internationella rättskipningen, dess aktörer och partner samt innebära betydande stöd till EU:s ekonomiska aktörer i form av tydliga riktlinjer. Fortsatt underlåtenhet att aktivera den skulle kunna utgöra ett potentiellt åsidosättande av EU:s skyldighet enligt samarbetsavtalet med ICC.</w:t>
            </w:r>
          </w:p>
        </w:tc>
        <w:tc>
          <w:tcPr>
            <w:tcW w:w="4876" w:type="dxa"/>
            <w:tcBorders>
              <w:top w:val="nil"/>
              <w:left w:val="nil"/>
              <w:bottom w:val="nil"/>
              <w:right w:val="nil"/>
            </w:tcBorders>
          </w:tcPr>
          <w:p>
            <w:pPr>
              <w:pStyle w:val="Normal6a"/>
            </w:pPr>
            <w:r>
              <w:t>R.</w:t>
            </w:r>
            <w:r>
              <w:tab/>
            </w:r>
            <w:r>
              <w:t>En aktivering av den blockerande stadgan skulle visa på EU:s förmåga att värna integriteten i sin rättsordning mot de extraterritoriella effekterna av åtgärder som vidtas av länder utanför EU och att upprätthålla EU:s suveränitet. En aktivering av stadgan skulle också vara en kraftfull symbol för</w:t>
            </w:r>
            <w:r>
              <w:rPr>
                <w:b/>
                <w:i/>
              </w:rPr>
              <w:t>, och den mest effektiva källan till, stöd från EU</w:t>
            </w:r>
            <w:r>
              <w:t xml:space="preserve"> till den internationella rättskipningen, dess aktörer och partner samt innebära betydande stöd till EU:s ekonomiska aktörer i form av tydliga riktlinjer. Fortsatt underlåtenhet att aktivera den skulle kunna utgöra ett potentiellt åsidosättande av EU:s skyldighet enligt samarbetsavtalet med ICC </w:t>
            </w:r>
            <w:r>
              <w:rPr>
                <w:b/>
                <w:i/>
              </w:rPr>
              <w:t>och fördragen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Rima Hassan,Pernando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En aktivering av den blockerande stadgan skulle visa på EU:s förmåga att värna integriteten i sin rättsordning mot de extraterritoriella effekterna av åtgärder som vidtas av länder utanför EU och att upprätthålla EU:s suveränitet. En aktivering av stadgan skulle också vara en kraftfull symbol för EU:s stöd till den internationella rättskipningen, dess aktörer och partner samt innebära betydande stöd till EU:s ekonomiska aktörer i form av tydliga riktlinjer. Fortsatt underlåtenhet att aktivera den skulle kunna utgöra ett potentiellt åsidosättande av EU:s skyldighet enligt samarbetsavtalet med ICC.</w:t>
            </w:r>
          </w:p>
        </w:tc>
        <w:tc>
          <w:tcPr>
            <w:tcW w:w="4876" w:type="dxa"/>
            <w:tcBorders>
              <w:top w:val="nil"/>
              <w:left w:val="nil"/>
              <w:bottom w:val="nil"/>
              <w:right w:val="nil"/>
            </w:tcBorders>
          </w:tcPr>
          <w:p>
            <w:pPr>
              <w:pStyle w:val="Normal6a"/>
            </w:pPr>
            <w:r>
              <w:t>R.</w:t>
            </w:r>
            <w:r>
              <w:tab/>
            </w:r>
            <w:r>
              <w:t xml:space="preserve">En aktivering av den blockerande stadgan skulle visa på EU:s förmåga att värna integriteten i sin rättsordning mot de extraterritoriella effekterna av åtgärder som vidtas av länder utanför EU och att upprätthålla EU:s suveränitet. En aktivering av stadgan skulle också vara en kraftfull symbol för EU:s stöd till den internationella rättskipningen </w:t>
            </w:r>
            <w:r>
              <w:rPr>
                <w:b/>
                <w:i/>
              </w:rPr>
              <w:t>och kampen mot strafflöshet</w:t>
            </w:r>
            <w:r>
              <w:t>, dess aktörer och partner samt innebära betydande stöd till EU:s ekonomiska aktörer i form av tydliga riktlinjer. Fortsatt underlåtenhet att aktivera den skulle kunna utgöra ett potentiellt åsidosättande av EU:s skyldighet enligt samarbetsavtalet med ICC.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Marco Tarquinio,Chloé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Ra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Människorättsförsvarare, journalister och advokater som arbetar med ansvarsutkrävande för internationella brott är särskilt utsatta och står inför flera och ömsesidigt förstärkande risker till följd av utländska tvångsåtgärder, strategiska rättsprocesser för att hindra offentlig debatt (munkavleprocesser), hot, trakasserier och digital övervakning.</w:t>
            </w:r>
            <w:r>
              <w:t xml:space="preserve"> </w:t>
            </w:r>
            <w:r>
              <w:rPr>
                <w:b/>
                <w:i/>
              </w:rPr>
              <w:t>Den hämmande verkan som sådana kumulativa påverkningar har sträcker sig längre än till de personer som är direkta måltavlor och undergräver ansvarsutkrävandet i stort.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Underrubrik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Utveckla en EU-strategi för att stärka det internationella rättssystemet och skydda den europeiska suveräniteten</w:t>
            </w:r>
          </w:p>
        </w:tc>
        <w:tc>
          <w:tcPr>
            <w:tcW w:w="4876" w:type="dxa"/>
            <w:tcBorders>
              <w:top w:val="nil"/>
              <w:left w:val="nil"/>
              <w:bottom w:val="nil"/>
              <w:right w:val="nil"/>
            </w:tcBorders>
          </w:tcPr>
          <w:p>
            <w:pPr>
              <w:pStyle w:val="Normal6a"/>
            </w:pPr>
            <w:r>
              <w:t xml:space="preserve">Utveckla en EU-strategi för att stärka det internationella rättssystemet och skydda den europeiska suveräniteten </w:t>
            </w:r>
            <w:r>
              <w:rPr>
                <w:b/>
                <w:i/>
              </w:rPr>
              <w:t>samtidigt som medlemsstaternas suveränitet respekteras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Arkadiusz Mularczyk,Michał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Underrubrik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Utveckla en EU-strategi för att stärka det internationella rättssystemet </w:t>
            </w:r>
            <w:r>
              <w:rPr>
                <w:b/>
                <w:i/>
              </w:rPr>
              <w:t>och skydda den europeiska suveräniteten</w:t>
            </w:r>
          </w:p>
        </w:tc>
        <w:tc>
          <w:tcPr>
            <w:tcW w:w="4876" w:type="dxa"/>
            <w:tcBorders>
              <w:top w:val="nil"/>
              <w:left w:val="nil"/>
              <w:bottom w:val="nil"/>
              <w:right w:val="nil"/>
            </w:tcBorders>
          </w:tcPr>
          <w:p>
            <w:pPr>
              <w:pStyle w:val="Normal6a"/>
            </w:pPr>
            <w:r>
              <w:t xml:space="preserve">Utveckla en EU-strategi för att stärka det internationella rättssystemet </w:t>
            </w:r>
            <w:r>
              <w:rPr>
                <w:b/>
                <w:i/>
              </w:rPr>
              <w:t>samtidigt som full respekt för medlemsstaternas suveränitet säkerställs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Marta Temido,Francisco Assis,Marco Tarquinio,Sandra Gómez López,Chloé Ridel,Nacho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Europaparlamentet påminner om att respekten för skyddet och upprätthållandet av internationell straffrätt genom både defensiva och positiva åtgärder är tydliga mål för EU:s utrikespolitik.</w:t>
            </w:r>
          </w:p>
        </w:tc>
        <w:tc>
          <w:tcPr>
            <w:tcW w:w="4876" w:type="dxa"/>
            <w:tcBorders>
              <w:top w:val="nil"/>
              <w:left w:val="nil"/>
              <w:bottom w:val="nil"/>
              <w:right w:val="nil"/>
            </w:tcBorders>
          </w:tcPr>
          <w:p>
            <w:pPr>
              <w:pStyle w:val="Normal6a"/>
            </w:pPr>
            <w:r>
              <w:t>1.</w:t>
            </w:r>
            <w:r>
              <w:tab/>
            </w:r>
            <w:r>
              <w:t xml:space="preserve">Europaparlamentet påminner om att respekten för skyddet och upprätthållandet av internationell straffrätt genom både defensiva och positiva åtgärder är tydliga mål för EU:s utrikespolitik </w:t>
            </w:r>
            <w:r>
              <w:rPr>
                <w:b/>
                <w:i/>
              </w:rPr>
              <w:t>och utgör en rättslig skyldighet för EU:s medlemsstater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Europaparlamentet påminner om att respekten för skyddet och upprätthållandet av internationell straffrätt genom både defensiva och positiva åtgärder är tydliga mål för EU:s utrikespolitik.</w:t>
            </w:r>
          </w:p>
        </w:tc>
        <w:tc>
          <w:tcPr>
            <w:tcW w:w="4876" w:type="dxa"/>
            <w:tcBorders>
              <w:top w:val="nil"/>
              <w:left w:val="nil"/>
              <w:bottom w:val="nil"/>
              <w:right w:val="nil"/>
            </w:tcBorders>
          </w:tcPr>
          <w:p>
            <w:pPr>
              <w:pStyle w:val="Normal6a"/>
            </w:pPr>
            <w:r>
              <w:t>1.</w:t>
            </w:r>
            <w:r>
              <w:tab/>
            </w:r>
            <w:r>
              <w:t xml:space="preserve">Europaparlamentet påminner om att respekten för </w:t>
            </w:r>
            <w:r>
              <w:rPr>
                <w:b/>
                <w:i/>
              </w:rPr>
              <w:t>och den rättsliga skyldigheten i fråga om</w:t>
            </w:r>
            <w:r>
              <w:t xml:space="preserve"> skyddet och upprätthållandet av internationell straffrätt genom både defensiva och positiva åtgärder är tydliga mål för EU:s utrikespolitik.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påminner om att </w:t>
            </w:r>
            <w:r>
              <w:rPr>
                <w:b/>
                <w:i/>
              </w:rPr>
              <w:t>respekten för skyddet</w:t>
            </w:r>
            <w:r>
              <w:t xml:space="preserve"> och upprätthållandet av </w:t>
            </w:r>
            <w:r>
              <w:rPr>
                <w:b/>
                <w:i/>
              </w:rPr>
              <w:t>internationell straffrätt</w:t>
            </w:r>
            <w:r>
              <w:t xml:space="preserve"> genom </w:t>
            </w:r>
            <w:r>
              <w:rPr>
                <w:b/>
                <w:i/>
              </w:rPr>
              <w:t>både defensiva och positiva åtgärder</w:t>
            </w:r>
            <w:r>
              <w:t xml:space="preserve"> är tydliga mål för EU:s utrikespolitik.</w:t>
            </w:r>
          </w:p>
        </w:tc>
        <w:tc>
          <w:tcPr>
            <w:tcW w:w="4876" w:type="dxa"/>
            <w:tcBorders>
              <w:top w:val="nil"/>
              <w:left w:val="nil"/>
              <w:bottom w:val="nil"/>
              <w:right w:val="nil"/>
            </w:tcBorders>
          </w:tcPr>
          <w:p>
            <w:pPr>
              <w:pStyle w:val="Normal6a"/>
            </w:pPr>
            <w:r>
              <w:t>1.</w:t>
            </w:r>
            <w:r>
              <w:tab/>
            </w:r>
            <w:r>
              <w:t xml:space="preserve">Europaparlamentet påminner om att </w:t>
            </w:r>
            <w:r>
              <w:rPr>
                <w:b/>
                <w:i/>
              </w:rPr>
              <w:t>respekt för folkrätten, de mänskliga rättigheterna</w:t>
            </w:r>
            <w:r>
              <w:t xml:space="preserve"> och upprätthållandet av </w:t>
            </w:r>
            <w:r>
              <w:rPr>
                <w:b/>
                <w:i/>
              </w:rPr>
              <w:t>fred och säkerhet</w:t>
            </w:r>
            <w:r>
              <w:t xml:space="preserve"> genom </w:t>
            </w:r>
            <w:r>
              <w:rPr>
                <w:b/>
                <w:i/>
              </w:rPr>
              <w:t>diplomati och krishantering</w:t>
            </w:r>
            <w:r>
              <w:t xml:space="preserve"> är tydliga mål för EU:s utrikespolitik.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påminner om att respekten för skyddet och upprätthållandet av internationell straffrätt genom både defensiva och positiva åtgärder är tydliga mål för EU:s </w:t>
            </w:r>
            <w:r>
              <w:rPr>
                <w:b/>
                <w:i/>
              </w:rPr>
              <w:t>utrikespolitik</w:t>
            </w:r>
            <w:r>
              <w:t>.</w:t>
            </w:r>
          </w:p>
        </w:tc>
        <w:tc>
          <w:tcPr>
            <w:tcW w:w="4876" w:type="dxa"/>
            <w:tcBorders>
              <w:top w:val="nil"/>
              <w:left w:val="nil"/>
              <w:bottom w:val="nil"/>
              <w:right w:val="nil"/>
            </w:tcBorders>
          </w:tcPr>
          <w:p>
            <w:pPr>
              <w:pStyle w:val="Normal6a"/>
            </w:pPr>
            <w:r>
              <w:t>1.</w:t>
            </w:r>
            <w:r>
              <w:tab/>
            </w:r>
            <w:r>
              <w:t xml:space="preserve">Europaparlamentet påminner om att respekten för skyddet och upprätthållandet av internationell straffrätt genom både defensiva och positiva åtgärder är tydliga mål för EU:s </w:t>
            </w:r>
            <w:r>
              <w:rPr>
                <w:b/>
                <w:i/>
              </w:rPr>
              <w:t>yttre åtgärder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Europaparlamentet påminner om att utrikespolitik och internationell rättskipning förblir de nationella regeringarnas exklusiva befogenheter.</w:t>
            </w:r>
            <w:r>
              <w:t xml:space="preserve"> </w:t>
            </w:r>
            <w:r>
              <w:rPr>
                <w:b/>
                <w:i/>
              </w:rPr>
              <w:t>Parlamentet varnar för alla försök från EU:s sida att utöka sina befogenheter utöver fördragens tillämpningsområde.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konstaterar att EU har utvecklat viktiga rättsliga, diplomatiska, operativa och finansiella instrument för att stödja strukturen för den internationella rättskipningen, utredningsmekanismer stödda av FN, särskilda tribunaler stödda av Europarådet och FN, initiativ till rättsligt samarbete och ICC.</w:t>
            </w:r>
          </w:p>
        </w:tc>
        <w:tc>
          <w:tcPr>
            <w:tcW w:w="4876" w:type="dxa"/>
            <w:tcBorders>
              <w:top w:val="nil"/>
              <w:left w:val="nil"/>
              <w:bottom w:val="nil"/>
              <w:right w:val="nil"/>
            </w:tcBorders>
          </w:tcPr>
          <w:p>
            <w:pPr>
              <w:pStyle w:val="Normal6a"/>
            </w:pPr>
            <w:r>
              <w:t>2.</w:t>
            </w:r>
            <w:r>
              <w:tab/>
            </w:r>
            <w:r>
              <w:t xml:space="preserve">Europaparlamentet konstaterar att EU har utvecklat viktiga rättsliga, diplomatiska, operativa och finansiella instrument för att stödja strukturen för den internationella rättskipningen, utredningsmekanismer stödda av FN, särskilda tribunaler stödda av Europarådet och FN, initiativ till rättsligt samarbete och ICC. </w:t>
            </w:r>
            <w:r>
              <w:rPr>
                <w:b/>
                <w:i/>
              </w:rPr>
              <w:t>Parlamentet efterlyser en grundlig utvärdering av dessa olika instrument syftande till att bedöma deras effektivitet och mervärde när det gäller att främja respekten för folkrätten och de mänskliga rättigheterna och säkerställa ansvarsskyldighet för allvarliga internationella brott.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Michał Kobosko,Hilde Vautmans,Bernard Guetta,Dan Barna,Lucia Yar,Dainius Žalimas,Marie-Agnes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Europaparlamentet uppmanar EU och dess medlemsstater att stödja dokumenteringen av brott som begåtts av Lukasjenkaregimen, även på FN-nivå, och att främja ansvarsutkrävande genom internationella mekanismer, inbegripet Litauens hänskjutande till ICC.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Europaparlamentet menar att det finns en risk för att den internationella rättsordningens trovärdighet och opartiskhet undergrävs när internationella domstolar felaktigt används som ideologiska verktyg.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Arkadiusz Mularczyk,Sebastian Tynkkynen,Michał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Europaparlamentet välkomnar inrättandet av Särskilda tribunalen för aggressionsbrottet mot Ukraina.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Arkadiusz Mularczyk,Sebastian Tynkkynen,Michał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Europaparlamentet välkomnar och stöder verkställandet av arresteringsorder som utfärdats mot högre tjänstemän i Ryska federationen och uppmanar alla stater som är parter i Romstadgan att fullt ut och utan dröjsmål samarbeta med domstolen i samband med genomförandet av dessa.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Rima Hassan,Pernando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Europaparlamentet fördömer skarpt alla ensidiga utländska tvångsmedel, som antingen tillämpats eller använts som hot, och som riktar sig mot internationella multilaterala rättsliga institutioner och innehavare av FN-mandat samt människorättsorganisationer som samarbetar med dem.</w:t>
            </w:r>
          </w:p>
        </w:tc>
        <w:tc>
          <w:tcPr>
            <w:tcW w:w="4876" w:type="dxa"/>
            <w:tcBorders>
              <w:top w:val="nil"/>
              <w:left w:val="nil"/>
              <w:bottom w:val="nil"/>
              <w:right w:val="nil"/>
            </w:tcBorders>
          </w:tcPr>
          <w:p>
            <w:pPr>
              <w:pStyle w:val="Normal6a"/>
            </w:pPr>
            <w:r>
              <w:t>3.</w:t>
            </w:r>
            <w:r>
              <w:tab/>
            </w:r>
            <w:r>
              <w:t xml:space="preserve">Europaparlamentet fördömer skarpt alla ensidiga utländska tvångsmedel, som antingen tillämpats eller använts som hot, och som riktar sig mot internationella multilaterala rättsliga institutioner och innehavare av FN-mandat samt människorättsorganisationer som samarbetar med dem. </w:t>
            </w:r>
            <w:r>
              <w:rPr>
                <w:b/>
                <w:i/>
              </w:rPr>
              <w:t>Parlamentet betonar att sådana åtgärder utgör en del av en bredare politisk strategi som syftar till att undergräva internationell rätt, försvaga multilaterala mekanismer för ansvarsutkrävande och skydda mäktiga stater och deras allierade från ansvarsskyldighet för allvarliga kränkningar av internationell rätt.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w:t>
            </w:r>
            <w:r>
              <w:rPr>
                <w:b/>
                <w:i/>
              </w:rPr>
              <w:t>fördömer skarpt alla ensidiga utländska tvångsmedel,</w:t>
            </w:r>
            <w:r>
              <w:t xml:space="preserve"> som antingen tillämpats eller använts som hot</w:t>
            </w:r>
            <w:r>
              <w:rPr>
                <w:b/>
                <w:i/>
              </w:rPr>
              <w:t>,</w:t>
            </w:r>
            <w:r>
              <w:t xml:space="preserve"> och som </w:t>
            </w:r>
            <w:r>
              <w:rPr>
                <w:b/>
                <w:i/>
              </w:rPr>
              <w:t>riktar sig</w:t>
            </w:r>
            <w:r>
              <w:t xml:space="preserve"> mot internationella multilaterala rättsliga institutioner och innehavare av FN-mandat </w:t>
            </w:r>
            <w:r>
              <w:rPr>
                <w:b/>
                <w:i/>
              </w:rPr>
              <w:t>samt människorättsorganisationer som samarbetar med dem</w:t>
            </w:r>
            <w:r>
              <w:t>.</w:t>
            </w:r>
          </w:p>
        </w:tc>
        <w:tc>
          <w:tcPr>
            <w:tcW w:w="4876" w:type="dxa"/>
            <w:tcBorders>
              <w:top w:val="nil"/>
              <w:left w:val="nil"/>
              <w:bottom w:val="nil"/>
              <w:right w:val="nil"/>
            </w:tcBorders>
          </w:tcPr>
          <w:p>
            <w:pPr>
              <w:pStyle w:val="Normal6a"/>
            </w:pPr>
            <w:r>
              <w:t>3.</w:t>
            </w:r>
            <w:r>
              <w:tab/>
            </w:r>
            <w:r>
              <w:t xml:space="preserve">Europaparlamentet </w:t>
            </w:r>
            <w:r>
              <w:rPr>
                <w:b/>
                <w:i/>
              </w:rPr>
              <w:t>noterar tvångsåtgärderna –</w:t>
            </w:r>
            <w:r>
              <w:t xml:space="preserve"> som antingen tillämpats eller använts som hot och som </w:t>
            </w:r>
            <w:r>
              <w:rPr>
                <w:b/>
                <w:i/>
              </w:rPr>
              <w:t>är riktade</w:t>
            </w:r>
            <w:r>
              <w:t xml:space="preserve"> mot internationella multilaterala rättsliga institutioner och innehavare av FN-mandat </w:t>
            </w:r>
            <w:r>
              <w:rPr>
                <w:b/>
                <w:i/>
              </w:rPr>
              <w:t>– från vissa länder som inte är parter i Romstadgan som svar på ICC:s utredningar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Arkadiusz Mularczyk,Sebastian Tynkkynen,Michał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fördömer skarpt alla ensidiga utländska tvångsmedel, </w:t>
            </w:r>
            <w:r>
              <w:rPr>
                <w:b/>
                <w:i/>
              </w:rPr>
              <w:t>som antingen</w:t>
            </w:r>
            <w:r>
              <w:t xml:space="preserve"> tillämpats eller använts som hot, </w:t>
            </w:r>
            <w:r>
              <w:rPr>
                <w:b/>
                <w:i/>
              </w:rPr>
              <w:t>och</w:t>
            </w:r>
            <w:r>
              <w:t xml:space="preserve"> som riktar sig mot internationella multilaterala rättsliga institutioner och innehavare av FN-mandat samt människorättsorganisationer som samarbetar med dem.</w:t>
            </w:r>
          </w:p>
        </w:tc>
        <w:tc>
          <w:tcPr>
            <w:tcW w:w="4876" w:type="dxa"/>
            <w:tcBorders>
              <w:top w:val="nil"/>
              <w:left w:val="nil"/>
              <w:bottom w:val="nil"/>
              <w:right w:val="nil"/>
            </w:tcBorders>
          </w:tcPr>
          <w:p>
            <w:pPr>
              <w:pStyle w:val="Normal6a"/>
            </w:pPr>
            <w:r>
              <w:t>3.</w:t>
            </w:r>
            <w:r>
              <w:tab/>
            </w:r>
            <w:r>
              <w:t xml:space="preserve">Europaparlamentet fördömer skarpt alla ensidiga utländska tvångsmedel, </w:t>
            </w:r>
            <w:r>
              <w:rPr>
                <w:b/>
                <w:i/>
              </w:rPr>
              <w:t>i synnerhet från Ryssland, oavsett om de</w:t>
            </w:r>
            <w:r>
              <w:t xml:space="preserve"> tillämpats eller använts som hot, som riktar sig mot internationella multilaterala rättsliga institutioner och innehavare av FN-mandat samt människorättsorganisationer som samarbetar med 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Marta Temido,Francisco Assis,Marco Tarquinio,Sandra Gómez López,Chloé Ridel,Nacho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Europaparlamentet erkänner den avgörande roll som ICC, dess domare och FN-tjänstemän spelar när det gäller att skydda de mänskliga rättigheterna, upprätthålla rättsstaten och främja rättskipning i hela världen.</w:t>
            </w:r>
            <w:r>
              <w:t xml:space="preserve"> </w:t>
            </w:r>
            <w:r>
              <w:rPr>
                <w:b/>
                <w:i/>
              </w:rPr>
              <w:t>Parlamentet betonar att införandet av tvångsåtgärder mot domare inte bara syftar till att påverka och begränsa deras oberoende arbete, utan också skapar ett klimat där medborgarna inte kan känna sig skyddade eller garanterade rättvisa.</w:t>
            </w:r>
            <w:r>
              <w:t xml:space="preserve"> </w:t>
            </w:r>
            <w:r>
              <w:rPr>
                <w:b/>
                <w:i/>
              </w:rPr>
              <w:t>Parlamentet understryker i detta avseende att avsaknaden av effektiva instrument på EU-nivå för att skydda dessa domare och deras familjemedlemmar ytterligare förvärrar denna osäkerhet och undergräver förtroendet för rättsstaten.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Europaparlamentet uttrycker djup oro över och starkt motstånd mot vad det anser vara en politisering av ICC.</w:t>
            </w:r>
            <w:r>
              <w:t xml:space="preserve"> </w:t>
            </w:r>
            <w:r>
              <w:rPr>
                <w:b/>
                <w:i/>
              </w:rPr>
              <w:t>Parlamentet fördömer utfärdandet av arresteringsorder mot Israels premiärminister Benjamin Netanyahu och den tidigare försvarsministern Yoav Gallant.</w:t>
            </w:r>
            <w:r>
              <w:t xml:space="preserve"> </w:t>
            </w:r>
            <w:r>
              <w:rPr>
                <w:b/>
                <w:i/>
              </w:rPr>
              <w:t>Parlamentet bekräftar otvetydigt Israels naturliga rätt till självförsvar i enlighet med internationell rätt.</w:t>
            </w:r>
            <w:r>
              <w:t xml:space="preserve"> </w:t>
            </w:r>
            <w:r>
              <w:rPr>
                <w:b/>
                <w:i/>
              </w:rPr>
              <w:t>Parlamentet noterar att Förenta staterna införde sanktioner mot tjänstemän vid ICC efter domstolens utfärdande av arresteringsorder mot israeliska tjänstemän.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Europaparlamentet noterar att ICC har förklarat sig behörigt i fråga om stater som inte är parter i Romstadgan, vilket väcker allvarliga farhågor om förenligheten med Romstadgan och erkända principer i internationell rätt.</w:t>
            </w:r>
            <w:r>
              <w:t xml:space="preserve"> </w:t>
            </w:r>
            <w:r>
              <w:rPr>
                <w:b/>
                <w:i/>
              </w:rPr>
              <w:t>Parlamentet noterar att ICC har ignorerat sin egen kompletterande standard enligt vilken ICC ska vara en sista utväg och lämna företräde åt nationella myndigheters utredningar.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Europaparlamentet konstaterar att ständigt återkommande mobbning och trakasserier tyder på strukturella brister i styrningen av ICC.</w:t>
            </w:r>
            <w:r>
              <w:t xml:space="preserve"> </w:t>
            </w:r>
            <w:r>
              <w:rPr>
                <w:b/>
                <w:i/>
              </w:rPr>
              <w:t>Parlamentet menar att ICC:s trovärdighet när det gäller att lagföra internationella brott kommer att undergrävas avsevärt så länge dessa brister inte åtgärdas genom långtgående reformer.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menar att sådana åtgärder och deras extraterritoriella tillämpning </w:t>
            </w:r>
            <w:r>
              <w:rPr>
                <w:b/>
                <w:i/>
              </w:rPr>
              <w:t>är olagliga och</w:t>
            </w:r>
            <w:r>
              <w:t xml:space="preserve"> utgör inblandning </w:t>
            </w:r>
            <w:r>
              <w:rPr>
                <w:b/>
                <w:i/>
              </w:rPr>
              <w:t>som</w:t>
            </w:r>
            <w:r>
              <w:t xml:space="preserve"> hotar den europeiska suveräniteten samt har blottlagt betydande luckor och brister i EU:s kapacitet att skydda internationella rättsliga aktörer och försvara EU:s oberoende.</w:t>
            </w:r>
          </w:p>
        </w:tc>
        <w:tc>
          <w:tcPr>
            <w:tcW w:w="4876" w:type="dxa"/>
            <w:tcBorders>
              <w:top w:val="nil"/>
              <w:left w:val="nil"/>
              <w:bottom w:val="nil"/>
              <w:right w:val="nil"/>
            </w:tcBorders>
          </w:tcPr>
          <w:p>
            <w:pPr>
              <w:pStyle w:val="Normal6a"/>
            </w:pPr>
            <w:r>
              <w:t>4.</w:t>
            </w:r>
            <w:r>
              <w:tab/>
            </w:r>
            <w:r>
              <w:t xml:space="preserve">Europaparlamentet menar att sådana åtgärder och deras extraterritoriella tillämpning </w:t>
            </w:r>
            <w:r>
              <w:rPr>
                <w:b/>
                <w:i/>
              </w:rPr>
              <w:t>strider mot internationell rätt,</w:t>
            </w:r>
            <w:r>
              <w:t xml:space="preserve"> utgör </w:t>
            </w:r>
            <w:r>
              <w:rPr>
                <w:b/>
                <w:i/>
              </w:rPr>
              <w:t>otillbörlig</w:t>
            </w:r>
            <w:r>
              <w:t xml:space="preserve"> inblandning </w:t>
            </w:r>
            <w:r>
              <w:rPr>
                <w:b/>
                <w:i/>
              </w:rPr>
              <w:t>i unionens och dess medlemsstaters jurisdiktion och därmed</w:t>
            </w:r>
            <w:r>
              <w:t xml:space="preserve"> hotar den europeiska suveräniteten samt har blottlagt betydande luckor och brister i EU:s kapacitet att skydda internationella rättsliga aktörer och försvara EU:s oberoende.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Europaparlamentet menar att sådana åtgärder och deras extraterritoriella tillämpning är olagliga och utgör inblandning som hotar den europeiska suveräniteten samt har blottlagt betydande luckor och brister i EU:s kapacitet att skydda internationella rättsliga aktörer och försvara EU:s oberoende.</w:t>
            </w:r>
          </w:p>
        </w:tc>
        <w:tc>
          <w:tcPr>
            <w:tcW w:w="4876" w:type="dxa"/>
            <w:tcBorders>
              <w:top w:val="nil"/>
              <w:left w:val="nil"/>
              <w:bottom w:val="nil"/>
              <w:right w:val="nil"/>
            </w:tcBorders>
          </w:tcPr>
          <w:p>
            <w:pPr>
              <w:pStyle w:val="Normal6a"/>
            </w:pPr>
            <w:r>
              <w:t>4.</w:t>
            </w:r>
            <w:r>
              <w:tab/>
            </w:r>
            <w:r>
              <w:t xml:space="preserve">Europaparlamentet menar att sådana åtgärder och deras extraterritoriella tillämpning är olagliga och utgör </w:t>
            </w:r>
            <w:r>
              <w:rPr>
                <w:b/>
                <w:i/>
              </w:rPr>
              <w:t>allvarlig</w:t>
            </w:r>
            <w:r>
              <w:t xml:space="preserve"> inblandning som hotar den europeiska suveräniteten samt har blottlagt betydande luckor och brister i EU:s kapacitet att </w:t>
            </w:r>
            <w:r>
              <w:rPr>
                <w:b/>
                <w:i/>
              </w:rPr>
              <w:t>agera i enlighet med sina mål för yttre åtgärder genom att</w:t>
            </w:r>
            <w:r>
              <w:t xml:space="preserve"> skydda internationella rättsliga aktörer och försvara EU:s oberoende.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menar att sådana åtgärder och deras extraterritoriella tillämpning är </w:t>
            </w:r>
            <w:r>
              <w:rPr>
                <w:b/>
                <w:i/>
              </w:rPr>
              <w:t>olagliga och</w:t>
            </w:r>
            <w:r>
              <w:t xml:space="preserve"> utgör inblandning </w:t>
            </w:r>
            <w:r>
              <w:rPr>
                <w:b/>
                <w:i/>
              </w:rPr>
              <w:t>som hotar den europeiska suveräniteten</w:t>
            </w:r>
            <w:r>
              <w:t xml:space="preserve"> samt har blottlagt betydande luckor </w:t>
            </w:r>
            <w:r>
              <w:rPr>
                <w:b/>
                <w:i/>
              </w:rPr>
              <w:t>och brister</w:t>
            </w:r>
            <w:r>
              <w:t xml:space="preserve"> i EU:s kapacitet att skydda internationella rättsliga aktörer </w:t>
            </w:r>
            <w:r>
              <w:rPr>
                <w:b/>
                <w:i/>
              </w:rPr>
              <w:t>och försvara EU:s oberoende</w:t>
            </w:r>
            <w:r>
              <w:t>.</w:t>
            </w:r>
          </w:p>
        </w:tc>
        <w:tc>
          <w:tcPr>
            <w:tcW w:w="4876" w:type="dxa"/>
            <w:tcBorders>
              <w:top w:val="nil"/>
              <w:left w:val="nil"/>
              <w:bottom w:val="nil"/>
              <w:right w:val="nil"/>
            </w:tcBorders>
          </w:tcPr>
          <w:p>
            <w:pPr>
              <w:pStyle w:val="Normal6a"/>
            </w:pPr>
            <w:r>
              <w:t>4.</w:t>
            </w:r>
            <w:r>
              <w:tab/>
            </w:r>
            <w:r>
              <w:t xml:space="preserve">Europaparlamentet menar att sådana åtgärder och deras extraterritoriella tillämpning är </w:t>
            </w:r>
            <w:r>
              <w:rPr>
                <w:b/>
                <w:i/>
              </w:rPr>
              <w:t>oberättigade och strider mot det internationella rättssystemet och rättsstatens principer,</w:t>
            </w:r>
            <w:r>
              <w:t xml:space="preserve"> utgör </w:t>
            </w:r>
            <w:r>
              <w:rPr>
                <w:b/>
                <w:i/>
              </w:rPr>
              <w:t>otillbörlig</w:t>
            </w:r>
            <w:r>
              <w:t xml:space="preserve"> inblandning </w:t>
            </w:r>
            <w:r>
              <w:rPr>
                <w:b/>
                <w:i/>
              </w:rPr>
              <w:t>i EU:s rättsordning och strategiska oberoende</w:t>
            </w:r>
            <w:r>
              <w:t xml:space="preserve"> samt har blottlagt betydande luckor i EU:s kapacitet att skydda internationella rättsliga aktörer.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Rima Hassan,Pernando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Europaparlamentet menar att sådana åtgärder och deras extraterritoriella tillämpning är olagliga och utgör inblandning som hotar den europeiska suveräniteten samt har blottlagt betydande luckor och brister i EU:s kapacitet att skydda internationella rättsliga aktörer och försvara EU:s oberoende.</w:t>
            </w:r>
          </w:p>
        </w:tc>
        <w:tc>
          <w:tcPr>
            <w:tcW w:w="4876" w:type="dxa"/>
            <w:tcBorders>
              <w:top w:val="nil"/>
              <w:left w:val="nil"/>
              <w:bottom w:val="nil"/>
              <w:right w:val="nil"/>
            </w:tcBorders>
          </w:tcPr>
          <w:p>
            <w:pPr>
              <w:pStyle w:val="Normal6a"/>
            </w:pPr>
            <w:r>
              <w:t>4.</w:t>
            </w:r>
            <w:r>
              <w:tab/>
            </w:r>
            <w:r>
              <w:t xml:space="preserve">Europaparlamentet menar att sådana åtgärder och deras extraterritoriella tillämpning är olagliga och utgör inblandning som hotar den europeiska suveräniteten samt har blottlagt betydande luckor och brister i EU:s kapacitet </w:t>
            </w:r>
            <w:r>
              <w:rPr>
                <w:b/>
                <w:i/>
              </w:rPr>
              <w:t>och politiska vilja</w:t>
            </w:r>
            <w:r>
              <w:t xml:space="preserve"> att skydda internationella rättsliga aktörer och försvara EU:s oberoende.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Arkadiusz Mularczyk,Michał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menar att sådana åtgärder och deras extraterritoriella tillämpning är olagliga och utgör inblandning som hotar </w:t>
            </w:r>
            <w:r>
              <w:rPr>
                <w:b/>
                <w:i/>
              </w:rPr>
              <w:t>den</w:t>
            </w:r>
            <w:r>
              <w:t xml:space="preserve"> europeiska </w:t>
            </w:r>
            <w:r>
              <w:rPr>
                <w:b/>
                <w:i/>
              </w:rPr>
              <w:t>suveräniteten</w:t>
            </w:r>
            <w:r>
              <w:t xml:space="preserve"> samt har blottlagt betydande luckor och brister i EU:s kapacitet att skydda internationella rättsliga aktörer och försvara EU:s </w:t>
            </w:r>
            <w:r>
              <w:rPr>
                <w:b/>
                <w:i/>
              </w:rPr>
              <w:t>oberoende</w:t>
            </w:r>
            <w:r>
              <w:t>.</w:t>
            </w:r>
          </w:p>
        </w:tc>
        <w:tc>
          <w:tcPr>
            <w:tcW w:w="4876" w:type="dxa"/>
            <w:tcBorders>
              <w:top w:val="nil"/>
              <w:left w:val="nil"/>
              <w:bottom w:val="nil"/>
              <w:right w:val="nil"/>
            </w:tcBorders>
          </w:tcPr>
          <w:p>
            <w:pPr>
              <w:pStyle w:val="Normal6a"/>
            </w:pPr>
            <w:r>
              <w:t>4.</w:t>
            </w:r>
            <w:r>
              <w:tab/>
            </w:r>
            <w:r>
              <w:t xml:space="preserve">Europaparlamentet menar att sådana åtgärder och deras extraterritoriella tillämpning är olagliga och utgör inblandning som hotar europeiska </w:t>
            </w:r>
            <w:r>
              <w:rPr>
                <w:b/>
                <w:i/>
              </w:rPr>
              <w:t>staters suveränitet</w:t>
            </w:r>
            <w:r>
              <w:t xml:space="preserve"> samt har blottlagt betydande luckor och brister i EU:s kapacitet att skydda internationella rättsliga aktörer och försvara EU:s </w:t>
            </w:r>
            <w:r>
              <w:rPr>
                <w:b/>
                <w:i/>
              </w:rPr>
              <w:t>resiliens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menar att sådana åtgärder och deras extraterritoriella tillämpning är olagliga och </w:t>
            </w:r>
            <w:r>
              <w:rPr>
                <w:b/>
                <w:i/>
              </w:rPr>
              <w:t>utgör inblandning som</w:t>
            </w:r>
            <w:r>
              <w:t xml:space="preserve"> hotar </w:t>
            </w:r>
            <w:r>
              <w:rPr>
                <w:b/>
                <w:i/>
              </w:rPr>
              <w:t>den europeiska suveräniteten samt har blottlagt betydande luckor och brister i EU:s kapacitet att skydda internationella rättsliga aktörer och försvara</w:t>
            </w:r>
            <w:r>
              <w:t xml:space="preserve"> EU:s oberoende.</w:t>
            </w:r>
          </w:p>
        </w:tc>
        <w:tc>
          <w:tcPr>
            <w:tcW w:w="4876" w:type="dxa"/>
            <w:tcBorders>
              <w:top w:val="nil"/>
              <w:left w:val="nil"/>
              <w:bottom w:val="nil"/>
              <w:right w:val="nil"/>
            </w:tcBorders>
          </w:tcPr>
          <w:p>
            <w:pPr>
              <w:pStyle w:val="Normal6a"/>
            </w:pPr>
            <w:r>
              <w:t>4.</w:t>
            </w:r>
            <w:r>
              <w:tab/>
            </w:r>
            <w:r>
              <w:t xml:space="preserve">Europaparlamentet menar att sådana åtgärder och deras extraterritoriella tillämpning är olagliga och hotar EU:s oberoende. </w:t>
            </w:r>
            <w:r>
              <w:rPr>
                <w:b/>
                <w:i/>
              </w:rPr>
              <w:t>Parlamentet påminner om att EU:s blockerande stadga syftar till att skydda medlemsstaternas suveränitet och EU:s ekonomiska aktörers intressen mot extraterritoriell tillämpning av tredjeländers lagstiftning.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Marta Temido,Francisco Assis,Marco Tarquinio,Sandra Gómez López,Chloé Ridel,Nacho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Europaparlamentet menar att sådana åtgärder och deras extraterritoriella tillämpning är olagliga och utgör inblandning som hotar den europeiska suveräniteten samt har blottlagt betydande luckor och brister i EU:s kapacitet att skydda internationella rättsliga aktörer och försvara EU:s oberoende.</w:t>
            </w:r>
          </w:p>
        </w:tc>
        <w:tc>
          <w:tcPr>
            <w:tcW w:w="4876" w:type="dxa"/>
            <w:tcBorders>
              <w:top w:val="nil"/>
              <w:left w:val="nil"/>
              <w:bottom w:val="nil"/>
              <w:right w:val="nil"/>
            </w:tcBorders>
          </w:tcPr>
          <w:p>
            <w:pPr>
              <w:pStyle w:val="Normal6a"/>
            </w:pPr>
            <w:r>
              <w:t>4.</w:t>
            </w:r>
            <w:r>
              <w:tab/>
            </w:r>
            <w:r>
              <w:t xml:space="preserve">Europaparlamentet menar att sådana åtgärder och deras extraterritoriella tillämpning är olagliga och utgör inblandning som hotar den europeiska suveräniteten samt har blottlagt betydande luckor och brister i EU:s kapacitet att skydda internationella rättsliga aktörer och försvara EU:s </w:t>
            </w:r>
            <w:r>
              <w:rPr>
                <w:b/>
                <w:i/>
              </w:rPr>
              <w:t>strategiska</w:t>
            </w:r>
            <w:r>
              <w:t xml:space="preserve"> oberoende.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Marta Temido,Francisco Assis,Marco Tarquinio,Sandra Gómez López,Chloé Ridel,Nacho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uppmanar </w:t>
            </w:r>
            <w:r>
              <w:rPr>
                <w:b/>
                <w:i/>
              </w:rPr>
              <w:t>EU</w:t>
            </w:r>
            <w:r>
              <w:t xml:space="preserve"> att vidta diplomatiska och rättsliga åtgärder </w:t>
            </w:r>
            <w:r>
              <w:rPr>
                <w:b/>
                <w:i/>
              </w:rPr>
              <w:t>för att alla</w:t>
            </w:r>
            <w:r>
              <w:t xml:space="preserve"> ensidiga utländska tvångsmedel </w:t>
            </w:r>
            <w:r>
              <w:rPr>
                <w:b/>
                <w:i/>
              </w:rPr>
              <w:t>ska upphävas</w:t>
            </w:r>
            <w:r>
              <w:t>.</w:t>
            </w:r>
          </w:p>
        </w:tc>
        <w:tc>
          <w:tcPr>
            <w:tcW w:w="4876" w:type="dxa"/>
            <w:tcBorders>
              <w:top w:val="nil"/>
              <w:left w:val="nil"/>
              <w:bottom w:val="nil"/>
              <w:right w:val="nil"/>
            </w:tcBorders>
          </w:tcPr>
          <w:p>
            <w:pPr>
              <w:pStyle w:val="Normal6a"/>
            </w:pPr>
            <w:r>
              <w:t>5.</w:t>
            </w:r>
            <w:r>
              <w:tab/>
            </w:r>
            <w:r>
              <w:t xml:space="preserve">Europaparlamentet uppmanar </w:t>
            </w:r>
            <w:r>
              <w:rPr>
                <w:b/>
                <w:i/>
              </w:rPr>
              <w:t>kommissionen och medlemsstaterna</w:t>
            </w:r>
            <w:r>
              <w:t xml:space="preserve"> att vidta diplomatiska och rättsliga åtgärder </w:t>
            </w:r>
            <w:r>
              <w:rPr>
                <w:b/>
                <w:i/>
              </w:rPr>
              <w:t>mot tredjeländer som har antagit</w:t>
            </w:r>
            <w:r>
              <w:t xml:space="preserve"> ensidiga utländska tvångsmedel </w:t>
            </w:r>
            <w:r>
              <w:rPr>
                <w:b/>
                <w:i/>
              </w:rPr>
              <w:t>mot internationella rättskipande institutioner eller tjänstemän så att de omedelbart och villkorslöst upphävs, och betonar att alla sanktioner som åläggs personer som arbetar i dessa multilaterala organ eller i icke-statliga organisationer som samarbetar med dem bör grunda sig på formella brottsanklagelser, en rättslig utredning och en slutlig fällande dom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uppmanar EU att vidta diplomatiska och rättsliga åtgärder för att alla ensidiga utländska tvångsmedel </w:t>
            </w:r>
            <w:r>
              <w:rPr>
                <w:b/>
                <w:i/>
              </w:rPr>
              <w:t>ska upphävas</w:t>
            </w:r>
            <w:r>
              <w:t>.</w:t>
            </w:r>
          </w:p>
        </w:tc>
        <w:tc>
          <w:tcPr>
            <w:tcW w:w="4876" w:type="dxa"/>
            <w:tcBorders>
              <w:top w:val="nil"/>
              <w:left w:val="nil"/>
              <w:bottom w:val="nil"/>
              <w:right w:val="nil"/>
            </w:tcBorders>
          </w:tcPr>
          <w:p>
            <w:pPr>
              <w:pStyle w:val="Normal6a"/>
            </w:pPr>
            <w:r>
              <w:t>5.</w:t>
            </w:r>
            <w:r>
              <w:tab/>
            </w:r>
            <w:r>
              <w:t xml:space="preserve">Europaparlamentet uppmanar EU att vidta diplomatiska och rättsliga åtgärder för att </w:t>
            </w:r>
            <w:r>
              <w:rPr>
                <w:b/>
                <w:i/>
              </w:rPr>
              <w:t>upphäva eller motverka</w:t>
            </w:r>
            <w:r>
              <w:t xml:space="preserve"> alla ensidiga utländska tvångsmedel </w:t>
            </w:r>
            <w:r>
              <w:rPr>
                <w:b/>
                <w:i/>
              </w:rPr>
              <w:t>som äventyrar dess intressen och oberoende, särskilt genom att tillhandahålla berörda personer rättsligt, administrativt och logistiskt stöd, så att de kan utföra sina uppgifter och på så sätt bidra till att jurisdiktionen fungerar väl och dess verksamhet snabbt kan fortsätta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uppmanar EU att </w:t>
            </w:r>
            <w:r>
              <w:rPr>
                <w:b/>
                <w:i/>
              </w:rPr>
              <w:t>vidta</w:t>
            </w:r>
            <w:r>
              <w:t xml:space="preserve"> diplomatiska </w:t>
            </w:r>
            <w:r>
              <w:rPr>
                <w:b/>
                <w:i/>
              </w:rPr>
              <w:t>och</w:t>
            </w:r>
            <w:r>
              <w:t xml:space="preserve"> rättsliga </w:t>
            </w:r>
            <w:r>
              <w:rPr>
                <w:b/>
                <w:i/>
              </w:rPr>
              <w:t>åtgärder</w:t>
            </w:r>
            <w:r>
              <w:t xml:space="preserve"> för att </w:t>
            </w:r>
            <w:r>
              <w:rPr>
                <w:b/>
                <w:i/>
              </w:rPr>
              <w:t>alla ensidiga utländska tvångsmedel ska upphävas</w:t>
            </w:r>
            <w:r>
              <w:t>.</w:t>
            </w:r>
          </w:p>
        </w:tc>
        <w:tc>
          <w:tcPr>
            <w:tcW w:w="4876" w:type="dxa"/>
            <w:tcBorders>
              <w:top w:val="nil"/>
              <w:left w:val="nil"/>
              <w:bottom w:val="nil"/>
              <w:right w:val="nil"/>
            </w:tcBorders>
          </w:tcPr>
          <w:p>
            <w:pPr>
              <w:pStyle w:val="Normal6a"/>
            </w:pPr>
            <w:r>
              <w:t>5.</w:t>
            </w:r>
            <w:r>
              <w:tab/>
            </w:r>
            <w:r>
              <w:t xml:space="preserve">Europaparlamentet uppmanar EU att </w:t>
            </w:r>
            <w:r>
              <w:rPr>
                <w:b/>
                <w:i/>
              </w:rPr>
              <w:t>använda lämpliga</w:t>
            </w:r>
            <w:r>
              <w:t xml:space="preserve"> diplomatiska</w:t>
            </w:r>
            <w:r>
              <w:rPr>
                <w:b/>
                <w:i/>
              </w:rPr>
              <w:t>, politiska och, vid behov,</w:t>
            </w:r>
            <w:r>
              <w:t xml:space="preserve"> rättsliga </w:t>
            </w:r>
            <w:r>
              <w:rPr>
                <w:b/>
                <w:i/>
              </w:rPr>
              <w:t>kanaler</w:t>
            </w:r>
            <w:r>
              <w:t xml:space="preserve"> för att </w:t>
            </w:r>
            <w:r>
              <w:rPr>
                <w:b/>
                <w:i/>
              </w:rPr>
              <w:t>hantera åtgärder från tredjeländer som undergräver internationella rättskipningsmekanismer eller har omotiverade extraterritoriella effekter inom unionen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Arkadiusz Mularczyk,Sebastian Tynkkynen,Michał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uppmanar EU att vidta diplomatiska och rättsliga åtgärder för att </w:t>
            </w:r>
            <w:r>
              <w:rPr>
                <w:b/>
                <w:i/>
              </w:rPr>
              <w:t>alla</w:t>
            </w:r>
            <w:r>
              <w:t xml:space="preserve"> ensidiga utländska tvångsmedel ska upphävas.</w:t>
            </w:r>
          </w:p>
        </w:tc>
        <w:tc>
          <w:tcPr>
            <w:tcW w:w="4876" w:type="dxa"/>
            <w:tcBorders>
              <w:top w:val="nil"/>
              <w:left w:val="nil"/>
              <w:bottom w:val="nil"/>
              <w:right w:val="nil"/>
            </w:tcBorders>
          </w:tcPr>
          <w:p>
            <w:pPr>
              <w:pStyle w:val="Normal6a"/>
            </w:pPr>
            <w:r>
              <w:t>5.</w:t>
            </w:r>
            <w:r>
              <w:tab/>
            </w:r>
            <w:r>
              <w:t xml:space="preserve">Europaparlamentet uppmanar EU att vidta diplomatiska och rättsliga åtgärder för att ensidiga utländska tvångsmedel </w:t>
            </w:r>
            <w:r>
              <w:rPr>
                <w:b/>
                <w:i/>
              </w:rPr>
              <w:t>från fientliga stater</w:t>
            </w:r>
            <w:r>
              <w:t xml:space="preserve"> ska upphävas.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uppmanar EU att </w:t>
            </w:r>
            <w:r>
              <w:rPr>
                <w:b/>
                <w:i/>
              </w:rPr>
              <w:t>vidta diplomatiska och rättsliga åtgärder för att alla</w:t>
            </w:r>
            <w:r>
              <w:t xml:space="preserve"> ensidiga utländska </w:t>
            </w:r>
            <w:r>
              <w:rPr>
                <w:b/>
                <w:i/>
              </w:rPr>
              <w:t>tvångsmedel ska upphävas</w:t>
            </w:r>
            <w:r>
              <w:t>.</w:t>
            </w:r>
          </w:p>
        </w:tc>
        <w:tc>
          <w:tcPr>
            <w:tcW w:w="4876" w:type="dxa"/>
            <w:tcBorders>
              <w:top w:val="nil"/>
              <w:left w:val="nil"/>
              <w:bottom w:val="nil"/>
              <w:right w:val="nil"/>
            </w:tcBorders>
          </w:tcPr>
          <w:p>
            <w:pPr>
              <w:pStyle w:val="Normal6a"/>
            </w:pPr>
            <w:r>
              <w:t>5.</w:t>
            </w:r>
            <w:r>
              <w:tab/>
            </w:r>
            <w:r>
              <w:t xml:space="preserve">Europaparlamentet uppmanar EU att </w:t>
            </w:r>
            <w:r>
              <w:rPr>
                <w:b/>
                <w:i/>
              </w:rPr>
              <w:t>föra en dialog med tredjeländer som har vidtagit</w:t>
            </w:r>
            <w:r>
              <w:t xml:space="preserve"> ensidiga utländska </w:t>
            </w:r>
            <w:r>
              <w:rPr>
                <w:b/>
                <w:i/>
              </w:rPr>
              <w:t>tvångsåtgärder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Bardella,Pierre-Romain Thionnet,Matthieu Valet,Julie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påminner unionen om vikten av att ha trovärdiga instrument för ömsesidighet mot extraterritoriella sanktioner som antas av tredjeländer, särskilt när sanktionerna påverkar medlemsstaternas ekonomiska, industriella eller strategiska intressen, så att det säkerställs att alla tvångsåtgärder som kan påverka unionen kan mötas med ett samordnat, proportionellt och tillräckligt avskräckande europeiskt svar.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betonar att unionens handels- och associeringsavtal, och de ramar för politisk dialog och mänskliga rättigheter som därigenom inrättas, erbjuder effektiva åtgärder som inte är tvångsåtgärder för att främja Romstadgans universalitet och integritet och samarbete fullt ut med det internationella rättssystemet.</w:t>
            </w:r>
            <w:r>
              <w:t xml:space="preserve"> </w:t>
            </w:r>
            <w:r>
              <w:rPr>
                <w:b/>
                <w:i/>
              </w:rPr>
              <w:t>Parlamentet uppmanar till konsekvent användning av dessa ramar för detta ändamål.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Marco Tarquinio,Chloé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uppmanar rådet och vice ordföranden/den höga representanten att till fullo utnyttja EU:s diplomatiska och politiska verktyg för att avskräcka från tvångsåtgärder riktade mot internationella rättskipande institutioner och deras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efterlyser en heltäckande bedömning av EU:s befintliga verktyg till stöd för internationell rättskipning </w:t>
            </w:r>
            <w:r>
              <w:rPr>
                <w:b/>
                <w:i/>
              </w:rPr>
              <w:t>för att kartlägga och avhjälpa brister, såsom avsaknaden av en särskild övergripande EU-strategi, bristen på skyddsmekanismer för aktörer som är föremål för sanktioner, otillräcklig rättslig klarhet och otillräckliga operativa skyddsåtgärder mot alltför långtgående efterlevnad från privata aktörers sida samt begränsad finansiell förutsägbarhet för</w:t>
            </w:r>
            <w:r>
              <w:t xml:space="preserve"> internationella </w:t>
            </w:r>
            <w:r>
              <w:rPr>
                <w:b/>
                <w:i/>
              </w:rPr>
              <w:t>aktörer som arbetar med ansvarsutkrävande</w:t>
            </w:r>
            <w:r>
              <w:t>.</w:t>
            </w:r>
          </w:p>
        </w:tc>
        <w:tc>
          <w:tcPr>
            <w:tcW w:w="4876" w:type="dxa"/>
            <w:tcBorders>
              <w:top w:val="nil"/>
              <w:left w:val="nil"/>
              <w:bottom w:val="nil"/>
              <w:right w:val="nil"/>
            </w:tcBorders>
          </w:tcPr>
          <w:p>
            <w:pPr>
              <w:pStyle w:val="Normal6a"/>
            </w:pPr>
            <w:r>
              <w:t>6.</w:t>
            </w:r>
            <w:r>
              <w:tab/>
            </w:r>
            <w:r>
              <w:t xml:space="preserve">Europaparlamentet efterlyser en heltäckande bedömning av EU:s befintliga verktyg till stöd för internationell rättskipning </w:t>
            </w:r>
            <w:r>
              <w:rPr>
                <w:b/>
                <w:i/>
              </w:rPr>
              <w:t>i syfte att identifiera deras mervärde när det gäller att säkerställa ansvarsskyldighet för allvarliga</w:t>
            </w:r>
            <w:r>
              <w:t xml:space="preserve"> internationella </w:t>
            </w:r>
            <w:r>
              <w:rPr>
                <w:b/>
                <w:i/>
              </w:rPr>
              <w:t>brott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efterlyser en heltäckande bedömning av EU:s befintliga verktyg </w:t>
            </w:r>
            <w:r>
              <w:rPr>
                <w:b/>
                <w:i/>
              </w:rPr>
              <w:t>till stöd för internationell rättskipning</w:t>
            </w:r>
            <w:r>
              <w:t xml:space="preserve"> för att </w:t>
            </w:r>
            <w:r>
              <w:rPr>
                <w:b/>
                <w:i/>
              </w:rPr>
              <w:t>kartlägga och avhjälpa brister, såsom avsaknaden av en särskild övergripande EU-strategi, bristen på skyddsmekanismer för aktörer som är föremål för sanktioner, otillräcklig rättslig klarhet och otillräckliga operativa skyddsåtgärder mot alltför långtgående efterlevnad från privata aktörers sida samt begränsad finansiell förutsägbarhet för internationella aktörer som arbetar med ansvarsutkrävande</w:t>
            </w:r>
            <w:r>
              <w:t>.</w:t>
            </w:r>
          </w:p>
        </w:tc>
        <w:tc>
          <w:tcPr>
            <w:tcW w:w="4876" w:type="dxa"/>
            <w:tcBorders>
              <w:top w:val="nil"/>
              <w:left w:val="nil"/>
              <w:bottom w:val="nil"/>
              <w:right w:val="nil"/>
            </w:tcBorders>
          </w:tcPr>
          <w:p>
            <w:pPr>
              <w:pStyle w:val="Normal6a"/>
            </w:pPr>
            <w:r>
              <w:t>6.</w:t>
            </w:r>
            <w:r>
              <w:tab/>
            </w:r>
            <w:r>
              <w:t xml:space="preserve">Europaparlamentet efterlyser en heltäckande bedömning av EU:s befintliga verktyg </w:t>
            </w:r>
            <w:r>
              <w:rPr>
                <w:b/>
                <w:i/>
              </w:rPr>
              <w:t>i syfte att säkerställa att de fullt ut stöder medlemsstaterna när det gäller att uppnå välstånd, fred, stabilitet och säkerhet för sina medborgare, i stället</w:t>
            </w:r>
            <w:r>
              <w:t xml:space="preserve"> för att </w:t>
            </w:r>
            <w:r>
              <w:rPr>
                <w:b/>
                <w:i/>
              </w:rPr>
              <w:t>utöka unionens överstatliga befogenheter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Jordan Bardella,Pierre-Romain Thionnet,Matthieu Valet,Julie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efterlyser en heltäckande bedömning av EU:s befintliga verktyg till stöd för internationell rättskipning för att kartlägga och avhjälpa brister, såsom avsaknaden av en särskild övergripande EU-strategi, bristen på skyddsmekanismer för aktörer som är föremål för sanktioner, otillräcklig rättslig klarhet och otillräckliga operativa skyddsåtgärder mot alltför långtgående efterlevnad från privata aktörers sida samt begränsad finansiell förutsägbarhet för internationella aktörer som arbetar med ansvarsutkrävande.</w:t>
            </w:r>
          </w:p>
        </w:tc>
        <w:tc>
          <w:tcPr>
            <w:tcW w:w="4876" w:type="dxa"/>
            <w:tcBorders>
              <w:top w:val="nil"/>
              <w:left w:val="nil"/>
              <w:bottom w:val="nil"/>
              <w:right w:val="nil"/>
            </w:tcBorders>
          </w:tcPr>
          <w:p>
            <w:pPr>
              <w:pStyle w:val="Normal6a"/>
            </w:pPr>
            <w:r>
              <w:t>6.</w:t>
            </w:r>
            <w:r>
              <w:tab/>
            </w:r>
            <w:r>
              <w:t xml:space="preserve">Europaparlamentet efterlyser en heltäckande bedömning av EU:s befintliga verktyg till stöd för internationell rättskipning för att kartlägga och avhjälpa brister, såsom avsaknaden av en särskild övergripande EU-strategi, bristen på skyddsmekanismer för aktörer som är föremål för sanktioner, otillräcklig rättslig klarhet och otillräckliga operativa skyddsåtgärder mot alltför långtgående efterlevnad från privata aktörers sida samt begränsad finansiell förutsägbarhet för internationella aktörer som arbetar med ansvarsutkrävande. </w:t>
            </w:r>
            <w:r>
              <w:rPr>
                <w:b/>
                <w:i/>
              </w:rPr>
              <w:t>Parlamentet kräver att dessa organisationer inte ska kontrolleras eller finansieras av utländsk makt eller utländska organisationer.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efterlyser en heltäckande bedömning av EU:s befintliga verktyg till stöd för internationell rättskipning för att kartlägga och avhjälpa brister, </w:t>
            </w:r>
            <w:r>
              <w:rPr>
                <w:b/>
                <w:i/>
              </w:rPr>
              <w:t>såsom avsaknaden av en särskild övergripande EU-strategi,</w:t>
            </w:r>
            <w:r>
              <w:t xml:space="preserve"> bristen på skyddsmekanismer för aktörer </w:t>
            </w:r>
            <w:r>
              <w:rPr>
                <w:b/>
                <w:i/>
              </w:rPr>
              <w:t>som är föremål för sanktioner</w:t>
            </w:r>
            <w:r>
              <w:t>, otillräcklig rättslig klarhet och otillräckliga operativa skyddsåtgärder mot alltför långtgående efterlevnad från privata aktörers sida samt begränsad finansiell förutsägbarhet för internationella aktörer som arbetar med ansvarsutkrävande.</w:t>
            </w:r>
          </w:p>
        </w:tc>
        <w:tc>
          <w:tcPr>
            <w:tcW w:w="4876" w:type="dxa"/>
            <w:tcBorders>
              <w:top w:val="nil"/>
              <w:left w:val="nil"/>
              <w:bottom w:val="nil"/>
              <w:right w:val="nil"/>
            </w:tcBorders>
          </w:tcPr>
          <w:p>
            <w:pPr>
              <w:pStyle w:val="Normal6a"/>
            </w:pPr>
            <w:r>
              <w:t>6.</w:t>
            </w:r>
            <w:r>
              <w:tab/>
            </w:r>
            <w:r>
              <w:t xml:space="preserve">Europaparlamentet efterlyser en heltäckande bedömning av EU:s befintliga verktyg till stöd för internationell rättskipning för att kartlägga och avhjälpa brister, </w:t>
            </w:r>
            <w:r>
              <w:rPr>
                <w:b/>
                <w:i/>
              </w:rPr>
              <w:t>bland annat</w:t>
            </w:r>
            <w:r>
              <w:t xml:space="preserve"> bristen på skyddsmekanismer för </w:t>
            </w:r>
            <w:r>
              <w:rPr>
                <w:b/>
                <w:i/>
              </w:rPr>
              <w:t>drabbade</w:t>
            </w:r>
            <w:r>
              <w:t xml:space="preserve"> aktörer, otillräcklig rättslig klarhet och otillräckliga operativa skyddsåtgärder mot alltför långtgående efterlevnad från privata aktörers sida samt begränsad finansiell förutsägbarhet för internationella aktörer som arbetar med ansvarsutkrävande.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Europaparlamentet uppmanar kommissionen och vice ordföranden för kommissionen/unionens höga representant för utrikes frågor och säkerhetspolitik att i partnerskap med parlamentet lägga fram en övergripande strategisk EU-ram för att respektera, skydda och stärka det internationella rättssystemet och dess institutioner, mekanismer och partner mot ensidiga utländska tvångsmedel och andra former av inblandning.</w:t>
            </w:r>
            <w:r>
              <w:t xml:space="preserve"> </w:t>
            </w:r>
            <w:r>
              <w:rPr>
                <w:b/>
                <w:i/>
              </w:rPr>
              <w:t>Parlamentet vill se omfattande samråd med organisationer i det civila samhället vid utarbetandet av denna strategi.</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Marta Temido,Francisco Assis,Marco Tarquinio,Sandra Gómez López,Chloé Ridel,Nacho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uppmanar kommissionen och vice ordföranden för kommissionen/unionens höga representant för utrikes frågor och säkerhetspolitik att i partnerskap med parlamentet lägga fram en övergripande strategisk EU-ram för att respektera, skydda och stärka det internationella rättssystemet och dess institutioner, mekanismer och partner mot ensidiga utländska tvångsmedel och andra former av inblandning. Parlamentet vill se omfattande samråd med organisationer i det civila samhället vid utarbetandet av denna strategi.</w:t>
            </w:r>
          </w:p>
        </w:tc>
        <w:tc>
          <w:tcPr>
            <w:tcW w:w="4876" w:type="dxa"/>
            <w:tcBorders>
              <w:top w:val="nil"/>
              <w:left w:val="nil"/>
              <w:bottom w:val="nil"/>
              <w:right w:val="nil"/>
            </w:tcBorders>
          </w:tcPr>
          <w:p>
            <w:pPr>
              <w:pStyle w:val="Normal6a"/>
            </w:pPr>
            <w:r>
              <w:t>7.</w:t>
            </w:r>
            <w:r>
              <w:tab/>
            </w:r>
            <w:r>
              <w:t xml:space="preserve">Europaparlamentet uppmanar kommissionen och vice ordföranden för kommissionen/unionens höga representant för utrikes frågor och säkerhetspolitik att i partnerskap med parlamentet lägga fram en övergripande strategisk EU-ram för att respektera, skydda och stärka det internationella rättssystemet och dess institutioner, mekanismer och partner mot ensidiga utländska tvångsmedel och andra former av inblandning. Parlamentet vill se omfattande samråd med organisationer i det civila samhället vid utarbetandet av denna strategi. </w:t>
            </w:r>
            <w:r>
              <w:rPr>
                <w:b/>
                <w:i/>
              </w:rPr>
              <w:t>Parlamentet uppmanar kommissionen att sammankalla ett strukturerat rundabordssamtal med experter där organisationer i det civila samhället, medlemsstater, EU-institutioner och internationella organisationer med säte i EU tillsammans kan bidra till utformningen av denna ram.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uppmanar kommissionen </w:t>
            </w:r>
            <w:r>
              <w:rPr>
                <w:b/>
                <w:i/>
              </w:rPr>
              <w:t>och</w:t>
            </w:r>
            <w:r>
              <w:t xml:space="preserve"> vice ordföranden för kommissionen/unionens höga representant för utrikes frågor och säkerhetspolitik </w:t>
            </w:r>
            <w:r>
              <w:rPr>
                <w:b/>
                <w:i/>
              </w:rPr>
              <w:t>att i partnerskap med parlamentet lägga fram en övergripande strategisk EU-ram för att respektera, skydda och</w:t>
            </w:r>
            <w:r>
              <w:t xml:space="preserve"> stärka det internationella rättssystemet och dess institutioner, mekanismer och partner </w:t>
            </w:r>
            <w:r>
              <w:rPr>
                <w:b/>
                <w:i/>
              </w:rPr>
              <w:t>mot ensidiga utländska tvångsmedel och andra former av inblandning</w:t>
            </w:r>
            <w:r>
              <w:t xml:space="preserve">. Parlamentet </w:t>
            </w:r>
            <w:r>
              <w:rPr>
                <w:b/>
                <w:i/>
              </w:rPr>
              <w:t>vill se omfattande samråd med organisationer i det civila samhället vid utarbetandet av denna strategi</w:t>
            </w:r>
            <w:r>
              <w:t>.</w:t>
            </w:r>
          </w:p>
        </w:tc>
        <w:tc>
          <w:tcPr>
            <w:tcW w:w="4876" w:type="dxa"/>
            <w:tcBorders>
              <w:top w:val="nil"/>
              <w:left w:val="nil"/>
              <w:bottom w:val="nil"/>
              <w:right w:val="nil"/>
            </w:tcBorders>
          </w:tcPr>
          <w:p>
            <w:pPr>
              <w:pStyle w:val="Normal6a"/>
            </w:pPr>
            <w:r>
              <w:t>7.</w:t>
            </w:r>
            <w:r>
              <w:tab/>
            </w:r>
            <w:r>
              <w:t>Europaparlamentet uppmanar kommissionen</w:t>
            </w:r>
            <w:r>
              <w:rPr>
                <w:b/>
                <w:i/>
              </w:rPr>
              <w:t>,</w:t>
            </w:r>
            <w:r>
              <w:t xml:space="preserve"> vice ordföranden för kommissionen/unionens höga representant för utrikes frågor och säkerhetspolitik </w:t>
            </w:r>
            <w:r>
              <w:rPr>
                <w:b/>
                <w:i/>
              </w:rPr>
              <w:t>och Europaparlamentet att hålla en gemensam debatt om möjliga sätt att</w:t>
            </w:r>
            <w:r>
              <w:t xml:space="preserve"> stärka </w:t>
            </w:r>
            <w:r>
              <w:rPr>
                <w:b/>
                <w:i/>
              </w:rPr>
              <w:t>förmågan hos</w:t>
            </w:r>
            <w:r>
              <w:t xml:space="preserve"> det internationella rättssystemet och dess institutioner, mekanismer och partner </w:t>
            </w:r>
            <w:r>
              <w:rPr>
                <w:b/>
                <w:i/>
              </w:rPr>
              <w:t>att säkerställa ansvarsskyldighet för allvarliga internationella brott samt att utvärdera EU:s stöd i detta avseende</w:t>
            </w:r>
            <w:r>
              <w:t xml:space="preserve">. Parlamentet </w:t>
            </w:r>
            <w:r>
              <w:rPr>
                <w:b/>
                <w:i/>
              </w:rPr>
              <w:t>insisterar på att alla EU:s ramar som rör skyddet av det internationella rättssystemet måste förbli strikt mellanstatliga, främja effektivitet och undvika politisering, samtidigt som de inte får innebära några nya överstatliga skyldigheter för medlemsstaterna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Jordan Bardella,Pierre-Romain Thionnet,Matthieu Valet,Julie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uppmanar kommissionen och vice ordföranden för kommissionen/unionens höga representant för utrikes frågor och säkerhetspolitik att i partnerskap med parlamentet lägga fram en övergripande strategisk EU-ram för att respektera, skydda och stärka det internationella rättssystemet och dess institutioner, mekanismer och partner mot ensidiga utländska tvångsmedel och andra former av inblandning. Parlamentet vill se omfattande samråd med organisationer i det civila samhället vid utarbetandet av denna strategi.</w:t>
            </w:r>
          </w:p>
        </w:tc>
        <w:tc>
          <w:tcPr>
            <w:tcW w:w="4876" w:type="dxa"/>
            <w:tcBorders>
              <w:top w:val="nil"/>
              <w:left w:val="nil"/>
              <w:bottom w:val="nil"/>
              <w:right w:val="nil"/>
            </w:tcBorders>
          </w:tcPr>
          <w:p>
            <w:pPr>
              <w:pStyle w:val="Normal6a"/>
            </w:pPr>
            <w:r>
              <w:t>7.</w:t>
            </w:r>
            <w:r>
              <w:tab/>
            </w:r>
            <w:r>
              <w:t xml:space="preserve">Europaparlamentet uppmanar kommissionen och vice ordföranden för kommissionen/unionens höga representant för utrikes frågor och säkerhetspolitik att i partnerskap med parlamentet lägga fram en övergripande strategisk EU-ram för att respektera, skydda och stärka det internationella rättssystemet och dess institutioner, mekanismer och partner mot ensidiga utländska tvångsmedel och andra former av inblandning. Parlamentet vill se omfattande samråd med organisationer i det civila samhället vid utarbetandet av denna strategi. </w:t>
            </w:r>
            <w:r>
              <w:rPr>
                <w:b/>
                <w:i/>
              </w:rPr>
              <w:t>Parlamentet påminner om att det är absolut nödvändigt att domarna i dessa internationella domstolar är oberoende och opartiska.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uppmanar kommissionen och vice ordföranden för kommissionen/unionens höga representant för utrikes frågor och säkerhetspolitik att i partnerskap med parlamentet </w:t>
            </w:r>
            <w:r>
              <w:rPr>
                <w:b/>
                <w:i/>
              </w:rPr>
              <w:t>lägga fram en övergripande strategisk EU-ram</w:t>
            </w:r>
            <w:r>
              <w:t xml:space="preserve"> för att respektera</w:t>
            </w:r>
            <w:r>
              <w:rPr>
                <w:b/>
                <w:i/>
              </w:rPr>
              <w:t>, skydda och stärka</w:t>
            </w:r>
            <w:r>
              <w:t xml:space="preserve"> det internationella rättssystemet och dess institutioner, mekanismer och partner mot ensidiga utländska tvångsmedel och andra former av inblandning. Parlamentet </w:t>
            </w:r>
            <w:r>
              <w:rPr>
                <w:b/>
                <w:i/>
              </w:rPr>
              <w:t>vill se omfattande</w:t>
            </w:r>
            <w:r>
              <w:t xml:space="preserve"> samråd med organisationer i det civila samhället </w:t>
            </w:r>
            <w:r>
              <w:rPr>
                <w:b/>
                <w:i/>
              </w:rPr>
              <w:t>vid utarbetandet av denna strategi</w:t>
            </w:r>
            <w:r>
              <w:t>.</w:t>
            </w:r>
          </w:p>
        </w:tc>
        <w:tc>
          <w:tcPr>
            <w:tcW w:w="4876" w:type="dxa"/>
            <w:tcBorders>
              <w:top w:val="nil"/>
              <w:left w:val="nil"/>
              <w:bottom w:val="nil"/>
              <w:right w:val="nil"/>
            </w:tcBorders>
          </w:tcPr>
          <w:p>
            <w:pPr>
              <w:pStyle w:val="Normal6a"/>
            </w:pPr>
            <w:r>
              <w:t>7.</w:t>
            </w:r>
            <w:r>
              <w:tab/>
            </w:r>
            <w:r>
              <w:t xml:space="preserve">Europaparlamentet uppmanar kommissionen och vice ordföranden för kommissionen/unionens höga representant för utrikes frågor och säkerhetspolitik att i partnerskap med parlamentet </w:t>
            </w:r>
            <w:r>
              <w:rPr>
                <w:b/>
                <w:i/>
              </w:rPr>
              <w:t>säkerställa en fullständig, enhetlig och bättre samordnad användning av befintliga EU-instrument och undvika ytterligare administrativa eller regelmässiga bördor</w:t>
            </w:r>
            <w:r>
              <w:t xml:space="preserve"> för att respektera det internationella rättssystemet och dess institutioner, mekanismer och partner </w:t>
            </w:r>
            <w:r>
              <w:rPr>
                <w:b/>
                <w:i/>
              </w:rPr>
              <w:t>och skydda och stärka dem</w:t>
            </w:r>
            <w:r>
              <w:t xml:space="preserve"> mot ensidiga utländska tvångsmedel och andra former av inblandning</w:t>
            </w:r>
            <w:r>
              <w:rPr>
                <w:b/>
                <w:i/>
              </w:rPr>
              <w:t>, med utgångspunkt i EU:s ekonomiska säkerhetsram</w:t>
            </w:r>
            <w:r>
              <w:t xml:space="preserve">. Parlamentet </w:t>
            </w:r>
            <w:r>
              <w:rPr>
                <w:b/>
                <w:i/>
              </w:rPr>
              <w:t>efterlyser</w:t>
            </w:r>
            <w:r>
              <w:t xml:space="preserve"> samråd med organisationer i det civila samhället </w:t>
            </w:r>
            <w:r>
              <w:rPr>
                <w:b/>
                <w:i/>
              </w:rPr>
              <w:t>i detta avseende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Arkadiusz Mularczyk,Sebastian Tynkkynen,Michał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uppmanar kommissionen och vice ordföranden för kommissionen/unionens höga representant för utrikes frågor och säkerhetspolitik att i partnerskap med parlamentet lägga fram en övergripande strategisk EU-ram för att respektera, skydda och stärka det internationella rättssystemet och dess institutioner, mekanismer och partner mot ensidiga utländska tvångsmedel och andra former av inblandning. </w:t>
            </w:r>
            <w:r>
              <w:rPr>
                <w:b/>
                <w:i/>
              </w:rPr>
              <w:t>Parlamentet vill se omfattande samråd med organisationer i det civila samhället vid utarbetandet av denna strategi.</w:t>
            </w:r>
          </w:p>
        </w:tc>
        <w:tc>
          <w:tcPr>
            <w:tcW w:w="4876" w:type="dxa"/>
            <w:tcBorders>
              <w:top w:val="nil"/>
              <w:left w:val="nil"/>
              <w:bottom w:val="nil"/>
              <w:right w:val="nil"/>
            </w:tcBorders>
          </w:tcPr>
          <w:p>
            <w:pPr>
              <w:pStyle w:val="Normal6a"/>
            </w:pPr>
            <w:r>
              <w:t>7.</w:t>
            </w:r>
            <w:r>
              <w:tab/>
            </w:r>
            <w:r>
              <w:t xml:space="preserve">Europaparlamentet uppmanar kommissionen och vice ordföranden för kommissionen/unionens höga representant för utrikes frågor och säkerhetspolitik att i partnerskap med </w:t>
            </w:r>
            <w:r>
              <w:rPr>
                <w:b/>
                <w:i/>
              </w:rPr>
              <w:t>rådet och</w:t>
            </w:r>
            <w:r>
              <w:t xml:space="preserve"> parlamentet lägga fram en övergripande strategisk EU-ram för att respektera, skydda och stärka det internationella rättssystemet och dess institutioner, mekanismer och partner mot ensidiga utländska tvångsmedel och andra former av inblandning.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Europaparlamentet uppmanar medlemsstaterna att fullt ut samarbeta med kommissionen i genomförandet av EU:s framtida strategiska ram för internationell rättskipning, med full respekt för nationella konstitutionella krav och rättssystem, och att säkerställa samstämmighet mellan EU:s yttre åtgärder och nationella utrikespolitiska prioriteringar.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w:t>
            </w:r>
            <w:r>
              <w:rPr>
                <w:b/>
                <w:i/>
              </w:rPr>
              <w:t>uppmanar kommissionen att anta en handlingsplan, som integreras i den strategiska ramen, för</w:t>
            </w:r>
            <w:r>
              <w:t xml:space="preserve"> att ta itu med </w:t>
            </w:r>
            <w:r>
              <w:rPr>
                <w:b/>
                <w:i/>
              </w:rPr>
              <w:t>alla</w:t>
            </w:r>
            <w:r>
              <w:t xml:space="preserve"> problem som uppstår till följd av den extraterritoriella tillämpningen av ensidiga utländska tvångsmedel, </w:t>
            </w:r>
            <w:r>
              <w:rPr>
                <w:b/>
                <w:i/>
              </w:rPr>
              <w:t>göra det möjligt</w:t>
            </w:r>
            <w:r>
              <w:t xml:space="preserve"> för enheter och </w:t>
            </w:r>
            <w:r>
              <w:rPr>
                <w:b/>
                <w:i/>
              </w:rPr>
              <w:t>enskilda</w:t>
            </w:r>
            <w:r>
              <w:t xml:space="preserve"> personer som är föremål för sanktioner </w:t>
            </w:r>
            <w:r>
              <w:rPr>
                <w:b/>
                <w:i/>
              </w:rPr>
              <w:t>att fortsätta ha tillgång</w:t>
            </w:r>
            <w:r>
              <w:t xml:space="preserve"> till it-leverantörer, bankkonton, försäkringar och hälso- och sjukvård </w:t>
            </w:r>
            <w:r>
              <w:rPr>
                <w:b/>
                <w:i/>
              </w:rPr>
              <w:t>samt minska riskerna för fragmenterad nationell politik och externa beroenden</w:t>
            </w:r>
            <w:r>
              <w:t xml:space="preserve">. </w:t>
            </w:r>
            <w:r>
              <w:rPr>
                <w:b/>
                <w:i/>
              </w:rPr>
              <w:t>Parlamentet betonar behovet av stärkt avdelningsövergripande samarbete för konsekventa åtgärder från EU:s sida i detta sammanhang.</w:t>
            </w:r>
          </w:p>
        </w:tc>
        <w:tc>
          <w:tcPr>
            <w:tcW w:w="4876" w:type="dxa"/>
            <w:tcBorders>
              <w:top w:val="nil"/>
              <w:left w:val="nil"/>
              <w:bottom w:val="nil"/>
              <w:right w:val="nil"/>
            </w:tcBorders>
          </w:tcPr>
          <w:p>
            <w:pPr>
              <w:pStyle w:val="Normal6a"/>
            </w:pPr>
            <w:r>
              <w:t>8.</w:t>
            </w:r>
            <w:r>
              <w:tab/>
            </w:r>
            <w:r>
              <w:t xml:space="preserve">Europaparlamentet </w:t>
            </w:r>
            <w:r>
              <w:rPr>
                <w:b/>
                <w:i/>
              </w:rPr>
              <w:t>uppmuntrar medlemsstaterna</w:t>
            </w:r>
            <w:r>
              <w:t xml:space="preserve"> att ta itu med </w:t>
            </w:r>
            <w:r>
              <w:rPr>
                <w:b/>
                <w:i/>
              </w:rPr>
              <w:t>olika</w:t>
            </w:r>
            <w:r>
              <w:t xml:space="preserve"> problem som uppstår till följd av den extraterritoriella tillämpningen av ensidiga utländska tvångsmedel, </w:t>
            </w:r>
            <w:r>
              <w:rPr>
                <w:b/>
                <w:i/>
              </w:rPr>
              <w:t>såsom fortsatt tillgång</w:t>
            </w:r>
            <w:r>
              <w:t xml:space="preserve"> för enheter och personer som är föremål för sanktioner till it-leverantörer, bankkonton, försäkringar och hälso- och sjukvård.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uppmanar kommissionen att anta en handlingsplan, som integreras i den strategiska ramen, för att ta itu med </w:t>
            </w:r>
            <w:r>
              <w:rPr>
                <w:b/>
                <w:i/>
              </w:rPr>
              <w:t>alla</w:t>
            </w:r>
            <w:r>
              <w:t xml:space="preserve"> problem som uppstår till följd av den extraterritoriella tillämpningen av ensidiga utländska tvångsmedel, göra det möjligt för enheter och enskilda personer som är föremål för sanktioner att fortsätta ha tillgång till it-leverantörer, bankkonton, försäkringar och hälso- och sjukvård samt minska riskerna för fragmenterad nationell politik och externa beroenden. Parlamentet betonar behovet av stärkt avdelningsövergripande samarbete för konsekventa åtgärder från EU:s sida i detta sammanhang.</w:t>
            </w:r>
          </w:p>
        </w:tc>
        <w:tc>
          <w:tcPr>
            <w:tcW w:w="4876" w:type="dxa"/>
            <w:tcBorders>
              <w:top w:val="nil"/>
              <w:left w:val="nil"/>
              <w:bottom w:val="nil"/>
              <w:right w:val="nil"/>
            </w:tcBorders>
          </w:tcPr>
          <w:p>
            <w:pPr>
              <w:pStyle w:val="Normal6a"/>
            </w:pPr>
            <w:r>
              <w:t>8.</w:t>
            </w:r>
            <w:r>
              <w:tab/>
            </w:r>
            <w:r>
              <w:t xml:space="preserve">Europaparlamentet uppmanar kommissionen att anta en handlingsplan, som integreras i den strategiska ramen, för att ta itu med </w:t>
            </w:r>
            <w:r>
              <w:rPr>
                <w:b/>
                <w:i/>
              </w:rPr>
              <w:t>de</w:t>
            </w:r>
            <w:r>
              <w:t xml:space="preserve"> problem som uppstår till följd av den extraterritoriella tillämpningen av ensidiga utländska tvångsmedel, göra det möjligt för enheter och enskilda personer som är föremål för sanktioner att fortsätta ha tillgång till it-leverantörer, bankkonton, försäkringar och hälso- och sjukvård </w:t>
            </w:r>
            <w:r>
              <w:rPr>
                <w:b/>
                <w:i/>
              </w:rPr>
              <w:t>– samtidigt som man säkerställer att dessa stödåtgärder inte medför oproportionerliga administrativa bördor eller juridiska risker för små och medelstora företag inom den europeiska finans- och tekniksektorn –</w:t>
            </w:r>
            <w:r>
              <w:t xml:space="preserve"> samt minska riskerna för fragmenterad nationell politik och externa beroenden. Parlamentet betonar behovet av stärkt avdelningsövergripande samarbete för konsekventa åtgärder från EU:s sida i detta sammanhang.</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uppmanar kommissionen att anta en handlingsplan, som integreras i den strategiska ramen, för att ta itu med alla problem som uppstår till följd av den extraterritoriella tillämpningen av ensidiga utländska tvångsmedel, göra det möjligt för enheter och enskilda personer som är föremål för sanktioner att fortsätta ha tillgång till it-leverantörer, bankkonton, försäkringar och hälso- och sjukvård samt minska riskerna för fragmenterad nationell politik och externa beroenden. Parlamentet betonar behovet av stärkt avdelningsövergripande samarbete för konsekventa åtgärder från EU:s sida i detta sammanhang.</w:t>
            </w:r>
          </w:p>
        </w:tc>
        <w:tc>
          <w:tcPr>
            <w:tcW w:w="4876" w:type="dxa"/>
            <w:tcBorders>
              <w:top w:val="nil"/>
              <w:left w:val="nil"/>
              <w:bottom w:val="nil"/>
              <w:right w:val="nil"/>
            </w:tcBorders>
          </w:tcPr>
          <w:p>
            <w:pPr>
              <w:pStyle w:val="Normal6a"/>
            </w:pPr>
            <w:r>
              <w:t>8.</w:t>
            </w:r>
            <w:r>
              <w:tab/>
            </w:r>
            <w:r>
              <w:t xml:space="preserve">Europaparlamentet uppmanar kommissionen att anta en handlingsplan, som integreras i den strategiska ramen, för att ta itu med alla problem som uppstår till följd av den extraterritoriella tillämpningen av ensidiga utländska tvångsmedel, göra det möjligt för enheter och enskilda personer som är föremål för sanktioner att fortsätta ha tillgång till it-leverantörer, bankkonton, försäkringar och hälso- och sjukvård samt minska riskerna för fragmenterad nationell politik och externa beroenden. Parlamentet betonar behovet av stärkt avdelningsövergripande samarbete för konsekventa åtgärder från EU:s sida i detta sammanhang </w:t>
            </w:r>
            <w:r>
              <w:rPr>
                <w:b/>
                <w:i/>
              </w:rPr>
              <w:t>och för en bättre samordning med annan EU-politik och andra EU-strategier på områden såsom ekonomisk säkerhet och molnsystem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uppmanar kommissionen att </w:t>
            </w:r>
            <w:r>
              <w:rPr>
                <w:b/>
                <w:i/>
              </w:rPr>
              <w:t>anta en handlingsplan, som integreras i den strategiska ramen, för att</w:t>
            </w:r>
            <w:r>
              <w:t xml:space="preserve"> ta itu med </w:t>
            </w:r>
            <w:r>
              <w:rPr>
                <w:b/>
                <w:i/>
              </w:rPr>
              <w:t>alla problem som uppstår till följd</w:t>
            </w:r>
            <w:r>
              <w:t xml:space="preserve"> av den extraterritoriella tillämpningen av ensidiga utländska tvångsmedel, göra det möjligt för enheter och enskilda personer </w:t>
            </w:r>
            <w:r>
              <w:rPr>
                <w:b/>
                <w:i/>
              </w:rPr>
              <w:t>som är föremål för sanktioner</w:t>
            </w:r>
            <w:r>
              <w:t xml:space="preserve"> att fortsätta ha tillgång till it-leverantörer, bankkonton, försäkringar och hälso- och sjukvård samt minska riskerna för fragmenterad nationell politik och externa beroenden. Parlamentet betonar behovet av stärkt avdelningsövergripande samarbete för konsekventa åtgärder från EU:s sida i detta sammanhang.</w:t>
            </w:r>
          </w:p>
        </w:tc>
        <w:tc>
          <w:tcPr>
            <w:tcW w:w="4876" w:type="dxa"/>
            <w:tcBorders>
              <w:top w:val="nil"/>
              <w:left w:val="nil"/>
              <w:bottom w:val="nil"/>
              <w:right w:val="nil"/>
            </w:tcBorders>
          </w:tcPr>
          <w:p>
            <w:pPr>
              <w:pStyle w:val="Normal6a"/>
            </w:pPr>
            <w:r>
              <w:t>8.</w:t>
            </w:r>
            <w:r>
              <w:tab/>
            </w:r>
            <w:r>
              <w:t>Europaparlamentet uppmanar kommissionen att</w:t>
            </w:r>
            <w:r>
              <w:rPr>
                <w:b/>
                <w:i/>
              </w:rPr>
              <w:t>, med hjälp av befintliga instrument och strukturer,</w:t>
            </w:r>
            <w:r>
              <w:t xml:space="preserve"> ta itu med </w:t>
            </w:r>
            <w:r>
              <w:rPr>
                <w:b/>
                <w:i/>
              </w:rPr>
              <w:t>konsekvenserna</w:t>
            </w:r>
            <w:r>
              <w:t xml:space="preserve"> av den extraterritoriella tillämpningen av ensidiga utländska tvångsmedel, </w:t>
            </w:r>
            <w:r>
              <w:rPr>
                <w:b/>
                <w:i/>
              </w:rPr>
              <w:t>särskilt genom att</w:t>
            </w:r>
            <w:r>
              <w:t xml:space="preserve"> göra det möjligt för </w:t>
            </w:r>
            <w:r>
              <w:rPr>
                <w:b/>
                <w:i/>
              </w:rPr>
              <w:t>berörda</w:t>
            </w:r>
            <w:r>
              <w:t xml:space="preserve"> enheter och enskilda personer att fortsätta ha tillgång till it-leverantörer, bankkonton, försäkringar och hälso- och sjukvård</w:t>
            </w:r>
            <w:r>
              <w:rPr>
                <w:b/>
                <w:i/>
              </w:rPr>
              <w:t>,</w:t>
            </w:r>
            <w:r>
              <w:t xml:space="preserve"> samt minska riskerna för fragmenterad nationell politik och externa beroenden. Parlamentet betonar behovet av stärkt avdelningsövergripande samarbete för konsekventa åtgärder från EU:s sida i detta sammanhang.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Arkadiusz Mularczyk,Sebastian Tynkkynen,Michał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Europaparlamentet uppmanar med eftertryck kommissionen att aktivera EU:s blockerande stadga som ett viktigt och omedelbart instrument för att motverka de extraterritoriella effekterna av utländska ensidiga tvångsmedel.</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w:t>
            </w:r>
            <w:r>
              <w:rPr>
                <w:b/>
                <w:i/>
              </w:rPr>
              <w:t>uppmanar med eftertryck kommissionen att aktivera EU:s blockerande stadga som ett viktigt och omedelbart instrument för att motverka</w:t>
            </w:r>
            <w:r>
              <w:t xml:space="preserve"> de extraterritoriella effekterna av utländska ensidiga tvångsmedel.</w:t>
            </w:r>
          </w:p>
        </w:tc>
        <w:tc>
          <w:tcPr>
            <w:tcW w:w="4876" w:type="dxa"/>
            <w:tcBorders>
              <w:top w:val="nil"/>
              <w:left w:val="nil"/>
              <w:bottom w:val="nil"/>
              <w:right w:val="nil"/>
            </w:tcBorders>
          </w:tcPr>
          <w:p>
            <w:pPr>
              <w:pStyle w:val="Normal6a"/>
            </w:pPr>
            <w:r>
              <w:t>9.</w:t>
            </w:r>
            <w:r>
              <w:tab/>
            </w:r>
            <w:r>
              <w:t xml:space="preserve">Europaparlamentet </w:t>
            </w:r>
            <w:r>
              <w:rPr>
                <w:b/>
                <w:i/>
              </w:rPr>
              <w:t>betonar att EU i sitt svar på</w:t>
            </w:r>
            <w:r>
              <w:t xml:space="preserve"> de extraterritoriella effekterna av utländska ensidiga tvångsmedel </w:t>
            </w:r>
            <w:r>
              <w:rPr>
                <w:b/>
                <w:i/>
              </w:rPr>
              <w:t>bör prioritera att minska det strukturella finansiella, digitala och tekniska beroende som dessa effekter är avhängiga av</w:t>
            </w:r>
            <w:r>
              <w:t xml:space="preserve">. </w:t>
            </w:r>
            <w:r>
              <w:rPr>
                <w:b/>
                <w:i/>
              </w:rPr>
              <w:t>Parlamentet påminner i detta avseende om att den blockerande stadgan, som har utformats för att skydda ekonomiska aktörer som är verksamma inom handel och kapitalrörelser, inte skyddar internationella institutioner eller tredjelandsmedborgare och ålägger EU-aktörer motstridiga efterlevnadsskyldigheter, och om att varje tillämpning av stadgan skulle kräva en noggrann föregående bedömning av dess verkan och konsekvenser för EU:s ekonomiska aktörer.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Marco Tarquinio,Chloé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uppmanar med eftertryck kommissionen att aktivera EU:s blockerande stadga som ett viktigt och omedelbart instrument för att motverka de extraterritoriella effekterna av utländska ensidiga tvångsmedel.</w:t>
            </w:r>
          </w:p>
        </w:tc>
        <w:tc>
          <w:tcPr>
            <w:tcW w:w="4876" w:type="dxa"/>
            <w:tcBorders>
              <w:top w:val="nil"/>
              <w:left w:val="nil"/>
              <w:bottom w:val="nil"/>
              <w:right w:val="nil"/>
            </w:tcBorders>
          </w:tcPr>
          <w:p>
            <w:pPr>
              <w:pStyle w:val="Normal6a"/>
            </w:pPr>
            <w:r>
              <w:t>9.</w:t>
            </w:r>
            <w:r>
              <w:tab/>
            </w:r>
            <w:r>
              <w:t xml:space="preserve">Europaparlamentet uppmanar med eftertryck kommissionen att aktivera EU:s blockerande stadga som ett viktigt och omedelbart instrument för att motverka de extraterritoriella effekterna av utländska ensidiga tvångsmedel. </w:t>
            </w:r>
            <w:r>
              <w:rPr>
                <w:b/>
                <w:i/>
              </w:rPr>
              <w:t>Parlamentet begär följaktligen att bilagan till rådets förordning (EG) nr 2271/96 utan dröjsmål uppdateras så att den omfattar relevanta ensidiga utländska tvångsmedel.</w:t>
            </w:r>
            <w:r>
              <w:t xml:space="preserve"> </w:t>
            </w:r>
            <w:r>
              <w:rPr>
                <w:b/>
                <w:i/>
              </w:rPr>
              <w:t>Parlamentet menar att fortsatt passivitet skulle kunna strida mot EU:s åtaganden vad gäller att samarbeta med internationella rättskipande institutioner.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uppmanar med eftertryck kommissionen att aktivera EU:s blockerande stadga som ett </w:t>
            </w:r>
            <w:r>
              <w:rPr>
                <w:b/>
                <w:i/>
              </w:rPr>
              <w:t>viktigt och omedelbart</w:t>
            </w:r>
            <w:r>
              <w:t xml:space="preserve"> instrument för att motverka de extraterritoriella effekterna av utländska ensidiga tvångsmedel.</w:t>
            </w:r>
          </w:p>
        </w:tc>
        <w:tc>
          <w:tcPr>
            <w:tcW w:w="4876" w:type="dxa"/>
            <w:tcBorders>
              <w:top w:val="nil"/>
              <w:left w:val="nil"/>
              <w:bottom w:val="nil"/>
              <w:right w:val="nil"/>
            </w:tcBorders>
          </w:tcPr>
          <w:p>
            <w:pPr>
              <w:pStyle w:val="Normal6a"/>
            </w:pPr>
            <w:r>
              <w:t>9.</w:t>
            </w:r>
            <w:r>
              <w:tab/>
            </w:r>
            <w:r>
              <w:t xml:space="preserve">Europaparlamentet uppmanar med eftertryck kommissionen att </w:t>
            </w:r>
            <w:r>
              <w:rPr>
                <w:b/>
                <w:i/>
              </w:rPr>
              <w:t>bedöma lämpligheten i att</w:t>
            </w:r>
            <w:r>
              <w:t xml:space="preserve"> aktivera EU:s blockerande stadga som ett </w:t>
            </w:r>
            <w:r>
              <w:rPr>
                <w:b/>
                <w:i/>
              </w:rPr>
              <w:t>potentiellt</w:t>
            </w:r>
            <w:r>
              <w:t xml:space="preserve"> instrument för att motverka de extraterritoriella effekterna av utländska ensidiga tvångsmedel</w:t>
            </w:r>
            <w:r>
              <w:rPr>
                <w:b/>
                <w:i/>
              </w:rPr>
              <w:t>, på grundval av en rigorös konsekvensbedömning som analyserar effekterna på den europeiska finanssektorns konkurrenskraft, de ekonomiska aktörernas exponering för marknadsrisker samt förordningens verkliga effektivitet i dess nuvarande form</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uppmanar med eftertryck kommissionen att aktivera EU:s blockerande stadga som ett viktigt och omedelbart instrument för att motverka de extraterritoriella effekterna av utländska ensidiga tvångsmedel.</w:t>
            </w:r>
          </w:p>
        </w:tc>
        <w:tc>
          <w:tcPr>
            <w:tcW w:w="4876" w:type="dxa"/>
            <w:tcBorders>
              <w:top w:val="nil"/>
              <w:left w:val="nil"/>
              <w:bottom w:val="nil"/>
              <w:right w:val="nil"/>
            </w:tcBorders>
          </w:tcPr>
          <w:p>
            <w:pPr>
              <w:pStyle w:val="Normal6a"/>
            </w:pPr>
            <w:r>
              <w:t>9.</w:t>
            </w:r>
            <w:r>
              <w:tab/>
            </w:r>
            <w:r>
              <w:t xml:space="preserve">Europaparlamentet </w:t>
            </w:r>
            <w:r>
              <w:rPr>
                <w:b/>
                <w:i/>
              </w:rPr>
              <w:t>beklagar att EU:s blockerande stadga ännu inte har aktiverats trots ökande tryck på organisationer i det civila samhället och internationella rättskipande institutioner.</w:t>
            </w:r>
            <w:r>
              <w:t xml:space="preserve"> </w:t>
            </w:r>
            <w:r>
              <w:rPr>
                <w:b/>
                <w:i/>
              </w:rPr>
              <w:t>Parlamentet</w:t>
            </w:r>
            <w:r>
              <w:t xml:space="preserve"> uppmanar med eftertryck kommissionen att </w:t>
            </w:r>
            <w:r>
              <w:rPr>
                <w:b/>
                <w:i/>
              </w:rPr>
              <w:t>utan ytterligare dröjsmål</w:t>
            </w:r>
            <w:r>
              <w:t xml:space="preserve"> aktivera EU:s blockerande stadga som ett viktigt och omedelbart instrument för att motverka de extraterritoriella effekterna av utländska ensidiga tvångsmedel.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Rima Hassan,Pernando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uppmanar med eftertryck kommissionen att aktivera EU:s blockerande stadga som ett viktigt och omedelbart instrument för att motverka de extraterritoriella effekterna av utländska ensidiga tvångsmedel.</w:t>
            </w:r>
          </w:p>
        </w:tc>
        <w:tc>
          <w:tcPr>
            <w:tcW w:w="4876" w:type="dxa"/>
            <w:tcBorders>
              <w:top w:val="nil"/>
              <w:left w:val="nil"/>
              <w:bottom w:val="nil"/>
              <w:right w:val="nil"/>
            </w:tcBorders>
          </w:tcPr>
          <w:p>
            <w:pPr>
              <w:pStyle w:val="Normal6a"/>
            </w:pPr>
            <w:r>
              <w:t>9.</w:t>
            </w:r>
            <w:r>
              <w:tab/>
            </w:r>
            <w:r>
              <w:t xml:space="preserve">Europaparlamentet uppmanar med eftertryck kommissionen att </w:t>
            </w:r>
            <w:r>
              <w:rPr>
                <w:b/>
                <w:i/>
              </w:rPr>
              <w:t>omedelbart</w:t>
            </w:r>
            <w:r>
              <w:t xml:space="preserve"> aktivera </w:t>
            </w:r>
            <w:r>
              <w:rPr>
                <w:b/>
                <w:i/>
              </w:rPr>
              <w:t>och fullt ut verkställa</w:t>
            </w:r>
            <w:r>
              <w:t xml:space="preserve"> EU:s blockerande stadga som ett viktigt och omedelbart instrument för att motverka</w:t>
            </w:r>
            <w:r>
              <w:rPr>
                <w:b/>
                <w:i/>
              </w:rPr>
              <w:t>, förebygga och avhjälpa</w:t>
            </w:r>
            <w:r>
              <w:t xml:space="preserve"> de extraterritoriella effekterna av utländska ensidiga tvångsmedel </w:t>
            </w:r>
            <w:r>
              <w:rPr>
                <w:b/>
                <w:i/>
              </w:rPr>
              <w:t>och skydda EU:s aktörer, medborgare och enheter från deras olagliga inverkan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Marta Temido,Francisco Assis,Marco Tarquinio,Sandra Gómez López,Chloé Ridel,Nacho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uppmanar med eftertryck kommissionen att aktivera EU:s blockerande stadga som ett viktigt </w:t>
            </w:r>
            <w:r>
              <w:rPr>
                <w:b/>
                <w:i/>
              </w:rPr>
              <w:t>och omedelbart</w:t>
            </w:r>
            <w:r>
              <w:t xml:space="preserve"> instrument för att motverka de extraterritoriella effekterna av utländska ensidiga tvångsmedel.</w:t>
            </w:r>
          </w:p>
        </w:tc>
        <w:tc>
          <w:tcPr>
            <w:tcW w:w="4876" w:type="dxa"/>
            <w:tcBorders>
              <w:top w:val="nil"/>
              <w:left w:val="nil"/>
              <w:bottom w:val="nil"/>
              <w:right w:val="nil"/>
            </w:tcBorders>
          </w:tcPr>
          <w:p>
            <w:pPr>
              <w:pStyle w:val="Normal6a"/>
            </w:pPr>
            <w:r>
              <w:t>9.</w:t>
            </w:r>
            <w:r>
              <w:tab/>
            </w:r>
            <w:r>
              <w:t xml:space="preserve">Europaparlamentet uppmanar med eftertryck kommissionen att </w:t>
            </w:r>
            <w:r>
              <w:rPr>
                <w:b/>
                <w:i/>
              </w:rPr>
              <w:t>omedelbart</w:t>
            </w:r>
            <w:r>
              <w:t xml:space="preserve"> aktivera EU:s blockerande stadga som ett viktigt instrument för att motverka de extraterritoriella effekterna av utländska ensidiga tvångsmedel.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uppmanar vice ordföranden för kommissionen/unionens höga representant för utrikes frågor och säkerhetspolitik att, i enlighet med artikel 36 andra stycket i EU-fördraget, som en del av EU:s övergripande strategiska ram föreslå rådet en ändring av rådets beslut 2011/168/Gusp av den 21 mars 2011 om Internationella brottmålsdomstolen, som ska antas på grundval av artikel 29 i EU-fördraget, för att ytterligare stödja ICC:s oberoende samt effektiva och ändamålsenliga funktion, särskilt genom att uttryckligen föreskriva effektiva åtgärder mot tillämpningen inom unionens territorium av tvångsåtgärder som införts av tredjeländer, vilket också skulle göra det möjligt för rådet att anta nödvändiga åtgärder enligt artikel 215 i EUF-fördraget.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anser att den blockerande stadgan, utöver aktiveringen, bör göras verkligt operativ och omarbetas så att man på ett effektivt sätt tar itu med privata aktörers alltför långtgående efterlevnad, möjliggör snabbare och mer riktade insatser och, när så är lämpligt, övergår från att förlita sig på automatisk efterlevnad till förbud eller tillstånd som beslutas av unionens myndigheter.</w:t>
            </w:r>
            <w:r>
              <w:t xml:space="preserve"> </w:t>
            </w:r>
            <w:r>
              <w:rPr>
                <w:b/>
                <w:i/>
              </w:rPr>
              <w:t>Parlamentet uppmanar kommissionen att lägga fram nödvändiga förslag i detta avseende.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uppmanar Europeiska unionens råd och Europaparlamentet att snabbt anta och genomföra kommissionens förslag om inrättandet av den digitala euron och att samtidigt upprätthålla skyddsåtgärder som gör det möjligt för EU-medborgare som är föremål för restriktiva åtgärder att öppna ett konto för digital euro.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uppmanar Europeiska investeringsbanken att säkerställa att all dess finansiering, inbegripet finansiering inom ramen för Horisont Europa och andra EU-finansieringsinstrument, är föremål för noggranna människorättskontroller och är förenlig med unionens skyldigheter enligt internationell rätt.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Europaparlamentet uppmanar vice ordföranden för kommissionen/unionens höga representant för utrikes frågor och säkerhetspolitik att, i enlighet med artikel 36 andra stycket i EU-fördraget, som en del av EU:s övergripande strategiska ram föreslå rådet ett utkast till beslut om bemyndigande att inleda förhandlingar, på grundval av artikel 218.2 i EUF-fördraget, för att ändra avtalet mellan Internationella brottmålsdomstolen och Europeiska unionen om samarbete och bistånd</w:t>
            </w:r>
            <w:r>
              <w:rPr>
                <w:b/>
                <w:i/>
                <w:vertAlign w:val="superscript"/>
              </w:rPr>
              <w:t>1a</w:t>
            </w:r>
            <w:r>
              <w:rPr>
                <w:b/>
                <w:i/>
              </w:rPr>
              <w:t>, som är bindande för unionens institutioner och dess medlemsstater enligt artikel 216.2 i EUF-fördraget, i syfte att uttryckligen föreskriva effektiva åtgärder för att motverka tillämpningen inom unionens territorium av tvångsåtgärder som införts av tredjeländer.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EUT L 115, 28.4.2006, s. 50,</w:t>
            </w:r>
            <w:r>
              <w:t xml:space="preserve"> </w:t>
            </w:r>
            <w:r>
              <w:rPr>
                <w:b/>
                <w:i/>
              </w:rPr>
              <w:t>http://data.europa.eu/eli/agree_internation/2006/313/oj.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Europaparlamentet efterlyser ökad demokratisk kontroll av Frontex, bland annat genom att det säkerställs att människorättsfrågor tas upp av Frontex ombud för grundläggande rättigheter och Frontex rådgivande forum för grundläggande rättigheter och rapporteras till Europaparlamentet.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Europaparlamentet uppmanar vice ordföranden för kommissionen/unionens höga representant för utrikes frågor och säkerhetspolitik att, i enlighet med artikel 36 andra stycket i EU-fördraget, som en del av EU:s övergripande strategiska ram föreslå att rådet utfärdar en rekommendation till Europeiska rådet, på grundval av artikel 22.1 i EU-fördraget, om att slå fast att det är ett strategiskt intresse och mål för unionen att stödja ICC:s oberoende och dess effektiva och ändamålsenliga funktion inom unionens territorium, så att rådet därefter med kvalificerad majoritet kan anta beslut om fastställande av en unionsåtgärd eller unionsståndpunkt i detta avseende, i enlighet med artikel 31.2 första strecksatsen i EU-fördraget.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Marta Temido,Francisco Assis,Marco Tarquinio,Sandra Gómez López,Chloé Ridel,Nacho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uppmanar kommissionen att se över rådets förordning (EG) nr 2271/96 av den 22 november 1996 för att säkerställa att den är tillräckligt anpassad till aktuella och framväxande utmaningar.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Marta Temido,Francisco Assis,Marco Tarquinio,Sandra Gómez López,Chloé Ridel,Nacho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uppmanar kommissionen och medlemsstaterna att gripa sig an Romstadgans ofullständiga nationella genomförande.</w:t>
            </w:r>
          </w:p>
        </w:tc>
        <w:tc>
          <w:tcPr>
            <w:tcW w:w="4876" w:type="dxa"/>
            <w:tcBorders>
              <w:top w:val="nil"/>
              <w:left w:val="nil"/>
              <w:bottom w:val="nil"/>
              <w:right w:val="nil"/>
            </w:tcBorders>
          </w:tcPr>
          <w:p>
            <w:pPr>
              <w:pStyle w:val="Normal6a"/>
            </w:pPr>
            <w:r>
              <w:t>10.</w:t>
            </w:r>
            <w:r>
              <w:tab/>
            </w:r>
            <w:r>
              <w:t xml:space="preserve">Europaparlamentet uppmanar kommissionen och medlemsstaterna att gripa sig an Romstadgans ofullständiga nationella genomförande </w:t>
            </w:r>
            <w:r>
              <w:rPr>
                <w:b/>
                <w:i/>
              </w:rPr>
              <w:t>och påminner om medlemsstaternas skyldighet, i egenskap av parter i Romstadgan, att samarbeta fullt ut med Internationella brottmålsdomstolen, även vid verkställandet av dess beslut</w:t>
            </w:r>
            <w:r>
              <w:t xml:space="preserve">. </w:t>
            </w:r>
            <w:r>
              <w:rPr>
                <w:b/>
                <w:i/>
              </w:rPr>
              <w:t>Parlamentet uppmanar rådet och kommissionen att stödja och främja ett konsekvent genomförande av dessa åtaganden i alla medlemsstater.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Rima Hassan,Pernando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uppmanar kommissionen och medlemsstaterna att gripa sig an Romstadgans ofullständiga nationella genomförande.</w:t>
            </w:r>
          </w:p>
        </w:tc>
        <w:tc>
          <w:tcPr>
            <w:tcW w:w="4876" w:type="dxa"/>
            <w:tcBorders>
              <w:top w:val="nil"/>
              <w:left w:val="nil"/>
              <w:bottom w:val="nil"/>
              <w:right w:val="nil"/>
            </w:tcBorders>
          </w:tcPr>
          <w:p>
            <w:pPr>
              <w:pStyle w:val="Normal6a"/>
            </w:pPr>
            <w:r>
              <w:t>10.</w:t>
            </w:r>
            <w:r>
              <w:tab/>
            </w:r>
            <w:r>
              <w:t xml:space="preserve">Europaparlamentet uppmanar kommissionen och medlemsstaterna att gripa sig an Romstadgans ofullständiga nationella genomförande. </w:t>
            </w:r>
            <w:r>
              <w:rPr>
                <w:b/>
                <w:i/>
              </w:rPr>
              <w:t>Parlamentet påminner om att alla medlemsstater, i egenskap av parter i Romstadgan, är rättsligt bundna att samarbeta fullt ut med ICC och att snabbt och effektivt verkställa ICC:s arresteringsorder.</w:t>
            </w:r>
            <w:r>
              <w:t xml:space="preserve"> </w:t>
            </w:r>
            <w:r>
              <w:rPr>
                <w:b/>
                <w:i/>
              </w:rPr>
              <w:t>Parlamentet betonar att offentlig ställning eller diplomatiska påtryckningar inte kan åberopas som ett sätt att kringgå dessa skyldigheter.</w:t>
            </w:r>
            <w:r>
              <w:t xml:space="preserve"> </w:t>
            </w:r>
            <w:r>
              <w:rPr>
                <w:b/>
                <w:i/>
              </w:rPr>
              <w:t>Parlamentet uppmanar rådet och kommissionen att säkerställa fullständig efterlevnad från medlemsstaternas sida.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w:t>
            </w:r>
            <w:r>
              <w:rPr>
                <w:b/>
                <w:i/>
              </w:rPr>
              <w:t>uppmanar kommissionen och medlemsstaterna att gripa sig an Romstadgans ofullständiga nationella genomförande</w:t>
            </w:r>
            <w:r>
              <w:t>.</w:t>
            </w:r>
          </w:p>
        </w:tc>
        <w:tc>
          <w:tcPr>
            <w:tcW w:w="4876" w:type="dxa"/>
            <w:tcBorders>
              <w:top w:val="nil"/>
              <w:left w:val="nil"/>
              <w:bottom w:val="nil"/>
              <w:right w:val="nil"/>
            </w:tcBorders>
          </w:tcPr>
          <w:p>
            <w:pPr>
              <w:pStyle w:val="Normal6a"/>
            </w:pPr>
            <w:r>
              <w:t>10.</w:t>
            </w:r>
            <w:r>
              <w:tab/>
            </w:r>
            <w:r>
              <w:t xml:space="preserve">Europaparlamentet </w:t>
            </w:r>
            <w:r>
              <w:rPr>
                <w:b/>
                <w:i/>
              </w:rPr>
              <w:t>påminner om att genomförandet av Romstadgan är en inhemsk angelägenhet som faller inom medlemsstaternas suveränitet</w:t>
            </w:r>
            <w:r>
              <w:t xml:space="preserve">. </w:t>
            </w:r>
            <w:r>
              <w:rPr>
                <w:b/>
                <w:i/>
              </w:rPr>
              <w:t>Parlamentet betonar att alla initiativ på EU-nivå måste stå i strikt överensstämmelse med medlemsstaternas konstitutionella krav och deras utrymme för skönsmässig bedömning inom straffrätten.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uppmanar kommissionen och medlemsstaterna att </w:t>
            </w:r>
            <w:r>
              <w:rPr>
                <w:b/>
                <w:i/>
              </w:rPr>
              <w:t>gripa sig an Romstadgans ofullständiga nationella</w:t>
            </w:r>
            <w:r>
              <w:t xml:space="preserve"> genomförande.</w:t>
            </w:r>
          </w:p>
        </w:tc>
        <w:tc>
          <w:tcPr>
            <w:tcW w:w="4876" w:type="dxa"/>
            <w:tcBorders>
              <w:top w:val="nil"/>
              <w:left w:val="nil"/>
              <w:bottom w:val="nil"/>
              <w:right w:val="nil"/>
            </w:tcBorders>
          </w:tcPr>
          <w:p>
            <w:pPr>
              <w:pStyle w:val="Normal6a"/>
            </w:pPr>
            <w:r>
              <w:t>10.</w:t>
            </w:r>
            <w:r>
              <w:tab/>
            </w:r>
            <w:r>
              <w:t xml:space="preserve">Europaparlamentet uppmanar kommissionen och medlemsstaterna att </w:t>
            </w:r>
            <w:r>
              <w:rPr>
                <w:b/>
                <w:i/>
              </w:rPr>
              <w:t>fortsätta att stödja ett effektivt nationellt</w:t>
            </w:r>
            <w:r>
              <w:t xml:space="preserve"> genomförande </w:t>
            </w:r>
            <w:r>
              <w:rPr>
                <w:b/>
                <w:i/>
              </w:rPr>
              <w:t>av Romstadgan, i enlighet med nationella konstitutionella krav och principen om komplementaritet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w:t>
            </w:r>
            <w:r>
              <w:rPr>
                <w:b/>
                <w:i/>
              </w:rPr>
              <w:t>uppmanar kommissionen och medlemsstaterna att gripa sig an</w:t>
            </w:r>
            <w:r>
              <w:t xml:space="preserve"> Romstadgans </w:t>
            </w:r>
            <w:r>
              <w:rPr>
                <w:b/>
                <w:i/>
              </w:rPr>
              <w:t>ofullständiga</w:t>
            </w:r>
            <w:r>
              <w:t xml:space="preserve"> nationella genomförande.</w:t>
            </w:r>
          </w:p>
        </w:tc>
        <w:tc>
          <w:tcPr>
            <w:tcW w:w="4876" w:type="dxa"/>
            <w:tcBorders>
              <w:top w:val="nil"/>
              <w:left w:val="nil"/>
              <w:bottom w:val="nil"/>
              <w:right w:val="nil"/>
            </w:tcBorders>
          </w:tcPr>
          <w:p>
            <w:pPr>
              <w:pStyle w:val="Normal6a"/>
            </w:pPr>
            <w:r>
              <w:t>10.</w:t>
            </w:r>
            <w:r>
              <w:tab/>
            </w:r>
            <w:r>
              <w:t xml:space="preserve">Europaparlamentet </w:t>
            </w:r>
            <w:r>
              <w:rPr>
                <w:b/>
                <w:i/>
              </w:rPr>
              <w:t>betonar att</w:t>
            </w:r>
            <w:r>
              <w:t xml:space="preserve"> Romstadgans nationella genomförande </w:t>
            </w:r>
            <w:r>
              <w:rPr>
                <w:b/>
                <w:i/>
              </w:rPr>
              <w:t>fortfarande är en fråga om exklusiv jurisdiktion för varje medlemsstat</w:t>
            </w:r>
            <w:r>
              <w:t xml:space="preserve">. </w:t>
            </w:r>
            <w:r>
              <w:rPr>
                <w:b/>
                <w:i/>
              </w:rPr>
              <w:t>Parlamentet avvisar alla försök från kommissionens sida att blanda sig i de nationella rättssystemen.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uppmanar kommissionen och medlemsstaterna att gripa sig an Romstadgans ofullständiga nationella genomförande.</w:t>
            </w:r>
          </w:p>
        </w:tc>
        <w:tc>
          <w:tcPr>
            <w:tcW w:w="4876" w:type="dxa"/>
            <w:tcBorders>
              <w:top w:val="nil"/>
              <w:left w:val="nil"/>
              <w:bottom w:val="nil"/>
              <w:right w:val="nil"/>
            </w:tcBorders>
          </w:tcPr>
          <w:p>
            <w:pPr>
              <w:pStyle w:val="Normal6a"/>
            </w:pPr>
            <w:r>
              <w:t>10.</w:t>
            </w:r>
            <w:r>
              <w:tab/>
            </w:r>
            <w:r>
              <w:t xml:space="preserve">Europaparlamentet uppmanar kommissionen och medlemsstaterna att gripa sig an Romstadgans ofullständiga nationella </w:t>
            </w:r>
            <w:r>
              <w:rPr>
                <w:b/>
                <w:i/>
              </w:rPr>
              <w:t>och internationella</w:t>
            </w:r>
            <w:r>
              <w:t xml:space="preserve"> genomförande.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Europaparlamentet uppmanar med kraft kommissionen att i egenskap av fördragens väktare se till att medlemsstaterna fullgör sina rättsliga skyldigheter och att i slutändan vidta rättsliga åtgärder mot eventuella överträdelser av de rättsliga skyldigheterna från medlemsstaternas sida.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Europaparlamentet uppmanar eftertryckligen den ungerska regeringen att, som en prioriterad fråga, besluta att inte frånträda Romstadgan.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Arkadiusz Mularczyk, 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Europaparlamentet uppmanar eftertryckligen den ungerska regeringen att, som en prioriterad fråga, besluta att inte frånträda Romstadgan.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uppmanar eftertryckligen den ungerska regeringen att</w:t>
            </w:r>
            <w:r>
              <w:rPr>
                <w:b/>
                <w:i/>
              </w:rPr>
              <w:t>, som en prioriterad fråga, besluta att inte frånträda</w:t>
            </w:r>
            <w:r>
              <w:t xml:space="preserve"> Romstadgan.</w:t>
            </w:r>
          </w:p>
        </w:tc>
        <w:tc>
          <w:tcPr>
            <w:tcW w:w="4876" w:type="dxa"/>
            <w:tcBorders>
              <w:top w:val="nil"/>
              <w:left w:val="nil"/>
              <w:bottom w:val="nil"/>
              <w:right w:val="nil"/>
            </w:tcBorders>
          </w:tcPr>
          <w:p>
            <w:pPr>
              <w:pStyle w:val="Normal6a"/>
            </w:pPr>
            <w:r>
              <w:t>11.</w:t>
            </w:r>
            <w:r>
              <w:tab/>
            </w:r>
            <w:r>
              <w:t xml:space="preserve">Europaparlamentet </w:t>
            </w:r>
            <w:r>
              <w:rPr>
                <w:b/>
                <w:i/>
              </w:rPr>
              <w:t>uppmanar alla medlemsstater att, i en anda av lojalt samarbete och europeisk solidaritet, säkerställa ett fullständigt och effektivt fullgörande av sina skyldigheter enligt Romstadgan, och</w:t>
            </w:r>
            <w:r>
              <w:t xml:space="preserve"> uppmanar eftertryckligen den ungerska regeringen att </w:t>
            </w:r>
            <w:r>
              <w:rPr>
                <w:b/>
                <w:i/>
              </w:rPr>
              <w:t>ompröva sin ståndpunkt om</w:t>
            </w:r>
            <w:r>
              <w:t xml:space="preserve"> Romstadgan </w:t>
            </w:r>
            <w:r>
              <w:rPr>
                <w:b/>
                <w:i/>
              </w:rPr>
              <w:t>för att garantera ett konsekvent och enhetligt svar från unionen på allvarliga kränkningar av internationell rätt</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w:t>
            </w:r>
            <w:r>
              <w:rPr>
                <w:b/>
                <w:i/>
              </w:rPr>
              <w:t>uppmanar eftertryckligen den ungerska regeringen att, som en prioriterad fråga, besluta att inte</w:t>
            </w:r>
            <w:r>
              <w:t xml:space="preserve"> frånträda Romstadgan.</w:t>
            </w:r>
          </w:p>
        </w:tc>
        <w:tc>
          <w:tcPr>
            <w:tcW w:w="4876" w:type="dxa"/>
            <w:tcBorders>
              <w:top w:val="nil"/>
              <w:left w:val="nil"/>
              <w:bottom w:val="nil"/>
              <w:right w:val="nil"/>
            </w:tcBorders>
          </w:tcPr>
          <w:p>
            <w:pPr>
              <w:pStyle w:val="Normal6a"/>
            </w:pPr>
            <w:r>
              <w:t>11.</w:t>
            </w:r>
            <w:r>
              <w:tab/>
            </w:r>
            <w:r>
              <w:t xml:space="preserve">Europaparlamentet </w:t>
            </w:r>
            <w:r>
              <w:rPr>
                <w:b/>
                <w:i/>
              </w:rPr>
              <w:t>välkomnar Ungerns beslut att dra tillbaka sin anmälan om att</w:t>
            </w:r>
            <w:r>
              <w:t xml:space="preserve"> frånträda Romstadgan </w:t>
            </w:r>
            <w:r>
              <w:rPr>
                <w:b/>
                <w:i/>
              </w:rPr>
              <w:t>med omedelbar verkan, vilket Ungerns regering formellt anmälde till FN:s generalsekreterare den 29 maj 2026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w:t>
            </w:r>
            <w:r>
              <w:rPr>
                <w:b/>
                <w:i/>
              </w:rPr>
              <w:t>uppmanar eftertryckligen</w:t>
            </w:r>
            <w:r>
              <w:t xml:space="preserve"> den ungerska </w:t>
            </w:r>
            <w:r>
              <w:rPr>
                <w:b/>
                <w:i/>
              </w:rPr>
              <w:t>regeringen att, som en prioriterad fråga, besluta att inte</w:t>
            </w:r>
            <w:r>
              <w:t xml:space="preserve"> frånträda Romstadgan.</w:t>
            </w:r>
          </w:p>
        </w:tc>
        <w:tc>
          <w:tcPr>
            <w:tcW w:w="4876" w:type="dxa"/>
            <w:tcBorders>
              <w:top w:val="nil"/>
              <w:left w:val="nil"/>
              <w:bottom w:val="nil"/>
              <w:right w:val="nil"/>
            </w:tcBorders>
          </w:tcPr>
          <w:p>
            <w:pPr>
              <w:pStyle w:val="Normal6a"/>
            </w:pPr>
            <w:r>
              <w:t>11.</w:t>
            </w:r>
            <w:r>
              <w:tab/>
            </w:r>
            <w:r>
              <w:t xml:space="preserve">Europaparlamentet </w:t>
            </w:r>
            <w:r>
              <w:rPr>
                <w:b/>
                <w:i/>
              </w:rPr>
              <w:t>välkomnar</w:t>
            </w:r>
            <w:r>
              <w:t xml:space="preserve"> den ungerska </w:t>
            </w:r>
            <w:r>
              <w:rPr>
                <w:b/>
                <w:i/>
              </w:rPr>
              <w:t>nationalförsamlingens omröstning den 27 maj 2026 om att Ungern inte ska</w:t>
            </w:r>
            <w:r>
              <w:t xml:space="preserve"> frånträda Romstadgan </w:t>
            </w:r>
            <w:r>
              <w:rPr>
                <w:b/>
                <w:i/>
              </w:rPr>
              <w:t>och därmed förbli statspart i ICC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w:t>
            </w:r>
            <w:r>
              <w:rPr>
                <w:b/>
                <w:i/>
              </w:rPr>
              <w:t>uppmanar eftertryckligen</w:t>
            </w:r>
            <w:r>
              <w:t xml:space="preserve"> den ungerska </w:t>
            </w:r>
            <w:r>
              <w:rPr>
                <w:b/>
                <w:i/>
              </w:rPr>
              <w:t>regeringen att, som en prioriterad fråga, besluta att inte frånträda</w:t>
            </w:r>
            <w:r>
              <w:t xml:space="preserve"> Romstadgan.</w:t>
            </w:r>
          </w:p>
        </w:tc>
        <w:tc>
          <w:tcPr>
            <w:tcW w:w="4876" w:type="dxa"/>
            <w:tcBorders>
              <w:top w:val="nil"/>
              <w:left w:val="nil"/>
              <w:bottom w:val="nil"/>
              <w:right w:val="nil"/>
            </w:tcBorders>
          </w:tcPr>
          <w:p>
            <w:pPr>
              <w:pStyle w:val="Normal6a"/>
            </w:pPr>
            <w:r>
              <w:t>11.</w:t>
            </w:r>
            <w:r>
              <w:tab/>
            </w:r>
            <w:r>
              <w:t xml:space="preserve">Europaparlamentet </w:t>
            </w:r>
            <w:r>
              <w:rPr>
                <w:b/>
                <w:i/>
              </w:rPr>
              <w:t>välkomnar</w:t>
            </w:r>
            <w:r>
              <w:t xml:space="preserve"> den ungerska </w:t>
            </w:r>
            <w:r>
              <w:rPr>
                <w:b/>
                <w:i/>
              </w:rPr>
              <w:t>regeringens beslut att betrakta sin ståndpunkt om</w:t>
            </w:r>
            <w:r>
              <w:t xml:space="preserve"> Romstadgan </w:t>
            </w:r>
            <w:r>
              <w:rPr>
                <w:b/>
                <w:i/>
              </w:rPr>
              <w:t>som ett legitimt utövande av den nationella suveräniteten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w:t>
            </w:r>
            <w:r>
              <w:rPr>
                <w:b/>
                <w:i/>
              </w:rPr>
              <w:t>uppmanar eftertryckligen</w:t>
            </w:r>
            <w:r>
              <w:t xml:space="preserve"> den ungerska </w:t>
            </w:r>
            <w:r>
              <w:rPr>
                <w:b/>
                <w:i/>
              </w:rPr>
              <w:t>regeringen</w:t>
            </w:r>
            <w:r>
              <w:t xml:space="preserve"> att, som en prioriterad fråga, </w:t>
            </w:r>
            <w:r>
              <w:rPr>
                <w:b/>
                <w:i/>
              </w:rPr>
              <w:t>besluta att</w:t>
            </w:r>
            <w:r>
              <w:t xml:space="preserve"> inte frånträda Romstadgan.</w:t>
            </w:r>
          </w:p>
        </w:tc>
        <w:tc>
          <w:tcPr>
            <w:tcW w:w="4876" w:type="dxa"/>
            <w:tcBorders>
              <w:top w:val="nil"/>
              <w:left w:val="nil"/>
              <w:bottom w:val="nil"/>
              <w:right w:val="nil"/>
            </w:tcBorders>
          </w:tcPr>
          <w:p>
            <w:pPr>
              <w:pStyle w:val="Normal6a"/>
            </w:pPr>
            <w:r>
              <w:t>11.</w:t>
            </w:r>
            <w:r>
              <w:tab/>
            </w:r>
            <w:r>
              <w:t xml:space="preserve">Europaparlamentet </w:t>
            </w:r>
            <w:r>
              <w:rPr>
                <w:b/>
                <w:i/>
              </w:rPr>
              <w:t>välkomnar</w:t>
            </w:r>
            <w:r>
              <w:t xml:space="preserve"> den ungerska </w:t>
            </w:r>
            <w:r>
              <w:rPr>
                <w:b/>
                <w:i/>
              </w:rPr>
              <w:t>regeringens beslut</w:t>
            </w:r>
            <w:r>
              <w:t xml:space="preserve"> att, som en prioriterad fråga, inte frånträda Romstadgan </w:t>
            </w:r>
            <w:r>
              <w:rPr>
                <w:b/>
                <w:i/>
              </w:rPr>
              <w:t>och förbli statspart i ICC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w:t>
            </w:r>
            <w:r>
              <w:rPr>
                <w:b/>
                <w:i/>
              </w:rPr>
              <w:t>uppmanar eftertryckligen</w:t>
            </w:r>
            <w:r>
              <w:t xml:space="preserve"> den ungerska </w:t>
            </w:r>
            <w:r>
              <w:rPr>
                <w:b/>
                <w:i/>
              </w:rPr>
              <w:t>regeringen</w:t>
            </w:r>
            <w:r>
              <w:t xml:space="preserve"> att, som en prioriterad fråga, </w:t>
            </w:r>
            <w:r>
              <w:rPr>
                <w:b/>
                <w:i/>
              </w:rPr>
              <w:t>besluta att</w:t>
            </w:r>
            <w:r>
              <w:t xml:space="preserve"> inte frånträda Romstadgan.</w:t>
            </w:r>
          </w:p>
        </w:tc>
        <w:tc>
          <w:tcPr>
            <w:tcW w:w="4876" w:type="dxa"/>
            <w:tcBorders>
              <w:top w:val="nil"/>
              <w:left w:val="nil"/>
              <w:bottom w:val="nil"/>
              <w:right w:val="nil"/>
            </w:tcBorders>
          </w:tcPr>
          <w:p>
            <w:pPr>
              <w:pStyle w:val="Normal6a"/>
            </w:pPr>
            <w:r>
              <w:t>11.</w:t>
            </w:r>
            <w:r>
              <w:tab/>
            </w:r>
            <w:r>
              <w:t xml:space="preserve">Europaparlamentet </w:t>
            </w:r>
            <w:r>
              <w:rPr>
                <w:b/>
                <w:i/>
              </w:rPr>
              <w:t>välkomnar</w:t>
            </w:r>
            <w:r>
              <w:t xml:space="preserve"> den ungerska </w:t>
            </w:r>
            <w:r>
              <w:rPr>
                <w:b/>
                <w:i/>
              </w:rPr>
              <w:t>regeringens beslut</w:t>
            </w:r>
            <w:r>
              <w:t xml:space="preserve"> att, som en prioriterad fråga, inte frånträda Romstadgan.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Jordan Bardella,Pierre-Romain Thionnet,Matthieu Valet,Julie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w:t>
            </w:r>
            <w:r>
              <w:rPr>
                <w:b/>
                <w:i/>
              </w:rPr>
              <w:t>uppmanar eftertryckligen den ungerska regeringen att, som en prioriterad fråga, besluta att</w:t>
            </w:r>
            <w:r>
              <w:t xml:space="preserve"> inte </w:t>
            </w:r>
            <w:r>
              <w:rPr>
                <w:b/>
                <w:i/>
              </w:rPr>
              <w:t>frånträda Romstadgan</w:t>
            </w:r>
            <w:r>
              <w:t>.</w:t>
            </w:r>
          </w:p>
        </w:tc>
        <w:tc>
          <w:tcPr>
            <w:tcW w:w="4876" w:type="dxa"/>
            <w:tcBorders>
              <w:top w:val="nil"/>
              <w:left w:val="nil"/>
              <w:bottom w:val="nil"/>
              <w:right w:val="nil"/>
            </w:tcBorders>
          </w:tcPr>
          <w:p>
            <w:pPr>
              <w:pStyle w:val="Normal6a"/>
            </w:pPr>
            <w:r>
              <w:t>11.</w:t>
            </w:r>
            <w:r>
              <w:tab/>
            </w:r>
            <w:r>
              <w:t xml:space="preserve">Europaparlamentet </w:t>
            </w:r>
            <w:r>
              <w:rPr>
                <w:b/>
                <w:i/>
              </w:rPr>
              <w:t>påminner om att det måste vara upp till varje medlemsstat att välja om den ska ansluta sig till en internationell domstol eller</w:t>
            </w:r>
            <w:r>
              <w:t xml:space="preserve"> inte.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w:t>
            </w:r>
            <w:r>
              <w:rPr>
                <w:b/>
                <w:i/>
              </w:rPr>
              <w:t>uppmanar eftertryckligen den ungerska regeringen att, som en prioriterad fråga, besluta att inte frånträda</w:t>
            </w:r>
            <w:r>
              <w:t xml:space="preserve"> Romstadgan.</w:t>
            </w:r>
          </w:p>
        </w:tc>
        <w:tc>
          <w:tcPr>
            <w:tcW w:w="4876" w:type="dxa"/>
            <w:tcBorders>
              <w:top w:val="nil"/>
              <w:left w:val="nil"/>
              <w:bottom w:val="nil"/>
              <w:right w:val="nil"/>
            </w:tcBorders>
          </w:tcPr>
          <w:p>
            <w:pPr>
              <w:pStyle w:val="Normal6a"/>
            </w:pPr>
            <w:r>
              <w:t>11.</w:t>
            </w:r>
            <w:r>
              <w:tab/>
            </w:r>
            <w:r>
              <w:t xml:space="preserve">Europaparlamentet </w:t>
            </w:r>
            <w:r>
              <w:rPr>
                <w:b/>
                <w:i/>
              </w:rPr>
              <w:t>välkomnar Ungerns beslut att avbryta sitt frånträde från</w:t>
            </w:r>
            <w:r>
              <w:t xml:space="preserve"> Romstadgan.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bekräftar Romstadgans centrala roll </w:t>
            </w:r>
            <w:r>
              <w:rPr>
                <w:b/>
                <w:i/>
              </w:rPr>
              <w:t>i ICC</w:t>
            </w:r>
            <w:r>
              <w:t xml:space="preserve"> och uppmanar </w:t>
            </w:r>
            <w:r>
              <w:rPr>
                <w:b/>
                <w:i/>
              </w:rPr>
              <w:t>Europeiska</w:t>
            </w:r>
            <w:r>
              <w:t xml:space="preserve"> rådet </w:t>
            </w:r>
            <w:r>
              <w:rPr>
                <w:b/>
                <w:i/>
              </w:rPr>
              <w:t>att verka för att</w:t>
            </w:r>
            <w:r>
              <w:t xml:space="preserve"> den </w:t>
            </w:r>
            <w:r>
              <w:rPr>
                <w:b/>
                <w:i/>
              </w:rPr>
              <w:t>uttryckligen införlivas i EU:s regelverk</w:t>
            </w:r>
            <w:r>
              <w:t>.</w:t>
            </w:r>
          </w:p>
        </w:tc>
        <w:tc>
          <w:tcPr>
            <w:tcW w:w="4876" w:type="dxa"/>
            <w:tcBorders>
              <w:top w:val="nil"/>
              <w:left w:val="nil"/>
              <w:bottom w:val="nil"/>
              <w:right w:val="nil"/>
            </w:tcBorders>
          </w:tcPr>
          <w:p>
            <w:pPr>
              <w:pStyle w:val="Normal6a"/>
            </w:pPr>
            <w:r>
              <w:t>12.</w:t>
            </w:r>
            <w:r>
              <w:tab/>
            </w:r>
            <w:r>
              <w:t xml:space="preserve">Europaparlamentet bekräftar Romstadgans centrala roll </w:t>
            </w:r>
            <w:r>
              <w:rPr>
                <w:b/>
                <w:i/>
              </w:rPr>
              <w:t>för det internationella rättssystemet</w:t>
            </w:r>
            <w:r>
              <w:t xml:space="preserve"> och uppmanar rådet </w:t>
            </w:r>
            <w:r>
              <w:rPr>
                <w:b/>
                <w:i/>
              </w:rPr>
              <w:t>och medlemsstaterna att förankra stödet för Internationella brottmålsdomstolen och Romstadgans integritet och universalitet strukturellt i unionens yttre åtgärder, bland annat genom att konsekvent återspegla</w:t>
            </w:r>
            <w:r>
              <w:t xml:space="preserve"> den </w:t>
            </w:r>
            <w:r>
              <w:rPr>
                <w:b/>
                <w:i/>
              </w:rPr>
              <w:t>i unionens politik, avtal med tredjeländer och anslutningsprocesser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bekräftar </w:t>
            </w:r>
            <w:r>
              <w:rPr>
                <w:b/>
                <w:i/>
              </w:rPr>
              <w:t>Romstadgans centrala roll i ICC och uppmanar</w:t>
            </w:r>
            <w:r>
              <w:t xml:space="preserve"> Europeiska </w:t>
            </w:r>
            <w:r>
              <w:rPr>
                <w:b/>
                <w:i/>
              </w:rPr>
              <w:t>rådet att verka för att den uttryckligen införlivas</w:t>
            </w:r>
            <w:r>
              <w:t xml:space="preserve"> i EU:s regelverk.</w:t>
            </w:r>
          </w:p>
        </w:tc>
        <w:tc>
          <w:tcPr>
            <w:tcW w:w="4876" w:type="dxa"/>
            <w:tcBorders>
              <w:top w:val="nil"/>
              <w:left w:val="nil"/>
              <w:bottom w:val="nil"/>
              <w:right w:val="nil"/>
            </w:tcBorders>
          </w:tcPr>
          <w:p>
            <w:pPr>
              <w:pStyle w:val="Normal6a"/>
            </w:pPr>
            <w:r>
              <w:t>12.</w:t>
            </w:r>
            <w:r>
              <w:tab/>
            </w:r>
            <w:r>
              <w:t xml:space="preserve">Europaparlamentet bekräftar </w:t>
            </w:r>
            <w:r>
              <w:rPr>
                <w:b/>
                <w:i/>
              </w:rPr>
              <w:t>att Romstadgan är ett fördrag som ingåtts av suveräna stater och inte av</w:t>
            </w:r>
            <w:r>
              <w:t xml:space="preserve"> Europeiska </w:t>
            </w:r>
            <w:r>
              <w:rPr>
                <w:b/>
                <w:i/>
              </w:rPr>
              <w:t>unionen.</w:t>
            </w:r>
            <w:r>
              <w:t xml:space="preserve"> </w:t>
            </w:r>
            <w:r>
              <w:rPr>
                <w:b/>
                <w:i/>
              </w:rPr>
              <w:t>Parlamentet anser att dess införlivande</w:t>
            </w:r>
            <w:r>
              <w:t xml:space="preserve"> i EU:s regelverk </w:t>
            </w:r>
            <w:r>
              <w:rPr>
                <w:b/>
                <w:i/>
              </w:rPr>
              <w:t>skulle gå utöver de befogenheter som EU tilldelats genom fördragen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bekräftar Romstadgans centrala roll i ICC och uppmanar Europeiska rådet att </w:t>
            </w:r>
            <w:r>
              <w:rPr>
                <w:b/>
                <w:i/>
              </w:rPr>
              <w:t>verka för att den uttryckligen införlivas</w:t>
            </w:r>
            <w:r>
              <w:t xml:space="preserve"> i EU:s regelverk.</w:t>
            </w:r>
          </w:p>
        </w:tc>
        <w:tc>
          <w:tcPr>
            <w:tcW w:w="4876" w:type="dxa"/>
            <w:tcBorders>
              <w:top w:val="nil"/>
              <w:left w:val="nil"/>
              <w:bottom w:val="nil"/>
              <w:right w:val="nil"/>
            </w:tcBorders>
          </w:tcPr>
          <w:p>
            <w:pPr>
              <w:pStyle w:val="Normal6a"/>
            </w:pPr>
            <w:r>
              <w:t>12.</w:t>
            </w:r>
            <w:r>
              <w:tab/>
            </w:r>
            <w:r>
              <w:t xml:space="preserve">Europaparlamentet bekräftar Romstadgans centrala roll i ICC och uppmanar Europeiska rådet att </w:t>
            </w:r>
            <w:r>
              <w:rPr>
                <w:b/>
                <w:i/>
              </w:rPr>
              <w:t>undersöka olika sätt att stärka unionens politiska och ekonomiska stöd till ICC, även</w:t>
            </w:r>
            <w:r>
              <w:t xml:space="preserve"> i EU:s regelverk</w:t>
            </w:r>
            <w:r>
              <w:rPr>
                <w:b/>
                <w:i/>
              </w:rPr>
              <w:t>, med full respekt för principerna om tilldelade befogenheter och subsidiaritet i fördragen</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w:t>
            </w:r>
            <w:r>
              <w:rPr>
                <w:b/>
                <w:i/>
              </w:rPr>
              <w:t>bekräftar Romstadgans</w:t>
            </w:r>
            <w:r>
              <w:t xml:space="preserve"> centrala </w:t>
            </w:r>
            <w:r>
              <w:rPr>
                <w:b/>
                <w:i/>
              </w:rPr>
              <w:t>roll i</w:t>
            </w:r>
            <w:r>
              <w:t xml:space="preserve"> ICC och </w:t>
            </w:r>
            <w:r>
              <w:rPr>
                <w:b/>
                <w:i/>
              </w:rPr>
              <w:t>uppmanar Europeiska rådet att verka</w:t>
            </w:r>
            <w:r>
              <w:t xml:space="preserve"> för att </w:t>
            </w:r>
            <w:r>
              <w:rPr>
                <w:b/>
                <w:i/>
              </w:rPr>
              <w:t>den uttryckligen införlivas i EU:s regelverk</w:t>
            </w:r>
            <w:r>
              <w:t>.</w:t>
            </w:r>
          </w:p>
        </w:tc>
        <w:tc>
          <w:tcPr>
            <w:tcW w:w="4876" w:type="dxa"/>
            <w:tcBorders>
              <w:top w:val="nil"/>
              <w:left w:val="nil"/>
              <w:bottom w:val="nil"/>
              <w:right w:val="nil"/>
            </w:tcBorders>
          </w:tcPr>
          <w:p>
            <w:pPr>
              <w:pStyle w:val="Normal6a"/>
            </w:pPr>
            <w:r>
              <w:t>12.</w:t>
            </w:r>
            <w:r>
              <w:tab/>
            </w:r>
            <w:r>
              <w:t xml:space="preserve">Europaparlamentet </w:t>
            </w:r>
            <w:r>
              <w:rPr>
                <w:b/>
                <w:i/>
              </w:rPr>
              <w:t>påminner om att principen om komplementaritet är den</w:t>
            </w:r>
            <w:r>
              <w:t xml:space="preserve"> centrala </w:t>
            </w:r>
            <w:r>
              <w:rPr>
                <w:b/>
                <w:i/>
              </w:rPr>
              <w:t>pelaren i Romstadgan och</w:t>
            </w:r>
            <w:r>
              <w:t xml:space="preserve"> ICC och </w:t>
            </w:r>
            <w:r>
              <w:rPr>
                <w:b/>
                <w:i/>
              </w:rPr>
              <w:t>säkerställer att det primära ansvaret</w:t>
            </w:r>
            <w:r>
              <w:t xml:space="preserve"> för att </w:t>
            </w:r>
            <w:r>
              <w:rPr>
                <w:b/>
                <w:i/>
              </w:rPr>
              <w:t>lagföra internationella brott ligger kvar hos enskilda stater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bekräftar Romstadgans centrala roll </w:t>
            </w:r>
            <w:r>
              <w:rPr>
                <w:b/>
                <w:i/>
              </w:rPr>
              <w:t>i</w:t>
            </w:r>
            <w:r>
              <w:t xml:space="preserve"> ICC och uppmanar </w:t>
            </w:r>
            <w:r>
              <w:rPr>
                <w:b/>
                <w:i/>
              </w:rPr>
              <w:t>Europeiska rådet att verka för att den uttryckligen införlivas i EU:s regelverk</w:t>
            </w:r>
            <w:r>
              <w:t>.</w:t>
            </w:r>
          </w:p>
        </w:tc>
        <w:tc>
          <w:tcPr>
            <w:tcW w:w="4876" w:type="dxa"/>
            <w:tcBorders>
              <w:top w:val="nil"/>
              <w:left w:val="nil"/>
              <w:bottom w:val="nil"/>
              <w:right w:val="nil"/>
            </w:tcBorders>
          </w:tcPr>
          <w:p>
            <w:pPr>
              <w:pStyle w:val="Normal6a"/>
            </w:pPr>
            <w:r>
              <w:t>12.</w:t>
            </w:r>
            <w:r>
              <w:tab/>
            </w:r>
            <w:r>
              <w:t xml:space="preserve">Europaparlamentet bekräftar Romstadgans centrala roll </w:t>
            </w:r>
            <w:r>
              <w:rPr>
                <w:b/>
                <w:i/>
              </w:rPr>
              <w:t>för</w:t>
            </w:r>
            <w:r>
              <w:t xml:space="preserve"> ICC och uppmanar </w:t>
            </w:r>
            <w:r>
              <w:rPr>
                <w:b/>
                <w:i/>
              </w:rPr>
              <w:t>EU och medlemsstaterna att främja dess universalitet och ett fullständigt och konsekvent genomförande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Arkadiusz Mularczyk, 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bekräftar Romstadgans centrala roll i ICC </w:t>
            </w:r>
            <w:r>
              <w:rPr>
                <w:b/>
                <w:i/>
              </w:rPr>
              <w:t>och uppmanar Europeiska rådet att verka för att den uttryckligen införlivas i EU:s regelverk</w:t>
            </w:r>
            <w:r>
              <w:t>.</w:t>
            </w:r>
          </w:p>
        </w:tc>
        <w:tc>
          <w:tcPr>
            <w:tcW w:w="4876" w:type="dxa"/>
            <w:tcBorders>
              <w:top w:val="nil"/>
              <w:left w:val="nil"/>
              <w:bottom w:val="nil"/>
              <w:right w:val="nil"/>
            </w:tcBorders>
          </w:tcPr>
          <w:p>
            <w:pPr>
              <w:pStyle w:val="Normal6a"/>
            </w:pPr>
            <w:r>
              <w:t>12.</w:t>
            </w:r>
            <w:r>
              <w:tab/>
            </w:r>
            <w:r>
              <w:t>Europaparlamentet bekräftar Romstadgans centrala roll i ICC</w:t>
            </w:r>
            <w:r>
              <w:rPr>
                <w:b/>
                <w:i/>
              </w:rPr>
              <w:t>.</w:t>
            </w:r>
            <w:r>
              <w:t xml:space="preserve"> </w:t>
            </w:r>
            <w:r>
              <w:rPr>
                <w:b/>
                <w:i/>
              </w:rPr>
              <w:t>Parlamentet betonar att anslutning till Romstadgan fortfarande är ett suveränt beslut för varje stat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Europaparlamentet uppmanar kommissionen och medlemsstaterna att öka sina ansträngningar att främja Romstadgans universalitet och uppmuntra tredjeländer att ansluta sig, bland annat genom politisk dialog, parlamentarisk diplomati och integrering av stöd för internationell rättskipning i EU:s instrument för yttre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Europaparlamentet betonar att ICC:s rättstillämpare spelar en viktig roll för att säkerställa ansvarsskyldighet för de allvarligaste brotten som angår det internationella samfundet.</w:t>
            </w:r>
            <w:r>
              <w:t xml:space="preserve"> </w:t>
            </w:r>
            <w:r>
              <w:rPr>
                <w:b/>
                <w:i/>
              </w:rPr>
              <w:t>Parlamentet påminner om att varje sanktion eller restriktiv åtgärd mot enskilda personer, i enlighet med rättsstatens principer och principen om ett korrekt rättsförfarande, bör baseras på en oberoende rättslig utredning och ett rättsligt fastställande av ansvar, och inte enbart på politiska beslut.</w:t>
            </w:r>
            <w:r>
              <w:t xml:space="preserve"> </w:t>
            </w:r>
            <w:r>
              <w:rPr>
                <w:b/>
                <w:i/>
              </w:rPr>
              <w:t>Parlamentet betonar att de måste skyddas mot alla former av repressalier, hot eller otillbörlig inblandning och kunna utföra sina uppgifter på ett oberoende sätt och utan rädsla.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Europaparlamentet uppmanar medlemsstaterna att föreslå ICC för Nobels fredspris, som ett erkännande av dess viktiga roll i att försvara internationell rätt, bekämpa strafflöshet och säkerställa ansvarsskyldighet för de allvarligaste brotten.</w:t>
            </w:r>
            <w:r>
              <w:t xml:space="preserve"> </w:t>
            </w:r>
            <w:r>
              <w:rPr>
                <w:b/>
                <w:i/>
              </w:rPr>
              <w:t>Parlamentet uppmanar vidare till att tilldela den europeiska förtjänstorden till ICC:s tjänstemän, domare, åklagare och personal, som utsätts för hot, trakasserier och tvångsåtgärder till följd av sitt arbete, som en stark politisk signal om stöd för den internationella rättskipningens oberoende.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Europaparlamentet uppmanar kommissionen och medlemsstaterna att säkerställa förutsägbart, tillräckligt och långsiktigt ekonomiskt stöd till ICC och andra internationella rättskipande institutioner.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Europaparlamentet uppmanar medlemsstaterna att öka och upprätthålla sina frivilliga bidrag till brottsofferfonden, bland annat genom finansiering av utveckling och samarbete.</w:t>
            </w:r>
            <w:r>
              <w:t xml:space="preserve"> </w:t>
            </w:r>
            <w:r>
              <w:rPr>
                <w:b/>
                <w:i/>
              </w:rPr>
              <w:t>Parlamentet påminner om att bidrag till brottsofferfonden är berättigade som offentligt utvecklingsbistånd.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Europaparlamentet beklagar djupt att tvångsmedel från länder utanför EU och det trovärdiga hotet om sådana åtgärder mot aktörer inom internationell rättskipning avleder institutionella och mänskliga resurser från det centrala arbetet med utredningar, åtal, skydd av vittnen och brottsoffer samt dokumentation, har hämmande verkan, inbegripet självcensur bland institutioner och organisationer i det civila samhället, och äventyrar spårbarhetskedjan, integriteten och tillåtligheten för bevis som samlas in för användning i förfaranden.</w:t>
            </w:r>
          </w:p>
        </w:tc>
        <w:tc>
          <w:tcPr>
            <w:tcW w:w="4876" w:type="dxa"/>
            <w:tcBorders>
              <w:top w:val="nil"/>
              <w:left w:val="nil"/>
              <w:bottom w:val="nil"/>
              <w:right w:val="nil"/>
            </w:tcBorders>
          </w:tcPr>
          <w:p>
            <w:pPr>
              <w:pStyle w:val="Normal6a"/>
            </w:pPr>
            <w:r>
              <w:t>13.</w:t>
            </w:r>
            <w:r>
              <w:tab/>
            </w:r>
            <w:r>
              <w:t>Europaparlamentet beklagar djupt att tvångsmedel från länder utanför EU och det trovärdiga hotet om sådana åtgärder mot aktörer inom internationell rättskipning avleder institutionella och mänskliga resurser från det centrala arbetet med utredningar</w:t>
            </w:r>
            <w:r>
              <w:rPr>
                <w:b/>
                <w:i/>
              </w:rPr>
              <w:t>, tillhandahållande av juridiska tjänster</w:t>
            </w:r>
            <w:r>
              <w:t>, åtal, skydd av vittnen och brottsoffer samt dokumentation, har hämmande verkan, inbegripet självcensur bland institutioner och organisationer i det civila samhället, och äventyrar spårbarhetskedjan, integriteten och tillåtligheten för bevis som samlas in för användning i förfaranden.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Europaparlamentet beklagar djupt att tvångsmedel från länder </w:t>
            </w:r>
            <w:r>
              <w:rPr>
                <w:b/>
                <w:i/>
              </w:rPr>
              <w:t>utanför EU</w:t>
            </w:r>
            <w:r>
              <w:t xml:space="preserve"> och det trovärdiga hotet om sådana åtgärder mot aktörer inom internationell rättskipning avleder institutionella och mänskliga resurser från det centrala arbetet med utredningar, åtal, skydd av vittnen och brottsoffer samt dokumentation, har hämmande verkan, inbegripet självcensur bland institutioner och organisationer i det civila samhället, och äventyrar spårbarhetskedjan, integriteten och tillåtligheten för bevis som samlas in för användning i förfaranden.</w:t>
            </w:r>
          </w:p>
        </w:tc>
        <w:tc>
          <w:tcPr>
            <w:tcW w:w="4876" w:type="dxa"/>
            <w:tcBorders>
              <w:top w:val="nil"/>
              <w:left w:val="nil"/>
              <w:bottom w:val="nil"/>
              <w:right w:val="nil"/>
            </w:tcBorders>
          </w:tcPr>
          <w:p>
            <w:pPr>
              <w:pStyle w:val="Normal6a"/>
            </w:pPr>
            <w:r>
              <w:t>13.</w:t>
            </w:r>
            <w:r>
              <w:tab/>
            </w:r>
            <w:r>
              <w:t xml:space="preserve">Europaparlamentet beklagar djupt att tvångsmedel från </w:t>
            </w:r>
            <w:r>
              <w:rPr>
                <w:b/>
                <w:i/>
              </w:rPr>
              <w:t>fientliga</w:t>
            </w:r>
            <w:r>
              <w:t xml:space="preserve"> länder och det trovärdiga hotet om sådana åtgärder mot aktörer inom internationell rättskipning avleder institutionella och mänskliga resurser från det centrala arbetet med utredningar, åtal, skydd av vittnen och brottsoffer samt dokumentation, har hämmande verkan, inbegripet självcensur bland institutioner och organisationer i det civila samhället, och äventyrar spårbarhetskedjan, integriteten och tillåtligheten för bevis som samlas in för användning i förfaranden.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Europaparlamentet uppmanar medlemsstaterna att fullt ut utnyttja principerna om universell jurisdiktion och komplementaritet för att utreda och lagföra centrala internationella brott vid nationella domstolar, och att stärka EU:s nätverk för utredning och lagföring av folkmord, brott mot mänskligheten och krigsförbrytelser (nätverket mot folkmord) inom Eurojust, utan att skapa nya strukturer.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Europaparlamentet betonar att det inte kan bli någon varaktig fred i någon konflikt utan ansvarsskyldighet för krigsförbrytelser, brott mot mänskligheten och andra allvarliga kränkningar av de mänskliga rättigheterna som begåtts av alla parter.</w:t>
            </w:r>
            <w:r>
              <w:t xml:space="preserve"> </w:t>
            </w:r>
            <w:r>
              <w:rPr>
                <w:b/>
                <w:i/>
              </w:rPr>
              <w:t>Parlamentet uppmanar EU och dess medlemsstater att stödja oberoende utredningar, bevarande av bevis och rättsliga förfaranden, bland annat genom universell jurisdiktion i tillämpliga fall.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Europaparlamentet erkänner att möjligheten att vända sig till nationella domstolar i andra länder genom universell eller extraterritoriell jurisdiktion kan bidra till att bekämpa strafflöshet för de allvarligaste brotten.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Europaparlamentet uppmanar kommissionen att </w:t>
            </w:r>
            <w:r>
              <w:rPr>
                <w:b/>
                <w:i/>
              </w:rPr>
              <w:t>föreslå en uppdatering av</w:t>
            </w:r>
            <w:r>
              <w:t xml:space="preserve"> Europols mandat </w:t>
            </w:r>
            <w:r>
              <w:rPr>
                <w:b/>
                <w:i/>
              </w:rPr>
              <w:t>så att</w:t>
            </w:r>
            <w:r>
              <w:t xml:space="preserve"> ICC:s arresteringsorder </w:t>
            </w:r>
            <w:r>
              <w:rPr>
                <w:b/>
                <w:i/>
              </w:rPr>
              <w:t>automatiskt överförs till och genomförs av den verkställande staten</w:t>
            </w:r>
            <w:r>
              <w:t xml:space="preserve">. Parlamentet begär att Europols immunitetssystem </w:t>
            </w:r>
            <w:r>
              <w:rPr>
                <w:b/>
                <w:i/>
              </w:rPr>
              <w:t>anpassas</w:t>
            </w:r>
            <w:r>
              <w:t xml:space="preserve"> till artikel 27 i Romstadgan.</w:t>
            </w:r>
          </w:p>
        </w:tc>
        <w:tc>
          <w:tcPr>
            <w:tcW w:w="4876" w:type="dxa"/>
            <w:tcBorders>
              <w:top w:val="nil"/>
              <w:left w:val="nil"/>
              <w:bottom w:val="nil"/>
              <w:right w:val="nil"/>
            </w:tcBorders>
          </w:tcPr>
          <w:p>
            <w:pPr>
              <w:pStyle w:val="Normal6a"/>
            </w:pPr>
            <w:r>
              <w:t>15.</w:t>
            </w:r>
            <w:r>
              <w:tab/>
            </w:r>
            <w:r>
              <w:t xml:space="preserve">Europaparlamentet uppmanar kommissionen att </w:t>
            </w:r>
            <w:r>
              <w:rPr>
                <w:b/>
                <w:i/>
              </w:rPr>
              <w:t>bedöma möjligheten att uppdatera</w:t>
            </w:r>
            <w:r>
              <w:t xml:space="preserve"> Europols mandat </w:t>
            </w:r>
            <w:r>
              <w:rPr>
                <w:b/>
                <w:i/>
              </w:rPr>
              <w:t>för att underlätta ett snabbt och säkert informationsutbyte om</w:t>
            </w:r>
            <w:r>
              <w:t xml:space="preserve"> ICC:s arresteringsorder</w:t>
            </w:r>
            <w:r>
              <w:rPr>
                <w:b/>
                <w:i/>
              </w:rPr>
              <w:t>, i strikt överensstämmelse med grundläggande förfarandegarantier, nationell rättslig kontroll och befogenheterna för medlemsstaternas rättsliga myndigheter</w:t>
            </w:r>
            <w:r>
              <w:t xml:space="preserve">. Parlamentet begär att Europols immunitetssystem </w:t>
            </w:r>
            <w:r>
              <w:rPr>
                <w:b/>
                <w:i/>
              </w:rPr>
              <w:t>ska bedömas i förhållande</w:t>
            </w:r>
            <w:r>
              <w:t xml:space="preserve"> till artikel 27 i Romstadgan.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Europaparlamentet </w:t>
            </w:r>
            <w:r>
              <w:rPr>
                <w:b/>
                <w:i/>
              </w:rPr>
              <w:t>uppmanar kommissionen att föreslå en uppdatering av Europols</w:t>
            </w:r>
            <w:r>
              <w:t xml:space="preserve"> mandat </w:t>
            </w:r>
            <w:r>
              <w:rPr>
                <w:b/>
                <w:i/>
              </w:rPr>
              <w:t>så att</w:t>
            </w:r>
            <w:r>
              <w:t xml:space="preserve"> ICC:s arresteringsorder </w:t>
            </w:r>
            <w:r>
              <w:rPr>
                <w:b/>
                <w:i/>
              </w:rPr>
              <w:t>automatiskt överförs till och genomförs av den verkställande staten.</w:t>
            </w:r>
            <w:r>
              <w:t xml:space="preserve"> </w:t>
            </w:r>
            <w:r>
              <w:rPr>
                <w:b/>
                <w:i/>
              </w:rPr>
              <w:t>Parlamentet begär att Europols immunitetssystem anpassas till artikel 27 i Romstadgan</w:t>
            </w:r>
            <w:r>
              <w:t>.</w:t>
            </w:r>
          </w:p>
        </w:tc>
        <w:tc>
          <w:tcPr>
            <w:tcW w:w="4876" w:type="dxa"/>
            <w:tcBorders>
              <w:top w:val="nil"/>
              <w:left w:val="nil"/>
              <w:bottom w:val="nil"/>
              <w:right w:val="nil"/>
            </w:tcBorders>
          </w:tcPr>
          <w:p>
            <w:pPr>
              <w:pStyle w:val="Normal6a"/>
            </w:pPr>
            <w:r>
              <w:t>15.</w:t>
            </w:r>
            <w:r>
              <w:tab/>
            </w:r>
            <w:r>
              <w:t xml:space="preserve">Europaparlamentet </w:t>
            </w:r>
            <w:r>
              <w:rPr>
                <w:b/>
                <w:i/>
              </w:rPr>
              <w:t>efterlyser förstärkt samarbete, inom ramen för befintliga</w:t>
            </w:r>
            <w:r>
              <w:t xml:space="preserve"> mandat</w:t>
            </w:r>
            <w:r>
              <w:rPr>
                <w:b/>
                <w:i/>
              </w:rPr>
              <w:t>, för att stödja ett snabbt översändande och verkställande av</w:t>
            </w:r>
            <w:r>
              <w:t xml:space="preserve"> ICC:s arresteringsorder </w:t>
            </w:r>
            <w:r>
              <w:rPr>
                <w:b/>
                <w:i/>
              </w:rPr>
              <w:t>från de behöriga nationella myndigheternas sida, med full respekt för nationella rättsliga förfaranden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Europaparlamentet bekräftar på nytt att alla statsparter i Romstadgan är rättsligt skyldiga att gripa personer som omfattas av ICC:s arresteringsorder.</w:t>
            </w:r>
            <w:r>
              <w:t xml:space="preserve"> </w:t>
            </w:r>
            <w:r>
              <w:rPr>
                <w:b/>
                <w:i/>
              </w:rPr>
              <w:t>Parlamentet påminner om de arresteringsorder som utfärdats mot Rysslands president Vladimir Putin och den ryska kommissarien för barns rättigheter Maria Lvova-Belova för brott som begåtts i Ukraina.</w:t>
            </w:r>
            <w:r>
              <w:t xml:space="preserve"> </w:t>
            </w:r>
            <w:r>
              <w:rPr>
                <w:b/>
                <w:i/>
              </w:rPr>
              <w:t>Parlamentet fördömer vissa statsparters underlåtenhet att verkställa dessa arresteringsorder.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Europaparlamentet betonar att underlåtenheten att verkställa arresteringsorder för allvarliga kränkningar av rätten till liv, bland annat i fallen Tassos Isaak och Solomos Solomou, utgör ett fortsatt misslyckande med att utkräva ansvar.</w:t>
            </w:r>
            <w:r>
              <w:t xml:space="preserve"> </w:t>
            </w:r>
            <w:r>
              <w:rPr>
                <w:b/>
                <w:i/>
              </w:rPr>
              <w:t>Europaparlamentet efterlyser förnyade ansträngningar för att se till att de ansvariga ställs inför rätta utan ytterligare dröjsmål.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Europaparlamentet uppmanar kommissionen, medlemsstaterna, Europol, Eurojust och, i lämpliga fall, Interpol att undersöka praktiska mekanismer för att ta itu med brister i ansvarsutkrävandet inom territorier eller områden där internationellt polissamarbete inte kan fungera effektivt på grund av olösta statusfrågor, icke-erkännande eller avsaknad av erkända kanaler för rättsligt samarbete och polissamarbete.</w:t>
            </w:r>
            <w:r>
              <w:t xml:space="preserve"> </w:t>
            </w:r>
            <w:r>
              <w:rPr>
                <w:b/>
                <w:i/>
              </w:rPr>
              <w:t>Parlamentet betonar att sådana situationer inte får göra det möjligt för personer som misstänks för allvarliga kränkningar av de mänskliga rättigheterna eller internationella brott att undgå rättvisan.</w:t>
            </w:r>
            <w:r>
              <w:t xml:space="preserve"> </w:t>
            </w:r>
            <w:r>
              <w:rPr>
                <w:b/>
                <w:i/>
              </w:rPr>
              <w:t>Eventuella praktiska mekanismer som utvecklas för att ta itu med sådana luckor ska inte innebära ett erkännande av olagliga, separatistiska eller ockuperande myndigheter.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Europaparlamentet bekräftar FN:s viktiga roll när det gäller att uppnå internationellt ansvarsutkrävande. Parlamentet uppmanar EU och medlemsstaterna att stärka sitt stöd till internationella straffrättsliga jurisdiktioner och utredningsmekanismer som inrättats av FN.</w:t>
            </w:r>
          </w:p>
        </w:tc>
        <w:tc>
          <w:tcPr>
            <w:tcW w:w="4876" w:type="dxa"/>
            <w:tcBorders>
              <w:top w:val="nil"/>
              <w:left w:val="nil"/>
              <w:bottom w:val="nil"/>
              <w:right w:val="nil"/>
            </w:tcBorders>
          </w:tcPr>
          <w:p>
            <w:pPr>
              <w:pStyle w:val="Normal6a"/>
            </w:pPr>
            <w:r>
              <w:t>16.</w:t>
            </w:r>
            <w:r>
              <w:tab/>
            </w:r>
            <w:r>
              <w:t xml:space="preserve">Europaparlamentet bekräftar FN:s viktiga roll när det gäller att uppnå internationellt ansvarsutkrävande. Parlamentet uppmanar EU och medlemsstaterna att stärka sitt stöd till internationella straffrättsliga jurisdiktioner och utredningsmekanismer som inrättats av FN. </w:t>
            </w:r>
            <w:r>
              <w:rPr>
                <w:b/>
                <w:i/>
              </w:rPr>
              <w:t>Parlamentet betonar att den internationella rättskipningens legitimitet är beroende av att den tillämpas på samma sätt på alla stater och aktörer, utan dubbla måttstockar, och av att det byggs upp en mer representativ och inkluderande internationell ordning, där länderna från det globala Syd har en verklig röst i internationella institutioner och mekanismer för ansvarsutkrävande.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Europaparlamentet </w:t>
            </w:r>
            <w:r>
              <w:rPr>
                <w:b/>
                <w:i/>
              </w:rPr>
              <w:t>bekräftar FN:s viktiga roll</w:t>
            </w:r>
            <w:r>
              <w:t xml:space="preserve"> när det gäller att uppnå internationellt ansvarsutkrävande. Parlamentet </w:t>
            </w:r>
            <w:r>
              <w:rPr>
                <w:b/>
                <w:i/>
              </w:rPr>
              <w:t>uppmanar EU och medlemsstaterna att stärka sitt</w:t>
            </w:r>
            <w:r>
              <w:t xml:space="preserve"> stöd till </w:t>
            </w:r>
            <w:r>
              <w:rPr>
                <w:b/>
                <w:i/>
              </w:rPr>
              <w:t>internationella straffrättsliga jurisdiktioner och utredningsmekanismer som inrättats av FN</w:t>
            </w:r>
            <w:r>
              <w:t>.</w:t>
            </w:r>
          </w:p>
        </w:tc>
        <w:tc>
          <w:tcPr>
            <w:tcW w:w="4876" w:type="dxa"/>
            <w:tcBorders>
              <w:top w:val="nil"/>
              <w:left w:val="nil"/>
              <w:bottom w:val="nil"/>
              <w:right w:val="nil"/>
            </w:tcBorders>
          </w:tcPr>
          <w:p>
            <w:pPr>
              <w:pStyle w:val="Normal6a"/>
            </w:pPr>
            <w:r>
              <w:t>16.</w:t>
            </w:r>
            <w:r>
              <w:tab/>
            </w:r>
            <w:r>
              <w:t xml:space="preserve">Europaparlamentet </w:t>
            </w:r>
            <w:r>
              <w:rPr>
                <w:b/>
                <w:i/>
              </w:rPr>
              <w:t>konstaterar att FN har lyckats dåligt</w:t>
            </w:r>
            <w:r>
              <w:t xml:space="preserve"> när det gäller att uppnå internationellt ansvarsutkrävande </w:t>
            </w:r>
            <w:r>
              <w:rPr>
                <w:b/>
                <w:i/>
              </w:rPr>
              <w:t>för fel begångna av fredsbevarande styrkor och har haft svårt att ställa sin egen personal till svars enligt internationell rätt</w:t>
            </w:r>
            <w:r>
              <w:t xml:space="preserve">. Parlamentet </w:t>
            </w:r>
            <w:r>
              <w:rPr>
                <w:b/>
                <w:i/>
              </w:rPr>
              <w:t>efterlyser därför en grundlig översyn av EU:s</w:t>
            </w:r>
            <w:r>
              <w:t xml:space="preserve"> stöd till </w:t>
            </w:r>
            <w:r>
              <w:rPr>
                <w:b/>
                <w:i/>
              </w:rPr>
              <w:t>FN-kopplade mekanismer för att förhindra automatiskt ekonomiskt stöd i fall där det inte finns några trovärdiga garantier för ansvarsutkrävande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Europaparlamentet bekräftar FN:s viktiga roll när det gäller att uppnå internationellt ansvarsutkrävande. Parlamentet uppmanar EU och medlemsstaterna att stärka sitt stöd till internationella straffrättsliga jurisdiktioner och utredningsmekanismer som inrättats av FN.</w:t>
            </w:r>
          </w:p>
        </w:tc>
        <w:tc>
          <w:tcPr>
            <w:tcW w:w="4876" w:type="dxa"/>
            <w:tcBorders>
              <w:top w:val="nil"/>
              <w:left w:val="nil"/>
              <w:bottom w:val="nil"/>
              <w:right w:val="nil"/>
            </w:tcBorders>
          </w:tcPr>
          <w:p>
            <w:pPr>
              <w:pStyle w:val="Normal6a"/>
            </w:pPr>
            <w:r>
              <w:t>16.</w:t>
            </w:r>
            <w:r>
              <w:tab/>
            </w:r>
            <w:r>
              <w:t>Europaparlamentet bekräftar FN:s viktiga roll när det gäller att uppnå internationellt ansvarsutkrävande. Parlamentet uppmanar EU och medlemsstaterna att stärka sitt stöd till internationella straffrättsliga jurisdiktioner och utredningsmekanismer som inrättats av FN</w:t>
            </w:r>
            <w:r>
              <w:rPr>
                <w:b/>
                <w:i/>
              </w:rPr>
              <w:t>, och påminner om FN:s säkerhetsråds primära ansvar enligt FN-stadgan att upprätthålla internationell fred och säkerhet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 – stycke 1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FN-reform för en rättvisare världsordning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Europaparlamentet bekräftar på nytt att FN förblir den enda legitima plattformen för internationell multilateralism, och uppmanar med kraft Europeiska unionen att anta en formell övervakningsroll när det gäller genomförandet av fredsstyrelsens projekt i Gaza, med särskild uppmärksamhet på att säkerställa efterlevnad av internationell människorättslagstiftning och internationella humanitära rättsprinciper, med tanke på att fredsstyrelsen hittills inte har gett tillräckliga garantier för skyddet av civilbefolkningen i Gaza.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Europaparlamentet efterlyser en förstärkning av Unifils mandat och insatsregler, så att Unifil blir en verklig buffertstyrka som kan säkerställa ett effektivt genomförande av FN:s säkerhetsråds resolutioner, särskilt resolution 1701.</w:t>
            </w:r>
            <w:r>
              <w:t xml:space="preserve"> </w:t>
            </w:r>
            <w:r>
              <w:rPr>
                <w:b/>
                <w:i/>
              </w:rPr>
              <w:t>Parlamentet betonar att Unifilstyrkan måste kunna skydda civila, garantera säkerhet och rörelsefrihet för FN-personal och humanitär personal och reagera omedelbart och proportionerligt, bland annat genom att besvara eld i självförsvar, närhelst den attackeras eller hindras från att utföra sitt uppdrag.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Europaparlamentet efterlyser en omfattande reform av FN:s säkerhetsråd för att ta itu med dess djupa underskott i fråga om representativitet, särskilt när det gäller länder från det så kallade globala Syd.</w:t>
            </w:r>
            <w:r>
              <w:t xml:space="preserve"> </w:t>
            </w:r>
            <w:r>
              <w:rPr>
                <w:b/>
                <w:i/>
              </w:rPr>
              <w:t>Parlamentet betonar att ett organ som fortfarande till stor del återspeglar maktbalansen i slutet av andra världskriget inte på ett trovärdigt sätt kan hävda att det företräder dagens hela internationella samfund.</w:t>
            </w:r>
            <w:r>
              <w:t xml:space="preserve"> </w:t>
            </w:r>
            <w:r>
              <w:rPr>
                <w:b/>
                <w:i/>
              </w:rPr>
              <w:t>Parlamentet efterlyser därför ett mer demokratiskt, balanserat och inkluderande säkerhetsråd, bland annat genom starkare representation av Afrika, Latinamerika och Karibien, Asien och andra underrepresenterade regioner.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Europaparlamentet efterlyser en reform av FN:s säkerhetsråd så att vetorätten inte tillåts i situationer som inbegriper folkmord och andra massövergrepp, i linje med det initiativ som Frankrike lade fram 2013.</w:t>
            </w:r>
            <w:r>
              <w:t xml:space="preserve"> </w:t>
            </w:r>
            <w:r>
              <w:rPr>
                <w:b/>
                <w:i/>
              </w:rPr>
              <w:t>Parlamentet påminner samtidigt om att FN:s generalförsamlings resolution 377 (V), ”Uniting for Peace”, innehåller en befintlig mekanism som gör det möjligt att hänskjuta frågan till generalförsamlingen, som omedelbart kan beakta situationen och rekommendera kollektiva åtgärder, i de fall säkerhetsrådet lamslås genom användningen av veto trots ett hot mot internationell fred och säkerhet.</w:t>
            </w:r>
            <w:r>
              <w:t xml:space="preserve"> </w:t>
            </w:r>
            <w:r>
              <w:rPr>
                <w:b/>
                <w:i/>
              </w:rPr>
              <w:t>Parlamentet noterar att denna resolution, som antogs 1950 på Förenta staternas initiativ i samband med Koreakriget, redan har åberopats elva gånger.</w:t>
            </w:r>
            <w:r>
              <w:t xml:space="preserve"> </w:t>
            </w:r>
            <w:r>
              <w:rPr>
                <w:b/>
                <w:i/>
              </w:rPr>
              <w:t>Parlamentet uppmanar EU och dess medlemsstater att aktivt stödja användningen av denna mekanism när ett veto hindrar åtgärder för att förebygga eller stoppa folkmord och andra massövergrepp.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Europaparlamentet uppmanar medlemsstaterna att bedöma om det är relevant och genomförbart att vid sidan av FN:s generalförsamling inrätta en andra rådgivande kammare bestående av företrädare för förmedlande organ, däribland organisationer i det civila samhället, fackföreningar, lokala och regionala myndigheter, ursprungsbefolkningar, ungdomsorganisationer och sociala rörelser, i syfte att stärka det demokratiska deltagandet och ansvarsutkrävandet inom FN-systemet, utan att ersätta generalförsamlingens mellanstatliga roll eller undergräva principen om staters suveräna likställdhet.</w:t>
            </w:r>
            <w:r>
              <w:t xml:space="preserve"> </w:t>
            </w:r>
            <w:r>
              <w:rPr>
                <w:b/>
                <w:i/>
              </w:rPr>
              <w:t>Parlamentet påminner om att artikel 22 i FN-stadgan gör det möjligt för generalförsamlingen att inrätta underordnade organ som den anser vara nödvändiga för att den ska kunna utföra sina uppgifter, och att artikel 71 redan erkänner en rådgivande roll för icke-statliga organisationer genom Ecosoc.</w:t>
            </w:r>
            <w:r>
              <w:t xml:space="preserve"> </w:t>
            </w:r>
            <w:r>
              <w:rPr>
                <w:b/>
                <w:i/>
              </w:rPr>
              <w:t>Parlamentet begär att detta nya organ ska ges konkreta rådgivande befogenheter, inbegripet rätten att hålla obligatoriska utfrågningar och lägga fram formella yttranden inför större FN-toppmöten och högnivåmöten om globala utmaningar.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16f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Europaparlamentet efterlyser en översyn av urvalsprocessen för FN:s generalsekreterare, som fortfarande är alltför beroende av maktbalansen inom säkerhetsrådet och i synnerhet av de permanenta medlemmarnas inflytande.</w:t>
            </w:r>
            <w:r>
              <w:t xml:space="preserve"> </w:t>
            </w:r>
            <w:r>
              <w:rPr>
                <w:b/>
                <w:i/>
              </w:rPr>
              <w:t>Parlamentet betonar att processen bör göras mer transparent, demokratisk och ansvarsutkrävande, bland annat genom att ge FN:s generalförsamling en starkare och potentiellt avgörande roll i utnämningsprocessen, på grundval av tydliga kriterier, offentliga utfrågningar och verklig mångfald bland kandidaterna.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16g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16g.</w:t>
            </w:r>
            <w:r>
              <w:tab/>
            </w:r>
            <w:r>
              <w:rPr>
                <w:b/>
                <w:i/>
              </w:rPr>
              <w:t>Europaparlamentet efterlyser en reform av FN:s budgetsystem för att garantera stabilitet, förutsägbarhet och hållbarhet i dess finansiering.</w:t>
            </w:r>
            <w:r>
              <w:t xml:space="preserve"> </w:t>
            </w:r>
            <w:r>
              <w:rPr>
                <w:b/>
                <w:i/>
              </w:rPr>
              <w:t>Parlamentet betonar att medlemsstaterna måste betala sina fastställda bidrag i sin helhet, i tid och i förväg.</w:t>
            </w:r>
            <w:r>
              <w:t xml:space="preserve"> </w:t>
            </w:r>
            <w:r>
              <w:rPr>
                <w:b/>
                <w:i/>
              </w:rPr>
              <w:t>Parlamentet begär därför att det införs en mekanism för förskottsbetalning som kräver att staterna betalar sina obligatoriska bidrag minst ett år eller en hel budgetperiod i förväg för att förse FN med stabila och förutsägbara resurser.</w:t>
            </w:r>
            <w:r>
              <w:t xml:space="preserve"> </w:t>
            </w:r>
            <w:r>
              <w:rPr>
                <w:b/>
                <w:i/>
              </w:rPr>
              <w:t>Parlamentet understryker att FN inte längre får vara beroende av försenade betalningar, frivilliga bidrag eller politiska förhandlingar för att kunna utföra sina huvudsakliga uppgifter, däribland fredsbevarande verksamhet, humanitära insatser samt utveckling och skydd av de mänskliga rättigheterna.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16h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16h.</w:t>
            </w:r>
            <w:r>
              <w:tab/>
            </w:r>
            <w:r>
              <w:rPr>
                <w:b/>
                <w:i/>
              </w:rPr>
              <w:t>Europaparlamentet efterlyser en ökning av andelen obligatoriska fastställda bidrag i finansieringen av FN-systemet, i syfte att minska det alltför stora beroendet av frivilliga, öronmärkta och oförutsägbara bidrag.</w:t>
            </w:r>
            <w:r>
              <w:t xml:space="preserve"> </w:t>
            </w:r>
            <w:r>
              <w:rPr>
                <w:b/>
                <w:i/>
              </w:rPr>
              <w:t>Parlamentet betonar att en stabil, förutsägbar och oberoende budget är avgörande för att FN:s förmåga att agera i allmänhetens intresse ska bevaras, utan politiska påtryckningar från de största givarna.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16i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16i.</w:t>
            </w:r>
            <w:r>
              <w:tab/>
            </w:r>
            <w:r>
              <w:rPr>
                <w:b/>
                <w:i/>
              </w:rPr>
              <w:t>Europaparlamentet begär dessutom att det inrättas permanenta internationella solidaritetsmekanismer, bland annat genom progressiv beskattning samt avgifter för de mest förorenande sektorerna, finansiella transaktioner och övervinster, i syfte att säkerställa stabila resurser för FN-systemet och för skyddet av globala kollektiva nyttigheter.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16j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16j.</w:t>
            </w:r>
            <w:r>
              <w:tab/>
            </w:r>
            <w:r>
              <w:rPr>
                <w:b/>
                <w:i/>
              </w:rPr>
              <w:t>Europaparlamentet efterlyser en översyn av FN-stadgan för att anpassa organisationen till 2000-talets stora utmaningar, inbegripet klimatkrisen, förlusten av biologisk mångfald, digital styrning, artificiell intelligens, globala ojämlikheter och skyddet av globala kollektiva nyttigheter.</w:t>
            </w:r>
            <w:r>
              <w:t xml:space="preserve"> </w:t>
            </w:r>
            <w:r>
              <w:rPr>
                <w:b/>
                <w:i/>
              </w:rPr>
              <w:t>Parlamentet betonar att FN måste ges det mandat, den legitimitet och de verktyg som krävs för att kunna reagera på dagens hot mot freden, de mänskliga rättigheterna och den internationella rättskipningen.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16k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16k.</w:t>
            </w:r>
            <w:r>
              <w:tab/>
            </w:r>
            <w:r>
              <w:rPr>
                <w:b/>
                <w:i/>
              </w:rPr>
              <w:t>Europaparlamentet efterlyser en starkare roll för Afrika inom det internationella multilaterala systemet, bland annat genom ökad representation i globala beslutsfattande organ och större erkännande av Afrikanska unionen och afrikanska regionala organisationer.</w:t>
            </w:r>
            <w:r>
              <w:t xml:space="preserve"> </w:t>
            </w:r>
            <w:r>
              <w:rPr>
                <w:b/>
                <w:i/>
              </w:rPr>
              <w:t>Parlamentet betonar att kapitel VIII i FN-stadgan föreskriver komplementaritet mellan global multilateralism och regionala arrangemang, och begär att denna princip genomförs fullt ut på grundval av jämlikt partnerskap och respekt för afrikansk politisk agens.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16l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16l.</w:t>
            </w:r>
            <w:r>
              <w:tab/>
            </w:r>
            <w:r>
              <w:rPr>
                <w:b/>
                <w:i/>
              </w:rPr>
              <w:t>Europaparlamentet efterlyser en återaktivering av FN:s särskilda kommitté mot apartheid, som ursprungligen inrättades av generalförsamlingen genom resolution 1761 (XVII) av den 6 november 1962, med ett uppdaterat och utvidgat mandat för att ta itu med moderna former av apartheid och systematisk rassegregering i hela världen.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16m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16m.</w:t>
            </w:r>
            <w:r>
              <w:tab/>
            </w:r>
            <w:r>
              <w:rPr>
                <w:b/>
                <w:i/>
              </w:rPr>
              <w:t>Europaparlamentet uppmanar FN och kommissionen att stärka och främja system för riktade sanktioner mot alla enskilda personer, grupper och stater som förtecknas i FN:s årligen offentliggjorda rapport om konfliktrelaterat sexuellt våld, som ett sätt att bekämpa strafflöshet för sådana allvarliga kränkningar av internationell humanitär rätt och människorättslagstiftning.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Europaparlamentet bekräftar på nytt vikten av att upprätta en övergripande internationell ram för skadestånd för skador och förluster som orsakats av Rysslands anfallskrig mot Ukraina, vilken stöds av FN:s generalförsamlings resolution A/RES/ES-11/5.</w:t>
            </w:r>
            <w:r>
              <w:t xml:space="preserve"> </w:t>
            </w:r>
            <w:r>
              <w:rPr>
                <w:b/>
                <w:i/>
              </w:rPr>
              <w:t>Parlamentet välkomnar de framsteg som gjorts med att ta i bruk den internationella kompensationsmekanismen för Ukraina, inbegripet dess centrala delar, nämligen skaderegistret och den internationella skadeståndskommissionen för Ukraina.</w:t>
            </w:r>
            <w:r>
              <w:t xml:space="preserve"> </w:t>
            </w:r>
            <w:r>
              <w:rPr>
                <w:b/>
                <w:i/>
              </w:rPr>
              <w:t>Parlamentet uppmanar alla undertecknare av konventionen om inrättande av den internationella skadeståndskommissionen för Ukraina, inbegripet EU:s medlemsstater, att säkerställa en snabb ratificering av konventionen så att det säkerställs att den träder i kraft och att kommissionens arbete inleds i tid, och att tillhandahålla tillräckliga ekonomiska bidrag som är nödvändiga för att den ska fungera effektivt.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Europaparlamentet välkomnar de fortsatta framstegen med att inrätta Särskilda tribunalen för aggressionsbrottet mot Ukraina under Europarådets överinseende.</w:t>
            </w:r>
            <w:r>
              <w:t xml:space="preserve"> </w:t>
            </w:r>
            <w:r>
              <w:rPr>
                <w:b/>
                <w:i/>
              </w:rPr>
              <w:t>Parlamentet välkomnar att kommissionen på Europeiska unionens vägnar den 15 maj 2026 anslöt sig till det utvidgade delavtalet om förvaltningskommittén för Särskilda tribunalen för aggressionsbrottet mot Ukraina, efter det att Europeiska unionens råd antagit det relevanta beslutet.</w:t>
            </w:r>
            <w:r>
              <w:t xml:space="preserve"> </w:t>
            </w:r>
            <w:r>
              <w:rPr>
                <w:b/>
                <w:i/>
              </w:rPr>
              <w:t>Parlamentet ser fram emot att kommissionen lägger fram ett förslag som gör det möjligt för Europeiska unionen att bli en grundande medlem av tribunalen.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Europaparlamentet påminner om att Ryska federationen bär det fulla ansvaret för de skador som orsakats av dess anfallskrig mot Ukraina, och upprepar att ryska statliga tillgångar i slutändan bör bidra till återuppbyggnaden av Ukraina och ersättning till offren för den ryska aggressionen.</w:t>
            </w:r>
            <w:r>
              <w:t xml:space="preserve"> </w:t>
            </w:r>
            <w:r>
              <w:rPr>
                <w:b/>
                <w:i/>
              </w:rPr>
              <w:t>Parlamentet uppmanar kommissionen och medlemsstaterna att inom ramen för direktiv (EU) 2024/1260 om återvinning av tillgångar och förverkande och direktiv (EU) 2024/1226 om överträdelse av unionens restriktiva åtgärder undersöka möjligheten att inrätta mekanismer som säkerställer att förverkade eller återvunna tillgångar med koppling till Rysslands aggression mot Ukraina, inbegripet tillgångar kopplade till överträdelse eller kringgående av unionens restriktiva åtgärder, riktas mot att stödja Ukraina, inbegripet dess återhämtning, återuppbyggnad och ersättning till offer, i full överensstämmelse med unionsrätten, internationell rätt, grundläggande rättigheter och tillämpliga rättsliga skyddsåtgärder.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Europaparlamentet välkomnar Europeiska rådets slutsatser av den 19 mars 2026 och uppmanar Europeiska unionen och dess medlemsstater att identifiera konkreta åtgärder för att hantera det potentiella säkerhetshot som ryska f.d. kombattanter som har deltagit i anfallskriget mot Ukraina utgör.</w:t>
            </w:r>
            <w:r>
              <w:t xml:space="preserve"> </w:t>
            </w:r>
            <w:r>
              <w:rPr>
                <w:b/>
                <w:i/>
              </w:rPr>
              <w:t>Parlamentet understryker att sådana åtgärder skulle stärka säkerheten i både Ukraina och Europeiska unionen och bör läggas fram utan dröjsmål, med full respekt för medlemsstaternas befogenheter och tillämplig unionsrätt.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Europaparlamentet ber EU och dess medlemsstater att motverka tvångsåtgärder som tredjeländer infört mot FN:s specialiserade organ, och uppmanar eftertryckligen EU att vidta lämpliga åtgärder, inbegripet sanktioner, i enlighet med sina skyldigheter enligt internationell rätt för att värna FN-systemets oberoende och effektiva funktion.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Europaparlamentet erkänner den viktiga roll som organisationer i det civila samhället spelar när det gäller att dokumentera och samla in bevis på internationella brott och tillhandahålla juridisk sakkunskap och stöd till brottsoffer samt i det bredare övervaknings- och påverkansarbetet för internationell rättskipning.</w:t>
            </w:r>
          </w:p>
        </w:tc>
        <w:tc>
          <w:tcPr>
            <w:tcW w:w="4876" w:type="dxa"/>
            <w:tcBorders>
              <w:top w:val="nil"/>
              <w:left w:val="nil"/>
              <w:bottom w:val="nil"/>
              <w:right w:val="nil"/>
            </w:tcBorders>
          </w:tcPr>
          <w:p>
            <w:pPr>
              <w:pStyle w:val="Normal6a"/>
            </w:pPr>
            <w:r>
              <w:t>17.</w:t>
            </w:r>
            <w:r>
              <w:tab/>
            </w:r>
            <w:r>
              <w:t>Europaparlamentet erkänner den viktiga roll som organisationer i det civila samhället</w:t>
            </w:r>
            <w:r>
              <w:rPr>
                <w:b/>
                <w:i/>
              </w:rPr>
              <w:t>, människorättsförsvarare, brottsoffergrupper, kvinnoledda organisationer, oberoende journalister och advokater</w:t>
            </w:r>
            <w:r>
              <w:t xml:space="preserve"> spelar när det gäller att dokumentera och samla in bevis på internationella brott och tillhandahålla juridisk sakkunskap och stöd till brottsoffer </w:t>
            </w:r>
            <w:r>
              <w:rPr>
                <w:b/>
                <w:i/>
              </w:rPr>
              <w:t>och överlevare</w:t>
            </w:r>
            <w:r>
              <w:t xml:space="preserve"> samt i det bredare övervaknings- och påverkansarbetet för internationell rättskipning. </w:t>
            </w:r>
            <w:r>
              <w:rPr>
                <w:b/>
                <w:i/>
              </w:rPr>
              <w:t>Parlamentet uppmanar kommissionen och medlemsstaterna att säkerställa att tillräcklig, flexibel och snabbt åtkomlig EU-finansiering och nationell finansiering görs tillgänglig för dem som utsätts för tvångsåtgärder på grund av sådant 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Europaparlamentet erkänner den viktiga roll som organisationer i det civila samhället spelar när det gäller att dokumentera och samla in bevis på internationella brott och tillhandahålla juridisk sakkunskap och stöd till brottsoffer samt i det bredare övervaknings- och påverkansarbetet för internationell rättskipning.</w:t>
            </w:r>
          </w:p>
        </w:tc>
        <w:tc>
          <w:tcPr>
            <w:tcW w:w="4876" w:type="dxa"/>
            <w:tcBorders>
              <w:top w:val="nil"/>
              <w:left w:val="nil"/>
              <w:bottom w:val="nil"/>
              <w:right w:val="nil"/>
            </w:tcBorders>
          </w:tcPr>
          <w:p>
            <w:pPr>
              <w:pStyle w:val="Normal6a"/>
            </w:pPr>
            <w:r>
              <w:t>17.</w:t>
            </w:r>
            <w:r>
              <w:tab/>
            </w:r>
            <w:r>
              <w:t xml:space="preserve">Europaparlamentet erkänner den viktiga roll som organisationer i det civila samhället </w:t>
            </w:r>
            <w:r>
              <w:rPr>
                <w:b/>
                <w:i/>
              </w:rPr>
              <w:t>och människorättsförsvarare</w:t>
            </w:r>
            <w:r>
              <w:t xml:space="preserve"> spelar när det gäller att dokumentera och samla in bevis på internationella brott och tillhandahålla </w:t>
            </w:r>
            <w:r>
              <w:rPr>
                <w:b/>
                <w:i/>
              </w:rPr>
              <w:t>juridiska tjänster och</w:t>
            </w:r>
            <w:r>
              <w:t xml:space="preserve"> juridisk sakkunskap och stöd till brottsoffer samt i det bredare övervaknings- och påverkansarbetet för internationell rättskipning.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Europaparlamentet erkänner </w:t>
            </w:r>
            <w:r>
              <w:rPr>
                <w:b/>
                <w:i/>
              </w:rPr>
              <w:t>den viktiga roll som</w:t>
            </w:r>
            <w:r>
              <w:t xml:space="preserve"> organisationer i det civila samhället </w:t>
            </w:r>
            <w:r>
              <w:rPr>
                <w:b/>
                <w:i/>
              </w:rPr>
              <w:t>spelar</w:t>
            </w:r>
            <w:r>
              <w:t xml:space="preserve"> när det gäller att dokumentera och samla in bevis på internationella brott och tillhandahålla juridisk sakkunskap och stöd till brottsoffer </w:t>
            </w:r>
            <w:r>
              <w:rPr>
                <w:b/>
                <w:i/>
              </w:rPr>
              <w:t>samt i det bredare övervaknings- och påverkansarbetet för internationell rättskipning</w:t>
            </w:r>
            <w:r>
              <w:t>.</w:t>
            </w:r>
          </w:p>
        </w:tc>
        <w:tc>
          <w:tcPr>
            <w:tcW w:w="4876" w:type="dxa"/>
            <w:tcBorders>
              <w:top w:val="nil"/>
              <w:left w:val="nil"/>
              <w:bottom w:val="nil"/>
              <w:right w:val="nil"/>
            </w:tcBorders>
          </w:tcPr>
          <w:p>
            <w:pPr>
              <w:pStyle w:val="Normal6a"/>
            </w:pPr>
            <w:r>
              <w:t>17.</w:t>
            </w:r>
            <w:r>
              <w:tab/>
            </w:r>
            <w:r>
              <w:t xml:space="preserve">Europaparlamentet erkänner </w:t>
            </w:r>
            <w:r>
              <w:rPr>
                <w:b/>
                <w:i/>
              </w:rPr>
              <w:t>att oberoende, rättighetsbaserade</w:t>
            </w:r>
            <w:r>
              <w:t xml:space="preserve"> organisationer i det civila samhället </w:t>
            </w:r>
            <w:r>
              <w:rPr>
                <w:b/>
                <w:i/>
              </w:rPr>
              <w:t>kan spela en viktig roll</w:t>
            </w:r>
            <w:r>
              <w:t xml:space="preserve"> när det gäller att dokumentera och samla in bevis på internationella brott och tillhandahålla juridisk sakkunskap och stöd till brottsoffer.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Europaparlamentet framhåller det arbete som utförs av konsortiet ”Global Initiative Against Impunity for International Crimes and Serious Human Rights Violations: Making Justice Work” och koalitionen för den internationella brottmålsdomstolen, som samfinansieras av Europeiska unionen och som syftar till att bidra till kampen mot strafflöshet genom att stödja en övergripande, integrerad och inkluderande strategi för rättvisa och ansvarsutkrävande för allvarliga kränkningar av de mänskliga rättigheterna och internationella brott.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Europaparlamentet betonar vikten av att säkerställa att internationella rättskipningsmekanismer effektivt utreder och lagför könsrelaterade brott och konfliktrelaterat sexuellt våld.</w:t>
            </w:r>
            <w:r>
              <w:t xml:space="preserve"> </w:t>
            </w:r>
            <w:r>
              <w:rPr>
                <w:b/>
                <w:i/>
              </w:rPr>
              <w:t>Parlamentet uppmanar EU och dess medlemsstater att stödja strategier som sätter överlevarna i centrum, utredningar som tar hänsyn till kön samt deltagande i och tillgång till gottgörelse för kvinnor och flickor som drabbats av internationella brott.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Europaparlamentet framhåller det brådskande behovet att dokumentera och samla in bevis för krigsförbrytelser som begåtts av ryska styrkor i Ukraina för att värna globalt ansvarsutkrävande.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Europaparlamentet beklagar djupt att aktörer som är föremål för utländska tvångsmedel på grund av sitt arbete med ansvarsutkrävande ställs inför allvarliga begränsningar i det dagliga livet, bland annat begränsad tillgång till banktjänster och finansiella transaktioner, försäkringsskydd, digitala konton och rörlighet.</w:t>
            </w:r>
          </w:p>
        </w:tc>
        <w:tc>
          <w:tcPr>
            <w:tcW w:w="4876" w:type="dxa"/>
            <w:tcBorders>
              <w:top w:val="nil"/>
              <w:left w:val="nil"/>
              <w:bottom w:val="nil"/>
              <w:right w:val="nil"/>
            </w:tcBorders>
          </w:tcPr>
          <w:p>
            <w:pPr>
              <w:pStyle w:val="Normal6a"/>
            </w:pPr>
            <w:r>
              <w:t>18.</w:t>
            </w:r>
            <w:r>
              <w:tab/>
            </w:r>
            <w:r>
              <w:t xml:space="preserve">Europaparlamentet beklagar djupt att aktörer som är föremål för utländska tvångsmedel på grund av sitt arbete med ansvarsutkrävande ställs inför allvarliga begränsningar i det dagliga livet, bland annat begränsad tillgång till </w:t>
            </w:r>
            <w:r>
              <w:rPr>
                <w:b/>
                <w:i/>
              </w:rPr>
              <w:t>löner,</w:t>
            </w:r>
            <w:r>
              <w:t xml:space="preserve"> banktjänster och finansiella transaktioner, försäkringsskydd, digitala konton och rörlighet.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Europaparlamentet stöder helhjärtat det arbete som utförs av de elva domare och åklagare vid ICC som har ålagts sanktioner av Förenta staterna och lovordar deras fortsatta åtagande att utföra sitt rättsliga mandat trots Förenta staternas tvångsåtgärder.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Europaparlamentet betonar att sådana organisationer och enskilda personer, inbegripet EU-medborgare, måste skyddas effektivt mot de extraterritoriella effekterna av sådana tvångsmedel. Parlamentet uppmanar kommissionen att minska de strukturella sårbarheterna genom att utveckla </w:t>
            </w:r>
            <w:r>
              <w:rPr>
                <w:b/>
                <w:i/>
              </w:rPr>
              <w:t>europeisk oberoende finansiell och digital infrastruktur</w:t>
            </w:r>
            <w:r>
              <w:t>, inbegripet ett suveränt europeiskt betalningssystem.</w:t>
            </w:r>
          </w:p>
        </w:tc>
        <w:tc>
          <w:tcPr>
            <w:tcW w:w="4876" w:type="dxa"/>
            <w:tcBorders>
              <w:top w:val="nil"/>
              <w:left w:val="nil"/>
              <w:bottom w:val="nil"/>
              <w:right w:val="nil"/>
            </w:tcBorders>
          </w:tcPr>
          <w:p>
            <w:pPr>
              <w:pStyle w:val="Normal6a"/>
            </w:pPr>
            <w:r>
              <w:t>19.</w:t>
            </w:r>
            <w:r>
              <w:tab/>
            </w:r>
            <w:r>
              <w:t xml:space="preserve">Europaparlamentet betonar att sådana organisationer och enskilda personer, inbegripet EU-medborgare, måste skyddas effektivt mot de extraterritoriella effekterna av sådana tvångsmedel. Parlamentet uppmanar kommissionen att minska de strukturella sårbarheterna genom att utveckla </w:t>
            </w:r>
            <w:r>
              <w:rPr>
                <w:b/>
                <w:i/>
              </w:rPr>
              <w:t>resilienta och autonoma europeiska finansiella och digitala infrastrukturer</w:t>
            </w:r>
            <w:r>
              <w:t xml:space="preserve">, inbegripet ett suveränt europeiskt betalningssystem </w:t>
            </w:r>
            <w:r>
              <w:rPr>
                <w:b/>
                <w:i/>
              </w:rPr>
              <w:t>som kan garantera oavbruten tillgång till betalnings-, bank- och avvecklingstjänster oberoende av utländska tvångsåtgärder</w:t>
            </w:r>
            <w:r>
              <w:t xml:space="preserve">. </w:t>
            </w:r>
            <w:r>
              <w:rPr>
                <w:b/>
                <w:i/>
              </w:rPr>
              <w:t>Parlamentet anser att unionen i detta syfte bör påskynda införandet och användningen av europeiska betalningslösningar och av eurodenominerad clearing- och avvecklingskapacitet, med utgångspunkt i projektet för en digital euro och alleuropeiska betalningsinitiativ, för att minska beroendet av finansiell infrastruktur som kontrolleras av tredjeländer.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Europaparlamentet betonar att sådana organisationer och enskilda personer, inbegripet EU-medborgare, måste skyddas effektivt mot de extraterritoriella effekterna av sådana tvångsmedel. Parlamentet uppmanar kommissionen att minska de strukturella sårbarheterna genom att utveckla europeisk oberoende finansiell och digital infrastruktur, inbegripet ett suveränt europeiskt betalningssystem.</w:t>
            </w:r>
          </w:p>
        </w:tc>
        <w:tc>
          <w:tcPr>
            <w:tcW w:w="4876" w:type="dxa"/>
            <w:tcBorders>
              <w:top w:val="nil"/>
              <w:left w:val="nil"/>
              <w:bottom w:val="nil"/>
              <w:right w:val="nil"/>
            </w:tcBorders>
          </w:tcPr>
          <w:p>
            <w:pPr>
              <w:pStyle w:val="Normal6a"/>
            </w:pPr>
            <w:r>
              <w:t>19.</w:t>
            </w:r>
            <w:r>
              <w:tab/>
            </w:r>
            <w:r>
              <w:t>Europaparlamentet betonar att sådana organisationer och enskilda personer, inbegripet EU-medborgare, måste skyddas effektivt mot de extraterritoriella effekterna av sådana tvångsmedel</w:t>
            </w:r>
            <w:r>
              <w:rPr>
                <w:b/>
                <w:i/>
              </w:rPr>
              <w:t>.</w:t>
            </w:r>
            <w:r>
              <w:t xml:space="preserve"> </w:t>
            </w:r>
            <w:r>
              <w:rPr>
                <w:b/>
                <w:i/>
              </w:rPr>
              <w:t>Parlamentet noterar EU:s beroende av utländska, i synnerhet USA-baserade, leverantörer av digitala betaltjänster såsom Mastercard, Visa och Paypal, vilket fördjupar EU:s strukturella sårbarheter, inbegripet dess förmåga att skydda den finansiella verksamhet som bedrivs av internationella rättskipande institutioner såsom ICC från utländska sanktioner</w:t>
            </w:r>
            <w:r>
              <w:t>. Parlamentet uppmanar kommissionen att minska de strukturella sårbarheterna genom att utveckla europeisk oberoende finansiell och digital infrastruktur, inbegripet ett suveränt europeiskt betalningssystem.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Europaparlamentet betonar att sådana organisationer och enskilda personer, inbegripet EU-medborgare, måste skyddas effektivt mot de extraterritoriella effekterna av sådana tvångsmedel. Parlamentet uppmanar kommissionen att minska de strukturella sårbarheterna genom att utveckla europeisk </w:t>
            </w:r>
            <w:r>
              <w:rPr>
                <w:b/>
                <w:i/>
              </w:rPr>
              <w:t>oberoende</w:t>
            </w:r>
            <w:r>
              <w:t xml:space="preserve"> finansiell och digital infrastruktur</w:t>
            </w:r>
            <w:r>
              <w:rPr>
                <w:b/>
                <w:i/>
              </w:rPr>
              <w:t>, inbegripet ett suveränt europeiskt betalningssystem</w:t>
            </w:r>
            <w:r>
              <w:t>.</w:t>
            </w:r>
          </w:p>
        </w:tc>
        <w:tc>
          <w:tcPr>
            <w:tcW w:w="4876" w:type="dxa"/>
            <w:tcBorders>
              <w:top w:val="nil"/>
              <w:left w:val="nil"/>
              <w:bottom w:val="nil"/>
              <w:right w:val="nil"/>
            </w:tcBorders>
          </w:tcPr>
          <w:p>
            <w:pPr>
              <w:pStyle w:val="Normal6a"/>
            </w:pPr>
            <w:r>
              <w:t>19.</w:t>
            </w:r>
            <w:r>
              <w:tab/>
            </w:r>
            <w:r>
              <w:t>Europaparlamentet betonar att sådana organisationer och enskilda personer, inbegripet EU-medborgare, måste skyddas effektivt mot de extraterritoriella effekterna av sådana tvångsmedel</w:t>
            </w:r>
            <w:r>
              <w:rPr>
                <w:b/>
                <w:i/>
              </w:rPr>
              <w:t>, genom en fullständig tillämpning av unionens konsulära och diplomatiska skydd</w:t>
            </w:r>
            <w:r>
              <w:t xml:space="preserve">. Parlamentet uppmanar kommissionen att minska de strukturella sårbarheterna genom att </w:t>
            </w:r>
            <w:r>
              <w:rPr>
                <w:b/>
                <w:i/>
              </w:rPr>
              <w:t>stödja innovation på den inre marknaden och</w:t>
            </w:r>
            <w:r>
              <w:t xml:space="preserve"> utveckla </w:t>
            </w:r>
            <w:r>
              <w:rPr>
                <w:b/>
                <w:i/>
              </w:rPr>
              <w:t>en motståndskraftig</w:t>
            </w:r>
            <w:r>
              <w:t xml:space="preserve"> europeisk finansiell och digital infrastruktur </w:t>
            </w:r>
            <w:r>
              <w:rPr>
                <w:b/>
                <w:i/>
              </w:rPr>
              <w:t>där man tar till vara befintliga marknadsbaserade initiativ, för att säkerställa unionens strategiska oberoende utan att generera oproportionerliga offentliga utgifter</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Europaparlamentet betonar att sådana organisationer och enskilda personer, inbegripet EU-medborgare, måste skyddas effektivt mot de extraterritoriella effekterna av sådana tvångsmedel. Parlamentet uppmanar kommissionen att minska de strukturella sårbarheterna genom att </w:t>
            </w:r>
            <w:r>
              <w:rPr>
                <w:b/>
                <w:i/>
              </w:rPr>
              <w:t>utveckla europeisk oberoende finansiell och digital</w:t>
            </w:r>
            <w:r>
              <w:t xml:space="preserve"> infrastruktur</w:t>
            </w:r>
            <w:r>
              <w:rPr>
                <w:b/>
                <w:i/>
              </w:rPr>
              <w:t>, inbegripet ett suveränt europeiskt betalningssystem</w:t>
            </w:r>
            <w:r>
              <w:t>.</w:t>
            </w:r>
          </w:p>
        </w:tc>
        <w:tc>
          <w:tcPr>
            <w:tcW w:w="4876" w:type="dxa"/>
            <w:tcBorders>
              <w:top w:val="nil"/>
              <w:left w:val="nil"/>
              <w:bottom w:val="nil"/>
              <w:right w:val="nil"/>
            </w:tcBorders>
          </w:tcPr>
          <w:p>
            <w:pPr>
              <w:pStyle w:val="Normal6a"/>
            </w:pPr>
            <w:r>
              <w:t>19.</w:t>
            </w:r>
            <w:r>
              <w:tab/>
            </w:r>
            <w:r>
              <w:t xml:space="preserve">Europaparlamentet betonar att sådana organisationer och enskilda personer, inbegripet EU-medborgare, måste skyddas effektivt mot de extraterritoriella effekterna av sådana tvångsmedel. Parlamentet uppmanar kommissionen att minska de strukturella sårbarheterna genom att </w:t>
            </w:r>
            <w:r>
              <w:rPr>
                <w:b/>
                <w:i/>
              </w:rPr>
              <w:t>stödja utvecklingen av konkurrenskraftiga, innovationsdrivna och marknadsledda europeiska finansiella lösningar, betalningslösningar och digitala lösningar som minskar beroendet av</w:t>
            </w:r>
            <w:r>
              <w:t xml:space="preserve"> infrastruktur </w:t>
            </w:r>
            <w:r>
              <w:rPr>
                <w:b/>
                <w:i/>
              </w:rPr>
              <w:t>utanför EU och stärker unionens konkurrenskraft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Europaparlamentet betonar att sådana organisationer och enskilda personer, inbegripet EU-medborgare, måste skyddas effektivt mot de extraterritoriella effekterna av sådana tvångsmedel. Parlamentet uppmanar kommissionen att minska de strukturella sårbarheterna genom att utveckla europeisk oberoende finansiell och digital infrastruktur, inbegripet ett suveränt europeiskt betalningssystem.</w:t>
            </w:r>
          </w:p>
        </w:tc>
        <w:tc>
          <w:tcPr>
            <w:tcW w:w="4876" w:type="dxa"/>
            <w:tcBorders>
              <w:top w:val="nil"/>
              <w:left w:val="nil"/>
              <w:bottom w:val="nil"/>
              <w:right w:val="nil"/>
            </w:tcBorders>
          </w:tcPr>
          <w:p>
            <w:pPr>
              <w:pStyle w:val="Normal6a"/>
            </w:pPr>
            <w:r>
              <w:t>19.</w:t>
            </w:r>
            <w:r>
              <w:tab/>
            </w:r>
            <w:r>
              <w:t xml:space="preserve">Europaparlamentet betonar att sådana organisationer och enskilda personer, inbegripet EU-medborgare, måste skyddas effektivt mot de extraterritoriella effekterna av sådana tvångsmedel. Parlamentet uppmanar kommissionen att minska de strukturella sårbarheterna genom att utveckla europeisk oberoende finansiell </w:t>
            </w:r>
            <w:r>
              <w:rPr>
                <w:b/>
                <w:i/>
              </w:rPr>
              <w:t>infrastruktur, it-infrastruktur</w:t>
            </w:r>
            <w:r>
              <w:t xml:space="preserve"> och digital infrastruktur, inbegripet ett suveränt europeiskt betalningssystem.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Europaparlamentet betonar att sådana organisationer och enskilda personer, inbegripet EU-medborgare, måste skyddas effektivt mot de extraterritoriella effekterna av sådana tvångsmedel. Parlamentet uppmanar </w:t>
            </w:r>
            <w:r>
              <w:rPr>
                <w:b/>
                <w:i/>
              </w:rPr>
              <w:t>kommissionen</w:t>
            </w:r>
            <w:r>
              <w:t xml:space="preserve"> att minska de strukturella sårbarheterna genom att utveckla europeisk oberoende finansiell och digital infrastruktur, inbegripet ett suveränt europeiskt betalningssystem.</w:t>
            </w:r>
          </w:p>
        </w:tc>
        <w:tc>
          <w:tcPr>
            <w:tcW w:w="4876" w:type="dxa"/>
            <w:tcBorders>
              <w:top w:val="nil"/>
              <w:left w:val="nil"/>
              <w:bottom w:val="nil"/>
              <w:right w:val="nil"/>
            </w:tcBorders>
          </w:tcPr>
          <w:p>
            <w:pPr>
              <w:pStyle w:val="Normal6a"/>
            </w:pPr>
            <w:r>
              <w:t>19.</w:t>
            </w:r>
            <w:r>
              <w:tab/>
            </w:r>
            <w:r>
              <w:t xml:space="preserve">Europaparlamentet betonar att sådana organisationer och enskilda personer, inbegripet EU-medborgare, måste skyddas effektivt mot de extraterritoriella effekterna av sådana tvångsmedel. Parlamentet uppmanar </w:t>
            </w:r>
            <w:r>
              <w:rPr>
                <w:b/>
                <w:i/>
              </w:rPr>
              <w:t>medlemsstaterna</w:t>
            </w:r>
            <w:r>
              <w:t xml:space="preserve"> att minska de strukturella sårbarheterna genom att utveckla europeisk oberoende finansiell och digital infrastruktur, inbegripet ett suveränt europeiskt betalningssystem.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Europaparlamentet begär att minskningen av det strukturella beroendet eftersträvas som en strategisk prioritering inom EU:s befintliga agenda för ekonomisk säkerhet och konkurrenskraft, utan att det skapas nya organ eller budgetinstrument. Samtidigt är det angeläget att minska regelbördan och främja innovation och expansion av europeiska leverantörer.</w:t>
            </w:r>
            <w:r>
              <w:t xml:space="preserve"> </w:t>
            </w:r>
            <w:r>
              <w:rPr>
                <w:b/>
                <w:i/>
              </w:rPr>
              <w:t>Parlamentet anser att detta på det finansiella området bör omfatta stöd till en resilient europeisk betalnings-, clearing- och avvecklingskapacitet och diversifiering av korrespondentbank- och kortbehandlingsarrangemang samt, på det tekniska området, användning av beprövade europeiska moln-, datavärds- och programvarulösningar för kritiska institutioner och aktörer som arbetar med ansvarsutkrävande.</w:t>
            </w:r>
            <w:r>
              <w:t xml:space="preserve"> </w:t>
            </w:r>
            <w:r>
              <w:rPr>
                <w:b/>
                <w:i/>
              </w:rPr>
              <w:t>Parlamentet betonar att sådana åtgärder inte bara skyddar aktörer inom internationell rättskipning, utan också stärker oberoendet och konkurrenskraften för unionens finansiella och tekniska bas som helhet.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Jordan Bardella,Pierre-Romain Thionnet,Matthieu Valet,Julie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Europaparlamentet uppmanar EU att stärka sin digitala och tekniska suveränitet genom att utveckla europeiska alternativ inom strategiska sektorer för digitala tjänster för att minska sitt beroende av tredjeländer.</w:t>
            </w:r>
            <w:r>
              <w:t xml:space="preserve"> </w:t>
            </w:r>
            <w:r>
              <w:rPr>
                <w:b/>
                <w:i/>
              </w:rPr>
              <w:t>Parlamentet påminner om att flera utländska makter har byggt upp egna digitala ekosystem för att stärka sitt strategiska oberoende.</w:t>
            </w:r>
            <w:r>
              <w:t xml:space="preserve"> </w:t>
            </w:r>
            <w:r>
              <w:rPr>
                <w:b/>
                <w:i/>
              </w:rPr>
              <w:t>Parlamentet betonar att EU med en inre marknad med över 440 miljoner invånare har de medel som krävs för att säkra sin digitala suveränitet, med respekt för yttrandefriheten, rättsstatsprincipen, dataskydd och rättvis konkurrens.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Europaparlamentet uppmanar kommissionen att fastställa en konkret färdplan för europeisk finansiell, digital och teknisk suveränitet, inbegripet säkra europeiska betalningssystem, eurodenominerad clearing- och korrespondentbankkapacitet och betrodda europeiska leverantörer av moln-, it- och försäkringstjänster, så att EU-aktörer och personer som samarbetar med internationell rättskipning inte längre kan berövas samhällsviktiga tjänster genom extraterritoriell tillämpning av utländska tvångsåtgärder.</w:t>
            </w:r>
            <w:r>
              <w:t xml:space="preserve"> </w:t>
            </w:r>
            <w:r>
              <w:rPr>
                <w:b/>
                <w:i/>
              </w:rPr>
              <w:t>Parlamentet begär att denna färdplan ska innehålla tydliga delmål samt tydlig styrning och finansiering.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Europaparlamentet vill att EU offentligt stöder organisationer i det civila samhället och institutioner som är föremål för sådana tvångsmedel på så vis att de kan fortsätta sitt arbete.</w:t>
            </w:r>
            <w:r>
              <w:t xml:space="preserve"> </w:t>
            </w:r>
            <w:r>
              <w:rPr>
                <w:b/>
                <w:i/>
              </w:rPr>
              <w:t>Parlamentet uppmanar EU och medlemsstaterna att underlätta viseringsförfarandena för ICC:s vittnen och människorättsförsvarare som arbetar med ansvarsutkrävande, bland annat genom att påskynda handläggningen av ansökningar och utfärda både Schengenviseringar och nationella viseringar, i enlighet med viseringskodexen och handboken.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Europaparlamentet vill att EU offentligt stöder organisationer i det civila samhället och institutioner som är föremål för sådana tvångsmedel på så vis att de kan fortsätta sitt arbete. Parlamentet uppmanar EU och medlemsstaterna att underlätta viseringsförfarandena för ICC:s vittnen och människorättsförsvarare som arbetar med ansvarsutkrävande, bland annat genom att påskynda handläggningen av ansökningar och utfärda både Schengenviseringar och nationella viseringar, i enlighet med viseringskodexen och handboken.</w:t>
            </w:r>
          </w:p>
        </w:tc>
        <w:tc>
          <w:tcPr>
            <w:tcW w:w="4876" w:type="dxa"/>
            <w:tcBorders>
              <w:top w:val="nil"/>
              <w:left w:val="nil"/>
              <w:bottom w:val="nil"/>
              <w:right w:val="nil"/>
            </w:tcBorders>
          </w:tcPr>
          <w:p>
            <w:pPr>
              <w:pStyle w:val="Normal6a"/>
            </w:pPr>
            <w:r>
              <w:t>20.</w:t>
            </w:r>
            <w:r>
              <w:tab/>
            </w:r>
            <w:r>
              <w:t>Europaparlamentet vill att EU offentligt stöder organisationer i det civila samhället och institutioner som är föremål för sådana tvångsmedel på så vis att de kan fortsätta sitt arbete. Parlamentet uppmanar EU och medlemsstaterna att underlätta viseringsförfarandena för ICC:s vittnen och människorättsförsvarare som arbetar med ansvarsutkrävande, bland annat genom att påskynda handläggningen av ansökningar och utfärda både Schengenviseringar och nationella viseringar, i enlighet med viseringskodexen och handboken</w:t>
            </w:r>
            <w:r>
              <w:rPr>
                <w:b/>
                <w:i/>
              </w:rPr>
              <w:t>, och att när så är lämpligt använda påskyndade förfaranden och humanitära viseringar för dem som är utsatta för överhängande risk på grund av deras samarbete med internationella rättskipningsmekanismer</w:t>
            </w:r>
            <w:r>
              <w:t xml:space="preserve">. </w:t>
            </w:r>
            <w:r>
              <w:rPr>
                <w:b/>
                <w:i/>
              </w:rPr>
              <w:t>Parlamentet uppmuntrar kommissionen att underlätta en samordnad strategi för att undvika fragmentering mellan medlemsstaternas konsulära praxis.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Europaparlamentet vill att EU </w:t>
            </w:r>
            <w:r>
              <w:rPr>
                <w:b/>
                <w:i/>
              </w:rPr>
              <w:t>offentligt stöder</w:t>
            </w:r>
            <w:r>
              <w:t xml:space="preserve"> organisationer i det civila samhället och institutioner som är föremål för sådana tvångsmedel på så vis att de kan fortsätta sitt arbete. Parlamentet uppmanar EU och medlemsstaterna att underlätta viseringsförfarandena för ICC:s vittnen och människorättsförsvarare som arbetar med ansvarsutkrävande, bland annat genom att påskynda handläggningen av ansökningar och utfärda både Schengenviseringar och nationella viseringar, i enlighet med viseringskodexen och handboken.</w:t>
            </w:r>
          </w:p>
        </w:tc>
        <w:tc>
          <w:tcPr>
            <w:tcW w:w="4876" w:type="dxa"/>
            <w:tcBorders>
              <w:top w:val="nil"/>
              <w:left w:val="nil"/>
              <w:bottom w:val="nil"/>
              <w:right w:val="nil"/>
            </w:tcBorders>
          </w:tcPr>
          <w:p>
            <w:pPr>
              <w:pStyle w:val="Normal6a"/>
            </w:pPr>
            <w:r>
              <w:t>20.</w:t>
            </w:r>
            <w:r>
              <w:tab/>
            </w:r>
            <w:r>
              <w:t xml:space="preserve">Europaparlamentet vill att EU </w:t>
            </w:r>
            <w:r>
              <w:rPr>
                <w:b/>
                <w:i/>
              </w:rPr>
              <w:t>fortsätter att stödja</w:t>
            </w:r>
            <w:r>
              <w:t xml:space="preserve"> organisationer i det civila samhället och institutioner som är föremål för sådana tvångsmedel på så vis att de kan fortsätta sitt arbete. Parlamentet uppmanar EU och medlemsstaterna att </w:t>
            </w:r>
            <w:r>
              <w:rPr>
                <w:b/>
                <w:i/>
              </w:rPr>
              <w:t>fullt ut utnyttja den flexibilitet som finns inom ramen för den befintliga viseringskodexen för att från fall till fall</w:t>
            </w:r>
            <w:r>
              <w:t xml:space="preserve"> underlätta viseringsförfarandena för ICC:s vittnen och människorättsförsvarare som arbetar med ansvarsutkrävande </w:t>
            </w:r>
            <w:r>
              <w:rPr>
                <w:b/>
                <w:i/>
              </w:rPr>
              <w:t>om resor krävs för förfaranden eller för deras skydd</w:t>
            </w:r>
            <w:r>
              <w:t>, bland annat genom att påskynda handläggningen av ansökningar och utfärda både Schengenviseringar och nationella viseringar, i enlighet med viseringskodexen och handboken.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Arkadiusz Mularczyk, 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Europaparlamentet vill att EU offentligt stöder organisationer i det civila samhället och institutioner som är föremål för sådana tvångsmedel på så vis att de kan fortsätta sitt arbete. Parlamentet uppmanar EU och medlemsstaterna att </w:t>
            </w:r>
            <w:r>
              <w:rPr>
                <w:b/>
                <w:i/>
              </w:rPr>
              <w:t>underlätta viseringsförfarandena för</w:t>
            </w:r>
            <w:r>
              <w:t xml:space="preserve"> ICC:s vittnen och människorättsförsvarare som arbetar med ansvarsutkrävande</w:t>
            </w:r>
            <w:r>
              <w:rPr>
                <w:b/>
                <w:i/>
              </w:rPr>
              <w:t>, bland annat genom att påskynda handläggningen av ansökningar och utfärda både Schengenviseringar och nationella viseringar, i enlighet med viseringskodexen och handboken</w:t>
            </w:r>
            <w:r>
              <w:t>.</w:t>
            </w:r>
          </w:p>
        </w:tc>
        <w:tc>
          <w:tcPr>
            <w:tcW w:w="4876" w:type="dxa"/>
            <w:tcBorders>
              <w:top w:val="nil"/>
              <w:left w:val="nil"/>
              <w:bottom w:val="nil"/>
              <w:right w:val="nil"/>
            </w:tcBorders>
          </w:tcPr>
          <w:p>
            <w:pPr>
              <w:pStyle w:val="Normal6a"/>
            </w:pPr>
            <w:r>
              <w:t>20.</w:t>
            </w:r>
            <w:r>
              <w:tab/>
            </w:r>
            <w:r>
              <w:t xml:space="preserve">Europaparlamentet vill att EU offentligt stöder organisationer i det civila samhället och institutioner som är föremål för sådana tvångsmedel på så vis att de kan fortsätta sitt arbete. Parlamentet uppmanar EU och medlemsstaterna att </w:t>
            </w:r>
            <w:r>
              <w:rPr>
                <w:b/>
                <w:i/>
              </w:rPr>
              <w:t>stödja</w:t>
            </w:r>
            <w:r>
              <w:t xml:space="preserve"> ICC:s vittnen och människorättsförsvarare som arbetar med ansvarsutkrävande.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Europaparlamentet vill att EU offentligt stöder organisationer i det civila samhället och institutioner som är föremål för sådana tvångsmedel på så vis att de kan fortsätta sitt arbete. Parlamentet uppmanar EU och medlemsstaterna att underlätta </w:t>
            </w:r>
            <w:r>
              <w:rPr>
                <w:b/>
                <w:i/>
              </w:rPr>
              <w:t>viseringsförfarandena</w:t>
            </w:r>
            <w:r>
              <w:t xml:space="preserve"> för ICC:s vittnen och människorättsförsvarare som arbetar med ansvarsutkrävande</w:t>
            </w:r>
            <w:r>
              <w:rPr>
                <w:b/>
                <w:i/>
              </w:rPr>
              <w:t>, bland annat genom att påskynda handläggningen av ansökningar och utfärda både Schengenviseringar och nationella viseringar, i enlighet med viseringskodexen och handboken</w:t>
            </w:r>
            <w:r>
              <w:t>.</w:t>
            </w:r>
          </w:p>
        </w:tc>
        <w:tc>
          <w:tcPr>
            <w:tcW w:w="4876" w:type="dxa"/>
            <w:tcBorders>
              <w:top w:val="nil"/>
              <w:left w:val="nil"/>
              <w:bottom w:val="nil"/>
              <w:right w:val="nil"/>
            </w:tcBorders>
          </w:tcPr>
          <w:p>
            <w:pPr>
              <w:pStyle w:val="Normal6a"/>
            </w:pPr>
            <w:r>
              <w:t>20.</w:t>
            </w:r>
            <w:r>
              <w:tab/>
            </w:r>
            <w:r>
              <w:t>Europaparlamentet vill att EU offentligt stöder organisationer i det civila samhället och institutioner som är föremål för sådana tvångsmedel på så vis att de kan fortsätta sitt arbete. Parlamentet uppmanar EU och medlemsstaterna att</w:t>
            </w:r>
            <w:r>
              <w:rPr>
                <w:b/>
                <w:i/>
              </w:rPr>
              <w:t>, när det är vederbörligen motiverat och i enlighet med tillämpliga rättsliga krav och säkerhetskrav,</w:t>
            </w:r>
            <w:r>
              <w:t xml:space="preserve"> underlätta </w:t>
            </w:r>
            <w:r>
              <w:rPr>
                <w:b/>
                <w:i/>
              </w:rPr>
              <w:t>tillfälliga viseringsförfaranden</w:t>
            </w:r>
            <w:r>
              <w:t xml:space="preserve"> för ICC:s vittnen och människorättsförsvarare som arbetar med ansvarsutkrävande.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Europaparlamentet vill att EU offentligt stöder organisationer i det civila samhället och institutioner som är föremål för sådana tvångsmedel på så vis att de kan fortsätta sitt arbete. Parlamentet uppmanar EU och medlemsstaterna att underlätta viseringsförfarandena för ICC:s vittnen och människorättsförsvarare som arbetar med ansvarsutkrävande, bland annat genom att påskynda handläggningen av ansökningar och utfärda både Schengenviseringar och nationella viseringar, i enlighet med viseringskodexen och handboken.</w:t>
            </w:r>
          </w:p>
        </w:tc>
        <w:tc>
          <w:tcPr>
            <w:tcW w:w="4876" w:type="dxa"/>
            <w:tcBorders>
              <w:top w:val="nil"/>
              <w:left w:val="nil"/>
              <w:bottom w:val="nil"/>
              <w:right w:val="nil"/>
            </w:tcBorders>
          </w:tcPr>
          <w:p>
            <w:pPr>
              <w:pStyle w:val="Normal6a"/>
            </w:pPr>
            <w:r>
              <w:t>20.</w:t>
            </w:r>
            <w:r>
              <w:tab/>
            </w:r>
            <w:r>
              <w:t>Europaparlamentet vill att EU offentligt stöder organisationer i det civila samhället och institutioner som är föremål för sådana tvångsmedel på så vis att de kan fortsätta sitt arbete. Parlamentet uppmanar EU och medlemsstaterna att</w:t>
            </w:r>
            <w:r>
              <w:rPr>
                <w:b/>
                <w:i/>
              </w:rPr>
              <w:t> vid behov</w:t>
            </w:r>
            <w:r>
              <w:t xml:space="preserve"> underlätta viseringsförfarandena för ICC:s vittnen och människorättsförsvarare som arbetar med ansvarsutkrävande, bland annat genom att påskynda handläggningen av ansökningar och utfärda både Schengenviseringar och nationella viseringar, i enlighet med viseringskodexen och handboken.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Europaparlamentet uppmanar kommissionen och medlemsstaterna att tillhandahålla varaktig, flexibel finansiering och politiskt stöd till organisationer i det civila samhället och brottsoffergrupper som arbetar med internationell rättskipning, och uppmanar givare, inbegripet INTPA, att prioritera flerårig, flexibel grundfinansiering framför kortsiktiga projektbidrag för arbete med ansvarsutkrävande, som omfattar dokumentation, stöd till överlevare, kampanjer för rättvisa och specialiserad juridisk expertis, och att säkerställa att sådan finansiering är direkt tillgänglig för lokala och internationella aktörer genom förenklade krav.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Europaparlamentet motsätter sig att den extraterritoriella räckvidden för ensidiga tvångsmedel ofta blir större på grund av att privata aktörer som är verksamma antingen uteslutande inom EU eller inom globalt integrerade finansiella och tekniska infrastrukturer går alltför långt i sin efterlevnad.</w:t>
            </w:r>
          </w:p>
        </w:tc>
        <w:tc>
          <w:tcPr>
            <w:tcW w:w="4876" w:type="dxa"/>
            <w:tcBorders>
              <w:top w:val="nil"/>
              <w:left w:val="nil"/>
              <w:bottom w:val="nil"/>
              <w:right w:val="nil"/>
            </w:tcBorders>
          </w:tcPr>
          <w:p>
            <w:pPr>
              <w:pStyle w:val="Normal6a"/>
            </w:pPr>
            <w:r>
              <w:t>21.</w:t>
            </w:r>
            <w:r>
              <w:tab/>
            </w:r>
            <w:r>
              <w:t xml:space="preserve">Europaparlamentet motsätter sig att den extraterritoriella räckvidden för ensidiga tvångsmedel ofta blir större på grund av </w:t>
            </w:r>
            <w:r>
              <w:rPr>
                <w:b/>
                <w:i/>
              </w:rPr>
              <w:t>rädsla för repressalier eller</w:t>
            </w:r>
            <w:r>
              <w:t> att privata aktörer som är verksamma antingen uteslutande inom EU eller inom globalt integrerade finansiella och tekniska infrastrukturer går alltför långt i sin efterlevnad.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Europaparlamentet motsätter sig att den extraterritoriella räckvidden för ensidiga tvångsmedel ofta blir större på grund av att privata aktörer som är verksamma antingen uteslutande inom EU eller inom globalt integrerade finansiella och tekniska infrastrukturer går alltför långt i sin efterlevnad.</w:t>
            </w:r>
          </w:p>
        </w:tc>
        <w:tc>
          <w:tcPr>
            <w:tcW w:w="4876" w:type="dxa"/>
            <w:tcBorders>
              <w:top w:val="nil"/>
              <w:left w:val="nil"/>
              <w:bottom w:val="nil"/>
              <w:right w:val="nil"/>
            </w:tcBorders>
          </w:tcPr>
          <w:p>
            <w:pPr>
              <w:pStyle w:val="Normal6a"/>
            </w:pPr>
            <w:r>
              <w:t>21.</w:t>
            </w:r>
            <w:r>
              <w:tab/>
            </w:r>
            <w:r>
              <w:t xml:space="preserve">Europaparlamentet motsätter sig </w:t>
            </w:r>
            <w:r>
              <w:rPr>
                <w:b/>
                <w:i/>
              </w:rPr>
              <w:t>starkt</w:t>
            </w:r>
            <w:r>
              <w:t xml:space="preserve"> att den extraterritoriella räckvidden för ensidiga tvångsmedel ofta blir större på grund av att privata aktörer som är verksamma antingen uteslutande inom EU eller inom globalt integrerade finansiella och tekniska infrastrukturer går alltför långt i sin efterlevnad.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Jordan Bardella,Pierre-Romain Thionnet,Matthieu Valet,Julie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Europaparlamentet beklagar djupt att vissa av EU:s strategiska partner fortsätter att tillämpa extraterritoriella sanktioner som direkt påverkar europeiska företag, utan hänsyn till EU:s rättsliga suveränitet och principerna för regelbaserad internationell handel.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Europaparlamentet uppmanar kommissionen att minska den rättsosäkerhet som privata aktörer står inför till följd av utländska tvångsmedel genom att anta EU-riktlinjer för att hantera alltför långtgående efterlevnad och genom att tillhandahålla skyddsmekanismer.</w:t>
            </w:r>
          </w:p>
        </w:tc>
        <w:tc>
          <w:tcPr>
            <w:tcW w:w="4876" w:type="dxa"/>
            <w:tcBorders>
              <w:top w:val="nil"/>
              <w:left w:val="nil"/>
              <w:bottom w:val="nil"/>
              <w:right w:val="nil"/>
            </w:tcBorders>
          </w:tcPr>
          <w:p>
            <w:pPr>
              <w:pStyle w:val="Normal6a"/>
            </w:pPr>
            <w:r>
              <w:t>22.</w:t>
            </w:r>
            <w:r>
              <w:tab/>
            </w:r>
            <w:r>
              <w:t xml:space="preserve">Europaparlamentet uppmanar kommissionen att minska den rättsosäkerhet som privata aktörer står inför till följd av utländska tvångsmedel genom att anta EU-riktlinjer för att hantera alltför långtgående efterlevnad och genom att tillhandahålla skyddsmekanismer. </w:t>
            </w:r>
            <w:r>
              <w:rPr>
                <w:b/>
                <w:i/>
              </w:rPr>
              <w:t>Parlamentet påminner om att efterlevnad av ensidiga sanktioner från tredjeländer inte i sig kan motivera vägran att tillhandahålla bank- och betaltjänster, i enlighet med domstolens dom av den 11 juni 2006.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Europaparlamentet uppmanar kommissionen att minska den rättsosäkerhet som privata aktörer står inför till följd av utländska tvångsmedel genom att </w:t>
            </w:r>
            <w:r>
              <w:rPr>
                <w:b/>
                <w:i/>
              </w:rPr>
              <w:t>anta</w:t>
            </w:r>
            <w:r>
              <w:t xml:space="preserve"> EU-riktlinjer för att hantera alltför långtgående efterlevnad och genom att tillhandahålla </w:t>
            </w:r>
            <w:r>
              <w:rPr>
                <w:b/>
                <w:i/>
              </w:rPr>
              <w:t>skyddsmekanismer</w:t>
            </w:r>
            <w:r>
              <w:t>.</w:t>
            </w:r>
          </w:p>
        </w:tc>
        <w:tc>
          <w:tcPr>
            <w:tcW w:w="4876" w:type="dxa"/>
            <w:tcBorders>
              <w:top w:val="nil"/>
              <w:left w:val="nil"/>
              <w:bottom w:val="nil"/>
              <w:right w:val="nil"/>
            </w:tcBorders>
          </w:tcPr>
          <w:p>
            <w:pPr>
              <w:pStyle w:val="Normal6a"/>
            </w:pPr>
            <w:r>
              <w:t>22.</w:t>
            </w:r>
            <w:r>
              <w:tab/>
            </w:r>
            <w:r>
              <w:t xml:space="preserve">Europaparlamentet uppmanar kommissionen att minska den rättsosäkerhet som privata aktörer står inför till följd av utländska tvångsmedel genom att </w:t>
            </w:r>
            <w:r>
              <w:rPr>
                <w:b/>
                <w:i/>
              </w:rPr>
              <w:t>snabbt anta tydliga och praktiska</w:t>
            </w:r>
            <w:r>
              <w:t xml:space="preserve"> EU-riktlinjer för att hantera alltför långtgående efterlevnad</w:t>
            </w:r>
            <w:r>
              <w:rPr>
                <w:b/>
                <w:i/>
              </w:rPr>
              <w:t>, och därigenom minska byråkratin och efterlevnadskostnaderna,</w:t>
            </w:r>
            <w:r>
              <w:t xml:space="preserve"> och genom att tillhandahålla </w:t>
            </w:r>
            <w:r>
              <w:rPr>
                <w:b/>
                <w:i/>
              </w:rPr>
              <w:t>mekanismer för skydd och tekniskt stöd som är anpassade till de europeiska små och medelstora företagens särskilda behov</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Europaparlamentet uppmanar kommissionen att minska den rättsosäkerhet som privata aktörer står inför till följd av utländska tvångsmedel genom att anta </w:t>
            </w:r>
            <w:r>
              <w:rPr>
                <w:b/>
                <w:i/>
              </w:rPr>
              <w:t>EU-riktlinjer</w:t>
            </w:r>
            <w:r>
              <w:t xml:space="preserve"> för att hantera alltför långtgående efterlevnad </w:t>
            </w:r>
            <w:r>
              <w:rPr>
                <w:b/>
                <w:i/>
              </w:rPr>
              <w:t>och genom att tillhandahålla skyddsmekanismer</w:t>
            </w:r>
            <w:r>
              <w:t>.</w:t>
            </w:r>
          </w:p>
        </w:tc>
        <w:tc>
          <w:tcPr>
            <w:tcW w:w="4876" w:type="dxa"/>
            <w:tcBorders>
              <w:top w:val="nil"/>
              <w:left w:val="nil"/>
              <w:bottom w:val="nil"/>
              <w:right w:val="nil"/>
            </w:tcBorders>
          </w:tcPr>
          <w:p>
            <w:pPr>
              <w:pStyle w:val="Normal6a"/>
            </w:pPr>
            <w:r>
              <w:t>22.</w:t>
            </w:r>
            <w:r>
              <w:tab/>
            </w:r>
            <w:r>
              <w:t xml:space="preserve">Europaparlamentet uppmanar kommissionen att minska den rättsosäkerhet som privata aktörer står inför till följd av utländska tvångsmedel genom att anta </w:t>
            </w:r>
            <w:r>
              <w:rPr>
                <w:b/>
                <w:i/>
              </w:rPr>
              <w:t>praktisk EU-vägledning</w:t>
            </w:r>
            <w:r>
              <w:t xml:space="preserve"> för att hantera alltför långtgående efterlevnad</w:t>
            </w:r>
            <w:r>
              <w:rPr>
                <w:b/>
                <w:i/>
              </w:rPr>
              <w:t>, med utgångspunkt i nuvarande instrument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Europaparlamentet </w:t>
            </w:r>
            <w:r>
              <w:rPr>
                <w:b/>
                <w:i/>
              </w:rPr>
              <w:t>uppmanar kommissionen</w:t>
            </w:r>
            <w:r>
              <w:t xml:space="preserve"> att minska den rättsosäkerhet som privata aktörer står inför till följd av utländska tvångsmedel genom att anta </w:t>
            </w:r>
            <w:r>
              <w:rPr>
                <w:b/>
                <w:i/>
              </w:rPr>
              <w:t>EU-riktlinjer</w:t>
            </w:r>
            <w:r>
              <w:t xml:space="preserve"> för att hantera alltför långtgående efterlevnad och genom att tillhandahålla skyddsmekanismer.</w:t>
            </w:r>
          </w:p>
        </w:tc>
        <w:tc>
          <w:tcPr>
            <w:tcW w:w="4876" w:type="dxa"/>
            <w:tcBorders>
              <w:top w:val="nil"/>
              <w:left w:val="nil"/>
              <w:bottom w:val="nil"/>
              <w:right w:val="nil"/>
            </w:tcBorders>
          </w:tcPr>
          <w:p>
            <w:pPr>
              <w:pStyle w:val="Normal6a"/>
            </w:pPr>
            <w:r>
              <w:t>22.</w:t>
            </w:r>
            <w:r>
              <w:tab/>
            </w:r>
            <w:r>
              <w:t xml:space="preserve">Europaparlamentet </w:t>
            </w:r>
            <w:r>
              <w:rPr>
                <w:b/>
                <w:i/>
              </w:rPr>
              <w:t>uppmuntrar medlemsstaterna</w:t>
            </w:r>
            <w:r>
              <w:t xml:space="preserve"> att minska den rättsosäkerhet som privata aktörer står inför till följd av utländska tvångsmedel genom att anta </w:t>
            </w:r>
            <w:r>
              <w:rPr>
                <w:b/>
                <w:i/>
              </w:rPr>
              <w:t>riktlinjer</w:t>
            </w:r>
            <w:r>
              <w:t xml:space="preserve"> för att hantera alltför långtgående efterlevnad och genom att tillhandahålla skyddsmekanismer.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Europaparlamentet uppmanar EU och dess medlemsstater att aktivt stödja staten Palestinas anslutning som fullvärdig medlem av FN, i linje med FN:s generalförsamlings ståndpunkt att Palestina är fullt kvalificerat för medlemskap enligt artikel 4 i FN-stadgan.</w:t>
            </w:r>
            <w:r>
              <w:t xml:space="preserve"> </w:t>
            </w:r>
            <w:r>
              <w:rPr>
                <w:b/>
                <w:i/>
              </w:rPr>
              <w:t>I avvaktan på ett sådant erkännande uppmanas de att stödja Palestinas fortsatta anslutning till FN:s fördrag och konventioner, inbegripet 1951 års konvention angående flyktingars rättsliga ställning och dess protokoll från 1967, och att stödja nomineringen, införandet och skyddet av det palestinska kultur- och naturarvet inom ramen för Unesco, bland annat genom ytterligare förteckningar över världsarv och snabba skyddsmekanismer för hotade platser.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Europaparlamentet uppmanar kommissionen att lägga fram en detaljerad årsrapport för Europaparlamentet om genomförandet av strategin som omfattar en bedömning av effekterna av utländska tvångsåtgärder på europeiska aktörer och en transparent analys av de unionsmedel som anslås för att stödja internationell rättskipning, för att på så sätt säkerställa effektivitet, spårbarhet och sund ekonomisk förvaltning av offentliga medel.</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Europaparlamentet uppmanar kommissionen och medlemsstaterna att utarbeta en handbok med bästa praxis för hur man ska reagera på extraterritoriella tvångsåtgärder, och att inrätta en särskild nationell kontaktpunkt för att ge företag och privata aktörer vägledning och förtydliganden.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Europaparlamentet uppmanar EU att ge vägledning till ekonomiska aktörer på den inre marknaden när det gäller riskerna och begränsningarna med nitisk och omfattande tillämpning av icke-europeiska lagar och de praktiska följderna av dessa.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Europaparlamentet uppmanar europeiska tjänsteleverantörer att avstå från att gå utöver nödvändiga åtgärder för tillbörlig aktsamhet, till exempel när de automatiskt vägrar att upprätta en affärsförbindelse med en person som är uppförd på en sanktionsförteckning, och att följa EU-domstolens fasta rättspraxis.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Arkadiusz Mularczyk, 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Europaparlamentet erkänner den ihållande bristen på effektiva lagliga vägar för offren för den nazityska aggressionen under andra världskriget och deras avkomlingar, vilken härrör från doktrinen om statlig immunitet och har förhindrat utkrävandet av ansvar för historiska orättvisor mer än 80 år efter krigets slut.</w:t>
            </w:r>
            <w:r>
              <w:t xml:space="preserve"> </w:t>
            </w:r>
            <w:r>
              <w:rPr>
                <w:b/>
                <w:i/>
              </w:rPr>
              <w:t>Parlamentet betonar att detta inbegriper underlåtenhet att återlämna kulturföremål, konstverk, arkiv och andra tillgångar som systematiskt plundrats av Nazityskland, och att Polen ensamt har förlorat över 500 000 identifierade kulturföremål.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Arkadiusz Mularczyk, Michał Dworczyk</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Europaparlamentet erkänner vidare att sådana ouppklarade orättvisor från det förflutna måste hanteras utan ytterligare dröjsmål genom inrättandet av särskilda mekanismer för återlämnande, ersättning och tillgång till rättslig prövning för att det internationella rättssystemet, dess institutioner, mekanismer och partner på ett trovärdigt sätt ska kunna skyddas och stärkas.</w:t>
            </w:r>
            <w:r>
              <w:t xml:space="preserve"> </w:t>
            </w:r>
            <w:r>
              <w:rPr>
                <w:b/>
                <w:i/>
              </w:rPr>
              <w:t>Parlamentet uppmanar kommissionen och medlemsstaterna att underlätta dialog, medling och konkreta åtgärder – inbegripet systematiska översyner av samlingar och påskyndade återlämnandeprocesser – i linje med principerna inom internationell rätt, mänskliga rättigheter och rättsstaten.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Europaparlamentet uppdrar åt talmannen att översända denna resolution till rådet och kommissionen.</w:t>
            </w:r>
          </w:p>
        </w:tc>
        <w:tc>
          <w:tcPr>
            <w:tcW w:w="4876" w:type="dxa"/>
            <w:tcBorders>
              <w:top w:val="nil"/>
              <w:left w:val="nil"/>
              <w:bottom w:val="nil"/>
              <w:right w:val="nil"/>
            </w:tcBorders>
          </w:tcPr>
          <w:p>
            <w:pPr>
              <w:pStyle w:val="Normal6a"/>
            </w:pPr>
            <w:r>
              <w:t>23.</w:t>
            </w:r>
            <w:r>
              <w:tab/>
            </w:r>
            <w:r>
              <w:t xml:space="preserve">Europaparlamentet uppdrar åt talmannen att översända denna resolution till </w:t>
            </w:r>
            <w:r>
              <w:rPr>
                <w:b/>
                <w:i/>
              </w:rPr>
              <w:t>medlemsstaterna,</w:t>
            </w:r>
            <w:r>
              <w:t xml:space="preserve"> rådet och kommissionen.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790.940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138</w:t>
    </w:r>
    <w:r>
      <w:fldChar w:fldCharType="end"/>
    </w:r>
    <w:r>
      <w:t>/</w:t>
    </w:r>
    <w:r>
      <w:fldChar w:fldCharType="begin"/>
    </w:r>
    <w:r>
      <w:instrText xml:space="preserve"> NUMPAGES </w:instrText>
    </w:r>
    <w:r>
      <w:fldChar w:fldCharType="separate"/>
    </w:r>
    <w:r>
      <w:t>139</w:t>
    </w:r>
    <w:r>
      <w:fldChar w:fldCharType="end"/>
    </w:r>
    <w:r>
      <w:tab/>
    </w:r>
    <w:r>
      <w:rPr>
        <w:rStyle w:val="HideTWBExt"/>
      </w:rPr>
      <w:t>&lt;PathFdR&gt;</w:t>
    </w:r>
    <w:r>
      <w:t>AM\1347899SV.docx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AM\1347899SV.docx</w:t>
    </w:r>
    <w:r>
      <w:rPr>
        <w:rStyle w:val="HideTWBExt"/>
      </w:rPr>
      <w:t>&lt;/PathFdR&gt;</w:t>
    </w:r>
    <w:r>
      <w:tab/>
    </w:r>
    <w:r>
      <w:fldChar w:fldCharType="begin"/>
    </w:r>
    <w:r>
      <w:instrText xml:space="preserve"> PAGE </w:instrText>
    </w:r>
    <w:r>
      <w:fldChar w:fldCharType="separate"/>
    </w:r>
    <w:r>
      <w:t>139</w:t>
    </w:r>
    <w:r>
      <w:fldChar w:fldCharType="end"/>
    </w:r>
    <w:r>
      <w:t>/</w:t>
    </w:r>
    <w:r>
      <w:fldChar w:fldCharType="begin"/>
    </w:r>
    <w:r>
      <w:instrText xml:space="preserve"> NUMPAGES </w:instrText>
    </w:r>
    <w:r>
      <w:fldChar w:fldCharType="separate"/>
    </w:r>
    <w:r>
      <w:t>139</w:t>
    </w:r>
    <w:r>
      <w:fldChar w:fldCharType="end"/>
    </w:r>
    <w:r>
      <w:tab/>
    </w:r>
    <w:r>
      <w:t>PE</w:t>
    </w:r>
    <w:r>
      <w:rPr>
        <w:rStyle w:val="HideTWBExt"/>
      </w:rPr>
      <w:t>&lt;NoPE&gt;</w:t>
    </w:r>
    <w:r>
      <w:t>790.940</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AM\1347899SV.docx</w:t>
    </w:r>
    <w:r>
      <w:rPr>
        <w:rStyle w:val="HideTWBExt"/>
      </w:rPr>
      <w:t>&lt;/PathFdR&gt;</w:t>
    </w:r>
    <w:r>
      <w:tab/>
    </w:r>
    <w:r>
      <w:tab/>
    </w:r>
    <w:r>
      <w:t>PE</w:t>
    </w:r>
    <w:r>
      <w:rPr>
        <w:rStyle w:val="HideTWBExt"/>
      </w:rPr>
      <w:t>&lt;NoPE&gt;</w:t>
    </w:r>
    <w:r>
      <w:t>790.940</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139</Pages>
  <Words>24660</Words>
  <Characters>166799</Characters>
  <Application>Microsoft Office Word</Application>
  <DocSecurity>0</DocSecurity>
  <Lines>1</Lines>
  <Paragraphs>2460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1347899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585215</vt:lpwstr>
  </property>
  <property fmtid="{D5CDD505-2E9C-101B-9397-08002B2CF9AE}" pid="7" name="dmxml.render.traceId">
    <vt:lpwstr>6a6235207f84cd459128ab55045894ea</vt:lpwstr>
  </property>
  <property fmtid="{D5CDD505-2E9C-101B-9397-08002B2CF9AE}" pid="8" name="FooterPath">
    <vt:lpwstr>AM\1347899SV.docx</vt:lpwstr>
  </property>
  <property fmtid="{D5CDD505-2E9C-101B-9397-08002B2CF9AE}" pid="9" name="PE Number">
    <vt:lpwstr>790.940</vt:lpwstr>
  </property>
  <property fmtid="{D5CDD505-2E9C-101B-9397-08002B2CF9AE}" pid="10" name="UID">
    <vt:lpwstr>eu.europa.europarl-DIN1-2026-0000214351_02.00-sv-01.00_text-xml</vt:lpwstr>
  </property>
</Properties>
</file>