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Commissione per i bilanci</w:t>
      </w:r>
      <w:r>
        <w:rPr>
          <w:rStyle w:val="HideTWBExt"/>
        </w:rPr>
        <w:t>&lt;/Commission&gt;</w:t>
      </w:r>
    </w:p>
    <w:p>
      <w:pPr>
        <w:pStyle w:val="LineBottom"/>
      </w:pPr>
      <w:r>
        <w:t xml:space="preserve"> </w:t>
      </w:r>
    </w:p>
    <w:p>
      <w:pPr>
        <w:pStyle w:val="CoverReference"/>
      </w:pPr>
      <w:r>
        <w:rPr>
          <w:rStyle w:val="HideTWBExt"/>
        </w:rPr>
        <w:t>&lt;RefProc&gt;</w:t>
      </w:r>
      <w:r>
        <w:t>2024/2051</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{24/02/2025}</w:t>
      </w:r>
      <w:r>
        <w:t>24.2.2025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1</w:t>
      </w:r>
      <w:r>
        <w:t xml:space="preserve"> - </w:t>
      </w:r>
      <w:r>
        <w:t>78</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Siegfried Mureşan, Carla Tavares</w:t>
      </w:r>
      <w:r>
        <w:rPr>
          <w:rStyle w:val="HideTWBExt"/>
        </w:rPr>
        <w:t>&lt;/Rapporteur&gt;</w:t>
      </w:r>
    </w:p>
    <w:p>
      <w:pPr>
        <w:pStyle w:val="CoverNormal24a"/>
      </w:pPr>
      <w:r>
        <w:rPr>
          <w:rStyle w:val="HideTWBExt"/>
        </w:rPr>
        <w:t>&lt;DocRefPE&gt;</w:t>
      </w:r>
      <w:r>
        <w:t>(PE766.828v01-00)</w:t>
      </w:r>
      <w:r>
        <w:rPr>
          <w:rStyle w:val="HideTWBExt"/>
        </w:rPr>
        <w:t>&lt;/DocRefPE&gt;</w:t>
      </w:r>
    </w:p>
    <w:p>
      <w:pPr>
        <w:pStyle w:val="CoverNormal"/>
      </w:pPr>
      <w:r>
        <w:rPr>
          <w:rStyle w:val="HideTWBExt"/>
        </w:rPr>
        <w:t>&lt;Titre&gt;</w:t>
      </w:r>
      <w:r>
        <w:t>Un rinnovato bilancio a lungo termine per l'Unione in un mondo che cambia</w:t>
      </w:r>
      <w:r>
        <w:rPr>
          <w:rStyle w:val="HideTWBExt"/>
        </w:rPr>
        <w:t>&lt;/Titre&gt;</w:t>
      </w:r>
    </w:p>
    <w:p>
      <w:pPr>
        <w:pStyle w:val="CoverNormal24a"/>
      </w:pPr>
      <w:r>
        <w:rPr>
          <w:rStyle w:val="HideTWBExt"/>
        </w:rPr>
        <w:t>&lt;DocRef&gt;</w:t>
      </w:r>
      <w:r>
        <w:t>(2024/2051(INI))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regolamento delegato della Commissione, del 7 gennaio 2014, recante un codice europeo di condotta sul partenariato nell'ambito dei fondi strutturali e d'investimento europei,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 9 dicembre 2021 dal titolo "Creare un'economia al servizio delle persone: un piano d'azione per l'economia sociale" (COM(2021)9778),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 9 dicembre 2021 dal titolo "Creare un'economia al servizio delle persone: un piano d'azione per l'economia sociale" (COM(2021)9778),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di Anversa per un patto industriale europeo del 20 febbraio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regolamento (UE) 2021/1119 che istituisce il quadro per il conseguimento della neutralità climatica e che modifica il regolamento (CE) n. 401/2009 e il regolamento (UE) 2018/1999 («Normativa europea sul clima»),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decisione (UE) 2022/591 del Parlamento europeo e del Consiglio, del 6 aprile 2022, relativa a un programma generale di azione dell'Unione per l'ambiente fino al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di La Hulpe sul futuro del pilastro europeo dei diritti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septies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di Liegi del 5 marzo 2024 intitolata "Alloggi dignitosi, sostenibili e a prezzi accessibili per tutti",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octies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sua risoluzione del 21 gennaio 2021 sulla strategia dell'UE per la parità di genere,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nonies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la relazione speciale del gruppo intergovernativo di esperti sul cambiamento climatico (IPCC) sul riscaldamento globale di 1,5 °C, la sua relazione speciale sui cambiamenti climatici e il suolo e la sua relazione speciale sull'oceano e la criosfera in un clima che cambia,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della Commissione europea dal titolo "Biodiversity Financing and Tracking" (Finanziamento e monitoraggio della biodiversità),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undecies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convenzione di Aarhus e gli obblighi che ne derivano,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duodecies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obiettivi di sviluppo sostenibile delle Nazioni Unite,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terdecies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orientamenti e gli strumenti per legiferare meglio,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quaterdecies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l'edizione 2024 della relazione sui risultati nel campo della scienza, della ricerca e dell'innovazione (SRIP),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quindecies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2024 sull'assegnazione dei proventi e sull'impatto delle obbligazioni verdi NGEU (SWD (2024) 275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sexdecies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n. 1/2024 dell'Agenzia europea dell'ambiente sulla valutazione europea dei rischi climatici (EUCRA),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septdecies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del 4 settembre 2024 del dialogo strategico sul futuro dell'agricoltura dell'UE dal titolo "A shared prospect for farming and food in Europe" (Una prospettiva condivisa per l'agricoltura e l'alimentazione in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octodecies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relazione del 20 febbraio 2024 del gruppo ad alto livello sul futuro della politica di coesione dal titolo "Forging a sustainable future together – cohesion for a competitive and inclusive Europe" (Forgiare insieme un futuro sostenibile: la coesione per un'Europa competitiva e inclusiva),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novodecies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gli orientamenti politici del 18 luglio 2024 per la prossima Commissione europea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vicies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visto il parere del Comitato delle Regioni del 20 novembre 2024 dal titolo "Bilancio dell'UE e politiche basate sul territorio: proposte di nuovi meccanismi di progettazione e attuazione nel QFP per il periodo successivo al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unvicies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direttiva sulla prestazione energetica nell'edilizia,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12 duovicies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la relazione 2024 della Commissione sulle sovvenzioni all'energia nell'UE e la relazione speciale 2024/15 della Corte dei conti europea dal titolo "L'adattamento ai cambiamenti climatici nell'UE – L'azione non sta al passo con l'ambizione",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Jean-Marc Germain, Raphaël Glucksmann,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congiunta dal titolo "Una nuova strategia industriale europea per il settore della difesa:</w:t>
            </w:r>
            <w:r>
              <w:t xml:space="preserve"> </w:t>
            </w:r>
            <w:r>
              <w:rPr>
                <w:b/>
                <w:i/>
              </w:rPr>
              <w:t>conseguire la prontezza dell'UE attraverso un'industria europea della difesa reattiva e resiliente" del 3 marzo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13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dichiarazione di Versailles dell'11 marzo 2022,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al Parlamento europeo, al Consiglio europeo, al Consiglio, al Comitato economico e sociale europeo e al Comitato delle regioni, del 29 gennaio 2025, dal titolo "Bussola per la competitività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dell'11 febbraio 2025 dal titolo "La strada verso il prossimo quadro finanziario pluriennale",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19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del 29 gennaio 2025 dal titolo "Bussola per la competitività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Lucia Yar, Fabienne Keller, Stine Bosse,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visti l'articolo 9 del regolamento recante disposizioni comuni sui principi orizzontali e l'articolo 15, paragrafo 1, nonché l'allegato III, sulle condizioni abilitanti orizzontali, riguardanti in particolare il rispetto dei diritti fondamentali e il rispetto della Carta dei diritti fondamentali dell'Unione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viste le relazioni speciali della Corte dei conti europea sul dispositivo per la ripresa e la resilienza e su altri strumenti basati sulla performance,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Visto 22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vista la comunicazione della Commissione europea dell'11 febbraio dal titolo "La strada verso il prossimo quadro finanziario pluriennale",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considerando che, a norma dell'articolo 311 TFUE, l'Unione è tenuta a dotarsi dei mezzi necessari per conseguire i suoi obiettivi e per portare a compimento le sue politiche;</w:t>
            </w:r>
          </w:p>
        </w:tc>
        <w:tc>
          <w:tcPr>
            <w:tcW w:w="4876" w:type="dxa"/>
            <w:tcBorders>
              <w:top w:val="nil"/>
              <w:left w:val="nil"/>
              <w:bottom w:val="nil"/>
              <w:right w:val="nil"/>
            </w:tcBorders>
          </w:tcPr>
          <w:p>
            <w:pPr>
              <w:pStyle w:val="Normal6a"/>
            </w:pPr>
            <w:r>
              <w:t>A.</w:t>
            </w:r>
            <w:r>
              <w:tab/>
            </w:r>
            <w:r>
              <w:t xml:space="preserve">considerando che </w:t>
            </w:r>
            <w:r>
              <w:rPr>
                <w:b/>
                <w:i/>
              </w:rPr>
              <w:t>l'Unione si fonda sui valori del rispetto della dignità umana, della libertà, della democrazia, dell'uguaglianza, dello Stato di diritto e del rispetto dei diritti umani, compresi i diritti delle persone appartenenti a minoranze (valori dell'Unione);</w:t>
            </w:r>
            <w:r>
              <w:t xml:space="preserve"> </w:t>
            </w:r>
            <w:r>
              <w:rPr>
                <w:b/>
                <w:i/>
              </w:rPr>
              <w:t>che l'Unione si prefigge di promuovere la pace, i suoi valori e il benessere dei suoi popoli;</w:t>
            </w:r>
            <w:r>
              <w:t xml:space="preserve"> </w:t>
            </w:r>
            <w:r>
              <w:rPr>
                <w:b/>
                <w:i/>
              </w:rPr>
              <w:t>che</w:t>
            </w:r>
            <w:r>
              <w:t>, a norma dell'articolo 311 TFUE, l'Unione è tenuta a dotarsi dei mezzi necessari per conseguire i suoi obiettivi e per portare a compimento le sue politiche;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un ambiente sano è alla base del benessere di tutte le persone ed è un ambiente in cui la biodiversità è conservata, gli ecosistemi prosperano e la natura è protetta e ripristinata, conducendo a una maggiore resilienza ai cambiamenti climatici, alle catastrofi meteorologiche e legate al clima e ad altri rischi ambientali;</w:t>
            </w:r>
            <w:r>
              <w:t xml:space="preserve"> </w:t>
            </w:r>
            <w:r>
              <w:rPr>
                <w:b/>
                <w:i/>
              </w:rPr>
              <w:t>considerando che l'umanità si trova ad affrontare le tre crisi planetarie dei cambiamenti climatici, dell'inquinamento e della perdita di biodiversità, ognuna delle quali deve essere risolta per garantire un futuro sostenibile su questo pianeta;</w:t>
            </w:r>
            <w:r>
              <w:t xml:space="preserve"> </w:t>
            </w:r>
            <w:r>
              <w:rPr>
                <w:b/>
                <w:i/>
              </w:rPr>
              <w:t>che affrontare tale triplice crisi planetaria è fondamentale anche per salvaguardare la sicurezza, la libertà e la prosperità dell'Unione;</w:t>
            </w:r>
            <w:r>
              <w:t xml:space="preserve"> </w:t>
            </w:r>
            <w:r>
              <w:rPr>
                <w:b/>
                <w:i/>
              </w:rPr>
              <w:t>che i costi dell'inazione nell'affrontare la triplice crisi planetaria superano di gran lunga quelli per l'adozione di misure tempestive;</w:t>
            </w:r>
            <w:r>
              <w:t xml:space="preserve"> </w:t>
            </w:r>
            <w:r>
              <w:rPr>
                <w:b/>
                <w:i/>
              </w:rPr>
              <w:t>che l'Unione definisce le tappe per garantire prosperità alle generazioni presenti e future a livello mondiale in linea con la responsabilità intergenerazionale;</w:t>
            </w:r>
            <w:r>
              <w:t xml:space="preserve"> </w:t>
            </w:r>
            <w:r>
              <w:rPr>
                <w:b/>
                <w:i/>
              </w:rPr>
              <w:t>che le attività economiche dovrebbero rispettare i limiti del pianeta;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considerando che il bilancio dell'Unione europea svolge una funzione ridistributiva tra i suoi principi chiave e deve pertanto garantire che gli Stati membri che hanno maggiormente beneficiato del mercato unico, della moneta unica e delle politiche comuni durante l'intero processo di integrazione contribuiscano di più al bilancio;</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che tra il 1980 e il 2022 le condizioni meteorologiche e climatiche estreme hanno causato perdite economiche per oltre 650 miliardi di EUR;</w:t>
            </w:r>
            <w:r>
              <w:t xml:space="preserve"> </w:t>
            </w:r>
            <w:r>
              <w:rPr>
                <w:b/>
                <w:i/>
              </w:rPr>
              <w:t>che, inoltre, come evidenziato nella relazione n. 1/2024 dell'AEA, le implicazioni dei cambiamenti climatici interessano l'intero continente europeo, ma colpiscono in modo sproporzionato le popolazioni vulnerabili a causa di fattori socioeconomici che ostacolano ulteriormente la capacità dei gruppi vulnerabili di riprendersi dalle catastrofi, in particolare nelle regioni meno sviluppate;</w:t>
            </w:r>
            <w:r>
              <w:t xml:space="preserve"> </w:t>
            </w:r>
            <w:r>
              <w:rPr>
                <w:b/>
                <w:i/>
              </w:rPr>
              <w:t>che la stessa relazione ha inoltre avvertito che il blocco è impreparato a far fronte agli effetti dei cambiamenti climatici anche se, a livello mondiale, si riuscirà a limitare l'aumento della temperatura globale 1,5 gradi Celsius, come stabilito nell'accordo di Parigi;</w:t>
            </w:r>
            <w:r>
              <w:t xml:space="preserve"> </w:t>
            </w:r>
            <w:r>
              <w:rPr>
                <w:b/>
                <w:i/>
              </w:rPr>
              <w:t>che, secondo la relazione, se non saranno intraprese subito azioni decisive, la maggior parte dei rischi climatici individuati (nella valutazione) potrebbe raggiungere livelli critici o catastrofici entro la fine di questo secolo;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considerando che, secondo il documento di lavoro "The Redistributive Function of the EU Budget" (la funzione ridistributiva del bilancio dell'UE)</w:t>
            </w:r>
            <w:r>
              <w:rPr>
                <w:b/>
                <w:i/>
                <w:vertAlign w:val="superscript"/>
              </w:rPr>
              <w:t>1 bis</w:t>
            </w:r>
            <w:r>
              <w:rPr>
                <w:b/>
                <w:i/>
              </w:rPr>
              <w:t>, il bilancio dell'UE ha attualmente un impatto ridistributivo limitato e le riduzioni e altri meccanismi di compensazione relativi ai contributi degli Stati membri riducono ulteriormente l'impatto ridistributivo del bilancio dell'UE;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considerando che l'Unione si è impegnata ad adottare tutte le misure necessarie per conseguire la neutralità climatica al più tardi entro il 2050, anche attraverso l'attuazione del Green Deal europeo, della normativa europea sul clima, della strategia sulla biodiversità per il 2030, della strategia "Dal produttore al consumatore", del piano d'azione per l'economia circolare, della strategia in materia di sostanze chimiche sostenibili e di un piano d'azione "inquinamento zero", nonché degli impegni internazionali, in particolare l'accordo di Parigi, l'accordo di Kunmin-Montreal e l'Agenda 2030, gli obiettivi di sviluppo sostenibile (OSS);</w:t>
            </w:r>
            <w:r>
              <w:t xml:space="preserve"> </w:t>
            </w:r>
            <w:r>
              <w:rPr>
                <w:b/>
                <w:i/>
              </w:rPr>
              <w:t>che tutto ciò richiede ingenti investimenti nonché la graduale eliminazione delle sovvenzioni dannose per l'ambiente, in particolare le sovvenzioni ai combustibili fossili, in linea con l'ambizione di limitare il riscaldamento globale a 1,5 °C, nonché investimenti sostanziali e un'attuazione piena e rigorosa del principio "non arrecare un danno significativo";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quater.</w:t>
            </w:r>
            <w:r>
              <w:tab/>
            </w:r>
            <w:r>
              <w:rPr>
                <w:b/>
                <w:i/>
              </w:rPr>
              <w:t>considerando che gli sconti sono indicizzati al deflatore medio, ossia l'inflazione media dell'UE, e che pertanto, se uno Stato membro ammissibile a uno sconto ha un deflatore del prodotto interno lordo inferiore alla media dell'UE, non solo beneficerà della riduzione dell'importo fisso del suo contributo attraverso lo sconto, ma contribuirà anche con una quota inferiore alla risorsa propria basata sull'RNL, aumentando il valore degli sconti in termini relativi;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A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quinquies.</w:t>
            </w:r>
            <w:r>
              <w:tab/>
            </w:r>
            <w:r>
              <w:rPr>
                <w:b/>
                <w:i/>
              </w:rPr>
              <w:t>considerando che la Banca centrale europea sottolinea che i rischi legati al clima hanno un impatto su indicatori macroeconomici quali l'inflazione, la crescita economica, la stabilità finanziaria e la trasmissione della politica monetaria e che la perdita di biodiversità e il degrado degli ecosistemi naturali possono amplificare i rischi legati al clima;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w:t>
            </w:r>
            <w:r>
              <w:rPr>
                <w:b/>
                <w:i/>
              </w:rPr>
              <w:t>il bilancio dell'Unione è principalmente un bilancio di investimenti che è in grado di realizzare economie di scala non realizzabili a livello degli Stati membri</w:t>
            </w:r>
            <w:r>
              <w:t>;</w:t>
            </w:r>
          </w:p>
        </w:tc>
        <w:tc>
          <w:tcPr>
            <w:tcW w:w="4876" w:type="dxa"/>
            <w:tcBorders>
              <w:top w:val="nil"/>
              <w:left w:val="nil"/>
              <w:bottom w:val="nil"/>
              <w:right w:val="nil"/>
            </w:tcBorders>
          </w:tcPr>
          <w:p>
            <w:pPr>
              <w:pStyle w:val="Normal6a"/>
            </w:pPr>
            <w:r>
              <w:t>B.</w:t>
            </w:r>
            <w:r>
              <w:tab/>
            </w:r>
            <w:r>
              <w:t xml:space="preserve">considerando che </w:t>
            </w:r>
            <w:r>
              <w:rPr>
                <w:b/>
                <w:i/>
              </w:rPr>
              <w:t>l'attuale QFP e il dispositivo per la ripresa e la resilienza ammontano a quasi 2 000 miliardi di EUR per l'attuale periodo e che gli elevati tassi di inflazione e il conseguente aumento del costo di beni e servizi hanno ridotto il valore attuale della spesa europea concordata in termini nominali nel 2020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Roberts Zīle, 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il bilancio dell'Unione è principalmente un bilancio di investimenti che è in grado di realizzare economie di scala non realizzabili a livello degli Stati membri;</w:t>
            </w:r>
          </w:p>
        </w:tc>
        <w:tc>
          <w:tcPr>
            <w:tcW w:w="4876" w:type="dxa"/>
            <w:tcBorders>
              <w:top w:val="nil"/>
              <w:left w:val="nil"/>
              <w:bottom w:val="nil"/>
              <w:right w:val="nil"/>
            </w:tcBorders>
          </w:tcPr>
          <w:p>
            <w:pPr>
              <w:pStyle w:val="Normal6a"/>
            </w:pPr>
            <w:r>
              <w:t>B.</w:t>
            </w:r>
            <w:r>
              <w:tab/>
            </w:r>
            <w:r>
              <w:t xml:space="preserve">considerando che il bilancio dell'Unione è principalmente un bilancio di investimenti che è in grado di realizzare economie di scala non realizzabili a livello degli Stati membri </w:t>
            </w:r>
            <w:r>
              <w:rPr>
                <w:b/>
                <w:i/>
              </w:rPr>
              <w:t>e di fornire beni pubblici europei, in particolare progetti transfrontalieri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considerando che il bilancio dell'Unione è principalmente un bilancio di investimenti che è in grado di realizzare economie di scala non realizzabili a livello degli Stati membri;</w:t>
            </w:r>
          </w:p>
        </w:tc>
        <w:tc>
          <w:tcPr>
            <w:tcW w:w="4876" w:type="dxa"/>
            <w:tcBorders>
              <w:top w:val="nil"/>
              <w:left w:val="nil"/>
              <w:bottom w:val="nil"/>
              <w:right w:val="nil"/>
            </w:tcBorders>
          </w:tcPr>
          <w:p>
            <w:pPr>
              <w:pStyle w:val="Normal6a"/>
            </w:pPr>
            <w:r>
              <w:t>B.</w:t>
            </w:r>
            <w:r>
              <w:tab/>
            </w:r>
            <w:r>
              <w:t xml:space="preserve">considerando che il bilancio dell'Unione è principalmente un bilancio di investimenti che è </w:t>
            </w:r>
            <w:r>
              <w:rPr>
                <w:b/>
                <w:i/>
              </w:rPr>
              <w:t>potenzialmente</w:t>
            </w:r>
            <w:r>
              <w:t xml:space="preserve"> in grado di realizzare economie di scala non realizzabili a livello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Janusz Lewandowski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considerando che il bilancio dell'Unione è principalmente </w:t>
            </w:r>
            <w:r>
              <w:rPr>
                <w:b/>
                <w:i/>
              </w:rPr>
              <w:t>un bilancio di investimenti</w:t>
            </w:r>
            <w:r>
              <w:t xml:space="preserve"> che è in grado di realizzare economie di scala non realizzabili a livello degli Stati membri;</w:t>
            </w:r>
          </w:p>
        </w:tc>
        <w:tc>
          <w:tcPr>
            <w:tcW w:w="4876" w:type="dxa"/>
            <w:tcBorders>
              <w:top w:val="nil"/>
              <w:left w:val="nil"/>
              <w:bottom w:val="nil"/>
              <w:right w:val="nil"/>
            </w:tcBorders>
          </w:tcPr>
          <w:p>
            <w:pPr>
              <w:pStyle w:val="Normal6a"/>
            </w:pPr>
            <w:r>
              <w:t>B.</w:t>
            </w:r>
            <w:r>
              <w:tab/>
            </w:r>
            <w:r>
              <w:t xml:space="preserve">considerando che il bilancio dell'Unione è principalmente </w:t>
            </w:r>
            <w:r>
              <w:rPr>
                <w:b/>
                <w:i/>
              </w:rPr>
              <w:t>uno strumento di investimento</w:t>
            </w:r>
            <w:r>
              <w:t xml:space="preserve"> che è in grado di realizzare economie di scala non realizzabili a livello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Carla Tavares, Siegfried Mureşan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B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considerando che nel 2022 gli Stati membri hanno speso in media il 1,4 % del PIL per gli aiuti di Stato, un importo notevolmente superiore al loro contributo al bilancio dell'Unione, con oltre la metà non collegata alle crisi;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la spesa a titolo del bilancio dell'Unione, se efficacemente mirata, allineata alle priorità politiche dell'Unione e coordinata con la spesa a livello nazionale, contribuisce a evitare la frammentazione nel mercato unico e a potenziare l'impatto complessivo degli investimenti pubblici; che gli investimenti pubblici sono essenziali per incentivare gli investimenti privati;</w:t>
            </w:r>
          </w:p>
        </w:tc>
        <w:tc>
          <w:tcPr>
            <w:tcW w:w="4876" w:type="dxa"/>
            <w:tcBorders>
              <w:top w:val="nil"/>
              <w:left w:val="nil"/>
              <w:bottom w:val="nil"/>
              <w:right w:val="nil"/>
            </w:tcBorders>
          </w:tcPr>
          <w:p>
            <w:pPr>
              <w:pStyle w:val="Normal6a"/>
            </w:pPr>
            <w:r>
              <w:t>C.</w:t>
            </w:r>
            <w:r>
              <w:tab/>
            </w:r>
            <w:r>
              <w:t xml:space="preserve">considerando che la spesa a titolo del bilancio dell'Unione </w:t>
            </w:r>
            <w:r>
              <w:rPr>
                <w:b/>
                <w:i/>
              </w:rPr>
              <w:t>è alla base delle politiche dell'UE che creano un'Unione più coesa e contribuiscono a una migliore integrazione, sostenibilità e convergenza verso l'alto, riducono le disuguaglianze nell'UE e rafforzano la presenza globale dell'Unione e</w:t>
            </w:r>
            <w:r>
              <w:t>, se efficacemente mirata, allineata alle priorità politiche dell'Unione e coordinata con la spesa a livello nazionale</w:t>
            </w:r>
            <w:r>
              <w:rPr>
                <w:b/>
                <w:i/>
              </w:rPr>
              <w:t>, regionale e locale</w:t>
            </w:r>
            <w:r>
              <w:t>, contribuisce a evitare la frammentazione nel mercato unico e a potenziare l'impatto complessivo degli investimenti pubblici; che gli investimenti pubblici sono essenziali per incentivare gli investimenti privati;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Christian Ehler,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la spesa a titolo del bilancio dell'Unione, se efficacemente mirata, allineata alle priorità politiche dell'Unione e coordinata con la spesa a livello nazionale, contribuisce a evitare la frammentazione nel mercato unico e a potenziare l'impatto complessivo degli investimenti pubblici; </w:t>
            </w:r>
            <w:r>
              <w:rPr>
                <w:b/>
                <w:i/>
              </w:rPr>
              <w:t>che</w:t>
            </w:r>
            <w:r>
              <w:t xml:space="preserve"> gli investimenti </w:t>
            </w:r>
            <w:r>
              <w:rPr>
                <w:b/>
                <w:i/>
              </w:rPr>
              <w:t>pubblici sono essenziali</w:t>
            </w:r>
            <w:r>
              <w:t xml:space="preserve"> per incentivare gli investimenti privati;</w:t>
            </w:r>
          </w:p>
        </w:tc>
        <w:tc>
          <w:tcPr>
            <w:tcW w:w="4876" w:type="dxa"/>
            <w:tcBorders>
              <w:top w:val="nil"/>
              <w:left w:val="nil"/>
              <w:bottom w:val="nil"/>
              <w:right w:val="nil"/>
            </w:tcBorders>
          </w:tcPr>
          <w:p>
            <w:pPr>
              <w:pStyle w:val="Normal6a"/>
            </w:pPr>
            <w:r>
              <w:t>C.</w:t>
            </w:r>
            <w:r>
              <w:tab/>
            </w:r>
            <w:r>
              <w:t xml:space="preserve">considerando che la spesa a titolo del bilancio dell'Unione, se efficacemente mirata, allineata alle priorità politiche dell'Unione e coordinata con la spesa a livello nazionale, contribuisce a evitare la frammentazione nel mercato unico e a potenziare l'impatto complessivo degli investimenti pubblici; </w:t>
            </w:r>
            <w:r>
              <w:rPr>
                <w:b/>
                <w:i/>
              </w:rPr>
              <w:t>considerando che l'intervento pubblico, compresi</w:t>
            </w:r>
            <w:r>
              <w:t xml:space="preserve"> gli investimenti</w:t>
            </w:r>
            <w:r>
              <w:rPr>
                <w:b/>
                <w:i/>
              </w:rPr>
              <w:t>, può essere essenziale</w:t>
            </w:r>
            <w:r>
              <w:t xml:space="preserve"> per incentivare gli investimenti privati </w:t>
            </w:r>
            <w:r>
              <w:rPr>
                <w:b/>
                <w:i/>
              </w:rPr>
              <w:t>laddove gli investimenti necessari non siano effettuati a causa di fallimenti del mercato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la spesa a titolo del bilancio dell'Unione, se efficacemente mirata</w:t>
            </w:r>
            <w:r>
              <w:rPr>
                <w:b/>
                <w:i/>
              </w:rPr>
              <w:t>,</w:t>
            </w:r>
            <w:r>
              <w:t xml:space="preserve"> allineata alle priorità </w:t>
            </w:r>
            <w:r>
              <w:rPr>
                <w:b/>
                <w:i/>
              </w:rPr>
              <w:t>politiche dell'Unione e coordinata con la spesa a livello nazionale, contribuisce a evitare la frammentazione nel</w:t>
            </w:r>
            <w:r>
              <w:t xml:space="preserve"> mercato unico e a potenziare l'impatto complessivo degli investimenti pubblici; che gli investimenti pubblici sono essenziali </w:t>
            </w:r>
            <w:r>
              <w:rPr>
                <w:b/>
                <w:i/>
              </w:rPr>
              <w:t>per incentivare gli</w:t>
            </w:r>
            <w:r>
              <w:t xml:space="preserve"> investimenti privati;</w:t>
            </w:r>
          </w:p>
        </w:tc>
        <w:tc>
          <w:tcPr>
            <w:tcW w:w="4876" w:type="dxa"/>
            <w:tcBorders>
              <w:top w:val="nil"/>
              <w:left w:val="nil"/>
              <w:bottom w:val="nil"/>
              <w:right w:val="nil"/>
            </w:tcBorders>
          </w:tcPr>
          <w:p>
            <w:pPr>
              <w:pStyle w:val="Normal6a"/>
            </w:pPr>
            <w:r>
              <w:t>C.</w:t>
            </w:r>
            <w:r>
              <w:tab/>
            </w:r>
            <w:r>
              <w:t xml:space="preserve">considerando che la spesa a titolo del bilancio dell'Unione, se efficacemente mirata </w:t>
            </w:r>
            <w:r>
              <w:rPr>
                <w:b/>
                <w:i/>
              </w:rPr>
              <w:t>e</w:t>
            </w:r>
            <w:r>
              <w:t xml:space="preserve"> allineata alle priorità </w:t>
            </w:r>
            <w:r>
              <w:rPr>
                <w:b/>
                <w:i/>
              </w:rPr>
              <w:t>e alle strategie degli Stati membri e in linea con il loro sviluppo economico e sociale, può contribuire a mitigare gli effetti asimmetrici del</w:t>
            </w:r>
            <w:r>
              <w:t xml:space="preserve"> mercato unico e a potenziare l'impatto complessivo degli investimenti pubblici; che gli investimenti pubblici sono essenziali </w:t>
            </w:r>
            <w:r>
              <w:rPr>
                <w:b/>
                <w:i/>
              </w:rPr>
              <w:t>e hanno un effetto a catena sugli</w:t>
            </w:r>
            <w:r>
              <w:t xml:space="preserve"> investimenti privati;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la spesa a titolo del bilancio dell'Unione, se efficacemente mirata, allineata alle priorità politiche dell'Unione e coordinata con la spesa a livello nazionale, contribuisce a evitare la frammentazione nel mercato unico e a potenziare l'impatto complessivo degli investimenti pubblici; che gli investimenti pubblici sono essenziali per incentivare gli investimenti privati;</w:t>
            </w:r>
          </w:p>
        </w:tc>
        <w:tc>
          <w:tcPr>
            <w:tcW w:w="4876" w:type="dxa"/>
            <w:tcBorders>
              <w:top w:val="nil"/>
              <w:left w:val="nil"/>
              <w:bottom w:val="nil"/>
              <w:right w:val="nil"/>
            </w:tcBorders>
          </w:tcPr>
          <w:p>
            <w:pPr>
              <w:pStyle w:val="Normal6a"/>
            </w:pPr>
            <w:r>
              <w:t>C.</w:t>
            </w:r>
            <w:r>
              <w:tab/>
            </w:r>
            <w:r>
              <w:t xml:space="preserve">considerando che la spesa a titolo del bilancio dell'Unione, se efficacemente mirata, allineata alle priorità politiche dell'Unione e </w:t>
            </w:r>
            <w:r>
              <w:rPr>
                <w:b/>
                <w:i/>
              </w:rPr>
              <w:t>meglio</w:t>
            </w:r>
            <w:r>
              <w:t xml:space="preserve"> coordinata con la spesa a livello nazionale, contribuisce a evitare la frammentazione nel mercato unico e a potenziare l'impatto complessivo degli investimenti pubblici; che gli investimenti pubblici sono essenziali per incentivare gli investimenti privati </w:t>
            </w:r>
            <w:r>
              <w:rPr>
                <w:b/>
                <w:i/>
              </w:rPr>
              <w:t>in alcuni settori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che la spesa a titolo del bilancio dell'Unione, se efficacemente mirata, allineata alle priorità politiche dell'Unione e coordinata con la spesa a livello nazionale, contribuisce a evitare la frammentazione nel mercato unico e a potenziare l'impatto complessivo degli investimenti pubblici; che gli investimenti pubblici sono essenziali per incentivare gli investimenti privati;</w:t>
            </w:r>
          </w:p>
        </w:tc>
        <w:tc>
          <w:tcPr>
            <w:tcW w:w="4876" w:type="dxa"/>
            <w:tcBorders>
              <w:top w:val="nil"/>
              <w:left w:val="nil"/>
              <w:bottom w:val="nil"/>
              <w:right w:val="nil"/>
            </w:tcBorders>
          </w:tcPr>
          <w:p>
            <w:pPr>
              <w:pStyle w:val="Normal6a"/>
            </w:pPr>
            <w:r>
              <w:t>C.</w:t>
            </w:r>
            <w:r>
              <w:tab/>
            </w:r>
            <w:r>
              <w:t xml:space="preserve">considerando che la spesa a titolo del bilancio dell'Unione, se efficacemente mirata, allineata alle priorità politiche dell'Unione e coordinata con la spesa a livello nazionale, </w:t>
            </w:r>
            <w:r>
              <w:rPr>
                <w:b/>
                <w:i/>
              </w:rPr>
              <w:t>regionale e locale,</w:t>
            </w:r>
            <w:r>
              <w:t xml:space="preserve"> contribuisce a evitare la frammentazione nel mercato unico e a potenziare l'impatto complessivo degli investimenti pubblici; che gli investimenti pubblici sono essenziali per incentivare gli investimenti privati;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considerando che la spesa a titolo del bilancio dell'Unione, se efficacemente mirata, allineata alle priorità politiche dell'Unione e coordinata con la spesa a livello nazionale, contribuisce a evitare la frammentazione nel mercato unico e a potenziare l'impatto complessivo degli investimenti pubblici; che gli investimenti pubblici </w:t>
            </w:r>
            <w:r>
              <w:rPr>
                <w:b/>
                <w:i/>
              </w:rPr>
              <w:t>sono essenziali per incentivare</w:t>
            </w:r>
            <w:r>
              <w:t xml:space="preserve"> gli investimenti privati;</w:t>
            </w:r>
          </w:p>
        </w:tc>
        <w:tc>
          <w:tcPr>
            <w:tcW w:w="4876" w:type="dxa"/>
            <w:tcBorders>
              <w:top w:val="nil"/>
              <w:left w:val="nil"/>
              <w:bottom w:val="nil"/>
              <w:right w:val="nil"/>
            </w:tcBorders>
          </w:tcPr>
          <w:p>
            <w:pPr>
              <w:pStyle w:val="Normal6a"/>
            </w:pPr>
            <w:r>
              <w:t>C.</w:t>
            </w:r>
            <w:r>
              <w:tab/>
            </w:r>
            <w:r>
              <w:t xml:space="preserve">considerando che la spesa a titolo del bilancio dell'Unione, se efficacemente mirata, allineata alle priorità politiche dell'Unione e coordinata con la spesa a livello nazionale, contribuisce a evitare la frammentazione nel mercato unico e a potenziare l'impatto complessivo degli investimenti pubblici; che gli investimenti pubblici </w:t>
            </w:r>
            <w:r>
              <w:rPr>
                <w:b/>
                <w:i/>
              </w:rPr>
              <w:t>dovrebbero fungere da catalizzatore per</w:t>
            </w:r>
            <w:r>
              <w:t xml:space="preserve"> gli investimenti privati;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considerando che la disponibilità e l'accesso universale a servizi pubblici di qualità, come l'educazione e la cura della prima infanzia, l'istruzione, la sanità, nonché l'accesso ad alloggi adeguati, dignitosi e a prezzi accessibili e a servizi essenziali come l'energia, i servizi igienico-sanitari, l'acqua pulita e un'alimentazione sana a prezzi accessibili sono condizioni necessarie per garantire pari opportunità e aumentare i livelli di occupazione, migliorare le condizioni di vita e di lavoro e combattere la povertà e l'esclusione sociale ed sono una condizione imprescindibile per migliorare il benessere delle persone;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ter.</w:t>
            </w:r>
            <w:r>
              <w:tab/>
            </w:r>
            <w:r>
              <w:rPr>
                <w:b/>
                <w:i/>
              </w:rPr>
              <w:t>considerando che l'attenzione dei decisori dell'UE deve concentrarsi maggiormente sull'equità intergenerazionale e sulle esigenze dei giovani e che la Commissione europea dovrebbe effettuare una valutazione dell'impatto del QFP dal punto di vista dei giovani ("youth check") in linea con i suoi impegni e che pertanto le decisioni di bilancio devono essere basate su considerazioni sociali e ambientali a lungo termine, nonché su chiari impegni per rafforzare la partecipazione dei giovani;</w:t>
            </w:r>
            <w:r>
              <w:t xml:space="preserve"> </w:t>
            </w:r>
            <w:r>
              <w:rPr>
                <w:b/>
                <w:i/>
              </w:rPr>
              <w:t>sottolinea, in tale contesto, che le decisioni devono essere prese con la partecipazione degli interessati;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C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quater.</w:t>
            </w:r>
            <w:r>
              <w:tab/>
            </w:r>
            <w:r>
              <w:rPr>
                <w:b/>
                <w:i/>
              </w:rPr>
              <w:t>considerando che l'articolo 8 TFUE afferma che "nelle sue azioni l'Unione mira ad eliminare le ineguaglianze, nonché a promuovere la parità", stabilendo in tal modo il principio dell'integrazione della dimensione di genere, secondo cui la prospettiva della parità di genere deve essere integrata in tutte le politiche e in tutti i programmi durante l'intero ciclo di programmazione;</w:t>
            </w:r>
            <w:r>
              <w:t xml:space="preserve"> </w:t>
            </w:r>
            <w:r>
              <w:rPr>
                <w:b/>
                <w:i/>
              </w:rPr>
              <w:t>che i bilanci non sono mai neutri sotto il profilo del genere e devono pertanto essere stabiliti con il chiaro obiettivo della lotta alla discriminazione e con l'obiettivo di raggiungere tutti gli individui e le loro esigenze specifiche;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lo strumento per la ripresa NextGenerationEU (NGEU). istituito a seguito della pandemia della COVID-19, ha consentito una notevole capacità di investimento supplementare pari a 750 miliardi di EUR ai prezzi del 2018, favorendo una rapida ripresa e il ritorno alla crescita e sostenendo le transizioni verde e digitale</w:t>
            </w:r>
            <w:r>
              <w:rPr>
                <w:b/>
                <w:i/>
              </w:rPr>
              <w:t>;</w:t>
            </w:r>
            <w:r>
              <w:t xml:space="preserve"> </w:t>
            </w:r>
            <w:r>
              <w:rPr>
                <w:b/>
                <w:i/>
              </w:rPr>
              <w:t>che</w:t>
            </w:r>
            <w:r>
              <w:t xml:space="preserve"> NextGenerationEU </w:t>
            </w:r>
            <w:r>
              <w:rPr>
                <w:b/>
                <w:i/>
              </w:rPr>
              <w:t>non sarà operativo dopo il 2027</w:t>
            </w:r>
            <w:r>
              <w:t>;</w:t>
            </w:r>
          </w:p>
        </w:tc>
        <w:tc>
          <w:tcPr>
            <w:tcW w:w="4876" w:type="dxa"/>
            <w:tcBorders>
              <w:top w:val="nil"/>
              <w:left w:val="nil"/>
              <w:bottom w:val="nil"/>
              <w:right w:val="nil"/>
            </w:tcBorders>
          </w:tcPr>
          <w:p>
            <w:pPr>
              <w:pStyle w:val="Normal6a"/>
            </w:pPr>
            <w:r>
              <w:t>D.</w:t>
            </w:r>
            <w:r>
              <w:tab/>
            </w:r>
            <w:r>
              <w:t xml:space="preserve">considerando che lo strumento per la ripresa NextGenerationEU (NGEU). istituito a seguito della pandemia della COVID-19, ha consentito una notevole capacità di investimento supplementare pari a 750 miliardi di EUR ai prezzi del 2018, favorendo una rapida ripresa e il ritorno alla crescita e sostenendo le transizioni verde e digitale </w:t>
            </w:r>
            <w:r>
              <w:rPr>
                <w:b/>
                <w:i/>
              </w:rPr>
              <w:t>tra il 2021 e il 2026;</w:t>
            </w:r>
            <w:r>
              <w:t xml:space="preserve"> </w:t>
            </w:r>
            <w:r>
              <w:rPr>
                <w:b/>
                <w:i/>
              </w:rPr>
              <w:t>che il 37 % degli investimenti contribuiscono alla transizione giusta e che, con l'attuazione di tutte le azioni per il clima misurabili, si prevede che possano ridurre le emissioni di gas a effetto serra di 44 milioni di tonnellate all'anno, pari all'1,2 % delle emissioni aggregate di gas a effetto serra dell'UE nel 2022;</w:t>
            </w:r>
            <w:r>
              <w:t xml:space="preserve"> </w:t>
            </w:r>
            <w:r>
              <w:rPr>
                <w:b/>
                <w:i/>
              </w:rPr>
              <w:t>che la fine di</w:t>
            </w:r>
            <w:r>
              <w:t xml:space="preserve"> NextGenerationEU </w:t>
            </w:r>
            <w:r>
              <w:rPr>
                <w:b/>
                <w:i/>
              </w:rPr>
              <w:t>comporterà un considerevole deficit di finanziamenti, in particolare per i finanziamenti per il clima, l'azione per la biodiversità, la transizione digitale e gli investimenti connessi alla coesione socioeconomica in tutta l'Unione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lo strumento per la ripresa NextGenerationEU (NGEU)</w:t>
            </w:r>
            <w:r>
              <w:rPr>
                <w:b/>
                <w:i/>
              </w:rPr>
              <w:t>.</w:t>
            </w:r>
            <w:r>
              <w:t xml:space="preserve"> istituito a seguito della pandemia della COVID-19, ha consentito una notevole capacità di investimento supplementare pari a 750 miliardi di EUR ai prezzi del 2018, </w:t>
            </w:r>
            <w:r>
              <w:rPr>
                <w:b/>
                <w:i/>
              </w:rPr>
              <w:t>favorendo una rapida ripresa e il ritorno alla crescita e sostenendo le</w:t>
            </w:r>
            <w:r>
              <w:t xml:space="preserve"> transizioni verde e digitale; che NextGenerationEU non sarà operativo dopo il 2027;</w:t>
            </w:r>
          </w:p>
        </w:tc>
        <w:tc>
          <w:tcPr>
            <w:tcW w:w="4876" w:type="dxa"/>
            <w:tcBorders>
              <w:top w:val="nil"/>
              <w:left w:val="nil"/>
              <w:bottom w:val="nil"/>
              <w:right w:val="nil"/>
            </w:tcBorders>
          </w:tcPr>
          <w:p>
            <w:pPr>
              <w:pStyle w:val="Normal6a"/>
            </w:pPr>
            <w:r>
              <w:t>D.</w:t>
            </w:r>
            <w:r>
              <w:tab/>
            </w:r>
            <w:r>
              <w:t>considerando che lo strumento per la ripresa NextGenerationEU (NGEU)</w:t>
            </w:r>
            <w:r>
              <w:rPr>
                <w:b/>
                <w:i/>
              </w:rPr>
              <w:t>,</w:t>
            </w:r>
            <w:r>
              <w:t xml:space="preserve"> istituito a seguito della pandemia della COVID-19, ha consentito una notevole</w:t>
            </w:r>
            <w:r>
              <w:rPr>
                <w:b/>
                <w:i/>
              </w:rPr>
              <w:t>, sebbene insufficiente,</w:t>
            </w:r>
            <w:r>
              <w:t xml:space="preserve"> capacità di investimento supplementare pari a 750 miliardi di EUR ai prezzi del 2018, </w:t>
            </w:r>
            <w:r>
              <w:rPr>
                <w:b/>
                <w:i/>
              </w:rPr>
              <w:t>contribuendo a mitigare gli impatti subiti nonostante l'attenzione specifica agli obiettivi delle</w:t>
            </w:r>
            <w:r>
              <w:t xml:space="preserve"> transizioni verde e digitale; che NextGenerationEU non sarà operativo dopo il 2027;</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Anouk Van Brug, 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lo strumento per la ripresa NextGenerationEU (NGEU)</w:t>
            </w:r>
            <w:r>
              <w:rPr>
                <w:b/>
                <w:i/>
              </w:rPr>
              <w:t>.</w:t>
            </w:r>
            <w:r>
              <w:t xml:space="preserve"> istituito a seguito della pandemia della COVID-19, ha consentito una notevole capacità di investimento supplementare pari a 750 miliardi di EUR ai prezzi del 2018, favorendo una rapida ripresa e il ritorno alla crescita e sostenendo le transizioni verde e digitale; che NextGenerationEU </w:t>
            </w:r>
            <w:r>
              <w:rPr>
                <w:b/>
                <w:i/>
              </w:rPr>
              <w:t>non sarà operativo dopo il 2027</w:t>
            </w:r>
            <w:r>
              <w:t>;</w:t>
            </w:r>
          </w:p>
        </w:tc>
        <w:tc>
          <w:tcPr>
            <w:tcW w:w="4876" w:type="dxa"/>
            <w:tcBorders>
              <w:top w:val="nil"/>
              <w:left w:val="nil"/>
              <w:bottom w:val="nil"/>
              <w:right w:val="nil"/>
            </w:tcBorders>
          </w:tcPr>
          <w:p>
            <w:pPr>
              <w:pStyle w:val="Normal6a"/>
            </w:pPr>
            <w:r>
              <w:t>D.</w:t>
            </w:r>
            <w:r>
              <w:tab/>
            </w:r>
            <w:r>
              <w:t>considerando che lo strumento per la ripresa NextGenerationEU (NGEU)</w:t>
            </w:r>
            <w:r>
              <w:rPr>
                <w:b/>
                <w:i/>
              </w:rPr>
              <w:t>, eccezionale e senza precedenti,</w:t>
            </w:r>
            <w:r>
              <w:t xml:space="preserve"> istituito a seguito della pandemia della COVID-19, ha consentito una notevole capacità di investimento supplementare pari a 750 miliardi di EUR ai prezzi del 2018, favorendo una rapida ripresa e il ritorno alla crescita e sostenendo le transizioni verde e digitale; che NextGenerationEU </w:t>
            </w:r>
            <w:r>
              <w:rPr>
                <w:b/>
                <w:i/>
              </w:rPr>
              <w:t>terminerà nel 2026 e che il rimborso del debito inizierà nel 2028</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lo strumento per la ripresa NextGenerationEU (NGEU)</w:t>
            </w:r>
            <w:r>
              <w:rPr>
                <w:b/>
                <w:i/>
              </w:rPr>
              <w:t>.</w:t>
            </w:r>
            <w:r>
              <w:t xml:space="preserve"> istituito a seguito della pandemia della COVID-19, ha consentito una notevole capacità di investimento supplementare pari a 750 miliardi di EUR ai prezzi del 2018, favorendo una rapida ripresa e il ritorno alla crescita </w:t>
            </w:r>
            <w:r>
              <w:rPr>
                <w:b/>
                <w:i/>
              </w:rPr>
              <w:t>e sostenendo le transizioni verde e digitale</w:t>
            </w:r>
            <w:r>
              <w:t>; che NextGenerationEU non sarà operativo dopo il 2027;</w:t>
            </w:r>
          </w:p>
        </w:tc>
        <w:tc>
          <w:tcPr>
            <w:tcW w:w="4876" w:type="dxa"/>
            <w:tcBorders>
              <w:top w:val="nil"/>
              <w:left w:val="nil"/>
              <w:bottom w:val="nil"/>
              <w:right w:val="nil"/>
            </w:tcBorders>
          </w:tcPr>
          <w:p>
            <w:pPr>
              <w:pStyle w:val="Normal6a"/>
            </w:pPr>
            <w:r>
              <w:t>D.</w:t>
            </w:r>
            <w:r>
              <w:tab/>
            </w:r>
            <w:r>
              <w:t>considerando che lo strumento per la ripresa NextGenerationEU (NGEU)</w:t>
            </w:r>
            <w:r>
              <w:rPr>
                <w:b/>
                <w:i/>
              </w:rPr>
              <w:t>,</w:t>
            </w:r>
            <w:r>
              <w:t xml:space="preserve"> istituito a seguito della pandemia della COVID-19, ha consentito </w:t>
            </w:r>
            <w:r>
              <w:rPr>
                <w:b/>
                <w:i/>
              </w:rPr>
              <w:t>in linea di principio</w:t>
            </w:r>
            <w:r>
              <w:t xml:space="preserve"> una notevole capacità di investimento supplementare pari a 750 miliardi di EUR ai prezzi del 2018, favorendo una rapida ripresa e il ritorno alla crescita</w:t>
            </w:r>
            <w:r>
              <w:rPr>
                <w:b/>
                <w:i/>
              </w:rPr>
              <w:t>, ma purtroppo fino ad ora non ha dimostrato di raggiungere tale obiettivo</w:t>
            </w:r>
            <w:r>
              <w:t>; che NextGenerationEU non sarà operativo dopo il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considerando che lo strumento per la ripresa NextGenerationEU (NGEU)</w:t>
            </w:r>
            <w:r>
              <w:rPr>
                <w:b/>
                <w:i/>
              </w:rPr>
              <w:t>.</w:t>
            </w:r>
            <w:r>
              <w:t xml:space="preserve"> istituito a seguito della pandemia della COVID-19, ha consentito una notevole capacità di investimento supplementare pari a 750 miliardi di EUR ai prezzi del 2018, favorendo una rapida ripresa e il ritorno alla crescita e sostenendo </w:t>
            </w:r>
            <w:r>
              <w:rPr>
                <w:b/>
                <w:i/>
              </w:rPr>
              <w:t>le transizioni verde e</w:t>
            </w:r>
            <w:r>
              <w:t xml:space="preserve"> digitale; che NextGenerationEU non sarà operativo dopo il 2027;</w:t>
            </w:r>
          </w:p>
        </w:tc>
        <w:tc>
          <w:tcPr>
            <w:tcW w:w="4876" w:type="dxa"/>
            <w:tcBorders>
              <w:top w:val="nil"/>
              <w:left w:val="nil"/>
              <w:bottom w:val="nil"/>
              <w:right w:val="nil"/>
            </w:tcBorders>
          </w:tcPr>
          <w:p>
            <w:pPr>
              <w:pStyle w:val="Normal6a"/>
            </w:pPr>
            <w:r>
              <w:t>D.</w:t>
            </w:r>
            <w:r>
              <w:tab/>
            </w:r>
            <w:r>
              <w:t>considerando che lo strumento per la ripresa NextGenerationEU (NGEU)</w:t>
            </w:r>
            <w:r>
              <w:rPr>
                <w:b/>
                <w:i/>
              </w:rPr>
              <w:t>,</w:t>
            </w:r>
            <w:r>
              <w:t xml:space="preserve"> istituito a seguito della pandemia della COVID-19, ha consentito una notevole capacità di investimento supplementare pari a 750 miliardi di EUR ai prezzi del 2018, favorendo una rapida ripresa e il ritorno alla crescita e sostenendo </w:t>
            </w:r>
            <w:r>
              <w:rPr>
                <w:b/>
                <w:i/>
              </w:rPr>
              <w:t>la transizione</w:t>
            </w:r>
            <w:r>
              <w:t xml:space="preserve"> digitale; che NextGenerationEU non sarà operativo dopo il 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D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considerando che si stima che nel 2023 le sovvenzioni energetiche dannose per l'ambiente nell'UE-27 siano state complessivamente 136 miliardi di EUR, pari al 38 % delle sovvenzioni energetiche totali;</w:t>
            </w:r>
            <w:r>
              <w:t xml:space="preserve"> </w:t>
            </w:r>
            <w:r>
              <w:rPr>
                <w:b/>
                <w:i/>
              </w:rPr>
              <w:t>che la quota maggiore di sovvenzioni energetiche dannose (93 miliardi di EUR, pari al 68 %) è legata ai combustibili fossili e che la graduale eliminazione di tali sovvenzioni libererebbe importanti risorse pubbliche per rafforzare la sicurezza energetica dell'Europa, aumentare il ritmo della transizione verso l'energia pulita e ridurre al tempo stesso il disavanzo;</w:t>
            </w:r>
            <w:r>
              <w:t xml:space="preserve"> </w:t>
            </w:r>
            <w:r>
              <w:rPr>
                <w:b/>
                <w:i/>
              </w:rPr>
              <w:t>che nel 2024 gli investimenti nell'energia verde nell'UE sono diminuiti del 6,5 % rispetto all'anno precedente, secondo Bloomberg, mentre sono aumentati in tutte le altre regioni del mondo;</w:t>
            </w:r>
            <w:r>
              <w:t xml:space="preserve"> </w:t>
            </w:r>
            <w:r>
              <w:rPr>
                <w:b/>
                <w:i/>
              </w:rPr>
              <w:t>che l'Unione e i suoi Stati membri si sono ripetutamente impegnati a eliminare gradualmente le sovvenzioni inefficienti ai combustibili fossili;</w:t>
            </w:r>
            <w:r>
              <w:t xml:space="preserve"> </w:t>
            </w:r>
            <w:r>
              <w:rPr>
                <w:b/>
                <w:i/>
              </w:rPr>
              <w:t>che il Commissario Hoekstra si è impegnato a garantire che il prossimo QFP sia privo di sovvenzioni fossili, il che significa che nessun finanziamento diretto o indiretto, esplicito o implicito della produzione, del trasporto o del consumo di combustibili fossili dovrebbe essere ammissibile al finanziamento</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https://www.google.com/url?q=https://www.ft.com/content/a08742d9-f94c-46d8-8e17-e1fdaffc7ea3?emailId%3D19995648-904e-4fd0-9798-2b3e3fdb0752%26segmentId%3Da8cbd258-1d42-1845-7b82-00376a04c08f&amp;sa=D&amp;source=docs&amp;ust=1740046373985850&amp;usg=AOvVaw0rkRabd36IlRHBVaHu-ujb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Christian Ehler,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il bilancio dell'Unione, sostenuto da NGEU, è stato determinante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c>
          <w:tcPr>
            <w:tcW w:w="4876" w:type="dxa"/>
            <w:tcBorders>
              <w:top w:val="nil"/>
              <w:left w:val="nil"/>
              <w:bottom w:val="nil"/>
              <w:right w:val="nil"/>
            </w:tcBorders>
          </w:tcPr>
          <w:p>
            <w:pPr>
              <w:pStyle w:val="Normal6a"/>
            </w:pPr>
            <w:r>
              <w:t>E.</w:t>
            </w:r>
            <w:r>
              <w:tab/>
            </w:r>
            <w:r>
              <w:t xml:space="preserve">considerando che il bilancio dell'Unione, sostenuto da NGEU, è stato determinante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 </w:t>
            </w:r>
            <w:r>
              <w:rPr>
                <w:b/>
                <w:i/>
              </w:rPr>
              <w:t>che ciò comporta anche pressioni su tutti i programmi affinché contribuiscano all'evoluzione delle esigenze di spesa, mentre la stabilità e la prevedibilità sono essenziali soprattutto per i progetti a lungo termine e alcuni programmi specifici;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il bilancio dell'Unione, sostenuto da NGEU, è stato determinante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c>
          <w:tcPr>
            <w:tcW w:w="4876" w:type="dxa"/>
            <w:tcBorders>
              <w:top w:val="nil"/>
              <w:left w:val="nil"/>
              <w:bottom w:val="nil"/>
              <w:right w:val="nil"/>
            </w:tcBorders>
          </w:tcPr>
          <w:p>
            <w:pPr>
              <w:pStyle w:val="Normal6a"/>
            </w:pPr>
            <w:r>
              <w:t>E.</w:t>
            </w:r>
            <w:r>
              <w:tab/>
            </w:r>
            <w:r>
              <w:t>considerando che il bilancio dell'Unione, sostenuto da NGEU, è stato determinante per attenuare l'impatto economico e sociale della crisi della COVID-19 e per rispondere agli effetti della guerra di aggressione della Russia contro l'Ucraina</w:t>
            </w:r>
            <w:r>
              <w:rPr>
                <w:b/>
                <w:i/>
              </w:rPr>
              <w:t>, dimostrando al contempo il valore aggiunto della promozione degli investimenti invece delle politiche di austerità</w:t>
            </w:r>
            <w:r>
              <w:t>;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il bilancio dell'Unione</w:t>
            </w:r>
            <w:r>
              <w:rPr>
                <w:b/>
                <w:i/>
              </w:rPr>
              <w:t>, sostenuto</w:t>
            </w:r>
            <w:r>
              <w:t xml:space="preserve"> da NGEU, </w:t>
            </w:r>
            <w:r>
              <w:rPr>
                <w:b/>
                <w:i/>
              </w:rPr>
              <w:t>è stato determinante</w:t>
            </w:r>
            <w:r>
              <w:t xml:space="preserv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c>
          <w:tcPr>
            <w:tcW w:w="4876" w:type="dxa"/>
            <w:tcBorders>
              <w:top w:val="nil"/>
              <w:left w:val="nil"/>
              <w:bottom w:val="nil"/>
              <w:right w:val="nil"/>
            </w:tcBorders>
          </w:tcPr>
          <w:p>
            <w:pPr>
              <w:pStyle w:val="Normal6a"/>
            </w:pPr>
            <w:r>
              <w:t>E.</w:t>
            </w:r>
            <w:r>
              <w:tab/>
            </w:r>
            <w:r>
              <w:t xml:space="preserve">considerando che il bilancio dell'Unione </w:t>
            </w:r>
            <w:r>
              <w:rPr>
                <w:b/>
                <w:i/>
              </w:rPr>
              <w:t>e i finanziamenti della politica di coesione attraverso CRII, CRII+, CARE, FASTE-CARE e SAFE, sostenuti</w:t>
            </w:r>
            <w:r>
              <w:t xml:space="preserve"> da NGEU, </w:t>
            </w:r>
            <w:r>
              <w:rPr>
                <w:b/>
                <w:i/>
              </w:rPr>
              <w:t>sono stati determinanti</w:t>
            </w:r>
            <w:r>
              <w:t xml:space="preserv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il bilancio dell'Unione, sostenuto da NGEU, è stato determinante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c>
          <w:tcPr>
            <w:tcW w:w="4876" w:type="dxa"/>
            <w:tcBorders>
              <w:top w:val="nil"/>
              <w:left w:val="nil"/>
              <w:bottom w:val="nil"/>
              <w:right w:val="nil"/>
            </w:tcBorders>
          </w:tcPr>
          <w:p>
            <w:pPr>
              <w:pStyle w:val="Normal6a"/>
            </w:pPr>
            <w:r>
              <w:t>E.</w:t>
            </w:r>
            <w:r>
              <w:tab/>
            </w:r>
            <w:r>
              <w:t xml:space="preserve">considerando che il bilancio dell'Unione, sostenuto da NGEU, è stato determinante per attenuare l'impatto economico e sociale della crisi della COVID-19 e per rispondere agli effetti della guerra di aggressione della Russia contro l'Ucraina; che il bilancio dell'Unione continua a non essere idoneo, in termini di entità, struttura e norme, a </w:t>
            </w:r>
            <w:r>
              <w:rPr>
                <w:b/>
                <w:i/>
              </w:rPr>
              <w:t>realizzare gli obiettivi dell'UE quali stabiliti dai trattati e a</w:t>
            </w:r>
            <w:r>
              <w:t xml:space="preserve"> svolgere appieno il proprio ruolo quando si tratta di adeguarsi all'evoluzione delle esigenze di spesa, affrontare gli shock, rispondere alle crisi e dare concreta attuazione al principio di solidarietà;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considerando che il bilancio dell'Unione, sostenuto da NGEU, è stato determinante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c>
          <w:tcPr>
            <w:tcW w:w="4876" w:type="dxa"/>
            <w:tcBorders>
              <w:top w:val="nil"/>
              <w:left w:val="nil"/>
              <w:bottom w:val="nil"/>
              <w:right w:val="nil"/>
            </w:tcBorders>
          </w:tcPr>
          <w:p>
            <w:pPr>
              <w:pStyle w:val="Normal6a"/>
            </w:pPr>
            <w:r>
              <w:t>E.</w:t>
            </w:r>
            <w:r>
              <w:tab/>
            </w:r>
            <w:r>
              <w:t xml:space="preserve">considerando che il bilancio dell'Unione, sostenuto da NGEU </w:t>
            </w:r>
            <w:r>
              <w:rPr>
                <w:b/>
                <w:i/>
              </w:rPr>
              <w:t>e SURE</w:t>
            </w:r>
            <w:r>
              <w:t>, è stato determinante per attenuare l'impatto economico e sociale della crisi della COVID-19 e per rispondere agli effetti della guerra di aggressione della Russia contro l'Ucraina; che il bilancio dell'Unione continua a non essere idoneo, in termini di entità, struttura e norme, a svolgere appieno il proprio ruolo quando si tratta di adeguarsi all'evoluzione delle esigenze di spesa, affrontare gli shock, rispondere alle crisi e dare concreta attuazione al principio di solidarietà;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Fabienne Keller, Olivier Chastel, Anouk Van Brug,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E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considerando che i cittadini si aspettano giustamente che l'Unione e il suo bilancio rispondano prontamente e in modo efficace all'evoluzione delle esigenze e forniscano loro il necessario per sostenerli, soprattutto in tempi di crisi;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Fabienne Keller, Olivier Chastel, Anouk Van Brug,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il contesto in cui la Commissione preparerà le sue proposte concernenti il QFP per il periodo successivo al 2027 è altrettanto difficile, </w:t>
            </w:r>
            <w:r>
              <w:rPr>
                <w:b/>
                <w:i/>
              </w:rPr>
              <w:t>dato</w:t>
            </w:r>
            <w:r>
              <w:t xml:space="preserve"> il rapido e radicale cambiamento dell'assetto mondiale e geopolitico consolidato e la necessità di modificare il bilancio dell'Unione di conseguenza;</w:t>
            </w:r>
          </w:p>
        </w:tc>
        <w:tc>
          <w:tcPr>
            <w:tcW w:w="4876" w:type="dxa"/>
            <w:tcBorders>
              <w:top w:val="nil"/>
              <w:left w:val="nil"/>
              <w:bottom w:val="nil"/>
              <w:right w:val="nil"/>
            </w:tcBorders>
          </w:tcPr>
          <w:p>
            <w:pPr>
              <w:pStyle w:val="Normal6a"/>
            </w:pPr>
            <w:r>
              <w:t>G.</w:t>
            </w:r>
            <w:r>
              <w:tab/>
            </w:r>
            <w:r>
              <w:t xml:space="preserve">considerando che il contesto in cui la Commissione preparerà le sue proposte concernenti il QFP per il periodo successivo al 2027 è altrettanto difficile, </w:t>
            </w:r>
            <w:r>
              <w:rPr>
                <w:b/>
                <w:i/>
              </w:rPr>
              <w:t>dati</w:t>
            </w:r>
            <w:r>
              <w:t xml:space="preserve"> il rapido e radicale cambiamento dell'assetto mondiale e geopolitico consolidato</w:t>
            </w:r>
            <w:r>
              <w:rPr>
                <w:b/>
                <w:i/>
              </w:rPr>
              <w:t>, amplificato dal ritorno di guerre su vasta scala nel nostro vicinato, che hanno minacciato e continuano a minacciare la sicurezza dell'UE, dei suoi Stati membri e dei suoi cittadini, il fatto che il mantenimento dello status quo non è un'opzione praticabile</w:t>
            </w:r>
            <w:r>
              <w:t xml:space="preserve"> e la necessità di modificare il bilancio dell'Unione di conseguenza; </w:t>
            </w:r>
            <w:r>
              <w:rPr>
                <w:b/>
                <w:i/>
              </w:rPr>
              <w:t>ritiene pertanto che gli investimenti nella difesa e nella sicurezza nell'ambito di un approccio olistico e globale debbano essere inclusi nel prossimo QFP;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considerando che il contesto in cui la Commissione preparerà le sue proposte concernenti il QFP per il periodo successivo al 2027 è altrettanto difficile, dato il rapido e radicale cambiamento dell'assetto mondiale e geopolitico consolidato e la necessità di modificare il bilancio dell'Unione </w:t>
            </w:r>
            <w:r>
              <w:rPr>
                <w:b/>
                <w:i/>
              </w:rPr>
              <w:t>di conseguenza</w:t>
            </w:r>
            <w:r>
              <w:t>;</w:t>
            </w:r>
          </w:p>
        </w:tc>
        <w:tc>
          <w:tcPr>
            <w:tcW w:w="4876" w:type="dxa"/>
            <w:tcBorders>
              <w:top w:val="nil"/>
              <w:left w:val="nil"/>
              <w:bottom w:val="nil"/>
              <w:right w:val="nil"/>
            </w:tcBorders>
          </w:tcPr>
          <w:p>
            <w:pPr>
              <w:pStyle w:val="Normal6a"/>
            </w:pPr>
            <w:r>
              <w:t>G.</w:t>
            </w:r>
            <w:r>
              <w:tab/>
            </w:r>
            <w:r>
              <w:t xml:space="preserve">considerando che il contesto in cui la Commissione preparerà le sue proposte concernenti il QFP per il periodo successivo al 2027 è altrettanto difficile, dato il rapido e radicale cambiamento dell'assetto mondiale e geopolitico consolidato </w:t>
            </w:r>
            <w:r>
              <w:rPr>
                <w:b/>
                <w:i/>
              </w:rPr>
              <w:t>in un difficile panorama economico e sociale, nonché l'aggravarsi della crisi climatica e della biodiversità,</w:t>
            </w:r>
            <w:r>
              <w:t xml:space="preserve"> e la necessità di modificare </w:t>
            </w:r>
            <w:r>
              <w:rPr>
                <w:b/>
                <w:i/>
              </w:rPr>
              <w:t>di conseguenza</w:t>
            </w:r>
            <w:r>
              <w:t xml:space="preserve"> il bilancio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che le azioni e le comunicazioni dell'attuale amministrazione statunitense sollevano incertezze sulle relazioni UE-USA, mettono in discussione il multilateralismo e destabilizzano l'ordine internazionale basato su regole;</w:t>
            </w:r>
            <w:r>
              <w:t xml:space="preserve"> </w:t>
            </w:r>
            <w:r>
              <w:rPr>
                <w:b/>
                <w:i/>
              </w:rPr>
              <w:t>che il Parlamento riconosce l'importanza delle relazioni transatlantiche ma ritiene che, in primo luogo, l'UE dovrebbe difendere i suoi valori e le sue priorità;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Younous Omarjee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considerando che, nel contesto degli sviluppi geopolitici, il rinnovato interesse per i paesi e territori d'oltremare (PTOM), quali la Groenlandia e la regione indo-pacifica, è in aumento;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considerando che la decisione dell'amministrazione statunitense di ritirarsi dagli impegni globali assunti in relazione all'accordo di Parigi, all'OMS e alla fornitura di aiuti allo sviluppo compromette gli sforzi di cooperazione a livello globale sulle sfide comuni, nonché il sostegno alle persone e alle regioni più vulnerabili del pianeta;</w:t>
            </w:r>
            <w:r>
              <w:t xml:space="preserve"> </w:t>
            </w:r>
            <w:r>
              <w:rPr>
                <w:b/>
                <w:i/>
              </w:rPr>
              <w:t>che, in assenza di un impegno da parte degli Stati Uniti, l'UE deve essere pronta ad assumere un ruolo guida nella governance globale in materia di clima, sicurezza sanitaria, aiuti umanitari e sviluppo;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quater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quater.</w:t>
            </w:r>
            <w:r>
              <w:tab/>
            </w:r>
            <w:r>
              <w:rPr>
                <w:b/>
                <w:i/>
              </w:rPr>
              <w:t>considerando che la bussola per la competitività della Commissione mira a stabilire un percorso affinché l'Europa diventi il luogo in cui vengono inventati, fabbricati e commercializzati le tecnologie, i servizi e i prodotti puliti del futuro, colmando il divario nella crescita della produttività con talenti e una forza lavoro qualificata, un ampio bacino di capitali privati, un mercato unico di dimensioni continentali, un contesto giuridico stabile e prevedibile e lo Stato di diritto;</w:t>
            </w:r>
            <w:r>
              <w:t xml:space="preserve"> </w:t>
            </w:r>
            <w:r>
              <w:rPr>
                <w:b/>
                <w:i/>
              </w:rPr>
              <w:t>che l'urgenza di affrontare gli annosi ostacoli e le debolezze strutturali deve andare di pari passo con la garanzia di una prosperità e una competitività sostenibili, preservando al contempo l'economia sociale di mercato unica dell'Unione, riuscendo a realizzare la duplice transizione, salvaguardando la sua sovranità, la sua sicurezza economica e la sua influenza globale, diventando al contempo il primo continente climaticamente neutro;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quinquies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quinquies.</w:t>
            </w:r>
            <w:r>
              <w:tab/>
            </w:r>
            <w:r>
              <w:rPr>
                <w:b/>
                <w:i/>
              </w:rPr>
              <w:t>considerando che, data la nuova realtà geopolitica caratterizzata dal ritorno della guerra ad alta intensità in Europa e dalla probabilità di contingenze militari più estreme nel nostro continente, il QFP per il periodo successivo al 2027 deve consentire all'UE di prepararsi ad affrontare una potenziale aggressione militare sul suo territorio prima della fine di questo decennio;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Jean-Marc Germain, Raphaël Glucksmann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G sexies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sexies.</w:t>
            </w:r>
            <w:r>
              <w:tab/>
            </w:r>
            <w:r>
              <w:rPr>
                <w:b/>
                <w:i/>
              </w:rPr>
              <w:t>considerando che, nella dichiarazione di Versailles del marzo 2022, gli Stati membri presenti si sono impegnati collettivamente ad aumentare in modo significativo le spese per la difesa e a investire in capacità di difesa sviluppate in modo collaborativo, progetti comuni e appalti congiunti;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Jean-Marc Germain, Jens Geier, Sandra Gómez López, Giuseppe Lupo, Victor Negrescu, Matjaž Nemec, Nils Ušakovs, Mohammed Chahim,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al fine di compensare le carenze del bilancio, sono state adottate molte soluzioni alternative che aumentano l'opacità del bilancio, indebolendo il ruolo del Parlamento europeo in qualità di legislatore e autorità di bilancio e di discarico, nonché di autorità preposta a chiedere conto all'esecutivo del proprio operato;</w:t>
            </w:r>
          </w:p>
        </w:tc>
        <w:tc>
          <w:tcPr>
            <w:tcW w:w="4876" w:type="dxa"/>
            <w:tcBorders>
              <w:top w:val="nil"/>
              <w:left w:val="nil"/>
              <w:bottom w:val="nil"/>
              <w:right w:val="nil"/>
            </w:tcBorders>
          </w:tcPr>
          <w:p>
            <w:pPr>
              <w:pStyle w:val="Normal6a"/>
            </w:pPr>
            <w:r>
              <w:t>H.</w:t>
            </w:r>
            <w:r>
              <w:tab/>
            </w:r>
            <w:r>
              <w:t xml:space="preserve">considerando che, al fine di compensare le carenze del bilancio, sono state adottate molte soluzioni alternative che aumentano l'opacità del bilancio, </w:t>
            </w:r>
            <w:r>
              <w:rPr>
                <w:b/>
                <w:i/>
              </w:rPr>
              <w:t>lasciando il pubblico all'oscuro riguardo all'effettivo volume delle finanze dell'UE,</w:t>
            </w:r>
            <w:r>
              <w:t xml:space="preserve"> indebolendo </w:t>
            </w:r>
            <w:r>
              <w:rPr>
                <w:b/>
                <w:i/>
              </w:rPr>
              <w:t>non solo il principio dell'unità di bilancio, ma anche</w:t>
            </w:r>
            <w:r>
              <w:t xml:space="preserve"> il ruolo del Parlamento europeo in qualità di legislatore e autorità di bilancio e di discarico, nonché di autorità preposta a chiedere conto all'esecutivo del proprio operato;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{Greens/EFA}</w:t>
      </w:r>
      <w:r>
        <w:t>a nome del gruppo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considerando che, al fine di compensare le carenze del bilancio, sono state adottate molte soluzioni alternative che aumentano l'opacità del bilancio, indebolendo il ruolo del Parlamento europeo in qualità di legislatore e autorità di bilancio e di discarico, nonché di autorità preposta a chiedere conto all'esecutivo del proprio operato;</w:t>
            </w:r>
          </w:p>
        </w:tc>
        <w:tc>
          <w:tcPr>
            <w:tcW w:w="4876" w:type="dxa"/>
            <w:tcBorders>
              <w:top w:val="nil"/>
              <w:left w:val="nil"/>
              <w:bottom w:val="nil"/>
              <w:right w:val="nil"/>
            </w:tcBorders>
          </w:tcPr>
          <w:p>
            <w:pPr>
              <w:pStyle w:val="Normal6a"/>
            </w:pPr>
            <w:r>
              <w:t>H.</w:t>
            </w:r>
            <w:r>
              <w:tab/>
            </w:r>
            <w:r>
              <w:t>considerando che, al fine di compensare le carenze del bilancio, sono state adottate molte soluzioni alternative che aumentano l'opacità del bilancio, indebolendo il ruolo del Parlamento europeo in qualità di legislatore e autorità di bilancio e di discarico, nonché di autorità preposta a chiedere conto all'esecutivo del proprio operato</w:t>
            </w:r>
            <w:r>
              <w:rPr>
                <w:b/>
                <w:i/>
              </w:rPr>
              <w:t>, come pure eliminando la prevedibilità a lungo termine dei bilanci di investimento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la comunicazione della Commissione sul "La strada verso il prossimo quadro finanziario pluriennale" delinea le principali sfide politiche e di bilancio che influenzeranno la concezione del prossimo quadro finanziario pluriennale, che le aspettative dei cittadini nei confronti dell'azione dell'UE sono in costante crescita e che il mantenimento dello status quo non è un'opzione praticabile;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Christian Ehler, Niclas Herbst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con la dichiarazione di Budapest sul nuovo patto per la competitività europea, l'Unione e gli Stati membri si sono impegnati a raggiungere l'obiettivo di destinare almeno il 3 % del PIL dell'Unione alla ricerca e allo sviluppo entro il 2030, obiettivo che era stato fissato per la prima volta per il 2010 nell'ambito della strategia di Lisbona;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Lucia Yar, Fabienne Keller, Stine Bosse,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risoluzione</w:t>
      </w:r>
      <w:r>
        <w:rPr>
          <w:rStyle w:val="HideTWBExt"/>
        </w:rPr>
        <w:t>&lt;/DocAmend&gt;</w:t>
      </w:r>
    </w:p>
    <w:p>
      <w:pPr>
        <w:pStyle w:val="NormalBold"/>
      </w:pPr>
      <w:r>
        <w:rPr>
          <w:rStyle w:val="HideTWBExt"/>
        </w:rPr>
        <w:t>&lt;Article&gt;</w:t>
      </w:r>
      <w:r>
        <w:t>Considerando H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di risoluzione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considerando che le violazioni dei valori sanciti dall'articolo 2 TUE compromettono la coesione del progetto europeo, erodono i diritti dei cittadini dell'Unione e indeboliscono la fiducia reciproca tra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769.935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40</w:t>
    </w:r>
    <w:r>
      <w:fldChar w:fldCharType="end"/>
    </w:r>
    <w:r>
      <w:t>/</w:t>
    </w:r>
    <w:r>
      <w:fldChar w:fldCharType="begin"/>
    </w:r>
    <w:r>
      <w:instrText xml:space="preserve"> NUMPAGES </w:instrText>
    </w:r>
    <w:r>
      <w:fldChar w:fldCharType="separate"/>
    </w:r>
    <w:r>
      <w:t>40</w:t>
    </w:r>
    <w:r>
      <w:fldChar w:fldCharType="end"/>
    </w:r>
    <w:r>
      <w:tab/>
    </w:r>
    <w:r>
      <w:rPr>
        <w:rStyle w:val="HideTWBExt"/>
      </w:rPr>
      <w:t>&lt;PathFdR&gt;</w:t>
    </w:r>
    <w:r>
      <w:t>AM\1315375IT.docx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AM\1315375IT.docx</w:t>
    </w:r>
    <w:r>
      <w:rPr>
        <w:rStyle w:val="HideTWBExt"/>
      </w:rPr>
      <w:t>&lt;/PathFdR&gt;</w:t>
    </w:r>
    <w:r>
      <w:tab/>
    </w:r>
    <w:r>
      <w:fldChar w:fldCharType="begin"/>
    </w:r>
    <w:r>
      <w:instrText xml:space="preserve"> PAGE </w:instrText>
    </w:r>
    <w:r>
      <w:fldChar w:fldCharType="separate"/>
    </w:r>
    <w:r>
      <w:t>39</w:t>
    </w:r>
    <w:r>
      <w:fldChar w:fldCharType="end"/>
    </w:r>
    <w:r>
      <w:t>/</w:t>
    </w:r>
    <w:r>
      <w:fldChar w:fldCharType="begin"/>
    </w:r>
    <w:r>
      <w:instrText xml:space="preserve"> NUMPAGES </w:instrText>
    </w:r>
    <w:r>
      <w:fldChar w:fldCharType="separate"/>
    </w:r>
    <w:r>
      <w:t>40</w:t>
    </w:r>
    <w:r>
      <w:fldChar w:fldCharType="end"/>
    </w:r>
    <w:r>
      <w:tab/>
    </w:r>
    <w:r>
      <w:t>PE</w:t>
    </w:r>
    <w:r>
      <w:rPr>
        <w:rStyle w:val="HideTWBExt"/>
      </w:rPr>
      <w:t>&lt;NoPE&gt;</w:t>
    </w:r>
    <w:r>
      <w:t>769.935</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AM\1315375IT.docx</w:t>
    </w:r>
    <w:r>
      <w:rPr>
        <w:rStyle w:val="HideTWBExt"/>
      </w:rPr>
      <w:t>&lt;/PathFdR&gt;</w:t>
    </w:r>
    <w:r>
      <w:tab/>
    </w:r>
    <w:r>
      <w:tab/>
    </w:r>
    <w:r>
      <w:t>PE</w:t>
    </w:r>
    <w:r>
      <w:rPr>
        <w:rStyle w:val="HideTWBExt"/>
      </w:rPr>
      <w:t>&lt;NoPE&gt;</w:t>
    </w:r>
    <w:r>
      <w:t>769.935</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40</Pages>
  <Words>7297</Words>
  <Characters>43778</Characters>
  <Application>Microsoft Office Word</Application>
  <DocSecurity>0</DocSecurity>
  <Lines>1</Lines>
  <Paragraphs>698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1315375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147835</vt:lpwstr>
  </property>
  <property fmtid="{D5CDD505-2E9C-101B-9397-08002B2CF9AE}" pid="7" name="dmxml.render.traceId">
    <vt:lpwstr>67dac57bf015d6e4bab6959f8066c580</vt:lpwstr>
  </property>
  <property fmtid="{D5CDD505-2E9C-101B-9397-08002B2CF9AE}" pid="8" name="FooterPath">
    <vt:lpwstr>AM\1315375IT.docx</vt:lpwstr>
  </property>
  <property fmtid="{D5CDD505-2E9C-101B-9397-08002B2CF9AE}" pid="9" name="PE Number">
    <vt:lpwstr>769.935</vt:lpwstr>
  </property>
  <property fmtid="{D5CDD505-2E9C-101B-9397-08002B2CF9AE}" pid="10" name="UID">
    <vt:lpwstr>eu.europa.europarl-DIN1-2025-0000038028_01.00-it-01.00_text-xml</vt:lpwstr>
  </property>
</Properties>
</file>