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Komisja Budżetowa</w:t>
      </w:r>
      <w:r>
        <w:rPr>
          <w:rStyle w:val="HideTWBExt"/>
        </w:rPr>
        <w:t>&lt;/Commission&gt;</w:t>
      </w:r>
    </w:p>
    <w:p>
      <w:pPr>
        <w:pStyle w:val="LineBottom"/>
      </w:pPr>
      <w:r>
        <w:t xml:space="preserve"> </w:t>
      </w:r>
    </w:p>
    <w:p>
      <w:pPr>
        <w:pStyle w:val="CoverReference"/>
      </w:pPr>
      <w:r>
        <w:rPr>
          <w:rStyle w:val="HideTWBExt"/>
        </w:rPr>
        <w:t>&lt;RefProc&gt;</w:t>
      </w:r>
      <w:r>
        <w:t>2024/2051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{24/02/2025}</w:t>
      </w:r>
      <w:r>
        <w:t>24.2.2025</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1</w:t>
      </w:r>
      <w:r>
        <w:t xml:space="preserve"> - </w:t>
      </w:r>
      <w:r>
        <w:t>78</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Siegfried Mureşan, Carla Tavares</w:t>
      </w:r>
      <w:r>
        <w:rPr>
          <w:rStyle w:val="HideTWBExt"/>
        </w:rPr>
        <w:t>&lt;/Rapporteur&gt;</w:t>
      </w:r>
    </w:p>
    <w:p>
      <w:pPr>
        <w:pStyle w:val="CoverNormal24a"/>
      </w:pPr>
      <w:r>
        <w:rPr>
          <w:rStyle w:val="HideTWBExt"/>
        </w:rPr>
        <w:t>&lt;DocRefPE&gt;</w:t>
      </w:r>
      <w:r>
        <w:t>(PE766.828v01-00)</w:t>
      </w:r>
      <w:r>
        <w:rPr>
          <w:rStyle w:val="HideTWBExt"/>
        </w:rPr>
        <w:t>&lt;/DocRefPE&gt;</w:t>
      </w:r>
    </w:p>
    <w:p>
      <w:pPr>
        <w:pStyle w:val="CoverNormal"/>
      </w:pPr>
      <w:r>
        <w:rPr>
          <w:rStyle w:val="HideTWBExt"/>
        </w:rPr>
        <w:t>&lt;Titre&gt;</w:t>
      </w:r>
      <w:r>
        <w:t>Zmieniony budżet długoterminowy dla Unii w zmieniającym się świecie</w:t>
      </w:r>
      <w:r>
        <w:rPr>
          <w:rStyle w:val="HideTWBExt"/>
        </w:rPr>
        <w:t>&lt;/Titre&gt;</w:t>
      </w:r>
    </w:p>
    <w:p>
      <w:pPr>
        <w:pStyle w:val="CoverNormal24a"/>
      </w:pPr>
      <w:r>
        <w:rPr>
          <w:rStyle w:val="HideTWBExt"/>
        </w:rPr>
        <w:t>&lt;DocRef&gt;</w:t>
      </w:r>
      <w:r>
        <w:t>(2024/2051(INI))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rozporządzenie delegowane Komisji z dnia 7 stycznia 2014 r. w sprawie europejskiego kodeksu postępowania w zakresie partnerstwa w ramach europejskich funduszy strukturalnych i inwestycyjnych,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Jean-Marc Germain, Jens Geier, Sandra Gómez López, Giuseppe Lupo, Victor Negrescu, Matjaž Nemec, Nils Ušakovs, Mohammed Chahim,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komunikat Komisji z 9 grudnia 2021 r. pt. „Budowanie gospodarki służącej ludziom: plan działania na rzecz gospodarki społecznej” (COM(2021)9778),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komunikat Komisji z 9 grudnia 2021 r. pt. „Budowanie gospodarki służącej ludziom: plan działania na rzecz gospodarki społecznej” (COM(2021)9778),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Jean-Marc Germain, Jens Geier, Sandra Gómez López, Giuseppe Lupo, Victor Negrescu, Matjaž Nemec, Nils Ušakovs, Mohammed Chahim,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deklarację z Antwerpii w sprawie europejskiego ładu przemysłowego z 20 lutego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c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rozporządzenie (UE) 2021/1119 w sprawie ustanowienia ram na potrzeby osiągnięcia neutralności klimatycznej i zmiany rozporządzenia (UE) 2018/1999 (Europejskie prawo o klimacie),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d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decyzję Parlamentu Europejskiego i Rady (UE) 2022/591 z 6 kwietnia 2022 r. w sprawie ogólnego unijnego programu działań w zakresie środowiska do 2030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e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deklarację z La Hulpe w sprawie przyszłości Europejskiego filaru praw socjalnych,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f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deklarację z Liege z 5 marca 2024 r. w sprawie przystępnych cenowo, godnych i zrównoważonych mieszkań dla wszystkich;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g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swoją rezolucję z 21 stycznia 2021 r. w sprawie europejskiej strategii na rzecz równouprawnienia płci,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h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specjalne Międzyrządowego Zespołu ds. Zmian Klimatu (IPCC) na temat globalnego ocieplenia o 1,5 °C, sprawozdanie specjalne tego zespołu w sprawie zmiany klimatu i gleby oraz jego sprawozdanie specjalne w sprawie oceanów i kriosfery w zmieniającym się klimacie,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i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Komisji Europejskiej w sprawie finansowania i monitorowania różnorodności biologiczne,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j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konwencję z Aarhus i wynikające z niej zobowiązania,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k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cele zrównoważonego rozwoju Organizacji Narodów Zjednoczonych,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l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wytyczne w sprawie lepszego stanowienia prawa i zestaw instrumentów służących lepszemu stanowieniu prawa,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m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z 2024 r. na temat osiągnięć w dziedzinie nauki, badań i innowacji,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n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z 2024 r. na temat alokacji i wpływu zielonych obligacji NGEU SWD(2024) 275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o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Europejskiej Agencji Środowiska nr 1/2024 – Europejska ocena ryzyka związanego z klimatem (EUCRA),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p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z 4 września 2024 r. ze strategicznego dialogu na temat przyszłości rolnictwa UE pt. „A shared prospect for farming and food in Europe” [Wspólna perspektywa rolnictwa i żywności w Europie],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q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grupy wysokiego szczebla ds. przyszłości polityki spójności z 20 lutego 2024 r. pt. „Forging a sustainable future together – cohesion for a competitive and inclusive Europe” [Wspólne budowanie zrównoważonej przyszłości – spójność na rzecz Europy konkurencyjnej i sprzyjającej włączeniu społecznemu],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r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wytyczne polityczne z 18 lipca 2024 r. na następną kadencję Komisji Europejskiej (2024–2029),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s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opinię Komitetu Regionów z 20 listopada 2024 r. pt. „Budżet UE i polityka ukierunkowana na konkretny obszar: propozycje dotyczące nowych mechanizmów projektowania i realizacji w kontekście WRF na okres po 2027 r.”[11],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t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dyrektywę w sprawie charakterystyki energetycznej budynków,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u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Europejskiego Trybunału Obrachunkowego z 2024 r. dotyczące dotacji w energetyce w UE, „Przystosowanie się do zmiany klimatu w UE – działania nie nadążają za ambicjami”, sprawozdanie specjalne 2024/15,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Jean-Marc Germain, Raphaël Glucksmann, Jens Geier, Sandra Gómez López, Giuseppe Lupo, Victor Negrescu, Matjaž Nemec, Nils Ušakovs, Mohammed Chahim,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13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wspólny komunikat z 3 marca 2024 r. pt. „Nowa Strategia na rzecz europejskiego przemysłu obronnego: </w:t>
            </w:r>
            <w:r>
              <w:t xml:space="preserve"> </w:t>
            </w:r>
            <w:r>
              <w:rPr>
                <w:b/>
                <w:i/>
              </w:rPr>
              <w:t>osiągnięcie gotowości UE dzięki zdolnemu do reagowania i odpornemu europejskiemu przemysłowi obronnemu”,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13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deklarację wersalską z 11 marca 2022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19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komunikat Komisji do Parlamentu Europejskiego, Rady Europejskiej, Rady, Europejskiego Komitetu Ekonomiczno-Społecznego i Komitetu Regionów z 29 stycznia 2025 r. zatytułowany „Kompas konkurencyjności dla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19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komunikat Komisji z 11 lutego 2025 r. pt. „Droga ku następnym wieloletnim ramom finansowym”,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19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komunikat Komisji z 29 stycznia 2025 r. pt. „Kompas konkurencyjności dla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Lucia Yar, Fabienne Keller, Stine Bosse,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22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rozporządzenie w sprawie wspólnych przepisów, a konkretnie jego art. 9 dotyczący zasad horyzontalnych oraz art. 15 ust. 1 i załącznik III do tego rozporządzenia dotyczące horyzontalnych warunków podstawowych, w szczególności w odniesieniu do poszanowania praw podstawowych i przestrzegania Karty praw podstawowych Unii Europejskiej,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22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sporządzone przez Europejski Trybunał Obrachunkowy sprawozdania specjalne w sprawie Instrumentu na rzecz Odbudowy i Zwiększania Odporności oraz innych instrumentów opartych na wynikach,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22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komunikat Komisji Europejskiej z 11 lutego pt. „Droga ku następnym wieloletnim ramom finansowym”,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mając na uwadze, że zgodnie z art. 311 TFUE Unia musi pozyskać środki niezbędne do osiągnięcia swoich celów i prowadzenia swojej polityki;</w:t>
            </w:r>
          </w:p>
        </w:tc>
        <w:tc>
          <w:tcPr>
            <w:tcW w:w="4876" w:type="dxa"/>
            <w:tcBorders>
              <w:top w:val="nil"/>
              <w:left w:val="nil"/>
              <w:bottom w:val="nil"/>
              <w:right w:val="nil"/>
            </w:tcBorders>
          </w:tcPr>
          <w:p>
            <w:pPr>
              <w:pStyle w:val="Normal6a"/>
            </w:pPr>
            <w:r>
              <w:t>A.</w:t>
            </w:r>
            <w:r>
              <w:tab/>
            </w:r>
            <w:r>
              <w:t xml:space="preserve">mając na uwadze, że </w:t>
            </w:r>
            <w:r>
              <w:rPr>
                <w:b/>
                <w:i/>
              </w:rPr>
              <w:t>Unia opiera się na wartościach, jakimi są poszanowanie godności osoby ludzkiej, wolności, demokracji, równości, praworządności, jak również poszanowanie praw człowieka, w tym praw osób należących do mniejszości (wartościach Unii);</w:t>
            </w:r>
            <w:r>
              <w:t xml:space="preserve"> </w:t>
            </w:r>
            <w:r>
              <w:rPr>
                <w:b/>
                <w:i/>
              </w:rPr>
              <w:t>mając na uwadze, że celem Unii jest wspieranie pokoju, jej wartości i dobrobytu zamieszkujących ją narodów;</w:t>
            </w:r>
            <w:r>
              <w:t xml:space="preserve"> </w:t>
            </w:r>
            <w:r>
              <w:rPr>
                <w:b/>
                <w:i/>
              </w:rPr>
              <w:t>mając na uwadze, że</w:t>
            </w:r>
            <w:r>
              <w:t xml:space="preserve"> zgodnie z art. 311 TFUE Unia musi pozyskać środki niezbędne do osiągnięcia swoich celów i prowadzenia swojej polityki;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zdrowe środowisko sprzyja dobrostanowi wszystkich ludzi i jest środowiskiem, w którym zachowana jest różnorodność biologiczna, ekosystemy rozwijają się, a przyroda jest chroniona i odbudowywana, co prowadzi do większej odporności na zmianę klimatu, klęski żywiołowe i inne zagrożenia dla środowiska.</w:t>
            </w:r>
            <w:r>
              <w:t xml:space="preserve"> </w:t>
            </w:r>
            <w:r>
              <w:rPr>
                <w:b/>
                <w:i/>
              </w:rPr>
              <w:t>mając na uwadze, że ludzkość mierzy się z potrójnym kryzysem planetarnym – zmianą klimatu, zanieczyszczeniem i utratą różnorodności biologicznej, a każdy z tych problemów musi zostać rozwiązany, jeżeli planujemy mieć przyszłość na tej planecie;</w:t>
            </w:r>
            <w:r>
              <w:t xml:space="preserve"> </w:t>
            </w:r>
            <w:r>
              <w:rPr>
                <w:b/>
                <w:i/>
              </w:rPr>
              <w:t>mając na uwadze, że reagowanie na potrójny kryzys planetarny ma również krytyczne znaczenie dla zagwarantowania bezpieczeństwa, wolności i dobrobytu Unii;</w:t>
            </w:r>
            <w:r>
              <w:t xml:space="preserve"> </w:t>
            </w:r>
            <w:r>
              <w:rPr>
                <w:b/>
                <w:i/>
              </w:rPr>
              <w:t>mając na uwadze, że koszty niepodejmowania działań w odpowiedzi na potrójny kryzys planetarny zdecydowanie przewyższają koszty działań podejmowanych we właściwym czasie;</w:t>
            </w:r>
            <w:r>
              <w:t xml:space="preserve"> </w:t>
            </w:r>
            <w:r>
              <w:rPr>
                <w:b/>
                <w:i/>
              </w:rPr>
              <w:t>mając na uwadze, że Unia ustala tempo zapewnienia dostatku obecnych i przyszłych pokoleń na całym świecie zgodnie z zasadą odpowiedzialności międzypokoleniowej;</w:t>
            </w:r>
            <w:r>
              <w:t xml:space="preserve"> </w:t>
            </w:r>
            <w:r>
              <w:rPr>
                <w:b/>
                <w:i/>
              </w:rPr>
              <w:t>mając na uwadze, że działalność gospodarcza powinna respektować ograniczenia planety;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funkcja redystrybucyjna budżetu UE jest jedną z jego głównych zasad, a w związku z tym należy zagwarantować, że kraje, które w całym procesie integracji w najwyższym stopniu skorzystały z jednolitego rynku, wspólnej waluty i wspólnej polityki, wniosą większy wkład do budżetu;</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mając na uwadze, że ekstremalne zdarzenia pogodowe i klimatyczne przyniosły w latach 1980–2022 straty gospodarcze w wysokości ponad 650 mld EUR;</w:t>
            </w:r>
            <w:r>
              <w:t xml:space="preserve"> </w:t>
            </w:r>
            <w:r>
              <w:rPr>
                <w:b/>
                <w:i/>
              </w:rPr>
              <w:t>mając ponadto na uwadze, że – jak podkreślono w sprawozdaniu EEA nr 1/2024 – skutki zmiany klimatu wpływają na cały kontynent europejski, ale w nieproporcjonalnie dużym stopniu dotykają ludność szczególnie wrażliwą ze względu na czynniki społeczno-gospodarcze, jeszcze bardziej utrudniając grupom szczególnie wrażliwym podniesienie się po klęskach żywiołowych, w szczególności w regionach słabiej rozwiniętych;</w:t>
            </w:r>
            <w:r>
              <w:t xml:space="preserve"> </w:t>
            </w:r>
            <w:r>
              <w:rPr>
                <w:b/>
                <w:i/>
              </w:rPr>
              <w:t>mając na uwadze, że w sprawozdaniu tym ostrzegano również, iż blok nie jest przygotowany na skutki zmiany klimatu, nawet gdyby udało się ograniczyć wzrost temperatury na świecie do 1,5°C, jak określono w porozumieniu paryskim;</w:t>
            </w:r>
            <w:r>
              <w:t xml:space="preserve"> </w:t>
            </w:r>
            <w:r>
              <w:rPr>
                <w:b/>
                <w:i/>
              </w:rPr>
              <w:t>mając na uwadze, że według tego sprawozdania jeżeli zdecydowane działania nie zostaną podjęte teraz, większość zidentyfikowanych (w ocenie) ryzyk związanych z klimatem może osiągnąć poziom krytyczny lub katastrofalny do końca bieżącego stulecia;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mając na uwadze, że zgodnie z dokumentem roboczym „The Redistributive Function of the EU Budget”</w:t>
            </w:r>
            <w:r>
              <w:rPr>
                <w:b/>
                <w:i/>
                <w:vertAlign w:val="superscript"/>
              </w:rPr>
              <w:t>1a</w:t>
            </w:r>
            <w:r>
              <w:t xml:space="preserve"> </w:t>
            </w:r>
            <w:r>
              <w:rPr>
                <w:b/>
                <w:i/>
              </w:rPr>
              <w:t>budżet UE ma obecnie ograniczony wpływ redystrybucyjny, a rabaty oraz inne mechanizmy rekompensat we wkładach niektórych państw członkowskich jeszcze bardziej ograniczają redystrybucyjny wpływ budżetu 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Pasimeni, P., i Riso, S. (2016):</w:t>
            </w:r>
            <w:r>
              <w:t xml:space="preserve"> </w:t>
            </w:r>
            <w:r>
              <w:rPr>
                <w:b/>
                <w:i/>
              </w:rPr>
              <w:t>The Redistributive Function of the EU Budget (dokument roboczy IMK nr 174).</w:t>
            </w:r>
            <w:r>
              <w:t xml:space="preserve"> </w:t>
            </w:r>
            <w:r>
              <w:rPr>
                <w:b/>
                <w:i/>
              </w:rPr>
              <w:t>Hans-Böckler-Stiftung.</w:t>
            </w:r>
            <w:r>
              <w:t xml:space="preserve"> </w:t>
            </w:r>
            <w:r>
              <w:rPr>
                <w:b/>
                <w:i/>
              </w:rPr>
              <w:t>Dostępne pod adresem: http://www.boeckler.de/imk_5016.htm</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mając na uwadze, że Unia zobowiązała się do podjęcia wszelkich niezbędnych działań, aby osiągnąć neutralność klimatyczną najpóźniej do 2050 r. w drodze realizacji Europejskiego Zielonego Ładu, Europejskiego prawa o klimacie, strategii na rzecz bioróżnorodności 2030, strategii „Od pola do stołu”, planu działania dotyczącego gospodarki o obiegu zamkniętym, strategii w zakresie chemikaliów na rzecz zrównoważoności, planu działania na rzecz eliminacji zanieczyszczeń, jak i zobowiązań międzynarodowych, a w szczególności porozumienia paryskiego, globalnych ram różnorodności biologicznej z Kunmingu/Montrealu i Agendy 2030 na rzecz zrównoważonego rozwoju;</w:t>
            </w:r>
            <w:r>
              <w:t xml:space="preserve"> </w:t>
            </w:r>
            <w:r>
              <w:rPr>
                <w:b/>
                <w:i/>
              </w:rPr>
              <w:t>mając na uwadze, że ogół tych działań wymaga znacznych inwestycji oraz stopniowego wycofywania dotacji o skutkach szkodliwych dla środowiska, w szczególności dopłat do paliw kopalnych, zgodnie z celami ograniczenia globalnego ocieplenia do poziomu 1,5°C, a także znacznych inwestycji oraz pełnego i starannego wdrożenia zasady „nie czyń poważnych szkód”;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mając na uwadze, że rabaty są indeksowane do średniego deflatora, tj. średniej inflacji w UE, a zatem jeżeli państwo członkowskie kwalifikujące się do rabatu ma deflator produktu krajowego brutto poniżej średniej UE, to nie tylko skorzysta z obniżenia stałej kwoty swojego wkładu za pomocą rabatu, ale również jego wkład z tytułu zasobów własnych opartych na DNB będzie niższy, co zwiększy kwotę rabatów w wartościach względnych;</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mając na uwadze, iż Europejski Bank Centralny podkreśla, że ryzyko związane z klimatem wpływa na wskaźniki makroekonomiczne, takie jak inflacja, wzrost gospodarczy, stabilność finansowa i transmisja polityki pieniężnej, oraz że utrata różnorodności biologicznej i degradacja ekosystemów naturalnych mogą spotęgować ryzyko związane z klimatem;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w:t>
            </w:r>
            <w:r>
              <w:rPr>
                <w:b/>
                <w:i/>
              </w:rPr>
              <w:t>budżet Unii jest przede wszystkim budżetem inwestycyjnym, który może przynieść korzyści skali nieosiągalne na szczeblu państw członkowskich</w:t>
            </w:r>
            <w:r>
              <w:t>;</w:t>
            </w:r>
          </w:p>
        </w:tc>
        <w:tc>
          <w:tcPr>
            <w:tcW w:w="4876" w:type="dxa"/>
            <w:tcBorders>
              <w:top w:val="nil"/>
              <w:left w:val="nil"/>
              <w:bottom w:val="nil"/>
              <w:right w:val="nil"/>
            </w:tcBorders>
          </w:tcPr>
          <w:p>
            <w:pPr>
              <w:pStyle w:val="Normal6a"/>
            </w:pPr>
            <w:r>
              <w:t>B.</w:t>
            </w:r>
            <w:r>
              <w:tab/>
            </w:r>
            <w:r>
              <w:t xml:space="preserve">mając na uwadze, że </w:t>
            </w:r>
            <w:r>
              <w:rPr>
                <w:b/>
                <w:i/>
              </w:rPr>
              <w:t>na obecne WRF oraz na Instrument na rzecz Odbudowy i Zwiększania Odporności przypada prawie 2 bln EUR w bieżącym okresie oraz że wysokie stopy inflacji oraz związane z tym wyższe koszty towarów i usług zmniejszyły bieżącą wartość wydatków europejskich uzgodnionych w ujęciu nominalnym w 2020 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Roberts Zīle, Bogdan Rzońca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mając na uwadze, że budżet Unii jest przede wszystkim budżetem inwestycyjnym, który może przynieść korzyści skali nieosiągalne na szczeblu państw członkowskich;</w:t>
            </w:r>
          </w:p>
        </w:tc>
        <w:tc>
          <w:tcPr>
            <w:tcW w:w="4876" w:type="dxa"/>
            <w:tcBorders>
              <w:top w:val="nil"/>
              <w:left w:val="nil"/>
              <w:bottom w:val="nil"/>
              <w:right w:val="nil"/>
            </w:tcBorders>
          </w:tcPr>
          <w:p>
            <w:pPr>
              <w:pStyle w:val="Normal6a"/>
            </w:pPr>
            <w:r>
              <w:t>B.</w:t>
            </w:r>
            <w:r>
              <w:tab/>
            </w:r>
            <w:r>
              <w:t xml:space="preserve">mając na uwadze, że budżet Unii jest przede wszystkim budżetem inwestycyjnym, który może przynieść korzyści skali nieosiągalne na szczeblu państw członkowskich </w:t>
            </w:r>
            <w:r>
              <w:rPr>
                <w:b/>
                <w:i/>
              </w:rPr>
              <w:t>i może zapewniać europejskie dobra publiczne, zwłaszcza projekty transgraniczne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mając na uwadze, że budżet Unii jest przede wszystkim budżetem inwestycyjnym, który może przynieść korzyści skali nieosiągalne na szczeblu państw członkowskich;</w:t>
            </w:r>
          </w:p>
        </w:tc>
        <w:tc>
          <w:tcPr>
            <w:tcW w:w="4876" w:type="dxa"/>
            <w:tcBorders>
              <w:top w:val="nil"/>
              <w:left w:val="nil"/>
              <w:bottom w:val="nil"/>
              <w:right w:val="nil"/>
            </w:tcBorders>
          </w:tcPr>
          <w:p>
            <w:pPr>
              <w:pStyle w:val="Normal6a"/>
            </w:pPr>
            <w:r>
              <w:t>B.</w:t>
            </w:r>
            <w:r>
              <w:tab/>
            </w:r>
            <w:r>
              <w:t xml:space="preserve">mając na uwadze, że budżet Unii jest przede wszystkim budżetem inwestycyjnym, który może </w:t>
            </w:r>
            <w:r>
              <w:rPr>
                <w:b/>
                <w:i/>
              </w:rPr>
              <w:t>potencjalnie</w:t>
            </w:r>
            <w:r>
              <w:t xml:space="preserve"> przynieść korzyści skali nieosiągalne na szczeblu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budżet Unii jest przede wszystkim </w:t>
            </w:r>
            <w:r>
              <w:rPr>
                <w:b/>
                <w:i/>
              </w:rPr>
              <w:t>budżetem</w:t>
            </w:r>
            <w:r>
              <w:t xml:space="preserve"> inwestycyjnym, </w:t>
            </w:r>
            <w:r>
              <w:rPr>
                <w:b/>
                <w:i/>
              </w:rPr>
              <w:t>który</w:t>
            </w:r>
            <w:r>
              <w:t xml:space="preserve"> może przynieść korzyści skali nieosiągalne na szczeblu państw członkowskich;</w:t>
            </w:r>
          </w:p>
        </w:tc>
        <w:tc>
          <w:tcPr>
            <w:tcW w:w="4876" w:type="dxa"/>
            <w:tcBorders>
              <w:top w:val="nil"/>
              <w:left w:val="nil"/>
              <w:bottom w:val="nil"/>
              <w:right w:val="nil"/>
            </w:tcBorders>
          </w:tcPr>
          <w:p>
            <w:pPr>
              <w:pStyle w:val="Normal6a"/>
            </w:pPr>
            <w:r>
              <w:t>B.</w:t>
            </w:r>
            <w:r>
              <w:tab/>
            </w:r>
            <w:r>
              <w:t xml:space="preserve">mając na uwadze, że budżet Unii jest przede wszystkim </w:t>
            </w:r>
            <w:r>
              <w:rPr>
                <w:b/>
                <w:i/>
              </w:rPr>
              <w:t>narzędziem</w:t>
            </w:r>
            <w:r>
              <w:t xml:space="preserve"> inwestycyjnym, </w:t>
            </w:r>
            <w:r>
              <w:rPr>
                <w:b/>
                <w:i/>
              </w:rPr>
              <w:t>które</w:t>
            </w:r>
            <w:r>
              <w:t xml:space="preserve"> może przynieść korzyści skali nieosiągalne na szczeblu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Carla Tavares, Siegfried Mureşan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w 2022 r. państwa członkowskie przeznaczyły średnio 1,4 % ich PKB na pomoc państwa, czyli znacznie więcej niż ich wkład do budżetu Unii, przy czym ponad połowa nie była związana z kryzysem;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mając na uwadze, że wydatki z budżetu Unii, o ile </w:t>
            </w:r>
            <w:r>
              <w:rPr>
                <w:b/>
                <w:i/>
              </w:rPr>
              <w:t>ich cel</w:t>
            </w:r>
            <w:r>
              <w:t xml:space="preserve"> jest precyzyjnie określony</w:t>
            </w:r>
            <w:r>
              <w:rPr>
                <w:b/>
                <w:i/>
              </w:rPr>
              <w:t>,</w:t>
            </w:r>
            <w:r>
              <w:t xml:space="preserve"> dostosowane do priorytetów politycznych Unii i skoordynowane z wydatkami na szczeblu krajowym, pomagają uniknąć fragmentacji jednolitego rynku i zwiększyć ogólny wpływ inwestycji publicznych; mając na uwadze, że inwestycje publiczne są niezbędne, aby zachęcać do inwestycji prywatnych;</w:t>
            </w:r>
          </w:p>
        </w:tc>
        <w:tc>
          <w:tcPr>
            <w:tcW w:w="4876" w:type="dxa"/>
            <w:tcBorders>
              <w:top w:val="nil"/>
              <w:left w:val="nil"/>
              <w:bottom w:val="nil"/>
              <w:right w:val="nil"/>
            </w:tcBorders>
          </w:tcPr>
          <w:p>
            <w:pPr>
              <w:pStyle w:val="Normal6a"/>
            </w:pPr>
            <w:r>
              <w:t>C.</w:t>
            </w:r>
            <w:r>
              <w:tab/>
            </w:r>
            <w:r>
              <w:t xml:space="preserve">mając na uwadze, że wydatki z budżetu Unii </w:t>
            </w:r>
            <w:r>
              <w:rPr>
                <w:b/>
                <w:i/>
              </w:rPr>
              <w:t>wspierają strategie polityczne UE, tworząc bardziej spójną Unię i przyczyniając się do lepszej integracji, zrównoważonego rozwoju i pozytywnej konwergencji, zmniejszając nierówności w UE i wzmacniając widoczność UE na świecie, a także</w:t>
            </w:r>
            <w:r>
              <w:t xml:space="preserve">, o ile </w:t>
            </w:r>
            <w:r>
              <w:rPr>
                <w:b/>
                <w:i/>
              </w:rPr>
              <w:t>cel wydatków</w:t>
            </w:r>
            <w:r>
              <w:t xml:space="preserve"> jest precyzyjnie określony </w:t>
            </w:r>
            <w:r>
              <w:rPr>
                <w:b/>
                <w:i/>
              </w:rPr>
              <w:t>oraz są one</w:t>
            </w:r>
            <w:r>
              <w:t xml:space="preserve"> dostosowane do priorytetów politycznych Unii i skoordynowane z wydatkami na szczeblu krajowym</w:t>
            </w:r>
            <w:r>
              <w:rPr>
                <w:b/>
                <w:i/>
              </w:rPr>
              <w:t>, regionalnym i lokalnym</w:t>
            </w:r>
            <w:r>
              <w:t>, pomagają uniknąć fragmentacji jednolitego rynku i zwiększyć ogólny wpływ inwestycji publicznych; mając na uwadze, że inwestycje publiczne są niezbędne, aby zachęcać do inwestycji prywatnych;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Christian Ehler,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mając na uwadze, że wydatki z budżetu Unii, o ile ich cel jest precyzyjnie określony, dostosowane do priorytetów politycznych Unii i skoordynowane z wydatkami na szczeblu krajowym, pomagają uniknąć fragmentacji jednolitego rynku i zwiększyć ogólny wpływ inwestycji publicznych; mając na uwadze, że inwestycje </w:t>
            </w:r>
            <w:r>
              <w:rPr>
                <w:b/>
                <w:i/>
              </w:rPr>
              <w:t>publiczne są</w:t>
            </w:r>
            <w:r>
              <w:t xml:space="preserve"> niezbędne, aby zachęcać do inwestycji prywatnych;</w:t>
            </w:r>
          </w:p>
        </w:tc>
        <w:tc>
          <w:tcPr>
            <w:tcW w:w="4876" w:type="dxa"/>
            <w:tcBorders>
              <w:top w:val="nil"/>
              <w:left w:val="nil"/>
              <w:bottom w:val="nil"/>
              <w:right w:val="nil"/>
            </w:tcBorders>
          </w:tcPr>
          <w:p>
            <w:pPr>
              <w:pStyle w:val="Normal6a"/>
            </w:pPr>
            <w:r>
              <w:t>C.</w:t>
            </w:r>
            <w:r>
              <w:tab/>
            </w:r>
            <w:r>
              <w:t xml:space="preserve">mając na uwadze, że wydatki z budżetu Unii, o ile ich cel jest precyzyjnie określony, dostosowane do priorytetów politycznych Unii i skoordynowane z wydatkami na szczeblu krajowym, pomagają uniknąć fragmentacji jednolitego rynku i zwiększyć ogólny wpływ inwestycji publicznych; mając na uwadze, że </w:t>
            </w:r>
            <w:r>
              <w:rPr>
                <w:b/>
                <w:i/>
              </w:rPr>
              <w:t>interwencje publiczne, w tym</w:t>
            </w:r>
            <w:r>
              <w:t xml:space="preserve"> inwestycje</w:t>
            </w:r>
            <w:r>
              <w:rPr>
                <w:b/>
                <w:i/>
              </w:rPr>
              <w:t>, mogą być</w:t>
            </w:r>
            <w:r>
              <w:t xml:space="preserve"> niezbędne, aby zachęcać do inwestycji prywatnych </w:t>
            </w:r>
            <w:r>
              <w:rPr>
                <w:b/>
                <w:i/>
              </w:rPr>
              <w:t>w przypadkach, w których nie przeprowadzono potrzebnych inwestycji ze względu na niedoskonałości rynku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mając na uwadze, że wydatki z budżetu Unii, o ile ich cel jest precyzyjnie określony</w:t>
            </w:r>
            <w:r>
              <w:rPr>
                <w:b/>
                <w:i/>
              </w:rPr>
              <w:t>,</w:t>
            </w:r>
            <w:r>
              <w:t xml:space="preserve"> dostosowane do priorytetów </w:t>
            </w:r>
            <w:r>
              <w:rPr>
                <w:b/>
                <w:i/>
              </w:rPr>
              <w:t>politycznych Unii i skoordynowane z wydatkami na szczeblu krajowym, pomagają uniknąć fragmentacji</w:t>
            </w:r>
            <w:r>
              <w:t xml:space="preserve"> jednolitego rynku i </w:t>
            </w:r>
            <w:r>
              <w:rPr>
                <w:b/>
                <w:i/>
              </w:rPr>
              <w:t>zwiększyć ogólny wpływ</w:t>
            </w:r>
            <w:r>
              <w:t xml:space="preserve"> inwestycji publicznych; mając na uwadze, że inwestycje publiczne są niezbędne</w:t>
            </w:r>
            <w:r>
              <w:rPr>
                <w:b/>
                <w:i/>
              </w:rPr>
              <w:t>, aby zachęcać</w:t>
            </w:r>
            <w:r>
              <w:t xml:space="preserve"> do inwestycji prywatnych;</w:t>
            </w:r>
          </w:p>
        </w:tc>
        <w:tc>
          <w:tcPr>
            <w:tcW w:w="4876" w:type="dxa"/>
            <w:tcBorders>
              <w:top w:val="nil"/>
              <w:left w:val="nil"/>
              <w:bottom w:val="nil"/>
              <w:right w:val="nil"/>
            </w:tcBorders>
          </w:tcPr>
          <w:p>
            <w:pPr>
              <w:pStyle w:val="Normal6a"/>
            </w:pPr>
            <w:r>
              <w:t>C.</w:t>
            </w:r>
            <w:r>
              <w:tab/>
            </w:r>
            <w:r>
              <w:t xml:space="preserve">mając na uwadze, że wydatki z budżetu Unii, o ile ich cel jest precyzyjnie określony </w:t>
            </w:r>
            <w:r>
              <w:rPr>
                <w:b/>
                <w:i/>
              </w:rPr>
              <w:t>oraz są one</w:t>
            </w:r>
            <w:r>
              <w:t xml:space="preserve"> dostosowane do priorytetów </w:t>
            </w:r>
            <w:r>
              <w:rPr>
                <w:b/>
                <w:i/>
              </w:rPr>
              <w:t>i strategii państw członkowskich w zakresie ich rozwoju gospodarczego i społecznego, mogą przyczynić się do przeciwdziałania asymetrycznym skutkom</w:t>
            </w:r>
            <w:r>
              <w:t xml:space="preserve"> jednolitego rynku i </w:t>
            </w:r>
            <w:r>
              <w:rPr>
                <w:b/>
                <w:i/>
              </w:rPr>
              <w:t>do zwiększenia ogólnego wpływu</w:t>
            </w:r>
            <w:r>
              <w:t xml:space="preserve"> inwestycji publicznych; mając na uwadze, że inwestycje publiczne są niezbędne </w:t>
            </w:r>
            <w:r>
              <w:rPr>
                <w:b/>
                <w:i/>
              </w:rPr>
              <w:t>i wywołują efekt domina w odniesieniu</w:t>
            </w:r>
            <w:r>
              <w:t xml:space="preserve"> do inwestycji prywatnych;</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mając na uwadze, że wydatki z budżetu Unii, o ile ich cel jest precyzyjnie określony, dostosowane do priorytetów politycznych Unii i skoordynowane z wydatkami na szczeblu krajowym, pomagają uniknąć fragmentacji jednolitego rynku i zwiększyć ogólny wpływ inwestycji publicznych; mając na uwadze, że inwestycje publiczne są niezbędne, aby zachęcać do inwestycji prywatnych;</w:t>
            </w:r>
          </w:p>
        </w:tc>
        <w:tc>
          <w:tcPr>
            <w:tcW w:w="4876" w:type="dxa"/>
            <w:tcBorders>
              <w:top w:val="nil"/>
              <w:left w:val="nil"/>
              <w:bottom w:val="nil"/>
              <w:right w:val="nil"/>
            </w:tcBorders>
          </w:tcPr>
          <w:p>
            <w:pPr>
              <w:pStyle w:val="Normal6a"/>
            </w:pPr>
            <w:r>
              <w:t>C.</w:t>
            </w:r>
            <w:r>
              <w:tab/>
            </w:r>
            <w:r>
              <w:t xml:space="preserve">mając na uwadze, że wydatki z budżetu Unii, o ile ich cel jest precyzyjnie określony, dostosowane do priorytetów politycznych Unii i </w:t>
            </w:r>
            <w:r>
              <w:rPr>
                <w:b/>
                <w:i/>
              </w:rPr>
              <w:t>lepiej</w:t>
            </w:r>
            <w:r>
              <w:t xml:space="preserve"> skoordynowane z wydatkami na szczeblu krajowym, pomagają uniknąć fragmentacji jednolitego rynku i zwiększyć ogólny wpływ inwestycji publicznych; mając na uwadze, że inwestycje publiczne są niezbędne, aby zachęcać do inwestycji prywatnych </w:t>
            </w:r>
            <w:r>
              <w:rPr>
                <w:b/>
                <w:i/>
              </w:rPr>
              <w:t>w pewnych sektorach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mając na uwadze, że wydatki z budżetu Unii, o ile ich cel jest precyzyjnie określony, dostosowane do priorytetów politycznych Unii i skoordynowane z wydatkami na szczeblu krajowym, pomagają uniknąć fragmentacji jednolitego rynku i zwiększyć ogólny wpływ inwestycji publicznych; mając na uwadze, że inwestycje publiczne są niezbędne, aby zachęcać do inwestycji prywatnych;</w:t>
            </w:r>
          </w:p>
        </w:tc>
        <w:tc>
          <w:tcPr>
            <w:tcW w:w="4876" w:type="dxa"/>
            <w:tcBorders>
              <w:top w:val="nil"/>
              <w:left w:val="nil"/>
              <w:bottom w:val="nil"/>
              <w:right w:val="nil"/>
            </w:tcBorders>
          </w:tcPr>
          <w:p>
            <w:pPr>
              <w:pStyle w:val="Normal6a"/>
            </w:pPr>
            <w:r>
              <w:t>C.</w:t>
            </w:r>
            <w:r>
              <w:tab/>
            </w:r>
            <w:r>
              <w:t xml:space="preserve">mając na uwadze, że wydatki z budżetu Unii, o ile ich cel jest precyzyjnie określony, dostosowane do priorytetów politycznych Unii i skoordynowane z wydatkami na szczeblu krajowym, </w:t>
            </w:r>
            <w:r>
              <w:rPr>
                <w:b/>
                <w:i/>
              </w:rPr>
              <w:t>regionalnym i lokalnym,</w:t>
            </w:r>
            <w:r>
              <w:t xml:space="preserve"> pomagają uniknąć fragmentacji jednolitego rynku i zwiększyć ogólny wpływ inwestycji publicznych; mając na uwadze, że inwestycje publiczne są niezbędne, aby zachęcać do inwestycji prywatnych;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mając na uwadze, że wydatki z budżetu Unii, o ile ich cel jest precyzyjnie określony, dostosowane do priorytetów politycznych Unii i skoordynowane z wydatkami na szczeblu krajowym, pomagają uniknąć fragmentacji jednolitego rynku i zwiększyć ogólny wpływ inwestycji publicznych; mając na uwadze, że inwestycje publiczne </w:t>
            </w:r>
            <w:r>
              <w:rPr>
                <w:b/>
                <w:i/>
              </w:rPr>
              <w:t>są niezbędne, aby zachęcać do</w:t>
            </w:r>
            <w:r>
              <w:t xml:space="preserve"> inwestycji prywatnych;</w:t>
            </w:r>
          </w:p>
        </w:tc>
        <w:tc>
          <w:tcPr>
            <w:tcW w:w="4876" w:type="dxa"/>
            <w:tcBorders>
              <w:top w:val="nil"/>
              <w:left w:val="nil"/>
              <w:bottom w:val="nil"/>
              <w:right w:val="nil"/>
            </w:tcBorders>
          </w:tcPr>
          <w:p>
            <w:pPr>
              <w:pStyle w:val="Normal6a"/>
            </w:pPr>
            <w:r>
              <w:t>C.</w:t>
            </w:r>
            <w:r>
              <w:tab/>
            </w:r>
            <w:r>
              <w:t xml:space="preserve">mając na uwadze, że wydatki z budżetu Unii, o ile ich cel jest precyzyjnie określony, dostosowane do priorytetów politycznych Unii i skoordynowane z wydatkami na szczeblu krajowym, pomagają uniknąć fragmentacji jednolitego rynku i zwiększyć ogólny wpływ inwestycji publicznych; mając na uwadze, że inwestycje publiczne </w:t>
            </w:r>
            <w:r>
              <w:rPr>
                <w:b/>
                <w:i/>
              </w:rPr>
              <w:t>powinny służyć jako katalizator</w:t>
            </w:r>
            <w:r>
              <w:t xml:space="preserve"> inwestycji prywatnych;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mając na uwadze, że dostępność wysokiej jakości bezpłatnych usług publicznych, takich jak wczesna edukacja i opieka nad dziećmi, edukacja i zdrowie, oraz powszechny dostęp do tych usług, a także dostęp do odpowiednich, przystępnych cenowo i godnych mieszkań oraz podstawowych usług, takich jak przystępna cenowo energia, urządzenia sanitarne, czysta woda i zdrowe odżywianie, są warunkami koniecznymi, aby zapewnić równe szanse i zwiększyć poziom zatrudnienia, poprawić warunki życia i pracy oraz zwalczać ubóstwo i wykluczenie społeczne, a także aby poprawić dobrostan ludzi;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mając na uwadze, że decydenci UE muszą bardziej się skoncentrować na sprawiedliwości międzypokoleniowej i potrzebach młodych ludzi, przy czym oczekuje się, iż Komisja Europejska przeprowadzi ocenę wpływu WRF na młodzież zgodnie ze swoimi zobowiązaniami, co podkreśla, że decyzje budżetowe muszą się opierać na długoterminowych aspektach społecznych i środowiskowych, a także na wyraźnych zobowiązaniach do zwiększenia udziału młodzieży;</w:t>
            </w:r>
            <w:r>
              <w:t xml:space="preserve"> </w:t>
            </w:r>
            <w:r>
              <w:rPr>
                <w:b/>
                <w:i/>
              </w:rPr>
              <w:t>podkreślając w tym kontekście, że decyzje powinny być podejmowane z udziałem osób zainteresowanych;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mając na uwadze, że art. 8 TFUE stanowi, że „we wszystkich swoich działaniach Unia zmierza do zniesienia nierówności oraz wspierania równości”, ustanawiając tym samym zasadę uwzględnienia aspektu płci, w myśl której perspektywa równości płci musi stanowić element wszystkich obszarów polityki i programów we wszystkich ich fazach;</w:t>
            </w:r>
            <w:r>
              <w:t xml:space="preserve"> </w:t>
            </w:r>
            <w:r>
              <w:rPr>
                <w:b/>
                <w:i/>
              </w:rPr>
              <w:t>mając na uwadze, że budżety nigdy nie są neutralne pod względem płci, a przez to należy określać je w świetle jasnego celu, jakim jest przeciwdziałanie dyskryminacji, a także celu, jakim jest dotarcie do wszystkich osób i zaspokojenie ich konkretnych potrzeb;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mając na uwadze, że instrument na rzecz odbudowy NextGenerationEU (NGEU), ustanowiony w następstwie pandemii COVID-19, umożliwił osiągnięcie znacznych dodatkowych zdolności inwestycyjnych w wysokości 750 mld EUR w cenach z 2018 r., co pozwoliło na szybką odbudowę i powrót do wzrostu oraz przyczyniło się do transformacji ekologicznej i cyfrowej; mając na uwadze, że </w:t>
            </w:r>
            <w:r>
              <w:rPr>
                <w:b/>
                <w:i/>
              </w:rPr>
              <w:t>NGEU nie będzie obowiązywać po 2027 r.;</w:t>
            </w:r>
          </w:p>
        </w:tc>
        <w:tc>
          <w:tcPr>
            <w:tcW w:w="4876" w:type="dxa"/>
            <w:tcBorders>
              <w:top w:val="nil"/>
              <w:left w:val="nil"/>
              <w:bottom w:val="nil"/>
              <w:right w:val="nil"/>
            </w:tcBorders>
          </w:tcPr>
          <w:p>
            <w:pPr>
              <w:pStyle w:val="Normal6a"/>
            </w:pPr>
            <w:r>
              <w:t>D.</w:t>
            </w:r>
            <w:r>
              <w:tab/>
            </w:r>
            <w:r>
              <w:t xml:space="preserve">mając na uwadze, że instrument na rzecz odbudowy NextGenerationEU (NGEU), ustanowiony w następstwie pandemii COVID-19, umożliwił osiągnięcie znacznych dodatkowych zdolności inwestycyjnych w wysokości 750 mld EUR w cenach z 2018 r., co pozwoliło na szybką odbudowę i powrót do wzrostu oraz przyczyniło się do transformacji ekologicznej i cyfrowej </w:t>
            </w:r>
            <w:r>
              <w:rPr>
                <w:b/>
                <w:i/>
              </w:rPr>
              <w:t>w latach 2021-2026</w:t>
            </w:r>
            <w:r>
              <w:t xml:space="preserve">; mając na uwadze, że </w:t>
            </w:r>
            <w:r>
              <w:rPr>
                <w:b/>
                <w:i/>
              </w:rPr>
              <w:t>37% inwestycji przyczynia się do sprawiedliwej transformacji i oczekuje się, że wraz z tymi inwestycjami wdrożone zostaną wszystkie wymierne działania związane z klimatem, które mogą zmniejszyć emisje gazów cieplarnianych o 44 mln ton rocznie, co odpowiada 1,2 % łącznych emisji gazów cieplarnianych w UE w 2022 r.;</w:t>
            </w:r>
            <w:r>
              <w:t xml:space="preserve"> </w:t>
            </w:r>
            <w:r>
              <w:rPr>
                <w:b/>
                <w:i/>
              </w:rPr>
              <w:t>mając na uwadze, że zakończenie Next Generation EU doprowadzi do znacznej utraty środków finansowych, zwłaszcza na finansowanie działań na rzecz klimatu i różnorodności biologicznej, transformacji cyfrowej i społeczno-gospodarczych inwestycji związanych ze spójnością w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mając na uwadze, że instrument na rzecz odbudowy NextGenerationEU (NGEU), ustanowiony w następstwie pandemii COVID-19, umożliwił osiągnięcie znacznych dodatkowych zdolności inwestycyjnych w wysokości 750 mld EUR w cenach z 2018 r., co pozwoliło na </w:t>
            </w:r>
            <w:r>
              <w:rPr>
                <w:b/>
                <w:i/>
              </w:rPr>
              <w:t>szybką odbudowę i powrót do wzrostu oraz przyczyniło się do</w:t>
            </w:r>
            <w:r>
              <w:t xml:space="preserve"> transformacji ekologicznej i cyfrowej; mając na uwadze, że NGEU nie będzie obowiązywać po 2027 r.;</w:t>
            </w:r>
          </w:p>
        </w:tc>
        <w:tc>
          <w:tcPr>
            <w:tcW w:w="4876" w:type="dxa"/>
            <w:tcBorders>
              <w:top w:val="nil"/>
              <w:left w:val="nil"/>
              <w:bottom w:val="nil"/>
              <w:right w:val="nil"/>
            </w:tcBorders>
          </w:tcPr>
          <w:p>
            <w:pPr>
              <w:pStyle w:val="Normal6a"/>
            </w:pPr>
            <w:r>
              <w:t>D.</w:t>
            </w:r>
            <w:r>
              <w:tab/>
            </w:r>
            <w:r>
              <w:t>mając na uwadze, że instrument na rzecz odbudowy NextGenerationEU (NGEU), ustanowiony w następstwie pandemii COVID-19, umożliwił osiągnięcie znacznych</w:t>
            </w:r>
            <w:r>
              <w:rPr>
                <w:b/>
                <w:i/>
              </w:rPr>
              <w:t>, aczkolwiek niewystarczających,</w:t>
            </w:r>
            <w:r>
              <w:t xml:space="preserve"> dodatkowych zdolności inwestycyjnych w wysokości 750 mld EUR w cenach z 2018 r., co pozwoliło na </w:t>
            </w:r>
            <w:r>
              <w:rPr>
                <w:b/>
                <w:i/>
              </w:rPr>
              <w:t>złagodzenie skutków pomimo koncentracji tematycznej na cele</w:t>
            </w:r>
            <w:r>
              <w:t xml:space="preserve"> transformacji ekologicznej i cyfrowej; mając na uwadze, że NGEU nie będzie obowiązywać po 2027 r.;</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Anouk Van Brug, Joachim Streit,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mając na uwadze, że instrument na rzecz odbudowy NextGenerationEU (NGEU), ustanowiony w następstwie pandemii COVID-19, umożliwił osiągnięcie znacznych dodatkowych zdolności inwestycyjnych w wysokości 750 mld EUR w cenach z 2018 r., co pozwoliło na szybką odbudowę i powrót do wzrostu oraz przyczyniło się do transformacji ekologicznej i cyfrowej; mając na uwadze, że NGEU </w:t>
            </w:r>
            <w:r>
              <w:rPr>
                <w:b/>
                <w:i/>
              </w:rPr>
              <w:t>nie będzie obowiązywać po 2027</w:t>
            </w:r>
            <w:r>
              <w:t xml:space="preserve"> r.;</w:t>
            </w:r>
          </w:p>
        </w:tc>
        <w:tc>
          <w:tcPr>
            <w:tcW w:w="4876" w:type="dxa"/>
            <w:tcBorders>
              <w:top w:val="nil"/>
              <w:left w:val="nil"/>
              <w:bottom w:val="nil"/>
              <w:right w:val="nil"/>
            </w:tcBorders>
          </w:tcPr>
          <w:p>
            <w:pPr>
              <w:pStyle w:val="Normal6a"/>
            </w:pPr>
            <w:r>
              <w:t>D.</w:t>
            </w:r>
            <w:r>
              <w:tab/>
            </w:r>
            <w:r>
              <w:t xml:space="preserve">mając na uwadze, że </w:t>
            </w:r>
            <w:r>
              <w:rPr>
                <w:b/>
                <w:i/>
              </w:rPr>
              <w:t>wyjątkowy i bezprecedensowy </w:t>
            </w:r>
            <w:r>
              <w:t xml:space="preserve">instrument na rzecz odbudowy NextGenerationEU (NGEU), ustanowiony w następstwie pandemii COVID-19, umożliwił osiągnięcie znacznych dodatkowych zdolności inwestycyjnych w wysokości 750 mld EUR w cenach z 2018 r., co pozwoliło na szybką odbudowę i powrót do wzrostu oraz przyczyniło się do transformacji ekologicznej i cyfrowej; mając na uwadze, że NGEU </w:t>
            </w:r>
            <w:r>
              <w:rPr>
                <w:b/>
                <w:i/>
              </w:rPr>
              <w:t>zakończy się w 2026 r., a spłacanie długu rozpocznie się w 2028</w:t>
            </w:r>
            <w:r>
              <w:t xml:space="preserve">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mając na uwadze, że instrument na rzecz odbudowy NextGenerationEU (NGEU), ustanowiony w następstwie pandemii COVID-19, umożliwił osiągnięcie znacznych dodatkowych zdolności inwestycyjnych w wysokości 750 mld EUR w cenach z 2018 r., co pozwoliło na szybką odbudowę i powrót do wzrostu </w:t>
            </w:r>
            <w:r>
              <w:rPr>
                <w:b/>
                <w:i/>
              </w:rPr>
              <w:t>oraz przyczyniło się do transformacji ekologicznej i cyfrowej</w:t>
            </w:r>
            <w:r>
              <w:t>; mając na uwadze, że NGEU nie będzie obowiązywać po 2027 r.;</w:t>
            </w:r>
          </w:p>
        </w:tc>
        <w:tc>
          <w:tcPr>
            <w:tcW w:w="4876" w:type="dxa"/>
            <w:tcBorders>
              <w:top w:val="nil"/>
              <w:left w:val="nil"/>
              <w:bottom w:val="nil"/>
              <w:right w:val="nil"/>
            </w:tcBorders>
          </w:tcPr>
          <w:p>
            <w:pPr>
              <w:pStyle w:val="Normal6a"/>
            </w:pPr>
            <w:r>
              <w:t>D.</w:t>
            </w:r>
            <w:r>
              <w:tab/>
            </w:r>
            <w:r>
              <w:t xml:space="preserve">mając na uwadze, że instrument na rzecz odbudowy NextGenerationEU (NGEU), ustanowiony w następstwie pandemii COVID-19, </w:t>
            </w:r>
            <w:r>
              <w:rPr>
                <w:b/>
                <w:i/>
              </w:rPr>
              <w:t>zasadniczo</w:t>
            </w:r>
            <w:r>
              <w:t xml:space="preserve"> umożliwił osiągnięcie znacznych dodatkowych zdolności inwestycyjnych w wysokości 750 mld EUR w cenach z 2018 r., co pozwoliło na szybką odbudowę i powrót do wzrostu</w:t>
            </w:r>
            <w:r>
              <w:rPr>
                <w:b/>
                <w:i/>
              </w:rPr>
              <w:t>, ale niestety do tej pory nie osiągnął tych celów</w:t>
            </w:r>
            <w:r>
              <w:t>; mając na uwadze, że NGEU nie będzie obowiązywać po 2027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mając na uwadze, że instrument na rzecz odbudowy NextGenerationEU (NGEU), ustanowiony w następstwie pandemii COVID-19, umożliwił osiągnięcie znacznych dodatkowych zdolności inwestycyjnych w wysokości 750 mld EUR w cenach z 2018 r., co pozwoliło na szybką odbudowę i powrót do wzrostu oraz przyczyniło się do transformacji </w:t>
            </w:r>
            <w:r>
              <w:rPr>
                <w:b/>
                <w:i/>
              </w:rPr>
              <w:t>ekologicznej i</w:t>
            </w:r>
            <w:r>
              <w:t xml:space="preserve"> cyfrowej; mając na uwadze, że NGEU nie będzie obowiązywać po 2027 r.;</w:t>
            </w:r>
          </w:p>
        </w:tc>
        <w:tc>
          <w:tcPr>
            <w:tcW w:w="4876" w:type="dxa"/>
            <w:tcBorders>
              <w:top w:val="nil"/>
              <w:left w:val="nil"/>
              <w:bottom w:val="nil"/>
              <w:right w:val="nil"/>
            </w:tcBorders>
          </w:tcPr>
          <w:p>
            <w:pPr>
              <w:pStyle w:val="Normal6a"/>
            </w:pPr>
            <w:r>
              <w:t>D.</w:t>
            </w:r>
            <w:r>
              <w:tab/>
            </w:r>
            <w:r>
              <w:t>mając na uwadze, że instrument na rzecz odbudowy NextGenerationEU (NGEU), ustanowiony w następstwie pandemii COVID-19, umożliwił osiągnięcie znacznych dodatkowych zdolności inwestycyjnych w wysokości 750 mld EUR w cenach z 2018 r., co pozwoliło na szybką odbudowę i powrót do wzrostu oraz przyczyniło się do transformacji cyfrowej; mając na uwadze, że NGEU nie będzie obowiązywać po 2027 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całkowitą kwotę dotacji w energetyce o skutkach szkodliwych dla środowiska w UE-27 w 2023 r. szacuje się na 136 mld EUR, co stanowi 38 % łącznych dotacji w energetyce.</w:t>
            </w:r>
            <w:r>
              <w:t xml:space="preserve"> </w:t>
            </w:r>
            <w:r>
              <w:rPr>
                <w:b/>
                <w:i/>
              </w:rPr>
              <w:t>mając na uwadze, że największa część dotacji w energetyce o skutkach szkodliwych (93 mld EUR, czyli 68%) jest związana z paliwami kopalnymi i stopniowe wycofywanie tych dotacji uwolniłoby istotne zasoby publiczne, aby wzmocnić bezpieczeństwo energetyczne Europy, przyspieszyć transformację w kierunku czystej energii i jednocześnie zmniejszyć deficyt;</w:t>
            </w:r>
            <w:r>
              <w:t xml:space="preserve"> </w:t>
            </w:r>
            <w:r>
              <w:rPr>
                <w:b/>
                <w:i/>
              </w:rPr>
              <w:t>mając na uwadze, że według Bloomberga poziom inwestycji w zieloną energię spadł o 6,5 % w UE w 2024 r. w porównaniu z poprzednim rokiem, podczas gdy wzrósł we wszystkich innych regionach świata;</w:t>
            </w:r>
            <w:r>
              <w:t xml:space="preserve"> </w:t>
            </w:r>
            <w:r>
              <w:rPr>
                <w:b/>
                <w:i/>
              </w:rPr>
              <w:t>mając na uwadze, że Unia i jej państwa członkowskie wielokrotnie zobowiązywały się do stopniowego wycofania nieefektywnych dopłat do paliw kopalnych;</w:t>
            </w:r>
            <w:r>
              <w:t xml:space="preserve"> </w:t>
            </w:r>
            <w:r>
              <w:rPr>
                <w:b/>
                <w:i/>
              </w:rPr>
              <w:t>mając na uwadze, że komisarz Wopke Hoekstra zobowiązał się do zapewnienia, aby następne WRF były wolne od dopłat do paliw kopalnych, co oznacza, że nie powinno kwalifikować się do finansowania żadne bezpośrednie ani pośrednie, wyraźne ani dorozumiane finansowanie produkcji, transportu lub zużycia paliw kopalnych</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https://www.google.com/url?q=https://www.ft.com/content/a08742d9-f94c-46d8-8e17-e1fdaffc7ea3?emailId%3D19995648-904e-4fd0-9798-2b3e3fdb0752%26segmentId%3Da8cbd258-1d42-1845-7b82-00376a04c08f&amp;sa=D&amp;source=docs&amp;ust=1740046373985850&amp;usg=AOvVaw0rkRabd36IlRHBVaHu-ujb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Christian Ehler,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mając na uwadze, że budżet Unii, wzmocniony przez NGEU, odegrał zasadniczą rolę w łagodzeniu gospodarczych i społecznych skutków kryzysu związanego z COVID-19 oraz w reakcji na konsekwencje rosyjskiej wojny napastniczej przeciwko Ukrainie; mając na uwadze, że pod względem wielkości, struktury i zasad budżet Unii nadal jest niewystarczający, aby w pełni odegrać swoją rolę w dostosowywaniu się do zmieniających się potrzeb w zakresie wydatków, reagowaniu na wstrząsy i na kryzysy oraz w praktycznym wdrażaniu zasady solidarności;</w:t>
            </w:r>
          </w:p>
        </w:tc>
        <w:tc>
          <w:tcPr>
            <w:tcW w:w="4876" w:type="dxa"/>
            <w:tcBorders>
              <w:top w:val="nil"/>
              <w:left w:val="nil"/>
              <w:bottom w:val="nil"/>
              <w:right w:val="nil"/>
            </w:tcBorders>
          </w:tcPr>
          <w:p>
            <w:pPr>
              <w:pStyle w:val="Normal6a"/>
            </w:pPr>
            <w:r>
              <w:t>E.</w:t>
            </w:r>
            <w:r>
              <w:tab/>
            </w:r>
            <w:r>
              <w:t xml:space="preserve">mając na uwadze, że budżet Unii, wzmocniony przez NGEU, odegrał zasadniczą rolę w łagodzeniu gospodarczych i społecznych skutków kryzysu związanego z COVID-19 oraz w reakcji na konsekwencje rosyjskiej wojny napastniczej przeciwko Ukrainie; mając na uwadze, że pod względem wielkości, struktury i zasad budżet Unii nadal jest niewystarczający, aby w pełni odegrać swoją rolę w dostosowywaniu się do zmieniających się potrzeb w zakresie wydatków, reagowaniu na wstrząsy i na kryzysy oraz w praktycznym wdrażaniu zasady solidarności; </w:t>
            </w:r>
            <w:r>
              <w:rPr>
                <w:b/>
                <w:i/>
              </w:rPr>
              <w:t>mając na uwadze, że prowadzi to do presji na wszystkie programy, aby uczestniczyły w pokrywaniu zmieniających się potrzeb w zakresie wydatków, podczas gdy stabilność i przewidywalność ma kluczowe znaczenie zwłaszcza dla projektów długoterminowych i pewnych szczególnych programów;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mając na uwadze, że budżet Unii, wzmocniony przez NGEU, odegrał zasadniczą rolę w łagodzeniu gospodarczych i społecznych skutków kryzysu związanego z COVID-19 oraz w reakcji na konsekwencje rosyjskiej wojny napastniczej przeciwko Ukrainie; mając na uwadze, że pod względem wielkości, struktury i zasad budżet Unii nadal jest niewystarczający, aby w pełni odegrać swoją rolę w dostosowywaniu się do zmieniających się potrzeb w zakresie wydatków, reagowaniu na wstrząsy i na kryzysy oraz w praktycznym wdrażaniu zasady solidarności;</w:t>
            </w:r>
          </w:p>
        </w:tc>
        <w:tc>
          <w:tcPr>
            <w:tcW w:w="4876" w:type="dxa"/>
            <w:tcBorders>
              <w:top w:val="nil"/>
              <w:left w:val="nil"/>
              <w:bottom w:val="nil"/>
              <w:right w:val="nil"/>
            </w:tcBorders>
          </w:tcPr>
          <w:p>
            <w:pPr>
              <w:pStyle w:val="Normal6a"/>
            </w:pPr>
            <w:r>
              <w:t>E.</w:t>
            </w:r>
            <w:r>
              <w:tab/>
            </w:r>
            <w:r>
              <w:t>mając na uwadze, że budżet Unii, wzmocniony przez NGEU, odegrał zasadniczą rolę w łagodzeniu gospodarczych i społecznych skutków kryzysu związanego z COVID-19 oraz w reakcji na konsekwencje rosyjskiej wojny napastniczej przeciwko Ukrainie</w:t>
            </w:r>
            <w:r>
              <w:rPr>
                <w:b/>
                <w:i/>
              </w:rPr>
              <w:t>, a jednocześnie wykazał wartość dodaną pobudzania inwestycji jako alternatywę polityki oszczędnościowej</w:t>
            </w:r>
            <w:r>
              <w:t>; mając na uwadze, że pod względem wielkości, struktury i zasad budżet Unii nadal jest niewystarczający, aby w pełni odegrać swoją rolę w dostosowywaniu się do zmieniających się potrzeb w zakresie wydatków, reagowaniu na wstrząsy i na kryzysy oraz w praktycznym wdrażaniu zasady solidarności;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mając na uwadze, że budżet Unii</w:t>
            </w:r>
            <w:r>
              <w:rPr>
                <w:b/>
                <w:i/>
              </w:rPr>
              <w:t>, wzmocniony</w:t>
            </w:r>
            <w:r>
              <w:t xml:space="preserve"> przez NGEU, </w:t>
            </w:r>
            <w:r>
              <w:rPr>
                <w:b/>
                <w:i/>
              </w:rPr>
              <w:t>odegrał</w:t>
            </w:r>
            <w:r>
              <w:t xml:space="preserve"> zasadniczą rolę w łagodzeniu gospodarczych i społecznych skutków kryzysu związanego z COVID-19 oraz w reakcji na konsekwencje rosyjskiej wojny napastniczej przeciwko Ukrainie; mając na uwadze, że pod względem wielkości, struktury i zasad budżet Unii nadal jest niewystarczający, aby w pełni odegrać swoją rolę w dostosowywaniu się do zmieniających się potrzeb w zakresie wydatków, reagowaniu na wstrząsy i na kryzysy oraz w praktycznym wdrażaniu zasady solidarności;</w:t>
            </w:r>
          </w:p>
        </w:tc>
        <w:tc>
          <w:tcPr>
            <w:tcW w:w="4876" w:type="dxa"/>
            <w:tcBorders>
              <w:top w:val="nil"/>
              <w:left w:val="nil"/>
              <w:bottom w:val="nil"/>
              <w:right w:val="nil"/>
            </w:tcBorders>
          </w:tcPr>
          <w:p>
            <w:pPr>
              <w:pStyle w:val="Normal6a"/>
            </w:pPr>
            <w:r>
              <w:t>E.</w:t>
            </w:r>
            <w:r>
              <w:tab/>
            </w:r>
            <w:r>
              <w:t xml:space="preserve">mając na uwadze, że budżet Unii </w:t>
            </w:r>
            <w:r>
              <w:rPr>
                <w:b/>
                <w:i/>
              </w:rPr>
              <w:t>i finansowanie ze środków polityki spójności za pośrednictwem CRII, CRII+, CARE, FAST-CARE i SAFE, wzmocnione</w:t>
            </w:r>
            <w:r>
              <w:t xml:space="preserve"> przez NGEU, </w:t>
            </w:r>
            <w:r>
              <w:rPr>
                <w:b/>
                <w:i/>
              </w:rPr>
              <w:t>odegrały</w:t>
            </w:r>
            <w:r>
              <w:t xml:space="preserve"> zasadniczą rolę w łagodzeniu gospodarczych i społecznych skutków kryzysu związanego z COVID-19 oraz w reakcji na konsekwencje rosyjskiej wojny napastniczej przeciwko Ukrainie; mając na uwadze, że pod względem wielkości, struktury i zasad budżet Unii nadal jest niewystarczający, aby w pełni odegrać swoją rolę w dostosowywaniu się do zmieniających się potrzeb w zakresie wydatków, reagowaniu na wstrząsy i na kryzysy oraz w praktycznym wdrażaniu zasady solidarności;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Jean-Marc Germain, Jens Geier, Sandra Gómez López, Giuseppe Lupo, Victor Negrescu, Matjaž Nemec, Nils Ušakovs, Mohammed Chahim,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mając na uwadze, że budżet Unii, wzmocniony przez NGEU, odegrał zasadniczą rolę w łagodzeniu gospodarczych i społecznych skutków kryzysu związanego z COVID-19 oraz w reakcji na konsekwencje rosyjskiej wojny napastniczej przeciwko Ukrainie; mając na uwadze, że pod względem wielkości, struktury i zasad budżet Unii nadal jest niewystarczający, aby w pełni odegrać swoją rolę w dostosowywaniu się do zmieniających się potrzeb w zakresie wydatków, reagowaniu na wstrząsy i na kryzysy oraz w praktycznym wdrażaniu zasady solidarności;</w:t>
            </w:r>
          </w:p>
        </w:tc>
        <w:tc>
          <w:tcPr>
            <w:tcW w:w="4876" w:type="dxa"/>
            <w:tcBorders>
              <w:top w:val="nil"/>
              <w:left w:val="nil"/>
              <w:bottom w:val="nil"/>
              <w:right w:val="nil"/>
            </w:tcBorders>
          </w:tcPr>
          <w:p>
            <w:pPr>
              <w:pStyle w:val="Normal6a"/>
            </w:pPr>
            <w:r>
              <w:t>E.</w:t>
            </w:r>
            <w:r>
              <w:tab/>
            </w:r>
            <w:r>
              <w:t xml:space="preserve">mając na uwadze, że budżet Unii, wzmocniony przez NGEU, odegrał zasadniczą rolę w łagodzeniu gospodarczych i społecznych skutków kryzysu związanego z COVID-19 oraz w reakcji na konsekwencje rosyjskiej wojny napastniczej przeciwko Ukrainie; mając na uwadze, że pod względem wielkości, struktury i zasad budżet Unii nadal jest niewystarczający, aby </w:t>
            </w:r>
            <w:r>
              <w:rPr>
                <w:b/>
                <w:i/>
              </w:rPr>
              <w:t>realizować określone w traktatach cele UE i</w:t>
            </w:r>
            <w:r>
              <w:t xml:space="preserve"> w pełni odegrać swoją rolę w dostosowywaniu się do zmieniających się potrzeb w zakresie wydatków, reagowaniu na wstrząsy i na kryzysy oraz w praktycznym wdrażaniu zasady solidarności;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mając na uwadze, że budżet Unii, wzmocniony przez NGEU, odegrał zasadniczą rolę w łagodzeniu gospodarczych i społecznych skutków kryzysu związanego z COVID-19 oraz w reakcji na konsekwencje rosyjskiej wojny napastniczej przeciwko Ukrainie; mając na uwadze, że pod względem wielkości, struktury i zasad budżet Unii nadal jest niewystarczający, aby w pełni odegrać swoją rolę w dostosowywaniu się do zmieniających się potrzeb w zakresie wydatków, reagowaniu na wstrząsy i na kryzysy oraz w praktycznym wdrażaniu zasady solidarności;</w:t>
            </w:r>
          </w:p>
        </w:tc>
        <w:tc>
          <w:tcPr>
            <w:tcW w:w="4876" w:type="dxa"/>
            <w:tcBorders>
              <w:top w:val="nil"/>
              <w:left w:val="nil"/>
              <w:bottom w:val="nil"/>
              <w:right w:val="nil"/>
            </w:tcBorders>
          </w:tcPr>
          <w:p>
            <w:pPr>
              <w:pStyle w:val="Normal6a"/>
            </w:pPr>
            <w:r>
              <w:t>E.</w:t>
            </w:r>
            <w:r>
              <w:tab/>
            </w:r>
            <w:r>
              <w:t xml:space="preserve">mając na uwadze, że budżet Unii, wzmocniony przez NGEU </w:t>
            </w:r>
            <w:r>
              <w:rPr>
                <w:b/>
                <w:i/>
              </w:rPr>
              <w:t>i SURE</w:t>
            </w:r>
            <w:r>
              <w:t>, odegrał zasadniczą rolę w łagodzeniu gospodarczych i społecznych skutków kryzysu związanego z COVID-19 oraz w reakcji na konsekwencje rosyjskiej wojny napastniczej przeciwko Ukrainie; mając na uwadze, że pod względem wielkości, struktury i zasad budżet Unii nadal jest niewystarczający, aby w pełni odegrać swoją rolę w dostosowywaniu się do zmieniających się potrzeb w zakresie wydatków, reagowaniu na wstrząsy i na kryzysy oraz w praktycznym wdrażaniu zasady solidarności;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Fabienne Keller, Olivier Chastel, Anouk Van Brug,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mając na uwadze, że obywatele słusznie oczekują od Unii i jej budżetu szybkiej i skutecznej reakcji na zmieniające się potrzeby, a także niezbędnego wsparcia, zwłaszcza w sytuacjach kryzysowych;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Fabienne Keller, Olivier Chastel, Anouk Van Brug,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mając na uwadze, że kontekst, w którym Komisja przygotuje wnioski dotyczące WRF na okres po 2027 r., jest coraz trudniejszy, ponieważ ustalony porządek globalny i geopolityczny szybko i radykalnie się zmienia, a budżet Unii należy do tych zmian dostosowywać;</w:t>
            </w:r>
          </w:p>
        </w:tc>
        <w:tc>
          <w:tcPr>
            <w:tcW w:w="4876" w:type="dxa"/>
            <w:tcBorders>
              <w:top w:val="nil"/>
              <w:left w:val="nil"/>
              <w:bottom w:val="nil"/>
              <w:right w:val="nil"/>
            </w:tcBorders>
          </w:tcPr>
          <w:p>
            <w:pPr>
              <w:pStyle w:val="Normal6a"/>
            </w:pPr>
            <w:r>
              <w:t>G.</w:t>
            </w:r>
            <w:r>
              <w:tab/>
            </w:r>
            <w:r>
              <w:t xml:space="preserve">mając na uwadze, że kontekst, w którym Komisja przygotuje wnioski dotyczące WRF na okres po 2027 r., jest coraz trudniejszy, ponieważ ustalony porządek globalny i geopolityczny szybko i radykalnie się zmienia, </w:t>
            </w:r>
            <w:r>
              <w:rPr>
                <w:b/>
                <w:i/>
              </w:rPr>
              <w:t>co dodatkowo potęguje powrót wojen na dużą skalę w naszym sąsiedztwie, które zagrażały i nadal zagrażają bezpieczeństwu UE, jej państw członkowskich i obywateli, przy czym „normalny tryb postępowania" nie wchodzi w grę,</w:t>
            </w:r>
            <w:r>
              <w:t xml:space="preserve"> a budżet Unii należy do tych zmian dostosowywać; </w:t>
            </w:r>
            <w:r>
              <w:rPr>
                <w:b/>
                <w:i/>
              </w:rPr>
              <w:t>dlatego też w kolejnych WRF należy uwzględnić inwestycje w obronność i bezpieczeństwo podejmowane zgodnie z całościowym i kompleksowym podejściem;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mając na uwadze, że kontekst, w którym Komisja </w:t>
            </w:r>
            <w:r>
              <w:rPr>
                <w:b/>
                <w:i/>
              </w:rPr>
              <w:t>przygotuje</w:t>
            </w:r>
            <w:r>
              <w:t xml:space="preserve"> wnioski dotyczące WRF na okres po 2027 r., jest coraz trudniejszy, ponieważ ustalony porządek globalny i geopolityczny szybko i radykalnie się zmienia, a budżet Unii należy do tych zmian dostosowywać;</w:t>
            </w:r>
          </w:p>
        </w:tc>
        <w:tc>
          <w:tcPr>
            <w:tcW w:w="4876" w:type="dxa"/>
            <w:tcBorders>
              <w:top w:val="nil"/>
              <w:left w:val="nil"/>
              <w:bottom w:val="nil"/>
              <w:right w:val="nil"/>
            </w:tcBorders>
          </w:tcPr>
          <w:p>
            <w:pPr>
              <w:pStyle w:val="Normal6a"/>
            </w:pPr>
            <w:r>
              <w:t>G.</w:t>
            </w:r>
            <w:r>
              <w:tab/>
            </w:r>
            <w:r>
              <w:t xml:space="preserve">mając na uwadze, że kontekst, w którym Komisja </w:t>
            </w:r>
            <w:r>
              <w:rPr>
                <w:b/>
                <w:i/>
              </w:rPr>
              <w:t>przygotowuje</w:t>
            </w:r>
            <w:r>
              <w:t xml:space="preserve"> wnioski dotyczące WRF na okres po 2027 r., jest coraz trudniejszy, ponieważ ustalony porządek globalny i geopolityczny szybko i radykalnie się zmienia</w:t>
            </w:r>
            <w:r>
              <w:rPr>
                <w:b/>
                <w:i/>
              </w:rPr>
              <w:t>, sytuacja gospodarcza i społeczna stanowi wyzwanie, kryzys klimatyczny i kryzys różnorodności biologicznej nasilają się</w:t>
            </w:r>
            <w:r>
              <w:t>, a budżet Unii należy do tych zmian dostosowywać;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Jean-Marc Germain, Jens Geier, Sandra Gómez López, Giuseppe Lupo, Victor Negrescu, Matjaž Nemec, Nils Ušakovs, Mohammed Chahim,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mając na uwadze, że działania i komunikacja obecnej administracji USA rodzą niepewność co do stosunków między UE a USA, stanowią zagrożenie dla multilateralizmu i destabilizują międzynarodowy porządek oparty na zasadach;</w:t>
            </w:r>
            <w:r>
              <w:t xml:space="preserve"> </w:t>
            </w:r>
            <w:r>
              <w:rPr>
                <w:b/>
                <w:i/>
              </w:rPr>
              <w:t>mając na uwadze, że Parlament uznaje wagę stosunków transatlantyckich, ale uważa, że Unia powinna przede wszystkim bronić swoich wartości i priorytetów;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Younous Omarjee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mając na uwadze, że w obliczu zmian geopolitycznych ponownie wzrasta zainteresowanie krajami i terytoriami zamorskimi (KTZ), takimi jak Grenlandia i region Indo-Pacyfiku;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Jean-Marc Germain, Jens Geier, Sandra Gómez López, Giuseppe Lupo, Matjaž Nemec, Nils Ušakovs, Mohammed Chahim,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mając na uwadze, że decyzja administracji USA o wycofaniu się z podjętych zobowiązań dotyczących porozumienia paryskiego, Światowej Organizacji Zdrowia (WHO) i udzielania pomocy rozwojowej podważa wysiłki na rzecz światowej współpracy w zakresie wspólnych wyzwań oraz wsparcia dla osób i regionów znajdujących się w najtrudniejszej sytuacji na naszej planecie;</w:t>
            </w:r>
            <w:r>
              <w:t xml:space="preserve"> </w:t>
            </w:r>
            <w:r>
              <w:rPr>
                <w:b/>
                <w:i/>
              </w:rPr>
              <w:t>mając na uwadze, że w braku zaangażowania ze strony USA Unia musi przejąć wiodącą rolę w globalnym zarządzaniu w dziedzinie klimatu, bezpieczeństwa zdrowotnego, pomocy humanitarnej i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Jean-Marc Germain, Jens Geier, Sandra Gómez López, Giuseppe Lupo, Victor Negrescu, Matjaž Nemec, Nils Ušakovs, Mohammed Chahim,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mając na uwadze, że celem Kompasu konkurencyjności Komisji jest wyznaczenie kierunku, w którym Europa ma podążać, aby stać się miejscem, gdzie opracowuje się, tworzy i wprowadza na rynek innowacyjne technologie, usługi i czyste produkty, wypełniając lukę we wzroście produktywności dzięki talentom i wykwalifikowanym pracownikom, dużym zasobom kapitału prywatnego, jednolitemu rynkowi o skali kontynentu, stabilnemu i przewidywalnemu otoczeniu prawnemu oraz praworządności;</w:t>
            </w:r>
            <w:r>
              <w:t xml:space="preserve"> </w:t>
            </w:r>
            <w:r>
              <w:rPr>
                <w:b/>
                <w:i/>
              </w:rPr>
              <w:t>mając na uwadze, że podejmowanie pilnych działań w celu usunięcia utrzymujących się od dawna barier i słabości strukturalnych musi iść w parze z zapewnieniem trwałego dobrobytu i konkurencyjności, przy jednoczesnym utrzymaniu unikalnego, unijnego modelu społecznej gospodarki rynkowej, pomyślnym przeprowadzeniu dwojakiej transformacji oraz utrzymaniu suwerenności Unii, bezpieczeństwa gospodarczego i globalnych wpływów oraz uczynieniu Europy pierwszym kontynentem neutralnym dla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Gd.</w:t>
            </w:r>
            <w:r>
              <w:tab/>
            </w:r>
            <w:r>
              <w:rPr>
                <w:b/>
                <w:i/>
              </w:rPr>
              <w:t>mając na uwadze, że wobec nowej rzeczywistości geopolitycznej, w której ponownie występują w Europie działania wojenne o dużej intensywności, i prawdopodobieństwem wystąpienia najbardziej ekstremalnych zagrożeń militarnych na naszym kontynencie, WRF na okres po 2027 r. muszą umożliwić UE przygotowanie się na potencjalną agresję wojskową na jej terytorium przed końcem obecnego dziesięciolecia;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w:t>
            </w:r>
            <w:r>
              <w:tab/>
            </w:r>
            <w:r>
              <w:rPr>
                <w:b/>
                <w:i/>
              </w:rPr>
              <w:t>mając na uwadze, że w Deklaracji wersalskiej z marca 2022 r. obecne państwa członkowskie wspólnie zobowiązały się do znacznego zwiększenia wydatków na obronność i inwestowania w zdolności obronne rozwijane w oparciu o współpracę, wspólne projekty i wspólne zamówienia;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Jean-Marc Germain, Jens Geier, Sandra Gómez López, Giuseppe Lupo, Victor Negrescu, Matjaž Nemec, Nils Ušakovs, Mohammed Chahim,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mając na uwadze, że aby zrekompensować niedociągnięcia w budżecie, wprowadzono liczne rozwiązania prowizoryczne, które zmniejszają przejrzystość budżetu, </w:t>
            </w:r>
            <w:r>
              <w:rPr>
                <w:b/>
                <w:i/>
              </w:rPr>
              <w:t>podważają</w:t>
            </w:r>
            <w:r>
              <w:t xml:space="preserve"> rolę Parlamentu jako prawodawcy, organu budżetowego, organu udzielającego absolutorium oraz instytucji pociągającej władzę wykonawczą do odpowiedzialności;</w:t>
            </w:r>
          </w:p>
        </w:tc>
        <w:tc>
          <w:tcPr>
            <w:tcW w:w="4876" w:type="dxa"/>
            <w:tcBorders>
              <w:top w:val="nil"/>
              <w:left w:val="nil"/>
              <w:bottom w:val="nil"/>
              <w:right w:val="nil"/>
            </w:tcBorders>
          </w:tcPr>
          <w:p>
            <w:pPr>
              <w:pStyle w:val="Normal6a"/>
            </w:pPr>
            <w:r>
              <w:t>H.</w:t>
            </w:r>
            <w:r>
              <w:tab/>
            </w:r>
            <w:r>
              <w:t xml:space="preserve">mając na uwadze, że aby zrekompensować niedociągnięcia w budżecie, wprowadzono liczne rozwiązania prowizoryczne, które zmniejszają przejrzystość budżetu, </w:t>
            </w:r>
            <w:r>
              <w:rPr>
                <w:b/>
                <w:i/>
              </w:rPr>
              <w:t>utrzymując opinię publiczną w niewiedzy co do rzeczywistej skali finansów UE i podważając nie tylko zasadę jedności budżetowej, ale także</w:t>
            </w:r>
            <w:r>
              <w:t xml:space="preserve"> rolę Parlamentu jako prawodawcy, organu budżetowego, organu udzielającego absolutorium oraz instytucji pociągającej władzę wykonawczą do odpowiedzialności;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mając na uwadze, że aby zrekompensować niedociągnięcia w budżecie, wprowadzono liczne rozwiązania prowizoryczne, które zmniejszają przejrzystość budżetu, podważają rolę Parlamentu jako prawodawcy, organu budżetowego, organu udzielającego absolutorium oraz instytucji pociągającej władzę wykonawczą do odpowiedzialności;</w:t>
            </w:r>
          </w:p>
        </w:tc>
        <w:tc>
          <w:tcPr>
            <w:tcW w:w="4876" w:type="dxa"/>
            <w:tcBorders>
              <w:top w:val="nil"/>
              <w:left w:val="nil"/>
              <w:bottom w:val="nil"/>
              <w:right w:val="nil"/>
            </w:tcBorders>
          </w:tcPr>
          <w:p>
            <w:pPr>
              <w:pStyle w:val="Normal6a"/>
            </w:pPr>
            <w:r>
              <w:t>H.</w:t>
            </w:r>
            <w:r>
              <w:tab/>
            </w:r>
            <w:r>
              <w:t>mając na uwadze, że aby zrekompensować niedociągnięcia w budżecie, wprowadzono liczne rozwiązania prowizoryczne, które zmniejszają przejrzystość budżetu, podważają rolę Parlamentu jako prawodawcy, organu budżetowego, organu udzielającego absolutorium oraz instytucji pociągającej władzę wykonawczą do odpowiedzialności</w:t>
            </w:r>
            <w:r>
              <w:rPr>
                <w:b/>
                <w:i/>
              </w:rPr>
              <w:t>, a także pozbawiają budżety inwestycyjne długoterminowej przewidywalności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mając na uwadze, że w komunikacie Komisji pt. „Droga ku następnym wieloletnim ramom finansowym” określono kluczowe wyzwania polityczne i budżetowe, które ukształtują kolejne wieloletnie ramy finansowe, zaznaczono, że oczekiwania obywateli UE co do podejmowania działań stale rosną, i wskazano, że zachowanie status quo nie wchodzi w grę;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Christian Ehler,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mając na uwadze, że w deklaracji budapeszteńskiej w sprawie nowego ładu na rzecz europejskiej konkurencyjności Unię i jej państwa członkowskie zobowiązano do osiągnięcia celu polegającego na przeznaczeniu do 2030 r. co najmniej 3 % PKB Unii na badania i rozwój, który to cel wyznaczono po raz pierwszy na 2010 r. w strategii lizbońskiej;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Lucia Yar, Fabienne Keller, Stine Bosse,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mając na uwadze, że naruszenia wartości, o których mowa w art. 2 TUE, osłabiają spójność projektu europejskiego, prawa wszystkich obywateli Unii i wzajemne zaufanie między państwami członkowskimi;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769.935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40</w:t>
    </w:r>
    <w:r>
      <w:fldChar w:fldCharType="end"/>
    </w:r>
    <w:r>
      <w:t>/</w:t>
    </w:r>
    <w:r>
      <w:fldChar w:fldCharType="begin"/>
    </w:r>
    <w:r>
      <w:instrText xml:space="preserve"> NUMPAGES </w:instrText>
    </w:r>
    <w:r>
      <w:fldChar w:fldCharType="separate"/>
    </w:r>
    <w:r>
      <w:t>40</w:t>
    </w:r>
    <w:r>
      <w:fldChar w:fldCharType="end"/>
    </w:r>
    <w:r>
      <w:tab/>
    </w:r>
    <w:r>
      <w:rPr>
        <w:rStyle w:val="HideTWBExt"/>
      </w:rPr>
      <w:t>&lt;PathFdR&gt;</w:t>
    </w:r>
    <w:r>
      <w:t>AM\1315375PL.docx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AM\1315375PL.docx</w:t>
    </w:r>
    <w:r>
      <w:rPr>
        <w:rStyle w:val="HideTWBExt"/>
      </w:rPr>
      <w:t>&lt;/PathFdR&gt;</w:t>
    </w:r>
    <w:r>
      <w:tab/>
    </w:r>
    <w:r>
      <w:fldChar w:fldCharType="begin"/>
    </w:r>
    <w:r>
      <w:instrText xml:space="preserve"> PAGE </w:instrText>
    </w:r>
    <w:r>
      <w:fldChar w:fldCharType="separate"/>
    </w:r>
    <w:r>
      <w:t>39</w:t>
    </w:r>
    <w:r>
      <w:fldChar w:fldCharType="end"/>
    </w:r>
    <w:r>
      <w:t>/</w:t>
    </w:r>
    <w:r>
      <w:fldChar w:fldCharType="begin"/>
    </w:r>
    <w:r>
      <w:instrText xml:space="preserve"> NUMPAGES </w:instrText>
    </w:r>
    <w:r>
      <w:fldChar w:fldCharType="separate"/>
    </w:r>
    <w:r>
      <w:t>40</w:t>
    </w:r>
    <w:r>
      <w:fldChar w:fldCharType="end"/>
    </w:r>
    <w:r>
      <w:tab/>
    </w:r>
    <w:r>
      <w:t>PE</w:t>
    </w:r>
    <w:r>
      <w:rPr>
        <w:rStyle w:val="HideTWBExt"/>
      </w:rPr>
      <w:t>&lt;NoPE&gt;</w:t>
    </w:r>
    <w:r>
      <w:t>769.935</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AM\1315375PL.docx</w:t>
    </w:r>
    <w:r>
      <w:rPr>
        <w:rStyle w:val="HideTWBExt"/>
      </w:rPr>
      <w:t>&lt;/PathFdR&gt;</w:t>
    </w:r>
    <w:r>
      <w:tab/>
    </w:r>
    <w:r>
      <w:tab/>
    </w:r>
    <w:r>
      <w:t>PE</w:t>
    </w:r>
    <w:r>
      <w:rPr>
        <w:rStyle w:val="HideTWBExt"/>
      </w:rPr>
      <w:t>&lt;NoPE&gt;</w:t>
    </w:r>
    <w:r>
      <w:t>769.935</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40</Pages>
  <Words>6635</Words>
  <Characters>41320</Characters>
  <Application>Microsoft Office Word</Application>
  <DocSecurity>0</DocSecurity>
  <Lines>1</Lines>
  <Paragraphs>700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1315375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147800</vt:lpwstr>
  </property>
  <property fmtid="{D5CDD505-2E9C-101B-9397-08002B2CF9AE}" pid="7" name="dmxml.render.traceId">
    <vt:lpwstr>67dabaaf30049f874d3148bb6ecd2dfd</vt:lpwstr>
  </property>
  <property fmtid="{D5CDD505-2E9C-101B-9397-08002B2CF9AE}" pid="8" name="FooterPath">
    <vt:lpwstr>AM\1315375PL.docx</vt:lpwstr>
  </property>
  <property fmtid="{D5CDD505-2E9C-101B-9397-08002B2CF9AE}" pid="9" name="PE Number">
    <vt:lpwstr>769.935</vt:lpwstr>
  </property>
  <property fmtid="{D5CDD505-2E9C-101B-9397-08002B2CF9AE}" pid="10" name="UID">
    <vt:lpwstr>eu.europa.europarl-DIN1-2025-0000038028_01.00-pl-01.00_text-xml</vt:lpwstr>
  </property>
</Properties>
</file>