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{BUDG}</w:t>
      </w:r>
      <w:r>
        <w:t>Rozpočtový výbor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2025/0245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(BUD)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{10/09/2025}</w:t>
      </w:r>
      <w:r>
        <w:t>10. 9. 2025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Olivier Chastel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(PE776.828v01-00)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Uvolnění prostředků z Evropského fondu pro přizpůsobení se globalizaci na pomoc propuštěným pracovníkům na základě žádosti Německa – EGF/2025/002 DE/Goodyear 2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(2025/0245(BUD))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 tomu, že </w:t>
            </w:r>
            <w:r>
              <w:rPr>
                <w:b/>
                <w:i/>
              </w:rPr>
              <w:t>v důsledku útočné války Ruska</w:t>
            </w:r>
            <w:r>
              <w:t xml:space="preserve"> proti Ukrajině a rostoucí inflace </w:t>
            </w:r>
            <w:r>
              <w:rPr>
                <w:b/>
                <w:i/>
              </w:rPr>
              <w:t>vzrostly ceny energií a materiálů a</w:t>
            </w:r>
            <w:r>
              <w:t xml:space="preserve"> náklady na pracovní sílu</w:t>
            </w:r>
            <w:r>
              <w:rPr>
                <w:b/>
                <w:i/>
              </w:rPr>
              <w:t>, a tak i</w:t>
            </w:r>
            <w:r>
              <w:t xml:space="preserve"> tlak na marže podniku;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ruská útočná válka</w:t>
            </w:r>
            <w:r>
              <w:t xml:space="preserve"> proti Ukrajině a rostoucí inflace </w:t>
            </w:r>
            <w:r>
              <w:rPr>
                <w:b/>
                <w:i/>
              </w:rPr>
              <w:t>měly dopad na</w:t>
            </w:r>
            <w:r>
              <w:t xml:space="preserve"> náklady na </w:t>
            </w:r>
            <w:r>
              <w:rPr>
                <w:b/>
                <w:i/>
              </w:rPr>
              <w:t>energii, materiály a</w:t>
            </w:r>
            <w:r>
              <w:t xml:space="preserve"> pracovní sílu </w:t>
            </w:r>
            <w:r>
              <w:rPr>
                <w:b/>
                <w:i/>
              </w:rPr>
              <w:t>a zvýšily</w:t>
            </w:r>
            <w:r>
              <w:t xml:space="preserve"> tlak na marže </w:t>
            </w:r>
            <w:r>
              <w:rPr>
                <w:b/>
                <w:i/>
              </w:rPr>
              <w:t>dotčeného</w:t>
            </w:r>
            <w:r>
              <w:t xml:space="preserve"> podniku;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 tomu, že </w:t>
            </w:r>
            <w:r>
              <w:rPr>
                <w:b/>
                <w:i/>
              </w:rPr>
              <w:t>v důsledku útočné války Ruska</w:t>
            </w:r>
            <w:r>
              <w:t xml:space="preserve"> proti Ukrajině </w:t>
            </w:r>
            <w:r>
              <w:rPr>
                <w:b/>
                <w:i/>
              </w:rPr>
              <w:t>a</w:t>
            </w:r>
            <w:r>
              <w:t xml:space="preserve"> rostoucí inflace </w:t>
            </w:r>
            <w:r>
              <w:rPr>
                <w:b/>
                <w:i/>
              </w:rPr>
              <w:t>vzrostly ceny</w:t>
            </w:r>
            <w:r>
              <w:t xml:space="preserve"> energií </w:t>
            </w:r>
            <w:r>
              <w:rPr>
                <w:b/>
                <w:i/>
              </w:rPr>
              <w:t>a materiálů a</w:t>
            </w:r>
            <w:r>
              <w:t xml:space="preserve"> náklady na pracovní sílu</w:t>
            </w:r>
            <w:r>
              <w:rPr>
                <w:b/>
                <w:i/>
              </w:rPr>
              <w:t>, a tak i</w:t>
            </w:r>
            <w:r>
              <w:t xml:space="preserve"> tlak na marže podniku;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ruská útočná válka</w:t>
            </w:r>
            <w:r>
              <w:t xml:space="preserve"> proti Ukrajině</w:t>
            </w:r>
            <w:r>
              <w:rPr>
                <w:b/>
                <w:i/>
              </w:rPr>
              <w:t>,</w:t>
            </w:r>
            <w:r>
              <w:t xml:space="preserve"> rostoucí inflace </w:t>
            </w:r>
            <w:r>
              <w:rPr>
                <w:b/>
                <w:i/>
              </w:rPr>
              <w:t>a evropský trh s</w:t>
            </w:r>
            <w:r>
              <w:t xml:space="preserve"> energií </w:t>
            </w:r>
            <w:r>
              <w:rPr>
                <w:b/>
                <w:i/>
              </w:rPr>
              <w:t>měly dopad na</w:t>
            </w:r>
            <w:r>
              <w:t xml:space="preserve"> náklady na </w:t>
            </w:r>
            <w:r>
              <w:rPr>
                <w:b/>
                <w:i/>
              </w:rPr>
              <w:t>energii, materiály a</w:t>
            </w:r>
            <w:r>
              <w:t xml:space="preserve"> pracovní sílu </w:t>
            </w:r>
            <w:r>
              <w:rPr>
                <w:b/>
                <w:i/>
              </w:rPr>
              <w:t>a zvýšily</w:t>
            </w:r>
            <w:r>
              <w:t xml:space="preserve"> tlak na marže </w:t>
            </w:r>
            <w:r>
              <w:rPr>
                <w:b/>
                <w:i/>
              </w:rPr>
              <w:t>dotčeného</w:t>
            </w:r>
            <w:r>
              <w:t xml:space="preserve"> podniku;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vzhledem k tomu, že společnost Goodyear Germany GmbH se specializuje na výrobu pryžových a plastových produktů, zejména pneumatik; vzhledem k tomu, že společnost čelí stále tvrdší konkurenci levných výrobků dovážených z Asie;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 tomu, že společnost Goodyear Germany GmbH se specializuje na výrobu pryžových a plastových produktů, zejména pneumatik; vzhledem k tomu, že společnost čelí stále tvrdší konkurenci levných výrobků dovážených z Asie; </w:t>
            </w:r>
            <w:r>
              <w:rPr>
                <w:b/>
                <w:i/>
              </w:rPr>
              <w:t>vzhledem k tomu, že evropský automobilový a dodavatelský průmysl čelí nebývalému tlaku v důsledku vnějších i vnitřních problémů, jako je narušení hospodářské soutěže a vysoké náklady na energii a také Zelená dohoda pro Evropu, která předpokládá ukončení provozu vozidel se spalovacími motory do roku 2035, a proto bude nezbytné ji pozastavit, neboť v opačném případě bude tento průmysl odsouzen ke zkáze a náklady na mobilitu pro Evropany se zvýší;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Mohammed Chahim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vzhledem k tomu, že se jedná o druhou žádost německých orgánů o uvolnění prostředků z EFG v návaznosti na restrukturalizaci společnosti Goodyear, neboť prostředky z EFG již byly uvolněny po uzavření závodu ve Philippsburgu v roce 2017;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J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 xml:space="preserve">vzhledem k tomu, že finanční příspěvky z EFG by měly primárně směřovat na aktivní opatření politiky trhu práce a individualizované služby, jejichž cílem je rychle začlenit příjemce pomoci do důstojného a udržitelného zaměstnání v původním nebo jiném odvětví činnosti a zároveň je připravit na </w:t>
            </w:r>
            <w:r>
              <w:rPr>
                <w:b/>
                <w:i/>
              </w:rPr>
              <w:t>ekologičtější a více digitalizované</w:t>
            </w:r>
            <w:r>
              <w:t xml:space="preserve"> evropské hospodářství;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>vzhledem k tomu, že finanční příspěvky z EFG by měly primárně směřovat na aktivní opatření politiky trhu práce a individualizované služby, jejichž cílem je rychle začlenit příjemce pomoci do důstojného a udržitelného zaměstnání v původním nebo jiném odvětví činnosti a zároveň je připravit na evropské hospodářství</w:t>
            </w:r>
            <w:r>
              <w:rPr>
                <w:b/>
                <w:i/>
              </w:rPr>
              <w:t>, které je konkurenceschopnější a lépe chrání pracovní místa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Mohammed Chahim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konstatuje, že německé orgány podaly žádost dne 10. března 2025 a že poté, co Německo poskytlo další informace, dokončila Komise posouzení dne 29. července 2025 a dne 26. srpna 2025 o tom informovala Parlament;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konstatuje, že německé orgány podaly žádost dne 10. března 2025 a že poté, co Německo poskytlo další informace, dokončila Komise posouzení dne 29. července 2025</w:t>
            </w:r>
            <w:r>
              <w:rPr>
                <w:b/>
                <w:i/>
              </w:rPr>
              <w:t>, o více než čtyři měsíce později,</w:t>
            </w:r>
            <w:r>
              <w:t xml:space="preserve"> a dne 26. srpna 2025 o tom informovala Parlament;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vyjadřuje politování nad tím, že společnost Goodyear nevyužila možnosti interního převodu zaměstnanců do svých zařízení v Dudelange a Kranji, kde bylo v letech 2022 a 2023 otevřeno 110, respektive 160 nových pracovních míst;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Monika Hohlmeier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bere na vědomí, že většina propuštěných pracovníků dosáhla nižšího vzdělání (56 % nižšího sekundárního nebo ještě nižšího vzdělání) a je ve věku 54 let či více (42 %);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bere na vědomí, že většina propuštěných pracovníků dosáhla nižšího vzdělání (56 % nižšího sekundárního nebo ještě nižšího vzdělání) a je ve věku 54 let či více (42 %); </w:t>
            </w:r>
            <w:r>
              <w:rPr>
                <w:b/>
                <w:i/>
              </w:rPr>
              <w:t>zdůrazňuje, že zejména starší pracovníci představují vysoce zranitelnou skupinu, která v důsledku omezených příležitostí k prohlubování dovedností a rekvalifikaci čelí značným překážkám při opětovném získávání práce;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Monika Hohlmeier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poukazuje na skutečnost, že kvůli propouštění ve společnosti Goodyear překročila roční míra nezaměstnanosti v regionu Fulda 10 % a že mezi postiženými jsou převážně muži a osoby starší 50 let, z nichž většina nemá aktuální kvalifikaci a dovednosti, které by vyhovovaly současným potřebám trhu práce;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poukazuje na skutečnost, že kvůli propouštění ve společnosti Goodyear překročila roční míra nezaměstnanosti v regionu Fulda 10 % a že mezi postiženými jsou převážně muži a osoby starší 50 let, z nichž většina nemá aktuální kvalifikaci a dovednosti, které by vyhovovaly současným potřebám trhu práce; </w:t>
            </w:r>
            <w:r>
              <w:rPr>
                <w:b/>
                <w:i/>
              </w:rPr>
              <w:t>zdůrazňuje, že je třeba urychleně jednat, aby se zabránilo strukturálnímu úpadku regionu, a upozorňuje na důležitost podpory vysoce kvalitních pracovních míst orientovaných na budoucnost s cílem zajistit dlouhodobou hospodářskou a sociální odolnost;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zdůrazňuje, že je naléhavě nutné přejít na energii z obnovitelných zdrojů jako nejlevnější zdroj výroby elektřiny s cílem zabránit propouštění a chránit pracovníky;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Mohammed Chahim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připomíná, že pracovníkům mají být poskytnuty tyto individualizované služby: významná opatření na zvyšování kvalifikace a rekvalifikaci, poradenské a konzultační služby, služby profesní orientace a aktivační opatření, poskytování poradenství a grantů při zahájení podnikání, pomoc s hledáním práce, pobídky pro zvyšování a doplňování kvalifikace, příspěvky na odbornou přípravu či školení v digitálních technologiích;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připomíná, že pracovníkům mají být poskytnuty tyto individualizované služby: významná opatření na zvyšování kvalifikace a rekvalifikaci, poradenské a konzultační služby, služby profesní orientace a aktivační opatření, poskytování poradenství a grantů při zahájení podnikání, pomoc s hledáním práce, pobídky pro zvyšování a doplňování kvalifikace, příspěvky na odbornou přípravu či školení v digitálních technologiích; </w:t>
            </w:r>
            <w:r>
              <w:rPr>
                <w:b/>
                <w:i/>
              </w:rPr>
              <w:t>v této souvislosti zdůrazňuje, že dobře vyškolená pracovní síla je klíčem k evropskému hospodářství, které obstojí i proti výzvám budoucnosti;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Mohammed Chahim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domnívá se, že je sociální odpovědností Unie a členských států, aby těmto propuštěným pracovníkům poskytly nezbytnou kvalifikaci v zájmu evropského hospodářství a jeho odolnosti vůči výzvám budoucnosti a digitální a ekologické transformace;</w:t>
            </w:r>
            <w:r>
              <w:t xml:space="preserve"> </w:t>
            </w:r>
            <w:r>
              <w:rPr>
                <w:b/>
                <w:i/>
              </w:rPr>
              <w:t>domnívá se proto, že uvolnění prostředků z EFG musí být zakotveno v širší politické reakci;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Monika Hohlmeier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vyzývá k důkladnému závěrečnému hodnocení prováděných opatření, které bude zahrnovat údaje o počtu pracovníků, kteří se úspěšně vrátili do zaměstnání, a o počtu pracovníků, kteří dokončili vzdělávací a nadstavbové kurzy;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vyjadřuje politování nad plánovaným sloučením EFG s Evropským fondem pro konkurenceschopnost;</w:t>
            </w:r>
            <w:r>
              <w:t xml:space="preserve"> </w:t>
            </w:r>
            <w:r>
              <w:rPr>
                <w:b/>
                <w:i/>
              </w:rPr>
              <w:t>připomíná důležitou úlohu EFG při podpoře pracovníků postižených propouštěním a restrukturalizačními procesy v Unii;</w:t>
            </w:r>
            <w:r>
              <w:t xml:space="preserve"> </w:t>
            </w:r>
            <w:r>
              <w:rPr>
                <w:b/>
                <w:i/>
              </w:rPr>
              <w:t>vyzývá Komisi, aby toto rozhodnutí přehodnotila a zajistila pokračování specializovaného a flexibilního nástroje pro poskytování včasné podpory propuštěným pracovníkům;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Monika Hohlmeier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připomíná, že německé orgány jsou si vědomy toho, že finanční prostředky jsou poskytovány z unijních zdrojů, a na tuto skutečnost upozorňují s důrazem na přidanou hodnotu Unie;</w:t>
            </w:r>
            <w:r>
              <w:t xml:space="preserve"> </w:t>
            </w:r>
            <w:r>
              <w:rPr>
                <w:b/>
                <w:i/>
              </w:rPr>
              <w:t>zdůrazňuje, že viditelnosti Unie v této věci by mělo být dosaženo prostřednictvím cílených informačních opatření zaměřených na příjemce, sociální partnery a média;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Monika Hohlmeier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zdůrazňuje naléhavou potřebu soudržného a koordinovaného úsilí EU v oblasti konkurenceschopnosti, které je třeba vyvinout v úzkém partnerství s členskými státy, s cílem chránit pracovní základnu evropského průmyslu a její sociální zabezpečení;</w:t>
            </w:r>
            <w:r>
              <w:t xml:space="preserve"> </w:t>
            </w:r>
            <w:r>
              <w:rPr>
                <w:b/>
                <w:i/>
              </w:rPr>
              <w:t>zdůrazňuje, že pouze silné a odolné evropské hospodářství může účinně zabránit rozsáhlému propouštění, čímž se v první řadě sníží potřeba pomoci z EFG;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776.919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</w:t>
    </w:r>
    <w:r>
      <w:fldChar w:fldCharType="end"/>
    </w:r>
    <w:r>
      <w:tab/>
    </w:r>
    <w:r>
      <w:rPr>
        <w:rStyle w:val="HideTWBExt"/>
      </w:rPr>
      <w:t>&lt;PathFdR&gt;</w:t>
    </w:r>
    <w:r>
      <w:t>AM\1327321CS.docx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AM\1327321CS.docx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776.919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AM\1327321CS.docx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776.919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  <w:style w:type="paragraph" w:customStyle="1" w:styleId="NormalBold12b">
    <w:name w:val="NormalBold12b"/>
    <w:basedOn w:val="Normal"/>
    <w:pPr>
      <w:widowControl w:val="0"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1413</Words>
  <Characters>8247</Characters>
  <Application>Microsoft Office Word</Application>
  <DocSecurity>0</DocSecurity>
  <Lines>1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1327321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241845</vt:lpwstr>
  </property>
  <property fmtid="{D5CDD505-2E9C-101B-9397-08002B2CF9AE}" pid="7" name="dmxml.render.traceId">
    <vt:lpwstr>68cd11bcd84071fee6c72e60ff144b22</vt:lpwstr>
  </property>
  <property fmtid="{D5CDD505-2E9C-101B-9397-08002B2CF9AE}" pid="8" name="FooterPath">
    <vt:lpwstr>AM\1327321CS.docx</vt:lpwstr>
  </property>
  <property fmtid="{D5CDD505-2E9C-101B-9397-08002B2CF9AE}" pid="9" name="PE Number">
    <vt:lpwstr>776.919</vt:lpwstr>
  </property>
  <property fmtid="{D5CDD505-2E9C-101B-9397-08002B2CF9AE}" pid="10" name="UID">
    <vt:lpwstr>eu.europa.europarl-DIN1-2025-0000162345_02.00-cs-01.00_text-xml</vt:lpwstr>
  </property>
</Properties>
</file>