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Budgetudvalget</w:t>
      </w:r>
      <w:r>
        <w:rPr>
          <w:rStyle w:val="HideTWBExt"/>
        </w:rPr>
        <w:t>&lt;/Commission&gt;</w:t>
      </w:r>
    </w:p>
    <w:p>
      <w:pPr>
        <w:pStyle w:val="LineBottom"/>
      </w:pPr>
      <w:r>
        <w:t xml:space="preserve"> </w:t>
      </w:r>
    </w:p>
    <w:p>
      <w:pPr>
        <w:pStyle w:val="CoverReference"/>
      </w:pPr>
      <w:r>
        <w:rPr>
          <w:rStyle w:val="HideTWBExt"/>
        </w:rPr>
        <w:t>&lt;RefProc&gt;</w:t>
      </w:r>
      <w:r>
        <w:t>2025/0245</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{10/09/2025}</w:t>
      </w:r>
      <w:r>
        <w:t>10.9.2025</w:t>
      </w:r>
      <w:r>
        <w:rPr>
          <w:rStyle w:val="HideTWBExt"/>
        </w:rPr>
        <w:t>&lt;/Date&gt;</w:t>
      </w:r>
    </w:p>
    <w:p>
      <w:pPr>
        <w:pStyle w:val="CoverDocType"/>
      </w:pPr>
      <w:r>
        <w:rPr>
          <w:rStyle w:val="HideTWBExt"/>
        </w:rPr>
        <w:t>&lt;TypeAM&gt;</w:t>
      </w:r>
      <w:r>
        <w:t>ÆNDRINGSFORSLAG</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Udkast til betænkning</w:t>
      </w:r>
      <w:r>
        <w:rPr>
          <w:rStyle w:val="HideTWBExt"/>
        </w:rPr>
        <w:t>&lt;/TitreType&gt;</w:t>
      </w:r>
    </w:p>
    <w:p>
      <w:pPr>
        <w:pStyle w:val="CoverBold"/>
      </w:pPr>
      <w:r>
        <w:rPr>
          <w:rStyle w:val="HideTWBExt"/>
        </w:rPr>
        <w:t>&lt;Rapporteur&gt;</w:t>
      </w:r>
      <w:r>
        <w:t>Olivier Chastel</w:t>
      </w:r>
      <w:r>
        <w:rPr>
          <w:rStyle w:val="HideTWBExt"/>
        </w:rPr>
        <w:t>&lt;/Rapporteur&gt;</w:t>
      </w:r>
    </w:p>
    <w:p>
      <w:pPr>
        <w:pStyle w:val="CoverNormal24a"/>
      </w:pPr>
      <w:r>
        <w:rPr>
          <w:rStyle w:val="HideTWBExt"/>
        </w:rPr>
        <w:t>&lt;DocRefPE&gt;</w:t>
      </w:r>
      <w:r>
        <w:t>(PE776.828v01-00)</w:t>
      </w:r>
      <w:r>
        <w:rPr>
          <w:rStyle w:val="HideTWBExt"/>
        </w:rPr>
        <w:t>&lt;/DocRefPE&gt;</w:t>
      </w:r>
    </w:p>
    <w:p>
      <w:pPr>
        <w:pStyle w:val="CoverNormal"/>
      </w:pPr>
      <w:r>
        <w:rPr>
          <w:rStyle w:val="HideTWBExt"/>
        </w:rPr>
        <w:t>&lt;Titre&gt;</w:t>
      </w:r>
      <w:r>
        <w:t>Mobilisering af Den Europæiske Fond for Tilpasning til Globaliseringen for Afskedigede Arbejdstagere på baggrund af en ansøgning fra Tyskland – EGF/2025/002 DE/Goodyear 2</w:t>
      </w:r>
      <w:r>
        <w:rPr>
          <w:rStyle w:val="HideTWBExt"/>
        </w:rPr>
        <w:t>&lt;/Titre&gt;</w:t>
      </w:r>
    </w:p>
    <w:p>
      <w:pPr>
        <w:pStyle w:val="CoverNormal24a"/>
      </w:pPr>
      <w:r>
        <w:rPr>
          <w:rStyle w:val="HideTWBExt"/>
        </w:rPr>
        <w:t>&lt;DocRef&gt;</w:t>
      </w:r>
      <w:r>
        <w:t>(2025/0245(BUD))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Ændringsforslag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der henviser til, at den russiske angrebskrig mod Ukraine og den stigende inflation har haft en indvirkning på omkostningerne til energi, materialer og arbejdskraft</w:t>
            </w:r>
            <w:r>
              <w:rPr>
                <w:b/>
                <w:i/>
              </w:rPr>
              <w:t>, hvilket har</w:t>
            </w:r>
            <w:r>
              <w:t xml:space="preserve"> medført et øget pres på virksomhedens </w:t>
            </w:r>
            <w:r>
              <w:rPr>
                <w:b/>
                <w:i/>
              </w:rPr>
              <w:t>fortjenstmarginer</w:t>
            </w:r>
            <w:r>
              <w:t>;</w:t>
            </w:r>
          </w:p>
        </w:tc>
        <w:tc>
          <w:tcPr>
            <w:tcW w:w="4876" w:type="dxa"/>
            <w:tcBorders>
              <w:top w:val="nil"/>
              <w:left w:val="nil"/>
              <w:bottom w:val="nil"/>
              <w:right w:val="nil"/>
            </w:tcBorders>
          </w:tcPr>
          <w:p>
            <w:pPr>
              <w:pStyle w:val="Normal6a"/>
            </w:pPr>
            <w:r>
              <w:t>E.</w:t>
            </w:r>
            <w:r>
              <w:tab/>
            </w:r>
            <w:r>
              <w:t xml:space="preserve">der henviser til, at den russiske angrebskrig mod Ukraine og den stigende inflation </w:t>
            </w:r>
            <w:r>
              <w:rPr>
                <w:b/>
                <w:i/>
              </w:rPr>
              <w:t>kombineret med utilstrækkelig udbredelse af billigere energikilder</w:t>
            </w:r>
            <w:r>
              <w:t xml:space="preserve"> har haft en indvirkning på omkostningerne til energi, materialer og arbejdskraft </w:t>
            </w:r>
            <w:r>
              <w:rPr>
                <w:b/>
                <w:i/>
              </w:rPr>
              <w:t>og</w:t>
            </w:r>
            <w:r>
              <w:t xml:space="preserve"> medført et øget pres på virksomhedens </w:t>
            </w:r>
            <w:r>
              <w:rPr>
                <w:b/>
                <w:i/>
              </w:rPr>
              <w:t>fortjenstmargen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der henviser til, at den russiske angrebskrig mod Ukraine </w:t>
            </w:r>
            <w:r>
              <w:rPr>
                <w:b/>
                <w:i/>
              </w:rPr>
              <w:t>og</w:t>
            </w:r>
            <w:r>
              <w:t xml:space="preserve"> den stigende inflation har haft en indvirkning på omkostningerne til energi, materialer og arbejdskraft og medført et øget pres på virksomhedens fortjenstmarginer;</w:t>
            </w:r>
          </w:p>
        </w:tc>
        <w:tc>
          <w:tcPr>
            <w:tcW w:w="4876" w:type="dxa"/>
            <w:tcBorders>
              <w:top w:val="nil"/>
              <w:left w:val="nil"/>
              <w:bottom w:val="nil"/>
              <w:right w:val="nil"/>
            </w:tcBorders>
          </w:tcPr>
          <w:p>
            <w:pPr>
              <w:pStyle w:val="Normal6a"/>
            </w:pPr>
            <w:r>
              <w:t>E.</w:t>
            </w:r>
            <w:r>
              <w:tab/>
            </w:r>
            <w:r>
              <w:t>der henviser til, at den russiske angrebskrig mod Ukraine</w:t>
            </w:r>
            <w:r>
              <w:rPr>
                <w:b/>
                <w:i/>
              </w:rPr>
              <w:t>,</w:t>
            </w:r>
            <w:r>
              <w:t xml:space="preserve"> den stigende inflation </w:t>
            </w:r>
            <w:r>
              <w:rPr>
                <w:b/>
                <w:i/>
              </w:rPr>
              <w:t>og det europæiske energimarked</w:t>
            </w:r>
            <w:r>
              <w:t xml:space="preserve"> har haft en indvirkning på omkostningerne til energi, materialer og arbejdskraft og medført et øget pres på virksomhedens fortjenstmarginer;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der henviser til, at Goodyear Germany GmbH er specialiseret i fremstilling af gummi- og plastprodukter, navnlig dæk; der henviser til, at virksomheden er blevet væsentligt påvirket af øget konkurrence fra lavprisimport med oprindelse i Asien;</w:t>
            </w:r>
          </w:p>
        </w:tc>
        <w:tc>
          <w:tcPr>
            <w:tcW w:w="4876" w:type="dxa"/>
            <w:tcBorders>
              <w:top w:val="nil"/>
              <w:left w:val="nil"/>
              <w:bottom w:val="nil"/>
              <w:right w:val="nil"/>
            </w:tcBorders>
          </w:tcPr>
          <w:p>
            <w:pPr>
              <w:pStyle w:val="Normal6a"/>
            </w:pPr>
            <w:r>
              <w:t>F.</w:t>
            </w:r>
            <w:r>
              <w:tab/>
            </w:r>
            <w:r>
              <w:t xml:space="preserve">der henviser til, at Goodyear Germany GmbH er specialiseret i fremstilling af gummi- og plastprodukter, navnlig dæk; der henviser til, at virksomheden er blevet væsentligt påvirket af øget konkurrence fra lavprisimport med oprindelse i Asien; </w:t>
            </w:r>
            <w:r>
              <w:rPr>
                <w:b/>
                <w:i/>
              </w:rPr>
              <w:t>der henviser til, at den europæiske bil- og underleverandørindustri er udsat for et hidtil uset pres fra både eksterne og interne udfordringer, såsom konkurrenceforvridning og høje energiomkostninger, og fra den europæiske grønne pagt, som fastsætter, at produktionen af køretøjer med forbrændingsmotorer skal ophøre senest i 2035, og hvis gennemførelse derfor skal suspenderes, medmindre man ønsker at give den europæiske bil- og underleverandørindustri dødsstødet, og at omkostningerne ved mobilitet skal stige for europæerne;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Mohammed Chahim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F 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der henviser til, at dette er den anden mobilisering af EGF, som de tyske myndigheder har anmodet om efter en omstrukturering af virksomheden Goodyear, idet EGF blev mobiliseret efter lukning af virksomhedens anlæg i Philippsburg i 2017;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Betragtning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der henviser til, at den økonomiske støtte fra EGF primært bør være rettet mod aktive arbejdsmarkedspolitiske foranstaltninger og individualiserede tilbud, som har til formål hurtigt at reintegrere støttemodtagerne i anstændig og bæredygtig beskæftigelse inden for eller uden for deres oprindelige aktivitetssektor, samtidig med at de gøres parate til en </w:t>
            </w:r>
            <w:r>
              <w:rPr>
                <w:b/>
                <w:i/>
              </w:rPr>
              <w:t>grønnere og mere digital</w:t>
            </w:r>
            <w:r>
              <w:t xml:space="preserve"> europæisk økonomi;</w:t>
            </w:r>
          </w:p>
        </w:tc>
        <w:tc>
          <w:tcPr>
            <w:tcW w:w="4876" w:type="dxa"/>
            <w:tcBorders>
              <w:top w:val="nil"/>
              <w:left w:val="nil"/>
              <w:bottom w:val="nil"/>
              <w:right w:val="nil"/>
            </w:tcBorders>
          </w:tcPr>
          <w:p>
            <w:pPr>
              <w:pStyle w:val="Normal6a"/>
            </w:pPr>
            <w:r>
              <w:t>J.</w:t>
            </w:r>
            <w:r>
              <w:tab/>
            </w:r>
            <w:r>
              <w:t>der henviser til, at den økonomiske støtte fra EGF primært bør være rettet mod aktive arbejdsmarkedspolitiske foranstaltninger og individualiserede tilbud, som har til formål hurtigt at reintegrere støttemodtagerne i anstændig og bæredygtig beskæftigelse inden for eller uden for deres oprindelige aktivitetssektor, samtidig med at de gøres parate til en europæisk økonomi</w:t>
            </w:r>
            <w:r>
              <w:rPr>
                <w:b/>
                <w:i/>
              </w:rPr>
              <w:t>, som er mere konkurrencedygtig og yder bedre jobbeskyttelse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Mohammed Chahim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bemærker, at de tyske myndigheder indgav ansøgningen den 10. marts 2025, og at Kommissionen, efter at Tyskland havde forelagt yderligere oplysninger, den 29. juli 2025 afsluttede sin vurdering heraf og fremsendte den til Parlamentet den 26. august 2025;</w:t>
            </w:r>
          </w:p>
        </w:tc>
        <w:tc>
          <w:tcPr>
            <w:tcW w:w="4876" w:type="dxa"/>
            <w:tcBorders>
              <w:top w:val="nil"/>
              <w:left w:val="nil"/>
              <w:bottom w:val="nil"/>
              <w:right w:val="nil"/>
            </w:tcBorders>
          </w:tcPr>
          <w:p>
            <w:pPr>
              <w:pStyle w:val="Normal6a"/>
            </w:pPr>
            <w:r>
              <w:t>2.</w:t>
            </w:r>
            <w:r>
              <w:tab/>
            </w:r>
            <w:r>
              <w:t>bemærker, at de tyske myndigheder indgav ansøgningen den 10. marts 2025, og at Kommissionen, efter at Tyskland havde forelagt yderligere oplysninger, den 29. juli 2025</w:t>
            </w:r>
            <w:r>
              <w:rPr>
                <w:b/>
                <w:i/>
              </w:rPr>
              <w:t>, dvs. mere end fire måneder senere,</w:t>
            </w:r>
            <w:r>
              <w:t xml:space="preserve"> afsluttede sin vurdering heraf og fremsendte den til Parlamentet den 26. august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3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beklager, at Goodyear ikke udnyttede mulighederne for intern overførsel af medarbejdere til sine faciliteter i Dudelange og Kranj, hvor der blev skabt 110 og 160 nye job i hhv. 2022 og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noterer sig, at de fleste af de afskedigede arbejdstagere har et lavt uddannelsesniveau (56 % med sekundæruddannelse på første trin eller derunder) og er 54 år eller derover (42 %);</w:t>
            </w:r>
          </w:p>
        </w:tc>
        <w:tc>
          <w:tcPr>
            <w:tcW w:w="4876" w:type="dxa"/>
            <w:tcBorders>
              <w:top w:val="nil"/>
              <w:left w:val="nil"/>
              <w:bottom w:val="nil"/>
              <w:right w:val="nil"/>
            </w:tcBorders>
          </w:tcPr>
          <w:p>
            <w:pPr>
              <w:pStyle w:val="Normal6a"/>
            </w:pPr>
            <w:r>
              <w:t>4.</w:t>
            </w:r>
            <w:r>
              <w:tab/>
            </w:r>
            <w:r>
              <w:t xml:space="preserve">noterer sig, at de fleste af de afskedigede arbejdstagere har et lavt uddannelsesniveau (56 % med sekundæruddannelse på første trin eller derunder) og er 54 år eller derover (42 %); </w:t>
            </w:r>
            <w:r>
              <w:rPr>
                <w:b/>
                <w:i/>
              </w:rPr>
              <w:t>understreger, at navnlig ældre arbejdstagere udgør en meget sårbar gruppe, der støder på betydelige hindringer for genansættelse på grund af begrænsede muligheder for opkvalificering og omskoling;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påpeger, at afskedigelserne i Goodyear øgede den årlige arbejdsløshedsprocent i Fulda-regionen til over 10 %, hvilket i uforholdsmæssig grad berørte mandlige arbejdstagere og personer over 50 år, hvoraf mange har forældede kvalifikationer og færdigheder, der ikke er i overensstemmelse med den nuværende efterspørgsel på arbejdsmarkedet;</w:t>
            </w:r>
          </w:p>
        </w:tc>
        <w:tc>
          <w:tcPr>
            <w:tcW w:w="4876" w:type="dxa"/>
            <w:tcBorders>
              <w:top w:val="nil"/>
              <w:left w:val="nil"/>
              <w:bottom w:val="nil"/>
              <w:right w:val="nil"/>
            </w:tcBorders>
          </w:tcPr>
          <w:p>
            <w:pPr>
              <w:pStyle w:val="Normal6a"/>
            </w:pPr>
            <w:r>
              <w:t>5.</w:t>
            </w:r>
            <w:r>
              <w:tab/>
            </w:r>
            <w:r>
              <w:t xml:space="preserve">påpeger, at afskedigelserne i Goodyear øgede den årlige arbejdsløshedsprocent i Fulda-regionen til over 10 %, hvilket i uforholdsmæssig grad berørte mandlige arbejdstagere og personer over 50 år, hvoraf mange har forældede kvalifikationer og færdigheder, der ikke er i overensstemmelse med den nuværende efterspørgsel på arbejdsmarkedet; </w:t>
            </w:r>
            <w:r>
              <w:rPr>
                <w:b/>
                <w:i/>
              </w:rPr>
              <w:t>understreger, at der er behov for en hurtig indsats for at forhindre strukturel regional tilbagegang, og fremhæver betydningen af at fremme fremtidsorienterede job af høj kvalitet for at sikre økonomisk og social modstandsdygtighed på længere sigt;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5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fremhæver, at det – med henblik på at forebygge afskedigelser og beskytte arbejdstagerne – haster med at gennemføre omstillingen til vedvarende energi som den billigste kilde til elproduktion;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Mohammed Chahim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minder om, at de individualiserede tilbud til arbejdstagere omfatter følgende foranstaltninger: væsentlige opkvalificerings- eller omskolingsforanstaltninger, vejledning og erhvervsvejledning samt aktiveringsforanstaltninger, rådgivningstjenester og tilskud i forbindelse med virksomhedsetablering, hjælp til jobsøgning, incitamenter til opkvalificering og yderligere incitamenter, uddannelsestilskud og uddannelse i digitale færdigheder;</w:t>
            </w:r>
          </w:p>
        </w:tc>
        <w:tc>
          <w:tcPr>
            <w:tcW w:w="4876" w:type="dxa"/>
            <w:tcBorders>
              <w:top w:val="nil"/>
              <w:left w:val="nil"/>
              <w:bottom w:val="nil"/>
              <w:right w:val="nil"/>
            </w:tcBorders>
          </w:tcPr>
          <w:p>
            <w:pPr>
              <w:pStyle w:val="Normal6a"/>
            </w:pPr>
            <w:r>
              <w:t>6.</w:t>
            </w:r>
            <w:r>
              <w:tab/>
            </w:r>
            <w:r>
              <w:t xml:space="preserve">minder om, at de individualiserede tilbud til arbejdstagere omfatter følgende foranstaltninger: væsentlige opkvalificerings- eller omskolingsforanstaltninger, vejledning og erhvervsvejledning samt aktiveringsforanstaltninger, rådgivningstjenester og tilskud i forbindelse med virksomhedsetablering, hjælp til jobsøgning, incitamenter til opkvalificering og yderligere incitamenter, uddannelsestilskud og uddannelse i digitale færdigheder; </w:t>
            </w:r>
            <w:r>
              <w:rPr>
                <w:b/>
                <w:i/>
              </w:rPr>
              <w:t>understreger i den forbindelse, at en veluddannet arbejdsstyrke er af afgørende betydning for en fremtidssikret europæisk økonomi;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Mohammed Chahim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anser det for at være Unionens og medlemsstaternes sociale ansvar at sørge for, at disse afskedigede arbejdstagere tilegner sig de kvalifikationer, som er nødvendige i en fremtidssikret europæisk økonomi, der gennemfører den digitale og grønne omstilling;</w:t>
            </w:r>
            <w:r>
              <w:t xml:space="preserve"> </w:t>
            </w:r>
            <w:r>
              <w:rPr>
                <w:b/>
                <w:i/>
              </w:rPr>
              <w:t>mener derfor, at det er nødvendigt, at mobiliseringen af EGF integreres i en større politisk indsats;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6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opfordrer til, at der foretages grundige endelige evalueringer af de gennemførte foranstaltninger, ved at man indarbejder oplysninger om, hvor mange arbejdstagere der er vendt tilbage til arbejdsmarkedet, og hvor mange der har gennemført uddannelses- og opkvalificeringsforanstaltninger;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beklager den planlagte sammenlægning af EGF med Den Europæiske Fond for Konkurrenceevne;</w:t>
            </w:r>
            <w:r>
              <w:t xml:space="preserve"> </w:t>
            </w:r>
            <w:r>
              <w:rPr>
                <w:b/>
                <w:i/>
              </w:rPr>
              <w:t>minder om den vigtige rolle, som EGF har spillet med hensyn til at støtte arbejdstagere, der er berørt af afskedigelser og omstruktureringsprocesser i Unionen;</w:t>
            </w:r>
            <w:r>
              <w:t xml:space="preserve"> </w:t>
            </w:r>
            <w:r>
              <w:rPr>
                <w:b/>
                <w:i/>
              </w:rPr>
              <w:t>opfordrer Kommissionen til at genoverveje denne beslutning og til at sikre, at der fortsat findes et særligt og fleksibelt instrument til at yde rettidig støtte til afskedigede arbejdstagere;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9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minder om, at de tyske myndigheder anerkender EU-finansieringens oprindelse og sikrer dens synlighed, samtidig med at de fremhæver Unionens merværdi;</w:t>
            </w:r>
            <w:r>
              <w:t xml:space="preserve"> </w:t>
            </w:r>
            <w:r>
              <w:rPr>
                <w:b/>
                <w:i/>
              </w:rPr>
              <w:t>understreger, at dette bør opnås gennem målrettet oplysning henvendt til støttemodtagerne, arbejdsmarkedets parter og medierne;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Ændringsforslag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Forslag til beslutning</w:t>
      </w:r>
      <w:r>
        <w:rPr>
          <w:rStyle w:val="HideTWBExt"/>
        </w:rPr>
        <w:t>&lt;/DocAmend&gt;</w:t>
      </w:r>
    </w:p>
    <w:p>
      <w:pPr>
        <w:pStyle w:val="NormalBold"/>
      </w:pPr>
      <w:r>
        <w:rPr>
          <w:rStyle w:val="HideTWBExt"/>
        </w:rPr>
        <w:t>&lt;Article&gt;</w:t>
      </w:r>
      <w:r>
        <w:t>Punkt 10 a (nyt)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Forslag til beslutning</w:t>
            </w:r>
          </w:p>
        </w:tc>
        <w:tc>
          <w:tcPr>
            <w:tcW w:w="4876" w:type="dxa"/>
            <w:tcBorders>
              <w:top w:val="nil"/>
              <w:left w:val="nil"/>
              <w:bottom w:val="nil"/>
              <w:right w:val="nil"/>
            </w:tcBorders>
          </w:tcPr>
          <w:p>
            <w:pPr>
              <w:pStyle w:val="AmColumnHeading"/>
            </w:pPr>
            <w:r>
              <w:t>Ændringsforslag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understreger det presserende behov for en sammenhængende og koordineret EU-indsats, når det gælder om at styrke konkurrenceevnen, udviklet i tæt samarbejde med medlemsstaterne med det formål at beskytte Europas industrielle beskæftigelsesgrundlag og sociale sikringsordninger;</w:t>
            </w:r>
            <w:r>
              <w:t xml:space="preserve"> </w:t>
            </w:r>
            <w:r>
              <w:rPr>
                <w:b/>
                <w:i/>
              </w:rPr>
              <w:t>understreger, at omfattende afskedigelser reelt kun kan forhindres ved at sikre en robust og modstandsdygtig europæisk økonomi, hvilket allerede i sig selv vil mindske behovet for, at EGF intervenerer;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776.919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AM\1327321DA.docx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AM\1327321DA.docx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776.919</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AM\1327321DA.docx</w:t>
    </w:r>
    <w:r>
      <w:rPr>
        <w:rStyle w:val="HideTWBExt"/>
      </w:rPr>
      <w:t>&lt;/PathFdR&gt;</w:t>
    </w:r>
    <w:r>
      <w:tab/>
    </w:r>
    <w:r>
      <w:tab/>
    </w:r>
    <w:r>
      <w:t>PE</w:t>
    </w:r>
    <w:r>
      <w:rPr>
        <w:rStyle w:val="HideTWBExt"/>
      </w:rPr>
      <w:t>&lt;NoPE&gt;</w:t>
    </w:r>
    <w:r>
      <w:t>776.919</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1460</Words>
  <Characters>9264</Characters>
  <Application>Microsoft Office Word</Application>
  <DocSecurity>0</DocSecurity>
  <Lines>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1327321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238623</vt:lpwstr>
  </property>
  <property fmtid="{D5CDD505-2E9C-101B-9397-08002B2CF9AE}" pid="7" name="dmxml.render.traceId">
    <vt:lpwstr>68c805e16d734e66b2518bd8a574a28b</vt:lpwstr>
  </property>
  <property fmtid="{D5CDD505-2E9C-101B-9397-08002B2CF9AE}" pid="8" name="FooterPath">
    <vt:lpwstr>AM\1327321DA.docx</vt:lpwstr>
  </property>
  <property fmtid="{D5CDD505-2E9C-101B-9397-08002B2CF9AE}" pid="9" name="PE Number">
    <vt:lpwstr>776.919</vt:lpwstr>
  </property>
  <property fmtid="{D5CDD505-2E9C-101B-9397-08002B2CF9AE}" pid="10" name="UID">
    <vt:lpwstr>eu.europa.europarl-DIN1-2025-0000162345_02.00-da-01.00_text-xml</vt:lpwstr>
  </property>
</Properties>
</file>