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{BUDG}</w:t>
      </w:r>
      <w:r>
        <w:t>Rozpočtový výbor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2025/0319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(BUD)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{10/11/2025}</w:t>
      </w:r>
      <w:r>
        <w:t>10. 11. 2025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26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Victor Negrescu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(PE778.228v01-00)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Návrh opravného rozpočtu č. 3 k rozpočtu na rok 2025 – úpravy prostředků na platby, aktualizace příjmů a další technické aktualizace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(2025/0319(BUD))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Julien Sanchez, Angéline Furet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</w:t>
            </w:r>
            <w:r>
              <w:tab/>
            </w:r>
            <w:r>
              <w:rPr>
                <w:b/>
                <w:i/>
              </w:rPr>
              <w:t>s ohledem na interinstitucionální dohodu ze dne 16. prosince 2020 mezi Evropským parlamentem, Radou a Komisí o rozpočtové kázni, spolupráci v rozpočtových záležitostech a řádném finančním řízení, jakož i o nových vlastních zdrojích, včetně plánu zavádění nových vlastních zdrojů</w:t>
            </w:r>
            <w:r>
              <w:rPr>
                <w:b/>
                <w:i/>
                <w:vertAlign w:val="superscript"/>
              </w:rPr>
              <w:t>4</w:t>
            </w:r>
            <w:r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</w:t>
            </w:r>
            <w:r>
              <w:t xml:space="preserve"> </w:t>
            </w:r>
            <w:r>
              <w:rPr>
                <w:b/>
                <w:i/>
              </w:rPr>
              <w:t>Úř. věst. L 433 I, 22.12.2020, s.</w:t>
            </w:r>
            <w:r>
              <w:t xml:space="preserve"> </w:t>
            </w:r>
            <w:r>
              <w:rPr>
                <w:b/>
                <w:i/>
              </w:rPr>
              <w:t>28. ELI:</w:t>
            </w:r>
            <w:r>
              <w:t xml:space="preserve"> </w:t>
            </w:r>
            <w:r>
              <w:rPr>
                <w:b/>
                <w:i/>
              </w:rPr>
              <w:t>http://data.europa.eu/eli/agree_interinstit/2020/1222/oj.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Julien Sanchez, Angéline Furet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</w:t>
            </w:r>
            <w:r>
              <w:tab/>
            </w:r>
            <w:r>
              <w:rPr>
                <w:b/>
                <w:i/>
              </w:rPr>
              <w:t>s ohledem na rozhodnutí Rady (EU, Euratom) 2020/2053 ze dne 14. prosince 2020 o systému vlastních zdrojů Evropské unie a o zrušení rozhodnutí 2014/335/EU, Euratom</w:t>
            </w:r>
            <w:r>
              <w:rPr>
                <w:b/>
                <w:i/>
                <w:vertAlign w:val="superscript"/>
              </w:rPr>
              <w:t>5</w:t>
            </w:r>
            <w:r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5</w:t>
            </w:r>
            <w:r>
              <w:t xml:space="preserve"> </w:t>
            </w:r>
            <w:r>
              <w:rPr>
                <w:b/>
                <w:i/>
              </w:rPr>
              <w:t>Úř. věst. L 424, 15.12.2020, s. 1.</w:t>
            </w:r>
            <w:r>
              <w:t xml:space="preserve"> </w:t>
            </w:r>
            <w:r>
              <w:rPr>
                <w:b/>
                <w:i/>
              </w:rPr>
              <w:t>ELI:</w:t>
            </w:r>
            <w:r>
              <w:t xml:space="preserve"> </w:t>
            </w:r>
            <w:r>
              <w:rPr>
                <w:b/>
                <w:i/>
              </w:rPr>
              <w:t>https://eur-lex.europa.eu/eli/dec/2020/2053/oj?eliuri=eli%3Adec%3A2020%3A2053%3Aoj&amp;locale=cs.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Julien Sanchez, Angéline Furet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vzhledem k tomu, že v důsledku těchto úprav jsou na pokrytí potřeb plateb zapotřebí dodatečné příspěvky založené na HND ve výši 31,9 milionu EUR;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vzhledem k tomu, že v důsledku těchto úprav jsou na pokrytí potřeb plateb zapotřebí dodatečné příspěvky založené na HND ve výši 31,9 milionu EUR</w:t>
            </w:r>
            <w:r>
              <w:rPr>
                <w:b/>
                <w:i/>
              </w:rPr>
              <w:t>, což odráží přetrvávající ochotu zyšovat zátěž členských států a jejich daňových poplatníků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Julien Sanchez, Angéline Furet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bere na vědomí návrh</w:t>
            </w:r>
            <w:r>
              <w:t xml:space="preserve"> opravného rozpočtu č. 3/2025</w:t>
            </w:r>
            <w:r>
              <w:rPr>
                <w:b/>
                <w:i/>
              </w:rPr>
              <w:t>, jak jej předložila Komise, a zejména celkově velmi malý dopad na</w:t>
            </w:r>
            <w:r>
              <w:t xml:space="preserve"> příspěvky </w:t>
            </w:r>
            <w:r>
              <w:rPr>
                <w:b/>
                <w:i/>
              </w:rPr>
              <w:t>členských států</w:t>
            </w:r>
            <w:r>
              <w:t xml:space="preserve"> založené na HND</w:t>
            </w:r>
            <w:r>
              <w:rPr>
                <w:b/>
                <w:i/>
              </w:rPr>
              <w:t>, v důsledku rovnováhy mezi vyššími potřebami plateb a dodatečnými toky příjmů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nesouhlasí s tím, že Komise v návrhu</w:t>
            </w:r>
            <w:r>
              <w:t xml:space="preserve"> opravného rozpočtu č. 3/2025 </w:t>
            </w:r>
            <w:r>
              <w:rPr>
                <w:b/>
                <w:i/>
              </w:rPr>
              <w:t>i navzdory mimořádnému zvýšení příjmů z pokut a sankcí, jakž i přebytku tradičních vlastních zdrojů stále požaduje dodatečné</w:t>
            </w:r>
            <w:r>
              <w:t xml:space="preserve"> příspěvky založené na HND </w:t>
            </w:r>
            <w:r>
              <w:rPr>
                <w:b/>
                <w:i/>
              </w:rPr>
              <w:t>ve výši 31,9 milionu EUR;</w:t>
            </w:r>
            <w:r>
              <w:t xml:space="preserve"> </w:t>
            </w:r>
            <w:r>
              <w:rPr>
                <w:b/>
                <w:i/>
              </w:rPr>
              <w:t>zdůrazňuje, že toto využití odráží nevyvážené rozpočtové řízení, a potvrzuje tendenci Komise systematicky přesouvat finanční zátěž na členské státy namísto toho, aby prováděla kontrolu svých výdajů a účinněji využívala stávající příjmy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Joachim Streit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bere na vědomí návrh opravného rozpočtu č. 3/2025, jak jej předložila Komise, a zejména celkově velmi malý dopad na příspěvky členských států založené na HND, v důsledku rovnováhy mezi vyššími potřebami plateb a dodatečnými toky příjmů;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bere na vědomí návrh opravného rozpočtu č. 3/2025, jak jej předložila Komise, a zejména celkově velmi malý dopad na příspěvky členských států založené na HND, v důsledku rovnováhy mezi vyššími potřebami plateb a dodatečnými toky příjmů; </w:t>
            </w:r>
            <w:r>
              <w:rPr>
                <w:b/>
                <w:i/>
              </w:rPr>
              <w:t>zdůrazňuje, že fiskální obezřetnost a účinné využívání peněz daňových poplatníků musí zůstat hlavními zásadami všech rozpočtových rozhodnutí;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vítá zvýšení</w:t>
            </w:r>
            <w:r>
              <w:t xml:space="preserve"> prostředků na platby pro Evropský fond pro regionální rozvoj (EFRR) o 2 miliardy EUR spolu s navýšením prostředků na společnou zemědělskou politiku v letošním globálním převodu (DEC 15/25) </w:t>
            </w:r>
            <w:r>
              <w:rPr>
                <w:b/>
                <w:i/>
              </w:rPr>
              <w:t>jako známku toho</w:t>
            </w:r>
            <w:r>
              <w:t xml:space="preserve">, že provádění programu se </w:t>
            </w:r>
            <w:r>
              <w:rPr>
                <w:b/>
                <w:i/>
              </w:rPr>
              <w:t>po znepokojivě pomalém začátku v období 2021–2027</w:t>
            </w:r>
            <w:r>
              <w:t xml:space="preserve"> zrychluje; </w:t>
            </w:r>
            <w:r>
              <w:rPr>
                <w:b/>
                <w:i/>
              </w:rPr>
              <w:t>zdůrazňuje, že posílení strukturálních fondů a prostředků SZP má klíčový význam pro zachování kontinuity režimů podpory zemědělství, potravinové zabezpečení a podporu udržitelného rozvoje venkova;</w:t>
            </w:r>
            <w:r>
              <w:t xml:space="preserve"> </w:t>
            </w:r>
            <w:r>
              <w:rPr>
                <w:b/>
                <w:i/>
              </w:rPr>
              <w:t>konstatuje, že tato opatření jsou obzvláště důležitá pro posílení odolnosti zemědělského odvětví a zachování socioekonomické rovnováhy ve venkovských oblastech;</w:t>
            </w:r>
            <w:r>
              <w:t xml:space="preserve"> </w:t>
            </w:r>
            <w:r>
              <w:rPr>
                <w:b/>
                <w:i/>
              </w:rPr>
              <w:t>připomíná, že tato navýšení doplňují úpravy prostředků na platby v rámci globálního převodu (DEC 15/2025);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vyjadřuje politování nad zvýšením</w:t>
            </w:r>
            <w:r>
              <w:t xml:space="preserve"> prostředků na platby pro Evropský fond pro regionální rozvoj (EFRR) o 2 miliardy EUR spolu s navýšením prostředků na společnou zemědělskou politiku v letošním globálním převodu (DEC 15/25)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konstatuje, že se zdá</w:t>
            </w:r>
            <w:r>
              <w:t>, že provádění programu se zrychluje;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vítá zvýšení</w:t>
            </w:r>
            <w:r>
              <w:t xml:space="preserve"> prostředků na platby pro Evropský fond pro regionální rozvoj (EFRR) o 2 miliardy EUR spolu s navýšením prostředků na společnou zemědělskou politiku v letošním globálním převodu (DEC 15/25) jako známku toho, že provádění programu se po znepokojivě pomalém začátku v období 2021–2027 zrychluje; zdůrazňuje, že posílení strukturálních fondů a prostředků SZP má klíčový význam pro zachování kontinuity režimů podpory zemědělství, potravinové zabezpečení a podporu udržitelného rozvoje venkova; konstatuje, že tato opatření jsou obzvláště důležitá pro posílení odolnosti zemědělského odvětví a zachování socioekonomické rovnováhy ve venkovských oblastech; připomíná, že tato navýšení doplňují úpravy prostředků na platby v rámci globálního převodu (DEC 15/2025);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vyjadřuje politování nad zvýšením</w:t>
            </w:r>
            <w:r>
              <w:t xml:space="preserve"> prostředků na platby pro Evropský fond pro regionální rozvoj (EFRR) o 2 miliardy EUR spolu s navýšením prostředků na společnou zemědělskou politiku v letošním globálním převodu (DEC 15/25) jako známku toho, že provádění programu se po znepokojivě pomalém začátku v období 2021–2027 zrychluje; zdůrazňuje, že posílení strukturálních fondů a prostředků SZP má klíčový význam pro zachování kontinuity režimů podpory zemědělství, potravinové zabezpečení a podporu udržitelného rozvoje venkova; konstatuje, že tato opatření jsou obzvláště důležitá pro posílení odolnosti zemědělského odvětví a zachování socioekonomické rovnováhy ve venkovských oblastech; připomíná, že tato navýšení doplňují úpravy prostředků na platby v rámci globálního převodu (DEC 15/2025);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Joachim Streit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nadále naléhavě vyzývá k urychlenému provádění opatření v rámci EFRR, ESF+ a Nástroje pro finanční podporu správy hranic a vízové politiky; vítá rychlejší zavádění Platformy strategických technologií pro Evropu (STEP), než se očekávalo</w:t>
            </w:r>
            <w:r>
              <w:rPr>
                <w:b/>
                <w:i/>
              </w:rPr>
              <w:t>;</w:t>
            </w:r>
            <w:r>
              <w:t xml:space="preserve"> očekává, že dodatečné platby z platformy STEP ve výši více než 3 miliardy EUR budou rychle a </w:t>
            </w:r>
            <w:r>
              <w:rPr>
                <w:b/>
                <w:i/>
              </w:rPr>
              <w:t>účinně</w:t>
            </w:r>
            <w:r>
              <w:t xml:space="preserve"> využity </w:t>
            </w:r>
            <w:r>
              <w:rPr>
                <w:b/>
                <w:i/>
              </w:rPr>
              <w:t>na specifické cíle</w:t>
            </w:r>
            <w:r>
              <w:t xml:space="preserve"> podle příslušných základních aktů;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nadále naléhavě vyzývá k urychlenému provádění opatření v rámci EFRR, ESF+ a Nástroje pro finanční podporu správy hranic a vízové politiky</w:t>
            </w:r>
            <w:r>
              <w:rPr>
                <w:b/>
                <w:i/>
              </w:rPr>
              <w:t>, která budou zaměřená na výsledky;</w:t>
            </w:r>
            <w:r>
              <w:t xml:space="preserve"> </w:t>
            </w:r>
            <w:r>
              <w:rPr>
                <w:b/>
                <w:i/>
              </w:rPr>
              <w:t>vyzývá Komisi, aby zajistila, že provádění bude účinné, transparentní a přiměřené a zabrání zbytečné administrativní zátěži</w:t>
            </w:r>
            <w:r>
              <w:t xml:space="preserve">; vítá rychlejší zavádění Platformy strategických technologií pro Evropu (STEP), než se očekávalo </w:t>
            </w:r>
            <w:r>
              <w:rPr>
                <w:b/>
                <w:i/>
              </w:rPr>
              <w:t>a</w:t>
            </w:r>
            <w:r>
              <w:t xml:space="preserve"> očekává, že dodatečné platby z platformy STEP ve výši více než 3 miliardy EUR budou rychle a </w:t>
            </w:r>
            <w:r>
              <w:rPr>
                <w:b/>
                <w:i/>
              </w:rPr>
              <w:t>v plném souladu s měřitelnými cíli</w:t>
            </w:r>
            <w:r>
              <w:t> využity podle příslušných základních aktů;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Julien Sanchez, Angéline Furet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bere na vědomí aktuální situaci, pokud jde o dohody o partnerství v oblasti udržitelného rybolovu, a vítá skutečnost, že v souladu s příslušnými ustanoveními interinstitucionální dohody hraje rozpočtový orgán aktivní roli při uvolňování prostředků z rezervy v závislosti na vstupu v platnost a uplatňování příslušných mezinárodních prováděcích protokolů;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Rasmus Andresen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bere na vědomí aktuální situaci, pokud jde o dohody o partnerství v oblasti udržitelného rybolovu, a </w:t>
            </w:r>
            <w:r>
              <w:rPr>
                <w:b/>
                <w:i/>
              </w:rPr>
              <w:t>vítá</w:t>
            </w:r>
            <w:r>
              <w:t xml:space="preserve"> skutečnost, že v souladu s příslušnými ustanoveními interinstitucionální dohody hraje rozpočtový orgán aktivní roli při uvolňování prostředků z rezervy v závislosti na vstupu v platnost a uplatňování příslušných mezinárodních prováděcích protokolů;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bere na vědomí aktuální situaci, pokud jde o dohody o partnerství v oblasti udržitelného rybolovu, a </w:t>
            </w:r>
            <w:r>
              <w:rPr>
                <w:b/>
                <w:i/>
              </w:rPr>
              <w:t>zdůrazňuje</w:t>
            </w:r>
            <w:r>
              <w:t xml:space="preserve"> skutečnost, že v souladu s příslušnými ustanoveními interinstitucionální dohody hraje rozpočtový orgán aktivní roli při uvolňování prostředků z rezervy v závislosti na vstupu v platnost a uplatňování příslušných mezinárodních prováděcích protokolů; </w:t>
            </w:r>
            <w:r>
              <w:rPr>
                <w:b/>
                <w:i/>
              </w:rPr>
              <w:t>žádá, aby se v budoucnosti zvýšil podíl provozovatelů v odvětví rybolovu na finančním příspěvku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Joachim Streit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vítá úspory v závazcích (5 milionů EUR) u Nástroje pro technickou podporu </w:t>
            </w:r>
            <w:r>
              <w:rPr>
                <w:b/>
                <w:i/>
              </w:rPr>
              <w:t>z důvodu</w:t>
            </w:r>
            <w:r>
              <w:t xml:space="preserve"> zvýšení efektivity </w:t>
            </w:r>
            <w:r>
              <w:rPr>
                <w:b/>
                <w:i/>
              </w:rPr>
              <w:t>díky konkurenčním zadávacím řízením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vítá úspory v závazcích (5 milionů EUR) u Nástroje pro technickou podporu</w:t>
            </w:r>
            <w:r>
              <w:rPr>
                <w:b/>
                <w:i/>
              </w:rPr>
              <w:t>, které vyplývají ze</w:t>
            </w:r>
            <w:r>
              <w:t xml:space="preserve"> zvýšení efektivity </w:t>
            </w:r>
            <w:r>
              <w:rPr>
                <w:b/>
                <w:i/>
              </w:rPr>
              <w:t>prostřednictvím konkurenčních zadávacích řízení, a vybízí k pokračujícímu úsilí o dosažení úspor nákladů a zlepšení výkonnosti ve všech nástrojích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Julien Sanchez, Angéline Furet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bere na vědomí tempo provádění reforem a odpovídající zpomalení čerpání plateb v rámci Nástroje pro Ukrajinu;</w:t>
            </w:r>
            <w:r>
              <w:t xml:space="preserve"> </w:t>
            </w:r>
            <w:r>
              <w:rPr>
                <w:b/>
                <w:i/>
              </w:rPr>
              <w:t>uznává, že část nevyčerpaných prostředků může být přenesena do následujícího rozpočtového roku;</w:t>
            </w:r>
            <w:r>
              <w:t xml:space="preserve"> </w:t>
            </w:r>
            <w:r>
              <w:rPr>
                <w:b/>
                <w:i/>
              </w:rPr>
              <w:t>vybízí všechny zúčastněné strany, aby pokročily v opatřeních souvisejících s reformami a investicemi, jako jsou dohody o kombinování zdrojů;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Julien Sanchez, Angéline Furet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úpravy příspěvku Unie pro různé decentralizované agentury; </w:t>
            </w:r>
            <w:r>
              <w:rPr>
                <w:b/>
                <w:i/>
              </w:rPr>
              <w:t>domnívá se</w:t>
            </w:r>
            <w:r>
              <w:t xml:space="preserve">, že tyto úpravy </w:t>
            </w:r>
            <w:r>
              <w:rPr>
                <w:b/>
                <w:i/>
              </w:rPr>
              <w:t>jsou převážně</w:t>
            </w:r>
            <w:r>
              <w:t xml:space="preserve"> technické </w:t>
            </w:r>
            <w:r>
              <w:rPr>
                <w:b/>
                <w:i/>
              </w:rPr>
              <w:t>povahy;</w:t>
            </w:r>
            <w:r>
              <w:t xml:space="preserve"> </w:t>
            </w:r>
            <w:r>
              <w:rPr>
                <w:b/>
                <w:i/>
              </w:rPr>
              <w:t>tyto úpravy vítá, pokud optimalizují využívání zdrojů v rámci operačních položek, jako je LIFE, AMIF nebo Program pro jednotný trh;</w:t>
            </w:r>
            <w:r>
              <w:t xml:space="preserve"> </w:t>
            </w:r>
            <w:r>
              <w:rPr>
                <w:b/>
                <w:i/>
              </w:rPr>
              <w:t>vyjadřuje však politování nad tím, že hlavním důvodem pro „vracení“ prostředků</w:t>
            </w:r>
            <w:r>
              <w:t xml:space="preserve"> na závazky a platby z </w:t>
            </w:r>
            <w:r>
              <w:rPr>
                <w:b/>
                <w:i/>
              </w:rPr>
              <w:t>položek příslušných agentur do položek souvisejících programů je zpoždění při náboru zaměstnanců nebo zpoždění při zavádění nových politických a legislativních iniciativ, jako je Strategie pro retailové investice (což se týká ESMA a EIOPA</w:t>
            </w:r>
            <w:r>
              <w:t xml:space="preserve">), </w:t>
            </w:r>
            <w:r>
              <w:rPr>
                <w:b/>
                <w:i/>
              </w:rPr>
              <w:t>Pakt</w:t>
            </w:r>
            <w:r>
              <w:t xml:space="preserve"> o migraci a azylu </w:t>
            </w:r>
            <w:r>
              <w:rPr>
                <w:b/>
                <w:i/>
              </w:rPr>
              <w:t>(týká se EUAA), balíček o námořní bezpečnosti (týká se EMSA) nebo návrh o nových genomických technikách (týká se EFSA)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</w:t>
            </w:r>
            <w:r>
              <w:rPr>
                <w:b/>
                <w:i/>
              </w:rPr>
              <w:t>navrhované</w:t>
            </w:r>
            <w:r>
              <w:t xml:space="preserve"> úpravy příspěvku Unie pro různé decentralizované agentury; </w:t>
            </w:r>
            <w:r>
              <w:rPr>
                <w:b/>
                <w:i/>
              </w:rPr>
              <w:t>zdůrazňuje</w:t>
            </w:r>
            <w:r>
              <w:t>, že tyto úpravy</w:t>
            </w:r>
            <w:r>
              <w:rPr>
                <w:b/>
                <w:i/>
              </w:rPr>
              <w:t>, prezentované jako čistě</w:t>
            </w:r>
            <w:r>
              <w:t xml:space="preserve"> technické</w:t>
            </w:r>
            <w:r>
              <w:rPr>
                <w:b/>
                <w:i/>
              </w:rPr>
              <w:t>, ve skutečnosti odhalují nedostatečnou rozpočtovou kázeň a pochybnou politickou orientaci;</w:t>
            </w:r>
            <w:r>
              <w:t xml:space="preserve"> </w:t>
            </w:r>
            <w:r>
              <w:rPr>
                <w:b/>
                <w:i/>
              </w:rPr>
              <w:t>zdůrazňuje, že převod 48 milionů EUR v prostředcích</w:t>
            </w:r>
            <w:r>
              <w:t xml:space="preserve"> na závazky a </w:t>
            </w:r>
            <w:r>
              <w:rPr>
                <w:b/>
                <w:i/>
              </w:rPr>
              <w:t>45 milionů EUR v prostředcích na</w:t>
            </w:r>
            <w:r>
              <w:t xml:space="preserve"> platby z </w:t>
            </w:r>
            <w:r>
              <w:rPr>
                <w:b/>
                <w:i/>
              </w:rPr>
              <w:t>Agentury Evropské unie pro azyl (EUAA) do Azylového, migračního a integračního fondu (AMIF</w:t>
            </w:r>
            <w:r>
              <w:t xml:space="preserve">), </w:t>
            </w:r>
            <w:r>
              <w:rPr>
                <w:b/>
                <w:i/>
              </w:rPr>
              <w:t>který je oficiálně určen na podporu provádění paktu o migraci a azylu, je příkladem nákladného, byrokratického a neúčinného modelu řízení migrace, přičemž při revizi víceletého finančního rámce v polovině období již na tento pakt na období 2025–2027 vyčlenila další 2 miliardy EUR;</w:t>
            </w:r>
            <w:r>
              <w:t xml:space="preserve"> </w:t>
            </w:r>
            <w:r>
              <w:rPr>
                <w:b/>
                <w:i/>
              </w:rPr>
              <w:t>konstatuje, že navzdory tomuto postupnému zvyšování rozpočtu počet nelegálních vstupů v celé Unii nadále roste a množství účinného navracení je i nadále okrajové;</w:t>
            </w:r>
            <w:r>
              <w:t xml:space="preserve"> </w:t>
            </w:r>
            <w:r>
              <w:rPr>
                <w:b/>
                <w:i/>
              </w:rPr>
              <w:t>domnívá se proto, že neexistuje žádný hmatatelný ukazatel prokazující účinnost paktu</w:t>
            </w:r>
            <w:r>
              <w:t xml:space="preserve"> o migraci a azylu </w:t>
            </w:r>
            <w:r>
              <w:rPr>
                <w:b/>
                <w:i/>
              </w:rPr>
              <w:t>a že další navýšení finančních prostředků z fondu AMIF je neopodstatněné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úpravy příspěvku Unie pro různé decentralizované agentury; domnívá se, že tyto úpravy jsou převážně technické povahy; </w:t>
            </w:r>
            <w:r>
              <w:rPr>
                <w:b/>
                <w:i/>
              </w:rPr>
              <w:t>tyto úpravy vítá, pokud optimalizují využívání zdrojů</w:t>
            </w:r>
            <w:r>
              <w:t xml:space="preserve"> v rámci </w:t>
            </w:r>
            <w:r>
              <w:rPr>
                <w:b/>
                <w:i/>
              </w:rPr>
              <w:t>operačních položek, jako je LIFE, AMIF nebo Program pro jednotný trh;</w:t>
            </w:r>
            <w:r>
              <w:t xml:space="preserve"> </w:t>
            </w:r>
            <w:r>
              <w:rPr>
                <w:b/>
                <w:i/>
              </w:rPr>
              <w:t>vyjadřuje však politování nad tím, že hlavním důvodem pro „vracení“ prostředků na závazky a platby z položek příslušných</w:t>
            </w:r>
            <w:r>
              <w:t xml:space="preserve"> agentur </w:t>
            </w:r>
            <w:r>
              <w:rPr>
                <w:b/>
                <w:i/>
              </w:rPr>
              <w:t>do položek souvisejících programů je zpoždění při náboru zaměstnanců nebo zpoždění při zavádění nových politických a legislativních iniciativ, jako je Strategie pro retailové investice (což se týká ESMA a EIOPA), Pakt o migraci a azylu (týká se EUAA), balíček o námořní bezpečnosti (týká se EMSA) nebo návrh o nových genomických technikách (týká se EFSA</w:t>
            </w:r>
            <w:r>
              <w:t>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úpravy příspěvku Unie pro různé decentralizované agentury; domnívá se, že tyto úpravy jsou převážně technické povahy; </w:t>
            </w:r>
            <w:r>
              <w:rPr>
                <w:b/>
                <w:i/>
              </w:rPr>
              <w:t>připomíná nedávný skandál s financováním programu LIFE,</w:t>
            </w:r>
            <w:r>
              <w:t xml:space="preserve"> v rámci </w:t>
            </w:r>
            <w:r>
              <w:rPr>
                <w:b/>
                <w:i/>
              </w:rPr>
              <w:t>něhož byly uzavřeny smlouvy s nevládními organizacemi;</w:t>
            </w:r>
            <w:r>
              <w:t xml:space="preserve"> </w:t>
            </w:r>
            <w:r>
              <w:rPr>
                <w:b/>
                <w:i/>
              </w:rPr>
              <w:t>poukazuje na druhou zprávu o udělení absolutoria za plnění úkolů</w:t>
            </w:r>
            <w:r>
              <w:t xml:space="preserve"> agentur </w:t>
            </w:r>
            <w:r>
              <w:rPr>
                <w:b/>
                <w:i/>
              </w:rPr>
              <w:t>EU za rozpočtový rok 2023 (2024/2030(DEC)), v níž podává zprávu o strukturálních problémech agentury EUAA (Agentura pro azyl</w:t>
            </w:r>
            <w:r>
              <w:t>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Joachim Streit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bere na vědomí úpravy příspěvku Unie pro různé decentralizované agentury; domnívá se, že tyto úpravy jsou převážně technické povahy; tyto úpravy vítá, pokud optimalizují využívání zdrojů v rámci operačních položek, jako je LIFE, AMIF nebo Program pro jednotný trh; vyjadřuje však politování nad tím, že hlavním důvodem pro „vracení“ prostředků na závazky a platby z položek příslušných agentur do položek souvisejících programů je zpoždění při náboru zaměstnanců nebo zpoždění při zavádění nových politických a legislativních iniciativ, jako je Strategie pro retailové investice (což se týká ESMA a EIOPA), Pakt o migraci a azylu (týká se EUAA), balíček o námořní bezpečnosti (týká se EMSA) nebo návrh o nových genomických technikách (týká se EFSA);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úpravy příspěvku Unie pro různé decentralizované agentury; domnívá se, že tyto úpravy jsou převážně technické povahy; tyto úpravy vítá, pokud optimalizují využívání zdrojů v rámci operačních položek, jako je LIFE, AMIF nebo Program pro jednotný trh; vyjadřuje však politování nad tím, že hlavním důvodem pro „vracení“ prostředků na závazky a platby z položek příslušných agentur do položek souvisejících programů je zpoždění při náboru zaměstnanců nebo zpoždění při zavádění nových politických a legislativních iniciativ, jako je Strategie pro retailové investice (což se týká ESMA a EIOPA), Pakt o migraci a azylu (týká se EUAA), balíček o námořní bezpečnosti (týká se EMSA) nebo návrh o nových genomických technikách (týká se EFSA); </w:t>
            </w:r>
            <w:r>
              <w:rPr>
                <w:b/>
                <w:i/>
              </w:rPr>
              <w:t>vyzývá Komisi a dotčené agentury, aby posílily systémy plánování, řízení a vnitřní kontroly s cílem zajistit nákladově efektivní a včasné plnění;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Julien Sanchez, Angéline Furet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vyjadřuje politování nad navýšením programu LIFE o 6,4 milionu EUR;</w:t>
            </w:r>
            <w:r>
              <w:t xml:space="preserve"> </w:t>
            </w:r>
            <w:r>
              <w:rPr>
                <w:b/>
                <w:i/>
              </w:rPr>
              <w:t>zdůrazňuje, že tyto výdaje, jejichž dopad na životní prostředí zůstává nejistý, často odrážejí ideologická rozhodnutí učiněná na úkor důkladného posouzení jejich účinnosti;</w:t>
            </w:r>
            <w:r>
              <w:t xml:space="preserve"> </w:t>
            </w:r>
            <w:r>
              <w:rPr>
                <w:b/>
                <w:i/>
              </w:rPr>
              <w:t>domnívá se, že by bylo zodpovědnější přesměrovat tyto prostředky na strategické priority, jako je bezpečnost, zemědělství a výzkum;</w:t>
            </w:r>
            <w:r>
              <w:t xml:space="preserve"> </w:t>
            </w:r>
            <w:r>
              <w:rPr>
                <w:b/>
                <w:i/>
              </w:rPr>
              <w:t>vyzývá Komisi, aby ukončila rozšiřování nákladných a neefektivních programů;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Rasmus Andresen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v této souvislosti zdůrazňuje a znovu vyjadřuje svou důraznou podporu nově zřízenému Orgánu pro boj proti praní peněz (AMLA) v revidovaném rámci pro boj proti praní peněz na úrovni Unie; je i nadále hluboce znepokojen pokračujícími zpožděními ve fázi zřizování, zejména v souvislosti s náborem, </w:t>
            </w:r>
            <w:r>
              <w:rPr>
                <w:b/>
                <w:i/>
              </w:rPr>
              <w:t>a</w:t>
            </w:r>
            <w:r>
              <w:t xml:space="preserve"> vyzývá k urychlení příslušných procesů přijímání nových zaměstnanců;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v této souvislosti zdůrazňuje a znovu vyjadřuje svou důraznou podporu nově zřízenému Orgánu pro boj proti praní peněz (AMLA) v revidovaném rámci pro boj proti praní peněz na úrovni Unie; je i nadále hluboce znepokojen pokračujícími zpožděními ve fázi zřizování, zejména v souvislosti s náborem, vyzývá k urychlení příslušných procesů přijímání nových zaměstnanců </w:t>
            </w:r>
            <w:r>
              <w:rPr>
                <w:b/>
                <w:i/>
              </w:rPr>
              <w:t>a vyzývá Komisi, aby tuto otázku urychleně upřednostnila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Joachim Streit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v této souvislosti zdůrazňuje a znovu vyjadřuje svou </w:t>
            </w:r>
            <w:r>
              <w:rPr>
                <w:b/>
                <w:i/>
              </w:rPr>
              <w:t>důraznou</w:t>
            </w:r>
            <w:r>
              <w:t xml:space="preserve"> podporu nově zřízenému Orgánu pro boj proti praní peněz (AMLA) v revidovaném rámci </w:t>
            </w:r>
            <w:r>
              <w:rPr>
                <w:b/>
                <w:i/>
              </w:rPr>
              <w:t>pro boj proti praní peněz na úrovni</w:t>
            </w:r>
            <w:r>
              <w:t xml:space="preserve"> Unie; je i nadále hluboce znepokojen pokračujícími zpožděními ve fázi zřizování, zejména v souvislosti s náborem, a vyzývá k </w:t>
            </w:r>
            <w:r>
              <w:rPr>
                <w:b/>
                <w:i/>
              </w:rPr>
              <w:t>urychlení příslušných</w:t>
            </w:r>
            <w:r>
              <w:t xml:space="preserve"> procesů přijímání nových zaměstnanců;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v této souvislosti zdůrazňuje a znovu vyjadřuje svou podporu nově zřízenému Orgánu pro boj proti praní peněz (AMLA) v revidovaném rámci Unie; je i nadále hluboce znepokojen pokračujícími zpožděními ve fázi zřizování, zejména v souvislosti s náborem, a vyzývá k </w:t>
            </w:r>
            <w:r>
              <w:rPr>
                <w:b/>
                <w:i/>
              </w:rPr>
              <w:t>rychlému, avšak účinnému dokončení</w:t>
            </w:r>
            <w:r>
              <w:t xml:space="preserve"> procesů přijímání nových zaměstnanců</w:t>
            </w:r>
            <w:r>
              <w:rPr>
                <w:b/>
                <w:i/>
              </w:rPr>
              <w:t>, které zajistí, že orgán bude fungovat s jednoduchou strukturou a nákladově efektivní správou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vítá skutečnost</w:t>
            </w:r>
            <w:r>
              <w:t xml:space="preserve">, že do rozpočtu byly začleněny dodatečné příjmy plynoucí z plateb konečných pokut a penále ve výši 1 185,1 milionu EUR; </w:t>
            </w:r>
            <w:r>
              <w:rPr>
                <w:b/>
                <w:i/>
              </w:rPr>
              <w:t>považuje tyto částky za skutečné zdroje příjmů Unie, které snižují příspěvky členských států založené na HND;</w:t>
            </w:r>
            <w:r>
              <w:t xml:space="preserve"> </w:t>
            </w:r>
            <w:r>
              <w:rPr>
                <w:b/>
                <w:i/>
              </w:rPr>
              <w:t>v této souvislosti připomíná, že Komise navrhla změny pro příští období VFR s cílem zajistit, aby tyto mimořádné příjmy mohly vést k dodatečným prostředkům na výdaje;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konstatuje</w:t>
            </w:r>
            <w:r>
              <w:t>, že do rozpočtu byly začleněny dodatečné příjmy plynoucí z plateb konečných pokut a penále ve výši 1 185,1 milionu EUR;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vítá skutečnost, že do rozpočtu byly začleněny dodatečné příjmy plynoucí z plateb konečných pokut a penále ve výši 1 185,1 milionu EUR; považuje tyto částky za </w:t>
            </w:r>
            <w:r>
              <w:rPr>
                <w:b/>
                <w:i/>
              </w:rPr>
              <w:t>skutečné zdroje</w:t>
            </w:r>
            <w:r>
              <w:t xml:space="preserve"> příjmů Unie, </w:t>
            </w:r>
            <w:r>
              <w:rPr>
                <w:b/>
                <w:i/>
              </w:rPr>
              <w:t>které snižují</w:t>
            </w:r>
            <w:r>
              <w:t xml:space="preserve"> příspěvky členských států založené na HND; </w:t>
            </w:r>
            <w:r>
              <w:rPr>
                <w:b/>
                <w:i/>
              </w:rPr>
              <w:t>v této souvislosti připomíná, že Komise navrhla změny pro příští období VFR s cílem zajistit, aby tyto mimořádné příjmy mohly vést k dodatečným prostředkům na výdaje;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vítá skutečnost, že do rozpočtu byly začleněny dodatečné příjmy plynoucí z plateb konečných pokut a penále ve výši 1 185,1 milionu EUR; považuje tyto částky za </w:t>
            </w:r>
            <w:r>
              <w:rPr>
                <w:b/>
                <w:i/>
              </w:rPr>
              <w:t>vítané dodatečné příjmy, nikoli však za standardní zdroj</w:t>
            </w:r>
            <w:r>
              <w:t xml:space="preserve"> příjmů Unie, </w:t>
            </w:r>
            <w:r>
              <w:rPr>
                <w:b/>
                <w:i/>
              </w:rPr>
              <w:t>ačkoli umožňují snížit</w:t>
            </w:r>
            <w:r>
              <w:t xml:space="preserve"> příspěvky členských států založené na HND;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Julien Sanchez, Angéline Furet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vítá skutečnost, že do rozpočtu byly začleněny dodatečné příjmy plynoucí z plateb konečných pokut a penále ve výši 1 185,1 milionu EUR; považuje tyto částky za skutečné zdroje příjmů Unie, které snižují příspěvky členských států založené na HND; </w:t>
            </w:r>
            <w:r>
              <w:rPr>
                <w:b/>
                <w:i/>
              </w:rPr>
              <w:t>v této souvislosti</w:t>
            </w:r>
            <w:r>
              <w:t xml:space="preserve"> připomíná, že </w:t>
            </w:r>
            <w:r>
              <w:rPr>
                <w:b/>
                <w:i/>
              </w:rPr>
              <w:t>Komise navrhla změny pro příští období VFR s cílem zajistit, aby</w:t>
            </w:r>
            <w:r>
              <w:t xml:space="preserve"> tyto mimořádné příjmy </w:t>
            </w:r>
            <w:r>
              <w:rPr>
                <w:b/>
                <w:i/>
              </w:rPr>
              <w:t>mohly vést k dodatečným prostředkům na výdaje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vítá skutečnost, že do rozpočtu byly začleněny dodatečné příjmy plynoucí z plateb konečných pokut a penále ve výši 1 185,1 milionu EUR; považuje tyto částky za skutečné zdroje příjmů Unie, které snižují příspěvky členských států založené na HND; připomíná, že tyto mimořádné příjmy </w:t>
            </w:r>
            <w:r>
              <w:rPr>
                <w:b/>
                <w:i/>
              </w:rPr>
              <w:t>by měly být považovány za jednorázové zdroje zaměřené na zmírnění finanční zátěže členských států, a neměly by sloužit jako odůvodnění nových evropských výdajů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Joachim Streit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vítá skutečnost, že do rozpočtu byly začleněny dodatečné příjmy plynoucí z plateb konečných pokut a penále ve výši 1 185,1 milionu EUR; považuje tyto částky za skutečné zdroje příjmů Unie, které snižují příspěvky členských států založené na HND; </w:t>
            </w:r>
            <w:r>
              <w:rPr>
                <w:b/>
                <w:i/>
              </w:rPr>
              <w:t>v této souvislosti připomíná, že Komise navrhla změny pro příští období VFR s cílem zajistit, aby tyto mimořádné</w:t>
            </w:r>
            <w:r>
              <w:t xml:space="preserve"> příjmy </w:t>
            </w:r>
            <w:r>
              <w:rPr>
                <w:b/>
                <w:i/>
              </w:rPr>
              <w:t>mohly vést k dodatečným prostředkům na výdaje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vítá skutečnost, že do rozpočtu byly začleněny dodatečné příjmy plynoucí z plateb konečných pokut a penále ve výši 1 185,1 milionu EUR; považuje tyto částky za skutečné zdroje příjmů Unie, které snižují příspěvky členských států založené na HND; </w:t>
            </w:r>
            <w:r>
              <w:rPr>
                <w:b/>
                <w:i/>
              </w:rPr>
              <w:t>zdůrazňuje, že tyto neočekávané</w:t>
            </w:r>
            <w:r>
              <w:t xml:space="preserve"> příjmy </w:t>
            </w:r>
            <w:r>
              <w:rPr>
                <w:b/>
                <w:i/>
              </w:rPr>
              <w:t>by měly být v první řadě použity ke snížení příspěvků členských států nebo k posílení rozpočtového rozpětí Unie, a nikoli k financování nových výdajů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bere na vědomí aktualizaci úprav platů pro rok 2025 a souhlasí s tím, že do NOR č. 3/2025 začlení rozpočtový dopad této úpravy jako technickou změnu;</w:t>
            </w:r>
            <w:r>
              <w:t xml:space="preserve"> </w:t>
            </w:r>
            <w:r>
              <w:rPr>
                <w:b/>
                <w:i/>
              </w:rPr>
              <w:t>konstatuje, že to znamená snížení nerozlišených prostředků v příslušných rozpočtových položkách a oddílech okruhu 7 o celkem 78,8 milionu EUR;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Julien Sanchez, Angéline Furet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schvaluje</w:t>
            </w:r>
            <w:r>
              <w:t xml:space="preserve"> postoj Rady k návrhu opravného rozpočtu č. 3/2025;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odmítá</w:t>
            </w:r>
            <w:r>
              <w:t xml:space="preserve"> postoj Rady k návrhu opravného rozpočtu č. 3/2025;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Julien Sanchez, Angéline Furet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pověřuje svou předsedkyni, aby prohlásila opravný rozpočet č. 3/2024 za </w:t>
            </w:r>
            <w:r>
              <w:rPr>
                <w:b/>
                <w:i/>
              </w:rPr>
              <w:t>přijatý</w:t>
            </w:r>
            <w:r>
              <w:t xml:space="preserve"> s konečnou platností a aby zajistila jeho zveřejnění v Úředním věstníku Evropské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pověřuje svou předsedkyni, aby prohlásila opravný rozpočet č. 3/2024 za </w:t>
            </w:r>
            <w:r>
              <w:rPr>
                <w:b/>
                <w:i/>
              </w:rPr>
              <w:t>zamítnutý</w:t>
            </w:r>
            <w:r>
              <w:t> s konečnou platností a aby zajistila jeho zveřejnění v Úředním věstníku Evropské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pověřuje </w:t>
            </w:r>
            <w:r>
              <w:rPr>
                <w:b/>
                <w:i/>
              </w:rPr>
              <w:t>svého předsedu, aby předal</w:t>
            </w:r>
            <w:r>
              <w:t xml:space="preserve"> toto usnesení Radě, Komisi, </w:t>
            </w:r>
            <w:r>
              <w:rPr>
                <w:b/>
                <w:i/>
              </w:rPr>
              <w:t>jakož i vnitrostátním</w:t>
            </w:r>
            <w:r>
              <w:t xml:space="preserve"> parlamentům.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pověřuje </w:t>
            </w:r>
            <w:r>
              <w:rPr>
                <w:b/>
                <w:i/>
              </w:rPr>
              <w:t>svou předsedkyni, aby předala</w:t>
            </w:r>
            <w:r>
              <w:t xml:space="preserve"> toto usnesení Radě, Komisi, </w:t>
            </w:r>
            <w:r>
              <w:rPr>
                <w:b/>
                <w:i/>
              </w:rPr>
              <w:t>národním</w:t>
            </w:r>
            <w:r>
              <w:t xml:space="preserve"> parlamentům </w:t>
            </w:r>
            <w:r>
              <w:rPr>
                <w:b/>
                <w:i/>
              </w:rPr>
              <w:t>a Severské radě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779.432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16</w:t>
    </w:r>
    <w:r>
      <w:fldChar w:fldCharType="end"/>
    </w:r>
    <w:r>
      <w:tab/>
    </w:r>
    <w:r>
      <w:rPr>
        <w:rStyle w:val="HideTWBExt"/>
      </w:rPr>
      <w:t>&lt;PathFdR&gt;</w:t>
    </w:r>
    <w:r>
      <w:t>AM\1330944CS.docx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AM\1330944CS.docx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779.432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AM\1330944CS.docx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779.432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16</Pages>
  <Words>3189</Words>
  <Characters>18660</Characters>
  <Application>Microsoft Office Word</Application>
  <DocSecurity>0</DocSecurity>
  <Lines>1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1330944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289681</vt:lpwstr>
  </property>
  <property fmtid="{D5CDD505-2E9C-101B-9397-08002B2CF9AE}" pid="7" name="dmxml.render.traceId">
    <vt:lpwstr>691d71bfb1b6c7dbe92f63b2e6f5ba1d</vt:lpwstr>
  </property>
  <property fmtid="{D5CDD505-2E9C-101B-9397-08002B2CF9AE}" pid="8" name="FooterPath">
    <vt:lpwstr>AM\1330944CS.docx</vt:lpwstr>
  </property>
  <property fmtid="{D5CDD505-2E9C-101B-9397-08002B2CF9AE}" pid="9" name="PE Number">
    <vt:lpwstr>779.432</vt:lpwstr>
  </property>
  <property fmtid="{D5CDD505-2E9C-101B-9397-08002B2CF9AE}" pid="10" name="UID">
    <vt:lpwstr>eu.europa.europarl-DIN1-2025-0000215161_02.00-cs-01.00_text-xml</vt:lpwstr>
  </property>
</Properties>
</file>