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Haushaltsausschuss</w:t>
      </w:r>
      <w:r>
        <w:rPr>
          <w:rStyle w:val="HideTWBExt"/>
        </w:rPr>
        <w:t>&lt;/Commission&gt;</w:t>
      </w:r>
    </w:p>
    <w:p>
      <w:pPr>
        <w:pStyle w:val="LineBottom"/>
      </w:pPr>
      <w:r>
        <w:t xml:space="preserve"> </w:t>
      </w:r>
    </w:p>
    <w:p>
      <w:pPr>
        <w:pStyle w:val="CoverReference"/>
      </w:pPr>
      <w:r>
        <w:rPr>
          <w:rStyle w:val="HideTWBExt"/>
        </w:rPr>
        <w:t>&lt;RefProc&gt;</w:t>
      </w:r>
      <w:r>
        <w:t>2025/0326</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{10/11/2025}</w:t>
      </w:r>
      <w:r>
        <w:t>10.11.2025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14</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Aura Salla</w:t>
      </w:r>
      <w:r>
        <w:rPr>
          <w:rStyle w:val="HideTWBExt"/>
        </w:rPr>
        <w:t>&lt;/Rapporteur&gt;</w:t>
      </w:r>
    </w:p>
    <w:p>
      <w:pPr>
        <w:pStyle w:val="CoverNormal24a"/>
      </w:pPr>
      <w:r>
        <w:rPr>
          <w:rStyle w:val="HideTWBExt"/>
        </w:rPr>
        <w:t>&lt;DocRefPE&gt;</w:t>
      </w:r>
      <w:r>
        <w:t>(PE779.349v01-00)</w:t>
      </w:r>
      <w:r>
        <w:rPr>
          <w:rStyle w:val="HideTWBExt"/>
        </w:rPr>
        <w:t>&lt;/DocRefPE&gt;</w:t>
      </w:r>
    </w:p>
    <w:p>
      <w:pPr>
        <w:pStyle w:val="CoverNormal"/>
      </w:pPr>
      <w:r>
        <w:rPr>
          <w:rStyle w:val="HideTWBExt"/>
        </w:rPr>
        <w:t>&lt;Titre&gt;</w:t>
      </w:r>
      <w:r>
        <w:t>Inanspruchnahme des Europäischen Fonds für die Anpassung an die Globalisierung zugunsten entlassener Arbeitnehmer – Antrag Schwedens (EGF/2025/003 SE/Northvolt)</w:t>
      </w:r>
      <w:r>
        <w:rPr>
          <w:rStyle w:val="HideTWBExt"/>
        </w:rPr>
        <w:t>&lt;/Titre&gt;</w:t>
      </w:r>
    </w:p>
    <w:p>
      <w:pPr>
        <w:pStyle w:val="CoverNormal24a"/>
      </w:pPr>
      <w:r>
        <w:rPr>
          <w:rStyle w:val="HideTWBExt"/>
        </w:rPr>
        <w:t>&lt;DocRef&gt;</w:t>
      </w:r>
      <w:r>
        <w:t>(2025/0326(BUD))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Northvolt auf Architektur- und Ingenieurtätigkeiten, technische Prüfungen und die Herstellung von Batterien spezialisiert war; in der Erwägung, dass das Unternehmen am 12. März 2025 aufgrund von Produktionsschwierigkeiten Insolvenz anmeldete, insbesondere aufgrund eines Überangebots, das durch den intensiven Wettbewerb durch Importe vor allem aus China verursacht wurde, das mit einem Anteil von mehr als 80 % an der weltweiten Batterieproduktion den Weltmarkt dominiert;</w:t>
            </w:r>
          </w:p>
        </w:tc>
        <w:tc>
          <w:tcPr>
            <w:tcW w:w="4876" w:type="dxa"/>
            <w:tcBorders>
              <w:top w:val="nil"/>
              <w:left w:val="nil"/>
              <w:bottom w:val="nil"/>
              <w:right w:val="nil"/>
            </w:tcBorders>
          </w:tcPr>
          <w:p>
            <w:pPr>
              <w:pStyle w:val="Normal6a"/>
            </w:pPr>
            <w:r>
              <w:t>E.</w:t>
            </w:r>
            <w:r>
              <w:tab/>
            </w:r>
            <w:r>
              <w:t xml:space="preserve">in der Erwägung, dass </w:t>
            </w:r>
            <w:r>
              <w:rPr>
                <w:b/>
                <w:i/>
              </w:rPr>
              <w:t>diese Insolvenz insofern das Scheitern des europäischen Grünen Deals deutlich macht, als</w:t>
            </w:r>
            <w:r>
              <w:t xml:space="preserve"> Northvolt auf Architektur- und Ingenieurtätigkeiten, technische Prüfungen und die Herstellung von Batterien spezialisiert war; in der Erwägung, dass das Unternehmen am 12. März 2025 aufgrund von Produktionsschwierigkeiten Insolvenz anmeldete, insbesondere aufgrund eines Überangebots, das durch den intensiven Wettbewerb durch Importe vor allem aus China verursacht wurde, das mit einem Anteil von mehr als 80 % an der weltweiten Batterieproduktion den Weltmarkt dominiert;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Europa eine starke und wettbewerbsfähige </w:t>
            </w:r>
            <w:r>
              <w:rPr>
                <w:b/>
                <w:i/>
              </w:rPr>
              <w:t>Batterieindustrie</w:t>
            </w:r>
            <w:r>
              <w:t xml:space="preserve"> braucht, um schädliche strategische Abhängigkeiten zu verringern, seine industrielle Autonomie zu stärken und </w:t>
            </w:r>
            <w:r>
              <w:rPr>
                <w:b/>
                <w:i/>
              </w:rPr>
              <w:t>seine Klima- und Energiewendeziele zu erreichen</w:t>
            </w:r>
            <w:r>
              <w:t>; in der Erwägung, dass die Batterie- und Zulieferindustrie mit hohen Energie- und Kapitalkosten, Produktionsverzögerungen, globalen Marktverzerrungen sowie einem zunehmenden Wettbewerbsdruck durch Hersteller aus Drittländern, insbesondere aus China, konfrontiert ist</w:t>
            </w:r>
            <w:r>
              <w:rPr>
                <w:vertAlign w:val="superscript"/>
              </w:rPr>
              <w:t>7</w:t>
            </w:r>
            <w:r>
              <w:t>;</w:t>
            </w:r>
          </w:p>
        </w:tc>
        <w:tc>
          <w:tcPr>
            <w:tcW w:w="4876" w:type="dxa"/>
            <w:tcBorders>
              <w:top w:val="nil"/>
              <w:left w:val="nil"/>
              <w:bottom w:val="nil"/>
              <w:right w:val="nil"/>
            </w:tcBorders>
          </w:tcPr>
          <w:p>
            <w:pPr>
              <w:pStyle w:val="Normal6a"/>
            </w:pPr>
            <w:r>
              <w:t>F.</w:t>
            </w:r>
            <w:r>
              <w:tab/>
            </w:r>
            <w:r>
              <w:t xml:space="preserve">in der Erwägung, dass Europa eine </w:t>
            </w:r>
            <w:r>
              <w:rPr>
                <w:b/>
                <w:i/>
              </w:rPr>
              <w:t>geschützte ,</w:t>
            </w:r>
            <w:r>
              <w:t xml:space="preserve">starke und wettbewerbsfähige </w:t>
            </w:r>
            <w:r>
              <w:rPr>
                <w:b/>
                <w:i/>
              </w:rPr>
              <w:t>Industrie</w:t>
            </w:r>
            <w:r>
              <w:t xml:space="preserve"> braucht, um schädliche strategische Abhängigkeiten zu verringern, seine industrielle Autonomie zu stärken und </w:t>
            </w:r>
            <w:r>
              <w:rPr>
                <w:b/>
                <w:i/>
              </w:rPr>
              <w:t>Arbeitnehmer zu schützen</w:t>
            </w:r>
            <w:r>
              <w:t>; in der Erwägung, dass die Batterie- und Zulieferindustrie mit hohen Energie- und Kapitalkosten, Produktionsverzögerungen, globalen Marktverzerrungen sowie einem zunehmenden Wettbewerbsdruck durch Hersteller aus Drittländern, insbesondere aus China, konfrontiert ist</w:t>
            </w:r>
            <w:r>
              <w:rPr>
                <w:vertAlign w:val="superscript"/>
              </w:rPr>
              <w:t>7</w:t>
            </w:r>
            <w:r>
              <w:t xml:space="preserve">; </w:t>
            </w:r>
            <w:r>
              <w:rPr>
                <w:b/>
                <w:i/>
              </w:rPr>
              <w:t>in der Erwägung, dass die Mobilität der Europäer auch durch die schrittweise Abschaffung von Verbrennungsmotoren ab 2035 gefährdet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Arbeitsprogramm der Kommission für 2026: „Ein unabhängiges Europa“ https://commission.europa.eu/strategy-and-policy/strategy-documents/commission-work-programme/commission-work-programme-2026_en</w:t>
            </w:r>
          </w:p>
        </w:tc>
        <w:tc>
          <w:tcPr>
            <w:tcW w:w="4876" w:type="dxa"/>
            <w:tcBorders>
              <w:top w:val="nil"/>
              <w:left w:val="nil"/>
              <w:bottom w:val="nil"/>
              <w:right w:val="nil"/>
            </w:tcBorders>
          </w:tcPr>
          <w:p>
            <w:pPr>
              <w:pStyle w:val="Normal6a"/>
            </w:pPr>
            <w:r>
              <w:rPr>
                <w:vertAlign w:val="superscript"/>
              </w:rPr>
              <w:t>7</w:t>
            </w:r>
            <w:r>
              <w:t xml:space="preserve"> </w:t>
            </w:r>
            <w:r>
              <w:t>Arbeitsprogramm der Kommission für 2026: „Ein unabhängiges Europa“ https://commission.europa.eu/strategy-and-policy/strategy-documents/commission-work-programme/commission-work-programme-2026_en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40 % der Beschäftigten von Northvolt Drittstaatsangehörige waren, deren Arbeits- und Aufenthaltserlaubnis von ihrer Beschäftigung abhängig war;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stellt fest, dass sich der Antrag auf 6 486 entlassene Arbeitnehmer bezieht, die im Zusammenhang mit der größten Insolvenz in der jüngeren Geschichte Schwedens von einer umfassenden Umstrukturierung des Unternehmens Northvolt betroffen waren; stellt ferner fest, dass insgesamt 5 800 entlassene Arbeitnehmer zu unterstützende Begünstigte sein und voraussichtlich an den Maßnahmen teilnehmen werden;</w:t>
            </w:r>
          </w:p>
        </w:tc>
        <w:tc>
          <w:tcPr>
            <w:tcW w:w="4876" w:type="dxa"/>
            <w:tcBorders>
              <w:top w:val="nil"/>
              <w:left w:val="nil"/>
              <w:bottom w:val="nil"/>
              <w:right w:val="nil"/>
            </w:tcBorders>
          </w:tcPr>
          <w:p>
            <w:pPr>
              <w:pStyle w:val="Normal6a"/>
            </w:pPr>
            <w:r>
              <w:t>3.</w:t>
            </w:r>
            <w:r>
              <w:tab/>
            </w:r>
            <w:r>
              <w:t xml:space="preserve">stellt fest, dass sich der Antrag auf 6 486 entlassene Arbeitnehmer bezieht, die im Zusammenhang mit der größten Insolvenz in der jüngeren Geschichte Schwedens von einer umfassenden Umstrukturierung des Unternehmens Northvolt betroffen waren; stellt ferner fest, dass insgesamt 5 800 entlassene Arbeitnehmer zu unterstützende Begünstigte sein und voraussichtlich an den Maßnahmen teilnehmen werden; </w:t>
            </w:r>
            <w:r>
              <w:rPr>
                <w:b/>
                <w:i/>
              </w:rPr>
              <w:t>bedauert, dass Menschen mit unzureichender Erwerbsbiographie und Drittstaatsangehörige ohne Daueraufenthaltsrecht nicht in den Genuss eines koordinierten Pakets personalisierter Dienstleistungen kamen;</w:t>
            </w:r>
            <w:r>
              <w:t xml:space="preserve"> </w:t>
            </w:r>
            <w:r>
              <w:rPr>
                <w:b/>
                <w:i/>
              </w:rPr>
              <w:t>betont die Bedeutung von Maßnahmen, die sich an alle betroffenen Gruppen richten müssen, damit niemand zurückgelassen wird;</w:t>
            </w:r>
            <w:r>
              <w:t xml:space="preserve"> </w:t>
            </w:r>
            <w:r>
              <w:rPr>
                <w:b/>
                <w:i/>
              </w:rPr>
              <w:t>bedauert, dass einige Unterauftragnehmer Arbeitnehmer nicht im Rahmen der offenen Stellen in Schweden übernehmen konnten und diese Arbeitnehmer stattdessen entlassen wurden;</w:t>
            </w:r>
            <w:r>
              <w:t xml:space="preserve"> </w:t>
            </w:r>
            <w:r>
              <w:rPr>
                <w:b/>
                <w:i/>
              </w:rPr>
              <w:t>fordert die schwedischen Behörden auf, die Möglichkeiten zur Besetzung offener Stellen durch die entlassenen Arbeitnehmer im Dialog mit Unterauftragnehmern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stellt fest, dass sich der Antrag auf 6 486 entlassene Arbeitnehmer bezieht, die im Zusammenhang mit der größten Insolvenz in der jüngeren Geschichte Schwedens von einer umfassenden Umstrukturierung des Unternehmens Northvolt betroffen waren; stellt ferner fest, dass insgesamt 5 800 entlassene Arbeitnehmer zu unterstützende Begünstigte sein und voraussichtlich an den Maßnahmen teilnehmen werden;</w:t>
            </w:r>
          </w:p>
        </w:tc>
        <w:tc>
          <w:tcPr>
            <w:tcW w:w="4876" w:type="dxa"/>
            <w:tcBorders>
              <w:top w:val="nil"/>
              <w:left w:val="nil"/>
              <w:bottom w:val="nil"/>
              <w:right w:val="nil"/>
            </w:tcBorders>
          </w:tcPr>
          <w:p>
            <w:pPr>
              <w:pStyle w:val="Normal6a"/>
            </w:pPr>
            <w:r>
              <w:t>3.</w:t>
            </w:r>
            <w:r>
              <w:tab/>
            </w:r>
            <w:r>
              <w:t xml:space="preserve">stellt fest, dass sich der Antrag auf 6 486 entlassene Arbeitnehmer bezieht, die im Zusammenhang mit der größten Insolvenz in der jüngeren Geschichte Schwedens von einer umfassenden Umstrukturierung des Unternehmens Northvolt betroffen waren; stellt ferner fest, dass insgesamt 5 800 entlassene Arbeitnehmer zu unterstützende Begünstigte sein und voraussichtlich an den Maßnahmen teilnehmen werden; </w:t>
            </w:r>
            <w:r>
              <w:rPr>
                <w:b/>
                <w:i/>
              </w:rPr>
              <w:t>fordert, dass dringend eine gründliche Prüfung der Frage erforderlich ist, ob die Kommission die richtige Vorabbewertung und Entscheidung im Zusammenhang mit der Subventionierung dieses „grünen Projekts“ vorgenommen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stellt fest, dass das amerikanische Start-up-Unternehmen Lyten, das weltweit führend im Bereich Lithium-Sulfur-Batterien ist, im August 2025 eine verbindliche Vereinbarung über den Erwerb der verbleibenden Vermögenswerte von Northvolt in Schweden, Deutschland und Polen bis Ende 2025 geschlossen hat und vorhat, die entlassenen Arbeitskräfte unter Berücksichtigung der Fähigkeit, ihnen gleichwertige Positionen in der Region anzubieten, wieder einzustellen;</w:t>
            </w:r>
          </w:p>
        </w:tc>
        <w:tc>
          <w:tcPr>
            <w:tcW w:w="4876" w:type="dxa"/>
            <w:tcBorders>
              <w:top w:val="nil"/>
              <w:left w:val="nil"/>
              <w:bottom w:val="nil"/>
              <w:right w:val="nil"/>
            </w:tcBorders>
          </w:tcPr>
          <w:p>
            <w:pPr>
              <w:pStyle w:val="Normal6a"/>
            </w:pPr>
            <w:r>
              <w:t>5.</w:t>
            </w:r>
            <w:r>
              <w:tab/>
            </w:r>
            <w:r>
              <w:t xml:space="preserve">stellt fest, dass das amerikanische Start-up-Unternehmen Lyten, das weltweit führend im Bereich Lithium-Sulfur-Batterien ist, im August 2025 eine verbindliche Vereinbarung über den Erwerb der verbleibenden Vermögenswerte von Northvolt in Schweden, Deutschland und Polen bis Ende 2025 geschlossen hat und vorhat, die entlassenen Arbeitskräfte unter Berücksichtigung der Fähigkeit, ihnen gleichwertige Positionen in der Region anzubieten, wieder einzustellen; </w:t>
            </w:r>
            <w:r>
              <w:rPr>
                <w:b/>
                <w:i/>
              </w:rPr>
              <w:t>betont, dass Wiedereinstellungen als vorrangige Option in Betracht gezogen und alle nicht verwendeten Beträge im Falle einer Übernahme an die Kommission zurückgezahlt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weist darauf hin, dass es sich bei den in Abstimmung mit den Gewerkschaften und den Sozialpartnern vereinbarten personalisierten Dienstleistungen, die allen Arbeitnehmern angeboten werden sollen, um folgende Maßnahmen handelt: eingehende Bewertung und individuelle Planung, Maßnahmen im Hinblick auf Stellensuche und Coaching, Unterstützung bei der Unternehmensgründung und Investitionsförderung, Arbeitsmarktschulungen, Ausbildungskurse, besondere Unterstützung für den Eintritt in den Arbeitsmarkt oder die Teilnahme an Bildung, Beihilfen und Schulungen für digitale Kompetenzen;</w:t>
            </w:r>
          </w:p>
        </w:tc>
        <w:tc>
          <w:tcPr>
            <w:tcW w:w="4876" w:type="dxa"/>
            <w:tcBorders>
              <w:top w:val="nil"/>
              <w:left w:val="nil"/>
              <w:bottom w:val="nil"/>
              <w:right w:val="nil"/>
            </w:tcBorders>
          </w:tcPr>
          <w:p>
            <w:pPr>
              <w:pStyle w:val="Normal6a"/>
            </w:pPr>
            <w:r>
              <w:t>6.</w:t>
            </w:r>
            <w:r>
              <w:tab/>
            </w:r>
            <w:r>
              <w:t xml:space="preserve">weist darauf hin, dass es sich bei den in Abstimmung mit den Gewerkschaften und den Sozialpartnern vereinbarten personalisierten Dienstleistungen, die allen Arbeitnehmern angeboten werden sollen, um folgende Maßnahmen handelt: eingehende Bewertung und individuelle Planung, Maßnahmen im Hinblick auf Stellensuche und Coaching, Unterstützung bei der Unternehmensgründung und Investitionsförderung, Arbeitsmarktschulungen, Ausbildungskurse, besondere Unterstützung für den Eintritt in den Arbeitsmarkt oder die Teilnahme an Bildung, Beihilfen und Schulungen für digitale Kompetenzen; </w:t>
            </w:r>
            <w:r>
              <w:rPr>
                <w:b/>
                <w:i/>
              </w:rPr>
              <w:t>weist darauf hin, dass die schwedischen Behörden durch die kohärente, wirksame und gezielte Information verschiedener Zielgruppen – auch durch die gezielte Information der zu unterstützenden Begünstigten, der lokalen und regionalen Behörden, der Sozialpartner, der Medien und der Öffentlichkeit – die Herkunft von Unionsmitteln bekannt machen und sicherstellen müssen, dass die Unionsförderung deutlich herausgestellt wird, wobei außerdem der EU-Mehrwert der Maßnahme hervorzuheben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Adnan Dibrani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betont, dass die Qualifikationen und Kompetenzen der entlassenen Arbeitnehmer nach wie vor von entscheidender Bedeutung für eine zukunftssichere europäische Wirtschaft sind, die den grünen Wandel erfolgreich umsetzt;</w:t>
            </w:r>
            <w:r>
              <w:t xml:space="preserve"> </w:t>
            </w:r>
            <w:r>
              <w:rPr>
                <w:b/>
                <w:i/>
              </w:rPr>
              <w:t>ist daher der Ansicht, dass die Inanspruchnahme des EGF in eine umfassendere politische Reaktion einzubetten ist, um dafür zu sorgen, dass den betroffenen Arbeitnehmern angemessene Möglichkeiten im Einklang mit ihren Qualifikationen und Kompetenzen offenstehen;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fordert eine gründliche abschließende Bewertung der umgesetzten Maßnahmen, einschließlich klarer Informationen darüber, wie die Mittel verwendet wurden und ob sie im Einklang mit den genehmigten Plänen ausgegeben wurden, insbesondere in Fällen direkter finanzieller Unterstützung wie Start-up- und Investitionsförderung; fordert ferner Daten über die Anzahl der Arbeitnehmer, denen erfolgreich eine neue Beschäftigung vermittelt wurde, und derjenigen, die Schulungs- und Weiterbildungsmaßnahmen abgeschlossen haben;</w:t>
            </w:r>
          </w:p>
        </w:tc>
        <w:tc>
          <w:tcPr>
            <w:tcW w:w="4876" w:type="dxa"/>
            <w:tcBorders>
              <w:top w:val="nil"/>
              <w:left w:val="nil"/>
              <w:bottom w:val="nil"/>
              <w:right w:val="nil"/>
            </w:tcBorders>
          </w:tcPr>
          <w:p>
            <w:pPr>
              <w:pStyle w:val="Normal6a"/>
            </w:pPr>
            <w:r>
              <w:t>7.</w:t>
            </w:r>
            <w:r>
              <w:tab/>
            </w:r>
            <w:r>
              <w:rPr>
                <w:b/>
                <w:i/>
              </w:rPr>
              <w:t>weist darauf hin, dass Northvolt beabsichtigte, „grüne Energie“ für seine Produktion zu nutzen, dies jedoch nicht umgesetzt hat;</w:t>
            </w:r>
            <w:r>
              <w:t xml:space="preserve"> </w:t>
            </w:r>
            <w:r>
              <w:rPr>
                <w:b/>
                <w:i/>
              </w:rPr>
              <w:t>stellt fest, dass das Unternehmen Schwierigkeiten hatte, die Anlage in Betrieb zu nehmen;</w:t>
            </w:r>
            <w:r>
              <w:t xml:space="preserve"> fordert eine gründliche abschließende Bewertung der umgesetzten Maßnahmen, einschließlich klarer Informationen darüber, wie die Mittel verwendet wurden und ob sie im Einklang mit den genehmigten Plänen ausgegeben wurden, insbesondere in Fällen direkter finanzieller Unterstützung wie Start-up- und Investitionsförderung;</w:t>
            </w:r>
            <w:r>
              <w:rPr>
                <w:b/>
                <w:i/>
              </w:rPr>
              <w:t> </w:t>
            </w:r>
            <w:r>
              <w:t xml:space="preserve"> </w:t>
            </w:r>
            <w:r>
              <w:rPr>
                <w:b/>
                <w:i/>
              </w:rPr>
              <w:t>fordert eine gründliche Überprüfung, ob Northvolt im Einklang mit den anerkannten internationalen Standards für die Unternehmensführung geführt wurde;</w:t>
            </w:r>
            <w:r>
              <w:t xml:space="preserve"> </w:t>
            </w:r>
            <w:r>
              <w:rPr>
                <w:b/>
                <w:i/>
              </w:rPr>
              <w:t>fordert, dass gründlich geprüft wird, weshalb das Projekt in der Insolvenz geendet hat, wodurch für die Union Kosten in Höhe von mindestens 902 Mio. EUR entstanden sind, und ob dies mit einer allgemein besseren Unternehmensführung hätte abgewendet werden können;</w:t>
            </w:r>
            <w:r>
              <w:t xml:space="preserve"> fordert ferner Daten über die Anzahl der Arbeitnehmer, denen erfolgreich eine neue Beschäftigung vermittelt wurde, und derjenigen, die Schulungs- und Weiterbildungsmaßnahmen abgeschlossen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betont</w:t>
            </w:r>
            <w:r>
              <w:t>, dass die schwedischen Behörden zugesichert haben, dass der Grundsatz der Gleichbehandlung und das Diskriminierungsverbot beim Zugang zu den vorgeschlagenen Maßnahmen und bei ihrer Durchführung beachtet werden und dass jegliche Doppelfinanzierung verhindert wird;</w:t>
            </w:r>
          </w:p>
        </w:tc>
        <w:tc>
          <w:tcPr>
            <w:tcW w:w="4876" w:type="dxa"/>
            <w:tcBorders>
              <w:top w:val="nil"/>
              <w:left w:val="nil"/>
              <w:bottom w:val="nil"/>
              <w:right w:val="nil"/>
            </w:tcBorders>
          </w:tcPr>
          <w:p>
            <w:pPr>
              <w:pStyle w:val="Normal6a"/>
            </w:pPr>
            <w:r>
              <w:t>9.</w:t>
            </w:r>
            <w:r>
              <w:tab/>
            </w:r>
            <w:r>
              <w:rPr>
                <w:b/>
                <w:i/>
              </w:rPr>
              <w:t>stellt fest</w:t>
            </w:r>
            <w:r>
              <w:t>, dass die schwedischen Behörden zugesichert haben, dass der Grundsatz der Gleichbehandlung und das Diskriminierungsverbot beim Zugang zu den vorgeschlagenen Maßnahmen und bei ihrer Durchführung beachtet werden und dass jegliche Doppelfinanzierung verhindert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betont, dass es dringend kohärenter und koordinierter Anstrengungen der Union zur Steigerung ihrer Wettbewerbsfähigkeit bedarf, die in enger Partnerschaft mit den Mitgliedstaaten entwickelt werden müssen, um eine zukunftsfähige industrielle Beschäftigungsbasis in Europa zu sichern, die den Anforderungen der industriellen Autonomie Europas gerecht wird und die Position der Union in strategischen Sektoren wie der Batterie- und Zulieferindustrie stärkt und gleichzeitig die umwelt- und digitalpolitischen Ziele der Union vorantreibt; betont, dass sich Massenentlassungen nur durch eine robuste und krisenfeste europäische Wirtschaft wirksam verhindern lassen, wobei in erster Linie der Bedarf an Eingriffen im Rahmen des EGF verringert würde; betont, dass für eine klare Anerkennung und Sichtbarkeit der von der EU geleisteten finanziellen Unterstützung gesorgt werden muss, damit deren Mehrwert herausgestellt wird; fordert eine kohärente und gezielte Kommunikation gegenüber den Begünstigten, regionalen und lokalen Behörden, Sozialpartnern, Medien und der breiten Öffentlichkeit;</w:t>
            </w:r>
          </w:p>
        </w:tc>
        <w:tc>
          <w:tcPr>
            <w:tcW w:w="4876" w:type="dxa"/>
            <w:tcBorders>
              <w:top w:val="nil"/>
              <w:left w:val="nil"/>
              <w:bottom w:val="nil"/>
              <w:right w:val="nil"/>
            </w:tcBorders>
          </w:tcPr>
          <w:p>
            <w:pPr>
              <w:pStyle w:val="Normal6a"/>
            </w:pPr>
            <w:r>
              <w:t>11.</w:t>
            </w:r>
            <w:r>
              <w:tab/>
            </w:r>
            <w:r>
              <w:t xml:space="preserve">betont, dass es dringend kohärenter und koordinierter Anstrengungen der Union zur Steigerung ihrer Wettbewerbsfähigkeit bedarf, die in enger Partnerschaft mit den Mitgliedstaaten entwickelt werden müssen, um eine zukunftsfähige industrielle Beschäftigungsbasis in Europa zu sichern, die den Anforderungen der industriellen Autonomie Europas gerecht wird und die Position der Union in strategischen Sektoren wie der Batterie- und Zulieferindustrie stärkt und gleichzeitig die umwelt- und digitalpolitischen Ziele der Union vorantreibt; betont, dass sich Massenentlassungen nur durch eine robuste und krisenfeste europäische Wirtschaft wirksam verhindern lassen, wobei in erster Linie der Bedarf an Eingriffen im Rahmen des EGF verringert würde; betont, dass für eine klare Anerkennung und Sichtbarkeit der von der EU geleisteten finanziellen Unterstützung gesorgt werden muss, damit deren Mehrwert herausgestellt wird; fordert eine kohärente und gezielte Kommunikation gegenüber den Begünstigten, regionalen und lokalen Behörden, Sozialpartnern, Medien und der breiten Öffentlichkeit; </w:t>
            </w:r>
            <w:r>
              <w:rPr>
                <w:b/>
                <w:i/>
              </w:rPr>
              <w:t>bedauert, dass die Batterieindustrie der Union darunter leidet, dass die chinesische Regierung ihre Hersteller subventioniert, wodurch es zu einer weltweiten Wettbewerbsverzerrung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es dringend kohärenter und koordinierter Anstrengungen der Union zur Steigerung ihrer Wettbewerbsfähigkeit bedarf, die in enger Partnerschaft mit den Mitgliedstaaten entwickelt werden müssen, um eine zukunftsfähige industrielle Beschäftigungsbasis in Europa zu sichern, die den Anforderungen der industriellen Autonomie Europas gerecht wird und die Position der Union in strategischen Sektoren wie der Batterie- und Zulieferindustrie stärkt </w:t>
            </w:r>
            <w:r>
              <w:rPr>
                <w:b/>
                <w:i/>
              </w:rPr>
              <w:t>und</w:t>
            </w:r>
            <w:r>
              <w:t xml:space="preserve"> gleichzeitig die </w:t>
            </w:r>
            <w:r>
              <w:rPr>
                <w:b/>
                <w:i/>
              </w:rPr>
              <w:t>umwelt- und digitalpolitischen Ziele der Union vorantreibt</w:t>
            </w:r>
            <w:r>
              <w:t xml:space="preserve">; betont, dass sich Massenentlassungen nur durch eine robuste und krisenfeste europäische Wirtschaft wirksam verhindern lassen, wobei in erster Linie der Bedarf an Eingriffen im Rahmen des EGF verringert würde; </w:t>
            </w:r>
            <w:r>
              <w:rPr>
                <w:b/>
                <w:i/>
              </w:rPr>
              <w:t>betont, dass für eine klare Anerkennung und Sichtbarkeit der von der EU geleisteten finanziellen Unterstützung gesorgt werden muss, damit deren Mehrwert herausgestellt wird</w:t>
            </w:r>
            <w:r>
              <w:t>; fordert eine kohärente und gezielte Kommunikation gegenüber den Begünstigten, regionalen und lokalen Behörden, Sozialpartnern, Medien und der breiten Öffentlichkeit;</w:t>
            </w:r>
          </w:p>
        </w:tc>
        <w:tc>
          <w:tcPr>
            <w:tcW w:w="4876" w:type="dxa"/>
            <w:tcBorders>
              <w:top w:val="nil"/>
              <w:left w:val="nil"/>
              <w:bottom w:val="nil"/>
              <w:right w:val="nil"/>
            </w:tcBorders>
          </w:tcPr>
          <w:p>
            <w:pPr>
              <w:pStyle w:val="Normal6a"/>
            </w:pPr>
            <w:r>
              <w:t>11.</w:t>
            </w:r>
            <w:r>
              <w:tab/>
            </w:r>
            <w:r>
              <w:t>betont, dass es dringend kohärenter und koordinierter Anstrengungen der Union zur Steigerung ihrer Wettbewerbsfähigkeit bedarf, die in enger Partnerschaft mit den Mitgliedstaaten entwickelt werden müssen, um eine zukunftsfähige industrielle Beschäftigungsbasis in Europa zu sichern, die den Anforderungen der industriellen Autonomie Europas gerecht wird und die Position der Union in strategischen Sektoren wie der Batterie- und Zulieferindustrie stärkt</w:t>
            </w:r>
            <w:r>
              <w:rPr>
                <w:b/>
                <w:i/>
              </w:rPr>
              <w:t>, wobei</w:t>
            </w:r>
            <w:r>
              <w:t xml:space="preserve"> gleichzeitig die </w:t>
            </w:r>
            <w:r>
              <w:rPr>
                <w:b/>
                <w:i/>
              </w:rPr>
              <w:t>ordnungsgemäße Verwendung und der Schutz des Unionshaushalts sicherzustellen sind</w:t>
            </w:r>
            <w:r>
              <w:t xml:space="preserve">; betont, dass sich Massenentlassungen nur durch eine robuste und krisenfeste europäische Wirtschaft </w:t>
            </w:r>
            <w:r>
              <w:rPr>
                <w:b/>
                <w:i/>
              </w:rPr>
              <w:t>zusammen mit guter Unternehmensführung</w:t>
            </w:r>
            <w:r>
              <w:t xml:space="preserve"> wirksam verhindern lassen, wobei in erster Linie der Bedarf an Eingriffen im Rahmen des EGF verringert würde; </w:t>
            </w:r>
            <w:r>
              <w:rPr>
                <w:b/>
                <w:i/>
              </w:rPr>
              <w:t>bedauert, dass so viel Steuergeld der europäischen Bürger und der Mitgliedstaaten (insbesondere Deutschland) in ein schlecht ausgeführtes „grünes Projekt“ geflossen ist</w:t>
            </w:r>
            <w:r>
              <w:t xml:space="preserve">; fordert eine kohärente und gezielte Kommunikation gegenüber den Begünstigten, regionalen und lokalen Behörden, Sozialpartnern, Medien und der breiten Öffentlichkeit </w:t>
            </w:r>
            <w:r>
              <w:rPr>
                <w:b/>
                <w:i/>
              </w:rPr>
              <w:t>im Hinblick auf die Frage, weshalb und wie dieses Nothvolt-Projekt dermaßen schiefgehen konnte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Adnan Dibrani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es dringend kohärenter und koordinierter Anstrengungen der Union zur </w:t>
            </w:r>
            <w:r>
              <w:rPr>
                <w:b/>
                <w:i/>
              </w:rPr>
              <w:t>Steigerung ihrer</w:t>
            </w:r>
            <w:r>
              <w:t xml:space="preserve"> Wettbewerbsfähigkeit bedarf, die in enger Partnerschaft mit den Mitgliedstaaten entwickelt werden müssen, um eine zukunftsfähige industrielle Beschäftigungsbasis in Europa zu sichern, die den Anforderungen der industriellen Autonomie Europas gerecht wird und die Position der Union in strategischen Sektoren wie der Batterie- und Zulieferindustrie stärkt und gleichzeitig </w:t>
            </w:r>
            <w:r>
              <w:rPr>
                <w:b/>
                <w:i/>
              </w:rPr>
              <w:t>die umwelt- und digitalpolitischen Ziele</w:t>
            </w:r>
            <w:r>
              <w:t xml:space="preserve"> der Union vorantreibt; betont, dass sich Massenentlassungen nur durch eine robuste </w:t>
            </w:r>
            <w:r>
              <w:rPr>
                <w:b/>
                <w:i/>
              </w:rPr>
              <w:t>und</w:t>
            </w:r>
            <w:r>
              <w:t xml:space="preserve"> krisenfeste europäische Wirtschaft wirksam verhindern lassen, wobei in erster Linie der Bedarf an Eingriffen im Rahmen des EGF verringert würde; betont, dass für eine klare Anerkennung und Sichtbarkeit der von der EU geleisteten finanziellen Unterstützung gesorgt werden muss, damit deren Mehrwert herausgestellt </w:t>
            </w:r>
            <w:r>
              <w:rPr>
                <w:b/>
                <w:i/>
              </w:rPr>
              <w:t>wird</w:t>
            </w:r>
            <w:r>
              <w:t>; fordert eine kohärente und gezielte Kommunikation gegenüber den Begünstigten, regionalen und lokalen Behörden, Sozialpartnern, Medien und der breiten Öffentlichkeit;</w:t>
            </w:r>
          </w:p>
        </w:tc>
        <w:tc>
          <w:tcPr>
            <w:tcW w:w="4876" w:type="dxa"/>
            <w:tcBorders>
              <w:top w:val="nil"/>
              <w:left w:val="nil"/>
              <w:bottom w:val="nil"/>
              <w:right w:val="nil"/>
            </w:tcBorders>
          </w:tcPr>
          <w:p>
            <w:pPr>
              <w:pStyle w:val="Normal6a"/>
            </w:pPr>
            <w:r>
              <w:t>11.</w:t>
            </w:r>
            <w:r>
              <w:tab/>
            </w:r>
            <w:r>
              <w:t xml:space="preserve">betont, dass es dringend kohärenter und koordinierter Anstrengungen der Union zur </w:t>
            </w:r>
            <w:r>
              <w:rPr>
                <w:b/>
                <w:i/>
              </w:rPr>
              <w:t>Sicherstellung der</w:t>
            </w:r>
            <w:r>
              <w:t xml:space="preserve"> Wettbewerbsfähigkeit </w:t>
            </w:r>
            <w:r>
              <w:rPr>
                <w:b/>
                <w:i/>
              </w:rPr>
              <w:t>und der strategischen Autonomie</w:t>
            </w:r>
            <w:r>
              <w:t xml:space="preserve"> bedarf, die in enger Partnerschaft mit den Mitgliedstaaten </w:t>
            </w:r>
            <w:r>
              <w:rPr>
                <w:b/>
                <w:i/>
              </w:rPr>
              <w:t>und den Regionen</w:t>
            </w:r>
            <w:r>
              <w:t xml:space="preserve"> entwickelt werden müssen, um eine zukunftsfähige industrielle Beschäftigungsbasis in Europa zu sichern, die den Anforderungen der industriellen Autonomie Europas gerecht wird und die Position der Union in strategischen Sektoren wie der Batterie- und Zulieferindustrie stärkt und gleichzeitig </w:t>
            </w:r>
            <w:r>
              <w:rPr>
                <w:b/>
                <w:i/>
              </w:rPr>
              <w:t>den grünen und digitalen Wandel</w:t>
            </w:r>
            <w:r>
              <w:t xml:space="preserve"> der Union vorantreibt; betont, dass sich Massenentlassungen nur durch eine robuste</w:t>
            </w:r>
            <w:r>
              <w:rPr>
                <w:b/>
                <w:i/>
              </w:rPr>
              <w:t>,</w:t>
            </w:r>
            <w:r>
              <w:t xml:space="preserve"> krisenfeste </w:t>
            </w:r>
            <w:r>
              <w:rPr>
                <w:b/>
                <w:i/>
              </w:rPr>
              <w:t>und nachhaltige</w:t>
            </w:r>
            <w:r>
              <w:t xml:space="preserve"> europäische Wirtschaft wirksam verhindern lassen, wobei in erster Linie der Bedarf an Eingriffen im Rahmen des EGF verringert würde; betont, dass für eine klare Anerkennung und Sichtbarkeit der von der EU geleisteten finanziellen Unterstützung gesorgt werden muss, damit deren Mehrwert </w:t>
            </w:r>
            <w:r>
              <w:rPr>
                <w:b/>
                <w:i/>
              </w:rPr>
              <w:t>und die durch den EGF verkörperte europäische Solidarität</w:t>
            </w:r>
            <w:r>
              <w:t xml:space="preserve"> herausgestellt </w:t>
            </w:r>
            <w:r>
              <w:rPr>
                <w:b/>
                <w:i/>
              </w:rPr>
              <w:t>werden</w:t>
            </w:r>
            <w:r>
              <w:t>; fordert eine kohärente und gezielte Kommunikation gegenüber den Begünstigten, regionalen und lokalen Behörden, Sozialpartnern, Medien und der breiten Öffentlichkeit;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betont, dass es dringend kohärenter und koordinierter Anstrengungen der Union zur Steigerung ihrer Wettbewerbsfähigkeit bedarf, die in enger Partnerschaft mit den Mitgliedstaaten entwickelt werden müssen, um eine zukunftsfähige industrielle Beschäftigungsbasis in Europa zu sichern, die den Anforderungen der industriellen Autonomie Europas gerecht wird und die Position der Union in strategischen Sektoren wie </w:t>
            </w:r>
            <w:r>
              <w:rPr>
                <w:b/>
                <w:i/>
              </w:rPr>
              <w:t>der Batterie- und Zulieferindustrie</w:t>
            </w:r>
            <w:r>
              <w:t xml:space="preserve"> stärkt </w:t>
            </w:r>
            <w:r>
              <w:rPr>
                <w:b/>
                <w:i/>
              </w:rPr>
              <w:t>und gleichzeitig die umwelt- und digitalpolitischen Ziele der Union vorantreibt</w:t>
            </w:r>
            <w:r>
              <w:t>; betont, dass sich Massenentlassungen nur durch eine robuste und krisenfeste europäische Wirtschaft wirksam verhindern lassen, wobei in erster Linie der Bedarf an Eingriffen im Rahmen des EGF verringert würde; betont, dass für eine klare Anerkennung und Sichtbarkeit der von der EU geleisteten finanziellen Unterstützung gesorgt werden muss, damit deren Mehrwert herausgestellt wird; fordert eine kohärente und gezielte Kommunikation gegenüber den Begünstigten, regionalen und lokalen Behörden, Sozialpartnern, Medien und der breiten Öffentlichkeit;</w:t>
            </w:r>
          </w:p>
        </w:tc>
        <w:tc>
          <w:tcPr>
            <w:tcW w:w="4876" w:type="dxa"/>
            <w:tcBorders>
              <w:top w:val="nil"/>
              <w:left w:val="nil"/>
              <w:bottom w:val="nil"/>
              <w:right w:val="nil"/>
            </w:tcBorders>
          </w:tcPr>
          <w:p>
            <w:pPr>
              <w:pStyle w:val="Normal6a"/>
            </w:pPr>
            <w:r>
              <w:t>11.</w:t>
            </w:r>
            <w:r>
              <w:tab/>
            </w:r>
            <w:r>
              <w:t xml:space="preserve">betont, dass es dringend kohärenter und koordinierter Anstrengungen der Union zur Steigerung ihrer Wettbewerbsfähigkeit bedarf, die in enger Partnerschaft mit den Mitgliedstaaten entwickelt werden müssen, um eine zukunftsfähige industrielle Beschäftigungsbasis in Europa zu sichern, die den Anforderungen der industriellen Autonomie Europas gerecht wird und die Position der Union in strategischen Sektoren wie </w:t>
            </w:r>
            <w:r>
              <w:rPr>
                <w:b/>
                <w:i/>
              </w:rPr>
              <w:t>digitaler Technologie</w:t>
            </w:r>
            <w:r>
              <w:t xml:space="preserve"> stärkt</w:t>
            </w:r>
            <w:r>
              <w:rPr>
                <w:b/>
                <w:i/>
              </w:rPr>
              <w:t>, indem der Grüne Deal ausgesetzt wird</w:t>
            </w:r>
            <w:r>
              <w:t>; betont, dass sich Massenentlassungen nur durch eine robuste und krisenfeste europäische Wirtschaft wirksam verhindern lassen, wobei in erster Linie der Bedarf an Eingriffen im Rahmen des EGF verringert würde; betont, dass für eine klare Anerkennung und Sichtbarkeit der von der EU geleisteten finanziellen Unterstützung gesorgt werden muss, damit deren Mehrwert herausgestellt wird; fordert eine kohärente und gezielte Kommunikation gegenüber den Begünstigten, regionalen und lokalen Behörden, Sozialpartnern, Medien und der breiten Öffentlichkeit;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779.563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w:t>
    </w:r>
    <w:r>
      <w:fldChar w:fldCharType="end"/>
    </w:r>
    <w:r>
      <w:t>/</w:t>
    </w:r>
    <w:r>
      <w:fldChar w:fldCharType="begin"/>
    </w:r>
    <w:r>
      <w:instrText xml:space="preserve"> NUMPAGES </w:instrText>
    </w:r>
    <w:r>
      <w:fldChar w:fldCharType="separate"/>
    </w:r>
    <w:r>
      <w:t>13</w:t>
    </w:r>
    <w:r>
      <w:fldChar w:fldCharType="end"/>
    </w:r>
    <w:r>
      <w:tab/>
    </w:r>
    <w:r>
      <w:rPr>
        <w:rStyle w:val="HideTWBExt"/>
      </w:rPr>
      <w:t>&lt;PathFdR&gt;</w:t>
    </w:r>
    <w:r>
      <w:t>AM\1331706DE.docx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AM\1331706DE.docx</w:t>
    </w:r>
    <w:r>
      <w:rPr>
        <w:rStyle w:val="HideTWBExt"/>
      </w:rPr>
      <w:t>&lt;/PathFdR&gt;</w:t>
    </w:r>
    <w:r>
      <w:tab/>
    </w:r>
    <w:r>
      <w:fldChar w:fldCharType="begin"/>
    </w:r>
    <w:r>
      <w:instrText xml:space="preserve"> PAGE </w:instrText>
    </w:r>
    <w:r>
      <w:fldChar w:fldCharType="separate"/>
    </w:r>
    <w:r>
      <w:t>13</w:t>
    </w:r>
    <w:r>
      <w:fldChar w:fldCharType="end"/>
    </w:r>
    <w:r>
      <w:t>/</w:t>
    </w:r>
    <w:r>
      <w:fldChar w:fldCharType="begin"/>
    </w:r>
    <w:r>
      <w:instrText xml:space="preserve"> NUMPAGES </w:instrText>
    </w:r>
    <w:r>
      <w:fldChar w:fldCharType="separate"/>
    </w:r>
    <w:r>
      <w:t>13</w:t>
    </w:r>
    <w:r>
      <w:fldChar w:fldCharType="end"/>
    </w:r>
    <w:r>
      <w:tab/>
    </w:r>
    <w:r>
      <w:t>PE</w:t>
    </w:r>
    <w:r>
      <w:rPr>
        <w:rStyle w:val="HideTWBExt"/>
      </w:rPr>
      <w:t>&lt;NoPE&gt;</w:t>
    </w:r>
    <w:r>
      <w:t>779.563</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AM\1331706DE.docx</w:t>
    </w:r>
    <w:r>
      <w:rPr>
        <w:rStyle w:val="HideTWBExt"/>
      </w:rPr>
      <w:t>&lt;/PathFdR&gt;</w:t>
    </w:r>
    <w:r>
      <w:tab/>
    </w:r>
    <w:r>
      <w:tab/>
    </w:r>
    <w:r>
      <w:t>PE</w:t>
    </w:r>
    <w:r>
      <w:rPr>
        <w:rStyle w:val="HideTWBExt"/>
      </w:rPr>
      <w:t>&lt;NoPE&gt;</w:t>
    </w:r>
    <w:r>
      <w:t>779.563</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Pages>
  <Words>2719</Words>
  <Characters>19249</Characters>
  <Application>Microsoft Office Word</Application>
  <DocSecurity>0</DocSecurity>
  <Lines>1</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1331706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288866</vt:lpwstr>
  </property>
  <property fmtid="{D5CDD505-2E9C-101B-9397-08002B2CF9AE}" pid="7" name="dmxml.render.traceId">
    <vt:lpwstr>691c43678cc4afcb4fd5d8878ded6429</vt:lpwstr>
  </property>
  <property fmtid="{D5CDD505-2E9C-101B-9397-08002B2CF9AE}" pid="8" name="FooterPath">
    <vt:lpwstr>AM\1331706DE.docx</vt:lpwstr>
  </property>
  <property fmtid="{D5CDD505-2E9C-101B-9397-08002B2CF9AE}" pid="9" name="PE Number">
    <vt:lpwstr>779.563</vt:lpwstr>
  </property>
  <property fmtid="{D5CDD505-2E9C-101B-9397-08002B2CF9AE}" pid="10" name="UID">
    <vt:lpwstr>eu.europa.europarl-DIN1-2025-0000215289_02.00-de-01.00_text-xml</vt:lpwstr>
  </property>
</Properties>
</file>