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Rozpočtový výbor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2026/0004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{10/02/2026}</w:t>
      </w:r>
      <w:r>
        <w:t>10. 2. 2026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Jean-Marc Germain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(PE782.416v01-00)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Uvolnění prostředků z Evropského fondu pro přizpůsobení se globalizaci na pomoc propuštěným pracovníkům na základě žádosti Belgie – EGF/2025/004 BE/Tupperware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(2026/0004(BUD))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evropský pilíř sociálních práv,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 tomu, že podnik Tupperware podal dne 17. února 2025 návrh na vyhlášení úpadku; vzhledem k tomu, že v Belgii se od roku 2022 počet úpadků neustále zvyšuje;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 tomu, že podnik Tupperware podal dne 17. února 2025 návrh na vyhlášení úpadku; vzhledem k tomu, že v Belgii se od roku 2022 počet úpadků neustále zvyšuje</w:t>
            </w:r>
            <w:r>
              <w:rPr>
                <w:b/>
                <w:i/>
              </w:rPr>
              <w:t>, přičemž postihují zejména průmyslové odvětví v souvislosti s hospodářskou stagnací a vysokými výrobními náklady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uzavření závodu Tupperware v Belgii ilustruje rizika spojená se závislostí na strategických rozhodovacích centrech nacházejících se mimo Evropskou unii, což oslabuje místní průmyslovou strukturu;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konstatuje, že podnik Tupperware se nacházel ve městě Aalst v provincii Východní Flandry, kde již předtím, než tento podnik vyhlásil úpadek, měl zaměstnání pouze jeden člověk ze dvou, zatímco v regionu Flandry to jsou v průměru dva lidé ze tří;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konstatuje, že podnik Tupperware se nacházel ve městě Aalst v provincii Východní Flandry, kde již předtím, než tento podnik vyhlásil úpadek, měl zaměstnání pouze jeden člověk ze dvou, zatímco v regionu Flandry to jsou v průměru dva lidé ze tří; </w:t>
            </w:r>
            <w:r>
              <w:rPr>
                <w:b/>
                <w:i/>
              </w:rPr>
              <w:t>vyjadřuje politování nad tím, že toto propouštění situaci ještě zhorší;</w:t>
            </w:r>
            <w:r>
              <w:t xml:space="preserve"> </w:t>
            </w:r>
            <w:r>
              <w:rPr>
                <w:b/>
                <w:i/>
              </w:rPr>
              <w:t>zdůrazňuje, že je třeba urychleně jednat, aby se zabránilo strukturálnímu úpadku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domnívá se, že tento případ poukazuje na důsledky pokračující závislosti Evropy na subjektech ze třetích zemí, pokud jde o klíčové technologie a duševní vlastnictví;</w:t>
            </w:r>
            <w:r>
              <w:t xml:space="preserve"> </w:t>
            </w:r>
            <w:r>
              <w:rPr>
                <w:b/>
                <w:i/>
              </w:rPr>
              <w:t>zdůrazňuje, že uvolnění prostředků z EFG odráží potřebu řešit sociální dopad těchto strategických závislostí, a zároveň znovu potvrzuje, že snížení těchto závislostí zůstává prioritou;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připomíná, že konkurenceschopnost průmyslu v Evropě je vážně ovlivněna prudce rostoucími náklady na energii a regulační inflací;</w:t>
            </w:r>
            <w:r>
              <w:t xml:space="preserve"> </w:t>
            </w:r>
            <w:r>
              <w:rPr>
                <w:b/>
                <w:i/>
              </w:rPr>
              <w:t>varuje, že bez radikální revize mechanismů stanovování cen energie a radikálního zjednodušení jsou další podobná uzavření podniků nevyhnutelná;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vítá iniciativu skupiny evropských podnikatelů, jejímž cílem je oživit značku v Německu, Francii, Belgii, Itálii a Polsku;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zdůrazňuje, že ve Flandrech je riziko nezaměstnanosti více než dvojnásobné u osob s nižším vzděláním; konstatuje, že třetina propuštěných pracovníků má pouze nižší sekundární vzdělání; vyzývá belgické orgány, aby pracovníkům s uvedeným profilem poskytly zvláštní individualizovanou podporu, která jim pomůže překonat jejich nedostatky a nalézt nová pracovní místa</w:t>
            </w:r>
            <w:r>
              <w:rPr>
                <w:b/>
                <w:i/>
              </w:rPr>
              <w:t>, a zároveň aby přijaly opatření ke snížení počtu úpadků a odstraňování sociálních nerovností, které mají za následek vyloučení pracovní síly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zdůrazňuje, že ve Flandrech je riziko nezaměstnanosti více než dvojnásobné u osob s nižším vzděláním; konstatuje, že třetina propuštěných pracovníků má pouze nižší sekundární vzdělání; vyzývá belgické orgány, aby pracovníkům s uvedeným profilem poskytly zvláštní individualizovanou podporu, která jim pomůže překonat jejich nedostatky a nalézt nová pracovní místa;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připomíná, že po dohodě s odbory, odborníky a sociálními partnery sestávají individualizované služby, které mají být poskytnuty pracovníkům, z těchto opatření: informačních schůzek za účelem opětovného získání zaměstnání, služeb outplacementu, včetně odborné přípravy v oblasti IKT, pomoci při hledání zaměstnání prostřednictvím poradenství a asistence při vyhledávání pracovních příležitostí, odborné přípravy a rekvalifikace, veletrhu pracovních míst, zprostředkování pracovních míst a slaďování poptávky a nabídky; zdůrazňuje, že je důležité podporovat kvalitní pracovní místa orientovaná na budoucnost s cílem zajistit dlouhodobou hospodářskou a sociální 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připomíná, že po dohodě s odbory, odborníky a sociálními partnery sestávají individualizované služby, které mají být poskytnuty pracovníkům, z těchto opatření: informačních schůzek za účelem opětovného získání zaměstnání, služeb outplacementu, včetně odborné přípravy v oblasti IKT, pomoci při hledání zaměstnání prostřednictvím poradenství a asistence při vyhledávání pracovních příležitostí, odborné přípravy a rekvalifikace, veletrhu pracovních míst, zprostředkování pracovních míst a slaďování poptávky a nabídky; zdůrazňuje, že je důležité podporovat kvalitní pracovní místa orientovaná na budoucnost s cílem zajistit dlouhodobou hospodářskou a sociální odolnost; </w:t>
            </w:r>
            <w:r>
              <w:rPr>
                <w:b/>
                <w:i/>
              </w:rPr>
              <w:t>vyzývá belgické orgány, aby navázaly dialog s novými zástupci evropskými zástupci společnosti Tupperware s cílem prozkoumat možnosti opětovného začlenění propuštěných pracovníků do jejich hospodářských činností;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připomíná, že po dohodě s odbory, odborníky a sociálními partnery sestávají individualizované služby, které mají být poskytnuty pracovníkům, z těchto opatření: informačních schůzek za účelem opětovného získání zaměstnání, služeb outplacementu, včetně odborné přípravy v oblasti IKT, pomoci při hledání zaměstnání prostřednictvím poradenství a asistence při vyhledávání pracovních příležitostí, odborné přípravy a rekvalifikace, veletrhu pracovních míst, zprostředkování pracovních míst a slaďování poptávky a nabídky; zdůrazňuje, že je důležité podporovat kvalitní pracovní místa </w:t>
            </w:r>
            <w:r>
              <w:rPr>
                <w:b/>
                <w:i/>
              </w:rPr>
              <w:t>orientovaná na budoucnost</w:t>
            </w:r>
            <w:r>
              <w:t xml:space="preserve"> s cílem zajistit </w:t>
            </w:r>
            <w:r>
              <w:rPr>
                <w:b/>
                <w:i/>
              </w:rPr>
              <w:t>dlouhodobou hospodářskou a sociální odolnost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připomíná, že po dohodě s odbory, odborníky a sociálními partnery sestávají individualizované služby, které mají být poskytnuty pracovníkům, z těchto opatření: informačních schůzek za účelem opětovného získání zaměstnání, služeb outplacementu, včetně odborné přípravy v oblasti IKT, pomoci při hledání zaměstnání prostřednictvím poradenství a asistence při vyhledávání pracovních příležitostí, odborné přípravy a rekvalifikace, veletrhu pracovních míst, zprostředkování pracovních míst a slaďování poptávky a nabídky; zdůrazňuje, že je důležité podporovat </w:t>
            </w:r>
            <w:r>
              <w:rPr>
                <w:b/>
                <w:i/>
              </w:rPr>
              <w:t>vysoce</w:t>
            </w:r>
            <w:r>
              <w:t xml:space="preserve"> kvalitní </w:t>
            </w:r>
            <w:r>
              <w:rPr>
                <w:b/>
                <w:i/>
              </w:rPr>
              <w:t>a trvalá</w:t>
            </w:r>
            <w:r>
              <w:t xml:space="preserve"> pracovní místa </w:t>
            </w:r>
            <w:r>
              <w:rPr>
                <w:b/>
                <w:i/>
              </w:rPr>
              <w:t>v průmyslu</w:t>
            </w:r>
            <w:r>
              <w:t xml:space="preserve"> s cílem zajistit </w:t>
            </w:r>
            <w:r>
              <w:rPr>
                <w:b/>
                <w:i/>
              </w:rPr>
              <w:t>dlouhodobý hospodářský růst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kvalifikace a dovednosti propuštěných pracovníků jsou i nadále klíčové, chceme-li vytvořit evropské hospodářství, jež obstojí i v budoucnosti; </w:t>
            </w:r>
            <w:r>
              <w:rPr>
                <w:b/>
                <w:i/>
              </w:rPr>
              <w:t>domnívá se proto, že uvolnění prostředků z fondu EFG musí být součástí širší politické reakce na všech politických úrovních, aby se zajistilo, že dotyční pracovníci najdou odpovídající příležitosti v souladu se svou kvalifikací a dovednostmi;</w:t>
            </w:r>
            <w:r>
              <w:t xml:space="preserve"> </w:t>
            </w:r>
            <w:r>
              <w:rPr>
                <w:b/>
                <w:i/>
              </w:rPr>
              <w:t>dále</w:t>
            </w:r>
            <w:r>
              <w:t xml:space="preserve"> připomíná, že </w:t>
            </w:r>
            <w:r>
              <w:rPr>
                <w:b/>
                <w:i/>
              </w:rPr>
              <w:t>EFG je nástrojem solidarity a spravedlivé transformace a že hlavním úkolem Unie musí v prvé řadě být takovýmto uzavíráním</w:t>
            </w:r>
            <w:r>
              <w:t xml:space="preserve"> podniků </w:t>
            </w:r>
            <w:r>
              <w:rPr>
                <w:b/>
                <w:i/>
              </w:rPr>
              <w:t>předcházet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kvalifikace a dovednosti propuštěných pracovníků jsou i nadále klíčové, chceme-li vytvořit evropské hospodářství, jež obstojí i v budoucnosti; připomíná, že </w:t>
            </w:r>
            <w:r>
              <w:rPr>
                <w:b/>
                <w:i/>
              </w:rPr>
              <w:t>předcházení uzavírání</w:t>
            </w:r>
            <w:r>
              <w:t xml:space="preserve"> podniků </w:t>
            </w:r>
            <w:r>
              <w:rPr>
                <w:b/>
                <w:i/>
              </w:rPr>
              <w:t>a zachování pracovních míst v průmyslu zůstává v první řadě odpovědností členských států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kvalifikace a dovednosti propuštěných pracovníků jsou i nadále klíčové, chceme-li vytvořit evropské hospodářství, jež obstojí i v budoucnosti; domnívá se proto, že uvolnění prostředků z fondu EFG musí být součástí širší politické reakce na všech politických úrovních, aby se zajistilo, že dotyční pracovníci najdou odpovídající příležitosti v souladu se svou kvalifikací a dovednostmi; </w:t>
            </w:r>
            <w:r>
              <w:rPr>
                <w:b/>
                <w:i/>
              </w:rPr>
              <w:t>dále</w:t>
            </w:r>
            <w:r>
              <w:t xml:space="preserve"> připomíná, že </w:t>
            </w:r>
            <w:r>
              <w:rPr>
                <w:b/>
                <w:i/>
              </w:rPr>
              <w:t>EFG je nástrojem solidarity a spravedlivé transformace a že hlavním úkolem Unie musí v prvé řadě být takovýmto uzavíráním podniků předcházet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kvalifikace a dovednosti propuštěných pracovníků jsou i nadále klíčové, chceme-li vytvořit evropské hospodářství, jež obstojí i v budoucnosti; domnívá se proto, že uvolnění prostředků z fondu EFG musí být součástí širší politické reakce na všech politických úrovních, aby se zajistilo, že dotyční pracovníci najdou odpovídající příležitosti v souladu se svou kvalifikací a dovednostmi; připomíná, že </w:t>
            </w:r>
            <w:r>
              <w:rPr>
                <w:b/>
                <w:i/>
              </w:rPr>
              <w:t>v souladu s cíli stanovenými v Kompasu konkurenceschopnosti sice EFG poskytuje dotčeným pracovníkům nezbytnou podporu, ale silnější průmyslová politika a silnější a odolnější ekonomika mají zásadní význam pro snížení rozsáhlého propouštění a zachování evropské průmyslové základny zaměstnanosti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kvalifikace a dovednosti propuštěných pracovníků jsou i nadále klíčové, chceme-li vytvořit evropské hospodářství</w:t>
            </w:r>
            <w:r>
              <w:rPr>
                <w:b/>
                <w:i/>
              </w:rPr>
              <w:t>, jež obstojí i v budoucnosti</w:t>
            </w:r>
            <w:r>
              <w:t xml:space="preserve">; domnívá se proto, že uvolnění prostředků z fondu EFG musí být součástí širší politické reakce na všech politických úrovních, aby se zajistilo, že dotyční pracovníci najdou odpovídající příležitosti v souladu se svou kvalifikací a dovednostmi; dále připomíná, že EFG je nástrojem solidarity </w:t>
            </w:r>
            <w:r>
              <w:rPr>
                <w:b/>
                <w:i/>
              </w:rPr>
              <w:t>a spravedlivé transformace</w:t>
            </w:r>
            <w:r>
              <w:t xml:space="preserve"> a že hlavním úkolem Unie musí v prvé řadě být takovýmto uzavíráním podniků předcházet;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kvalifikace a dovednosti propuštěných pracovníků jsou i nadále klíčové, chceme-li vytvořit </w:t>
            </w:r>
            <w:r>
              <w:rPr>
                <w:b/>
                <w:i/>
              </w:rPr>
              <w:t>produktivní</w:t>
            </w:r>
            <w:r>
              <w:t xml:space="preserve"> evropské hospodářství; domnívá se proto, že uvolnění prostředků z fondu EFG musí být součástí širší politické reakce na všech politických úrovních, aby se zajistilo, že dotyční pracovníci najdou odpovídající příležitosti v souladu se svou kvalifikací a dovednostmi; dále připomíná, že EFG je nástrojem solidarity </w:t>
            </w:r>
            <w:r>
              <w:rPr>
                <w:b/>
                <w:i/>
              </w:rPr>
              <w:t>v případě mimořádných situací</w:t>
            </w:r>
            <w:r>
              <w:t xml:space="preserve"> a že hlavním úkolem </w:t>
            </w:r>
            <w:r>
              <w:rPr>
                <w:b/>
                <w:i/>
              </w:rPr>
              <w:t>Evropské</w:t>
            </w:r>
            <w:r>
              <w:t xml:space="preserve"> unie musí v prvé řadě být takovýmto uzavíráním podniků předcházet </w:t>
            </w:r>
            <w:r>
              <w:rPr>
                <w:b/>
                <w:i/>
              </w:rPr>
              <w:t>tím, že se bude bránit průmyslová výroba na evropské půdě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domnívá se, že EFG, ačkoli je nezbytný pro okamžitou podporu pracovníků, představuje nápravné opatření, které nemůže kompenzovat strukturální důsledky příliš otevřené obchodní politiky Evropské unie, v níž chybí ochrana jejího vnitřního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důkladnému závěrečnému hodnocení prováděných opatření, včetně jasných informací o tom, jak byly finanční prostředky využity a zda byly vynaloženy v souladu se schválenými plány;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důkladnému závěrečnému hodnocení prováděných opatření, včetně jasných informací o tom, jak byly finanční prostředky využity a zda byly vynaloženy v souladu se schválenými plány; </w:t>
            </w:r>
            <w:r>
              <w:rPr>
                <w:b/>
                <w:i/>
              </w:rPr>
              <w:t>zdůrazňuje, že tato hodnocení by měla být založena na jasně definovaných cílech a měřitelných výsledcích, které umožní posoudit výsledky dosažené u dotčených pracovníků;</w:t>
            </w:r>
            <w:r>
              <w:t xml:space="preserve"> </w:t>
            </w:r>
            <w:r>
              <w:rPr>
                <w:b/>
                <w:i/>
              </w:rPr>
              <w:t>zdůrazňuje, že je důležité zajistit rychlejší a účinnější intervence, a v této souvislosti připomíná, že je třeba prozkoumat způsoby, jak zajistit udržitelnost EFG nebo jeho nástupnického programu v rámci příštího víceletého finančního rámce na období 2028–2034;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důkladnému závěrečnému hodnocení prováděných opatření, včetně jasných informací o tom, jak byly finanční prostředky využity a zda byly vynaloženy v souladu se schválenými plány;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důkladnému závěrečnému hodnocení prováděných opatření, včetně jasných informací o tom, jak byly finanční prostředky využity a zda byly vynaloženy v souladu se schválenými plány</w:t>
            </w:r>
            <w:r>
              <w:rPr>
                <w:b/>
                <w:i/>
              </w:rPr>
              <w:t>, včetně hodnocení skutečné míry znovuzačlenění příjemců do stabilního zaměstnání a nákladovou účinnost opatření</w:t>
            </w:r>
            <w:r>
              <w:t xml:space="preserve">;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&lt;PathFdR&gt;</w:t>
    </w:r>
    <w:r>
      <w:t>AM\1336304CS.docx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1777</Words>
  <Characters>11103</Characters>
  <Application>Microsoft Office Word</Application>
  <DocSecurity>0</DocSecurity>
  <Lines>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389295</vt:lpwstr>
  </property>
  <property fmtid="{D5CDD505-2E9C-101B-9397-08002B2CF9AE}" pid="7" name="dmxml.render.traceId">
    <vt:lpwstr>699c871c3a1c3a6aaf97deac0dfa3297</vt:lpwstr>
  </property>
  <property fmtid="{D5CDD505-2E9C-101B-9397-08002B2CF9AE}" pid="8" name="FooterPath">
    <vt:lpwstr>AM\1336304CS.docx</vt:lpwstr>
  </property>
  <property fmtid="{D5CDD505-2E9C-101B-9397-08002B2CF9AE}" pid="9" name="PE Number">
    <vt:lpwstr>784.155</vt:lpwstr>
  </property>
  <property fmtid="{D5CDD505-2E9C-101B-9397-08002B2CF9AE}" pid="10" name="UID">
    <vt:lpwstr>eu.europa.europarl-DIN1-2026-0000025636_02.00-cs-01.00_text-xml</vt:lpwstr>
  </property>
</Properties>
</file>