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Haushaltsausschuss</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Inanspruchnahme des Europäischen Fonds für die Anpassung an die Globalisierung zugunsten entlassener Arbeitnehmer – Antrag Belgiens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Europäische Säule sozialer Rechte,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Tupperware am 17. Februar 2025 Insolvenz angemeldet hat; in der Erwägung, dass Belgien seit 2022 vermehrt Insolvenzen verzeichnet;</w:t>
            </w:r>
          </w:p>
        </w:tc>
        <w:tc>
          <w:tcPr>
            <w:tcW w:w="4876" w:type="dxa"/>
            <w:tcBorders>
              <w:top w:val="nil"/>
              <w:left w:val="nil"/>
              <w:bottom w:val="nil"/>
              <w:right w:val="nil"/>
            </w:tcBorders>
          </w:tcPr>
          <w:p>
            <w:pPr>
              <w:pStyle w:val="Normal6a"/>
            </w:pPr>
            <w:r>
              <w:t>D.</w:t>
            </w:r>
            <w:r>
              <w:tab/>
            </w:r>
            <w:r>
              <w:t>in der Erwägung, dass Tupperware am 17. Februar 2025 Insolvenz angemeldet hat; in der Erwägung, dass Belgien seit 2022 vermehrt Insolvenzen verzeichnet</w:t>
            </w:r>
            <w:r>
              <w:rPr>
                <w:b/>
                <w:i/>
              </w:rPr>
              <w:t>, wovon aufgrund der wirtschaftlichen Stagnation und hoher Produktionskosten insbesondere die Industrie betroffen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an der Schließung des Tupperware-Standorts in Belgien die Risiken deutlich werden, die mit der Abhängigkeit von strategischen Entscheidungszentren außerhalb der Europäischen Union verbunden sind, durch die auch die Wirtschaftsstruktur vor Ort geschwächt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stellt fest, dass Tupperware in Aalst in der Provinz Ostflandern ansässig war, einer Gegend, in der bereits vor der Insolvenz von Tupperware nur jeder Zweite beschäftigt war, verglichen mit zwei Dritteln in ganz Flandern;</w:t>
            </w:r>
          </w:p>
        </w:tc>
        <w:tc>
          <w:tcPr>
            <w:tcW w:w="4876" w:type="dxa"/>
            <w:tcBorders>
              <w:top w:val="nil"/>
              <w:left w:val="nil"/>
              <w:bottom w:val="nil"/>
              <w:right w:val="nil"/>
            </w:tcBorders>
          </w:tcPr>
          <w:p>
            <w:pPr>
              <w:pStyle w:val="Normal6a"/>
            </w:pPr>
            <w:r>
              <w:t>4.</w:t>
            </w:r>
            <w:r>
              <w:tab/>
            </w:r>
            <w:r>
              <w:t xml:space="preserve">stellt fest, dass Tupperware in Aalst in der Provinz Ostflandern ansässig war, einer Gegend, in der bereits vor der Insolvenz von Tupperware nur jeder Zweite beschäftigt war, verglichen mit zwei Dritteln in ganz Flandern; </w:t>
            </w:r>
            <w:r>
              <w:rPr>
                <w:b/>
                <w:i/>
              </w:rPr>
              <w:t>bedauert, dass sich die Lage durch diese Entlassungen noch weiter verschärfen wird;</w:t>
            </w:r>
            <w:r>
              <w:t xml:space="preserve"> </w:t>
            </w:r>
            <w:r>
              <w:rPr>
                <w:b/>
                <w:i/>
              </w:rPr>
              <w:t>betont, dass rasches Handeln erforderlich ist, um einen strukturellen Niedergang in der Region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ist der Ansicht, dass dieser Fall deutlich zeigt, welche Folgen die anhaltende Abhängigkeit Europas von Akteuren aus Drittländern in Bezug auf Schlüsseltechnologien und geistiges Eigentum hat;</w:t>
            </w:r>
            <w:r>
              <w:t xml:space="preserve"> </w:t>
            </w:r>
            <w:r>
              <w:rPr>
                <w:b/>
                <w:i/>
              </w:rPr>
              <w:t>betont, dass die Inanspruchnahme des EGF zeigt, dass die sozialen Auswirkungen solcher strategischen Abhängigkeiten angegangen werden müssen, und bekräftigt gleichzeitig, dass es vorrangig weiterhin gilt, diese Abhängigkeiten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darauf hin, dass die Wettbewerbsfähigkeit der Industrie in Europa durch den drastischen Anstieg der Energiekosten und die zunehmende Regulierung stark beeinträchtigt wird;</w:t>
            </w:r>
            <w:r>
              <w:t xml:space="preserve"> </w:t>
            </w:r>
            <w:r>
              <w:rPr>
                <w:b/>
                <w:i/>
              </w:rPr>
              <w:t>gibt zu bedenken, dass sich ähnliche Schließungen kaum verhindern lassen, wenn die Mechanismen zur Festsetzung der Energiepreise nicht grundlegend überarbeitet werden und keine radikale Vereinfachung erfolgt;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begrüßt die Initiative einer Gruppe europäischer Unternehmer, die die Marke in Deutschland, Frankreich, Belgien, Italien und Polen wiederbeleben möchten;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betont, dass das Arbeitslosigkeitsrisiko für Menschen mit niedrigem Bildungsniveau in Flandern mehr als doppelt so hoch ist; stellt fest, dass ein Drittel der entlassenen Arbeitnehmer höchstens über einen Abschluss der Sekundarstufe I verfügt; fordert die belgischen Behörden auf, spezifische, auf diese Profile zugeschnittene Unterstützung zu leisten, um den Arbeitnehmern dabei zu helfen, ihr Bildungsniveau zu verbessern und einen neuen Arbeitsplatz zu finden</w:t>
            </w:r>
            <w:r>
              <w:rPr>
                <w:b/>
                <w:i/>
              </w:rPr>
              <w:t>, und gleichzeitig Maßnahmen zu ergreifen, um die Zahl der Insolvenzen zu verringern und die soziale Ungleichheit anzugehen, die zum Ausschluss von Arbeitskräften aus dem Arbeitsmarkt führt</w:t>
            </w:r>
            <w:r>
              <w:t>;</w:t>
            </w:r>
          </w:p>
        </w:tc>
        <w:tc>
          <w:tcPr>
            <w:tcW w:w="4876" w:type="dxa"/>
            <w:tcBorders>
              <w:top w:val="nil"/>
              <w:left w:val="nil"/>
              <w:bottom w:val="nil"/>
              <w:right w:val="nil"/>
            </w:tcBorders>
          </w:tcPr>
          <w:p>
            <w:pPr>
              <w:pStyle w:val="Normal6a"/>
            </w:pPr>
            <w:r>
              <w:t>6.</w:t>
            </w:r>
            <w:r>
              <w:tab/>
            </w:r>
            <w:r>
              <w:t>betont, dass das Arbeitslosigkeitsrisiko für Menschen mit niedrigem Bildungsniveau in Flandern mehr als doppelt so hoch ist; stellt fest, dass ein Drittel der entlassenen Arbeitnehmer höchstens über einen Abschluss der Sekundarstufe I verfügt; fordert die belgischen Behörden auf, spezifische, auf diese Profile zugeschnittene Unterstützung zu leisten, um den Arbeitnehmern dabei zu helfen, ihr Bildungsniveau zu verbessern und einen neuen Arbeitsplatz zu 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weist darauf hin, dass es sich bei den in Abstimmung mit den Gewerkschaften, Experten und Sozialpartnern vereinbarten personalisierten Dienstleistungen, die den Arbeitnehmern angeboten werden sollen, um folgende Maßnahmen handelt: Informationsveranstaltungen zur Wiedereingliederung in den Arbeitsmarkt und Outplacement-Dienste, einschließlich IKT-Schulungen; Unterstützung bei der Integration in den Arbeitsmarkt durch Beratung und Unterstützung bei der Stellensuche, Aus- und Weiterbildungsmaßnahmen, Jobmesse, Job-Scouting und Job-Matching; hält es für sehr wichtig, hochwertige, zukunftsorientierte Arbeitsplätze zu fördern, um für langfristige wirtschaftliche und soziale Resilienz zu sorgen;</w:t>
            </w:r>
          </w:p>
        </w:tc>
        <w:tc>
          <w:tcPr>
            <w:tcW w:w="4876" w:type="dxa"/>
            <w:tcBorders>
              <w:top w:val="nil"/>
              <w:left w:val="nil"/>
              <w:bottom w:val="nil"/>
              <w:right w:val="nil"/>
            </w:tcBorders>
          </w:tcPr>
          <w:p>
            <w:pPr>
              <w:pStyle w:val="Normal6a"/>
            </w:pPr>
            <w:r>
              <w:t>7.</w:t>
            </w:r>
            <w:r>
              <w:tab/>
            </w:r>
            <w:r>
              <w:t xml:space="preserve">weist darauf hin, dass es sich bei den in Abstimmung mit den Gewerkschaften, Experten und Sozialpartnern vereinbarten personalisierten Dienstleistungen, die den Arbeitnehmern angeboten werden sollen, um folgende Maßnahmen handelt: Informationsveranstaltungen zur Wiedereingliederung in den Arbeitsmarkt und Outplacement-Dienste, einschließlich IKT-Schulungen; Unterstützung bei der Integration in den Arbeitsmarkt durch Beratung und Unterstützung bei der Stellensuche, Aus- und Weiterbildungsmaßnahmen, Jobmesse, Job-Scouting und Job-Matching; hält es für sehr wichtig, hochwertige, zukunftsorientierte Arbeitsplätze zu fördern, um für langfristige wirtschaftliche und soziale Resilienz zu sorgen; </w:t>
            </w:r>
            <w:r>
              <w:rPr>
                <w:b/>
                <w:i/>
              </w:rPr>
              <w:t>fordert die belgischen Behörden auf, mit den neuen europäischen Tupperware-Vertretern in Dialog zu treten und dabei zu erörtern, ob entlassene Arbeitnehmer wieder für Betriebe der Marke tätig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weist darauf hin, dass es sich bei den in Abstimmung mit den Gewerkschaften, Experten und Sozialpartnern vereinbarten personalisierten Dienstleistungen, die den Arbeitnehmern angeboten werden sollen, um folgende Maßnahmen handelt: Informationsveranstaltungen zur Wiedereingliederung in den Arbeitsmarkt und Outplacement-Dienste, einschließlich IKT-Schulungen; Unterstützung bei der Integration in den Arbeitsmarkt durch Beratung und Unterstützung bei der Stellensuche, Aus- und Weiterbildungsmaßnahmen, Jobmesse, Job-Scouting und Job-Matching; hält es für sehr wichtig, hochwertige</w:t>
            </w:r>
            <w:r>
              <w:rPr>
                <w:b/>
                <w:i/>
              </w:rPr>
              <w:t>, zukunftsorientierte Arbeitsplätze</w:t>
            </w:r>
            <w:r>
              <w:t xml:space="preserve"> zu fördern, um für </w:t>
            </w:r>
            <w:r>
              <w:rPr>
                <w:b/>
                <w:i/>
              </w:rPr>
              <w:t>langfristige wirtschaftliche und soziale Resilienz</w:t>
            </w:r>
            <w:r>
              <w:t xml:space="preserve"> zu sorgen;</w:t>
            </w:r>
          </w:p>
        </w:tc>
        <w:tc>
          <w:tcPr>
            <w:tcW w:w="4876" w:type="dxa"/>
            <w:tcBorders>
              <w:top w:val="nil"/>
              <w:left w:val="nil"/>
              <w:bottom w:val="nil"/>
              <w:right w:val="nil"/>
            </w:tcBorders>
          </w:tcPr>
          <w:p>
            <w:pPr>
              <w:pStyle w:val="Normal6a"/>
            </w:pPr>
            <w:r>
              <w:t>7.</w:t>
            </w:r>
            <w:r>
              <w:tab/>
            </w:r>
            <w:r>
              <w:t xml:space="preserve">weist darauf hin, dass es sich bei den in Abstimmung mit den Gewerkschaften, Experten und Sozialpartnern vereinbarten personalisierten Dienstleistungen, die den Arbeitnehmern angeboten werden sollen, um folgende Maßnahmen handelt: Informationsveranstaltungen zur Wiedereingliederung in den Arbeitsmarkt und Outplacement-Dienste, einschließlich IKT-Schulungen; Unterstützung bei der Integration in den Arbeitsmarkt durch Beratung und Unterstützung bei der Stellensuche, Aus- und Weiterbildungsmaßnahmen, Jobmesse, Job-Scouting und Job-Matching; hält es für sehr wichtig, hochwertige </w:t>
            </w:r>
            <w:r>
              <w:rPr>
                <w:b/>
                <w:i/>
              </w:rPr>
              <w:t>und auf Dauer angelegte Industriearbeitsplätze</w:t>
            </w:r>
            <w:r>
              <w:t xml:space="preserve"> zu fördern, um für </w:t>
            </w:r>
            <w:r>
              <w:rPr>
                <w:b/>
                <w:i/>
              </w:rPr>
              <w:t>langfristiges Wirtschaftswachstum</w:t>
            </w:r>
            <w:r>
              <w:t xml:space="preserve">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zukunftsfähige Wirtschaft der EU nach wie vor von entscheidender Bedeutung sind; </w:t>
            </w:r>
            <w:r>
              <w:rPr>
                <w:b/>
                <w:i/>
              </w:rPr>
              <w:t>ist daher der Ansicht, dass die Inanspruchnahme des EGF in eine breiter angelegte politische Reaktion auf allen politischen Ebenen einzubetten ist, um dafür zu sorgen, dass den betroffenen Arbeitnehmern angemessene Möglichkeiten im Einklang mit ihren Qualifikationen und Kompetenzen offenstehen;</w:t>
            </w:r>
            <w:r>
              <w:t xml:space="preserve"> weist </w:t>
            </w:r>
            <w:r>
              <w:rPr>
                <w:b/>
                <w:i/>
              </w:rPr>
              <w:t>ferner</w:t>
            </w:r>
            <w:r>
              <w:t xml:space="preserve"> darauf hin, dass </w:t>
            </w:r>
            <w:r>
              <w:rPr>
                <w:b/>
                <w:i/>
              </w:rPr>
              <w:t>der EGF ein Instrument der Solidarität und des gerechten Strukturwandels ist und dass die Union primär dafür sorgen sollte, solche Betriebsschließungen von vornherein zu verhindern</w:t>
            </w:r>
            <w:r>
              <w:t>;</w:t>
            </w:r>
          </w:p>
        </w:tc>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zukunftsfähige Wirtschaft der EU nach wie vor von entscheidender Bedeutung sind; weist darauf hin, dass </w:t>
            </w:r>
            <w:r>
              <w:rPr>
                <w:b/>
                <w:i/>
              </w:rPr>
              <w:t>die Verhinderung von Unternehmensschließungen und die Sicherung von Industriearbeitsplätzen nach wie vor in erster Linie in die Zuständigkeit des jeweiligen Mitgliedstaats fallen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zukunftsfähige Wirtschaft der EU nach wie vor von entscheidender Bedeutung sind; ist daher der Ansicht, dass die Inanspruchnahme des EGF in eine breiter angelegte politische Reaktion auf allen politischen Ebenen einzubetten ist, um dafür zu sorgen, dass den betroffenen Arbeitnehmern angemessene Möglichkeiten im Einklang mit ihren Qualifikationen und Kompetenzen offenstehen; weist </w:t>
            </w:r>
            <w:r>
              <w:rPr>
                <w:b/>
                <w:i/>
              </w:rPr>
              <w:t>ferner</w:t>
            </w:r>
            <w:r>
              <w:t xml:space="preserve"> darauf hin, dass </w:t>
            </w:r>
            <w:r>
              <w:rPr>
                <w:b/>
                <w:i/>
              </w:rPr>
              <w:t>der EGF ein Instrument der Solidarität und des gerechten Strukturwandels ist und dass die Union primär dafür sorgen sollte, solche Betriebsschließungen von vornherein zu verhindern</w:t>
            </w:r>
            <w:r>
              <w:t>;</w:t>
            </w:r>
          </w:p>
        </w:tc>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zukunftsfähige Wirtschaft der EU nach wie vor von entscheidender Bedeutung sind; ist daher der Ansicht, dass die Inanspruchnahme des EGF in eine breiter angelegte politische Reaktion auf allen politischen Ebenen einzubetten ist, um dafür zu sorgen, dass den betroffenen Arbeitnehmern angemessene Möglichkeiten im Einklang mit ihren Qualifikationen und Kompetenzen offenstehen; weist darauf hin, dass </w:t>
            </w:r>
            <w:r>
              <w:rPr>
                <w:b/>
                <w:i/>
              </w:rPr>
              <w:t>aus dem EGF zwar, wie in den Zielen des Kompasses für Wettbewerbsfähigkeit vorgesehen, die erforderliche Unterstützung für betroffene Arbeitnehmer bereitgestellt wird, jedoch eine stärkere Industriepolitik sowie eine robustere und widerstandsfähigere Wirtschaft von entscheidender Bedeutung sind, um Massenentlassungen zu verringern und die Basis der Industriearbeitsplätze in Europa zu schützen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w:t>
            </w:r>
            <w:r>
              <w:rPr>
                <w:b/>
                <w:i/>
              </w:rPr>
              <w:t>zukunftsfähige</w:t>
            </w:r>
            <w:r>
              <w:t xml:space="preserve"> Wirtschaft der EU nach wie vor von entscheidender Bedeutung sind; ist daher der Ansicht, dass die Inanspruchnahme des EGF in eine breiter angelegte politische Reaktion auf allen politischen Ebenen einzubetten ist, um dafür zu sorgen, dass den betroffenen Arbeitnehmern angemessene Möglichkeiten im Einklang mit ihren Qualifikationen und Kompetenzen offenstehen; weist ferner darauf hin, dass der EGF ein Instrument der Solidarität </w:t>
            </w:r>
            <w:r>
              <w:rPr>
                <w:b/>
                <w:i/>
              </w:rPr>
              <w:t>und des gerechten Strukturwandels</w:t>
            </w:r>
            <w:r>
              <w:t xml:space="preserve"> ist und dass die Union </w:t>
            </w:r>
            <w:r>
              <w:rPr>
                <w:b/>
                <w:i/>
              </w:rPr>
              <w:t>primär dafür sorgen sollte</w:t>
            </w:r>
            <w:r>
              <w:t xml:space="preserve">, solche </w:t>
            </w:r>
            <w:r>
              <w:rPr>
                <w:b/>
                <w:i/>
              </w:rPr>
              <w:t>Betriebsschließungen</w:t>
            </w:r>
            <w:r>
              <w:t xml:space="preserve"> von vornherein zu verhindern;</w:t>
            </w:r>
          </w:p>
        </w:tc>
        <w:tc>
          <w:tcPr>
            <w:tcW w:w="4876" w:type="dxa"/>
            <w:tcBorders>
              <w:top w:val="nil"/>
              <w:left w:val="nil"/>
              <w:bottom w:val="nil"/>
              <w:right w:val="nil"/>
            </w:tcBorders>
          </w:tcPr>
          <w:p>
            <w:pPr>
              <w:pStyle w:val="Normal6a"/>
            </w:pPr>
            <w:r>
              <w:t>8.</w:t>
            </w:r>
            <w:r>
              <w:tab/>
            </w:r>
            <w:r>
              <w:t xml:space="preserve">betont, dass die Qualifikationen und Kompetenzen der entlassenen Arbeitnehmer für eine </w:t>
            </w:r>
            <w:r>
              <w:rPr>
                <w:b/>
                <w:i/>
              </w:rPr>
              <w:t>produktive</w:t>
            </w:r>
            <w:r>
              <w:t xml:space="preserve"> Wirtschaft der EU nach wie vor von entscheidender Bedeutung sind; ist daher der Ansicht, dass die Inanspruchnahme des EGF in eine breiter angelegte politische Reaktion auf allen politischen Ebenen einzubetten ist, um dafür zu sorgen, dass den betroffenen Arbeitnehmern angemessene Möglichkeiten im Einklang mit ihren Qualifikationen und Kompetenzen offenstehen; weist ferner darauf hin, dass der EGF ein Instrument der Solidarität </w:t>
            </w:r>
            <w:r>
              <w:rPr>
                <w:b/>
                <w:i/>
              </w:rPr>
              <w:t>in Notsituationen</w:t>
            </w:r>
            <w:r>
              <w:t xml:space="preserve"> ist und dass die </w:t>
            </w:r>
            <w:r>
              <w:rPr>
                <w:b/>
                <w:i/>
              </w:rPr>
              <w:t>vorrangige Aufgabe der Europäischen</w:t>
            </w:r>
            <w:r>
              <w:t xml:space="preserve"> Union </w:t>
            </w:r>
            <w:r>
              <w:rPr>
                <w:b/>
                <w:i/>
              </w:rPr>
              <w:t>darin bestehen muss</w:t>
            </w:r>
            <w:r>
              <w:t xml:space="preserve">, solche </w:t>
            </w:r>
            <w:r>
              <w:rPr>
                <w:b/>
                <w:i/>
              </w:rPr>
              <w:t>Schließungen</w:t>
            </w:r>
            <w:r>
              <w:t xml:space="preserve"> von vornherein zu verhindern</w:t>
            </w:r>
            <w:r>
              <w:rPr>
                <w:b/>
                <w:i/>
              </w:rPr>
              <w:t>, indem sie für die Industrieproduktion in der EU eintritt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ist der Ansicht, dass der EGF zwar für die unmittelbare Unterstützung der Arbeitnehmer unerlässlich ist, jedoch nur eine Abhilfemaßnahme darstellt, mit der sich die strukturellen Folgen einer zu offenen EU-Handelspolitik ohne ausreichenden Schutz des Binnenmarkts nicht ausgleichen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fordert eine gründliche abschließende Evaluierung der umgesetzten Maßnahmen, einschließlich klarer Informationen darüber, wie die Mittel verwendet wurden und ob sie im Einklang mit den genehmigten Plänen ausgegeben wurden;</w:t>
            </w:r>
          </w:p>
        </w:tc>
        <w:tc>
          <w:tcPr>
            <w:tcW w:w="4876" w:type="dxa"/>
            <w:tcBorders>
              <w:top w:val="nil"/>
              <w:left w:val="nil"/>
              <w:bottom w:val="nil"/>
              <w:right w:val="nil"/>
            </w:tcBorders>
          </w:tcPr>
          <w:p>
            <w:pPr>
              <w:pStyle w:val="Normal6a"/>
            </w:pPr>
            <w:r>
              <w:t>10.</w:t>
            </w:r>
            <w:r>
              <w:tab/>
            </w:r>
            <w:r>
              <w:t xml:space="preserve">fordert eine gründliche abschließende Evaluierung der umgesetzten Maßnahmen, einschließlich klarer Informationen darüber, wie die Mittel verwendet wurden und ob sie im Einklang mit den genehmigten Plänen ausgegeben wurden; </w:t>
            </w:r>
            <w:r>
              <w:rPr>
                <w:b/>
                <w:i/>
              </w:rPr>
              <w:t>betont, dass solche Evaluierungen auf klar definierten Zielen und messbaren Ergebnissen beruhen sollten, sodass bewertet werden kann, welche Ergebnisse für die betroffenen Arbeitnehmer erzielt wurden;</w:t>
            </w:r>
            <w:r>
              <w:t xml:space="preserve"> </w:t>
            </w:r>
            <w:r>
              <w:rPr>
                <w:b/>
                <w:i/>
              </w:rPr>
              <w:t>erachtet es als sehr wichtig, schneller und wirkungsvoller zu intervenieren, und weist in diesem Zusammenhang erneut darauf hin, dass im Rahmen des nächsten Mehrjährigen Finanzrahmens 2028-2034 geprüft werden muss, wie sich die Dauerhaftigkeit des EGF oder seines Nachfolgeprogramms sicherstellen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fordert eine gründliche abschließende Evaluierung der umgesetzten Maßnahmen, einschließlich klarer Informationen darüber, wie die Mittel verwendet wurden und ob sie im Einklang mit den genehmigten Plänen ausgegeben wurden;</w:t>
            </w:r>
          </w:p>
        </w:tc>
        <w:tc>
          <w:tcPr>
            <w:tcW w:w="4876" w:type="dxa"/>
            <w:tcBorders>
              <w:top w:val="nil"/>
              <w:left w:val="nil"/>
              <w:bottom w:val="nil"/>
              <w:right w:val="nil"/>
            </w:tcBorders>
          </w:tcPr>
          <w:p>
            <w:pPr>
              <w:pStyle w:val="Normal6a"/>
            </w:pPr>
            <w:r>
              <w:t>10.</w:t>
            </w:r>
            <w:r>
              <w:tab/>
            </w:r>
            <w:r>
              <w:t>fordert eine gründliche abschließende Evaluierung der umgesetzten Maßnahmen, einschließlich klarer Informationen darüber, wie die Mittel verwendet wurden und ob sie im Einklang mit den genehmigten Plänen ausgegeben wurden</w:t>
            </w:r>
            <w:r>
              <w:rPr>
                <w:b/>
                <w:i/>
              </w:rPr>
              <w:t>, wobei auch die tatsächliche Wiedereingliederungsquote der Begünstigten in eine feste Beschäftigung und die Kosteneffizienz der Maßnahmen zu bewerten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AM\1336304DE.docx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AM\1336304DE.docx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AM\1336304DE.docx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1861</Words>
  <Characters>12833</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389634</vt:lpwstr>
  </property>
  <property fmtid="{D5CDD505-2E9C-101B-9397-08002B2CF9AE}" pid="7" name="dmxml.render.traceId">
    <vt:lpwstr>699d76a09d223d01f36ad321f05a25db</vt:lpwstr>
  </property>
  <property fmtid="{D5CDD505-2E9C-101B-9397-08002B2CF9AE}" pid="8" name="FooterPath">
    <vt:lpwstr>AM\1336304DE.docx</vt:lpwstr>
  </property>
  <property fmtid="{D5CDD505-2E9C-101B-9397-08002B2CF9AE}" pid="9" name="PE Number">
    <vt:lpwstr>784.155</vt:lpwstr>
  </property>
  <property fmtid="{D5CDD505-2E9C-101B-9397-08002B2CF9AE}" pid="10" name="UID">
    <vt:lpwstr>eu.europa.europarl-DIN1-2026-0000025636_02.00-de-02.00_text-xml</vt:lpwstr>
  </property>
</Properties>
</file>