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Επιτροπή Προϋπολογισμών</w:t>
      </w:r>
      <w:r>
        <w:rPr>
          <w:rStyle w:val="HideTWBExt"/>
        </w:rPr>
        <w:t>&lt;/Commission&gt;</w:t>
      </w:r>
    </w:p>
    <w:p>
      <w:pPr>
        <w:pStyle w:val="LineBottom"/>
      </w:pPr>
      <w:r>
        <w:t xml:space="preserve"> </w:t>
      </w:r>
    </w:p>
    <w:p>
      <w:pPr>
        <w:pStyle w:val="CoverReference"/>
      </w:pPr>
      <w:r>
        <w:rPr>
          <w:rStyle w:val="HideTWBExt"/>
        </w:rPr>
        <w:t>&lt;RefProc&gt;</w:t>
      </w:r>
      <w:r>
        <w:t>2026/0004</w:t>
      </w:r>
      <w:r>
        <w:rPr>
          <w:rStyle w:val="HideTWBExt"/>
        </w:rPr>
        <w:t>&lt;/RefProc&gt;</w:t>
      </w:r>
      <w:r>
        <w:rPr>
          <w:rStyle w:val="HideTWBExt"/>
        </w:rPr>
        <w:t>&lt;RefTypeProc&gt;</w:t>
      </w:r>
      <w:r>
        <w:t>(BUD)</w:t>
      </w:r>
      <w:r>
        <w:rPr>
          <w:rStyle w:val="HideTWBExt"/>
        </w:rPr>
        <w:t>&lt;/RefTypeProc&gt;</w:t>
      </w:r>
    </w:p>
    <w:p>
      <w:pPr>
        <w:pStyle w:val="CoverDate"/>
      </w:pPr>
      <w:r>
        <w:rPr>
          <w:rStyle w:val="HideTWBExt"/>
        </w:rPr>
        <w:t>&lt;Date&gt;</w:t>
      </w:r>
      <w:r>
        <w:rPr>
          <w:rStyle w:val="HideTWBInt"/>
        </w:rPr>
        <w:t>{10/02/2026}</w:t>
      </w:r>
      <w:r>
        <w:t>10.2.2026</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1</w:t>
      </w:r>
      <w:r>
        <w:t xml:space="preserve"> - </w:t>
      </w:r>
      <w:r>
        <w:t>16</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Jean-Marc Germain</w:t>
      </w:r>
      <w:r>
        <w:rPr>
          <w:rStyle w:val="HideTWBExt"/>
        </w:rPr>
        <w:t>&lt;/Rapporteur&gt;</w:t>
      </w:r>
    </w:p>
    <w:p>
      <w:pPr>
        <w:pStyle w:val="CoverNormal24a"/>
      </w:pPr>
      <w:r>
        <w:rPr>
          <w:rStyle w:val="HideTWBExt"/>
        </w:rPr>
        <w:t>&lt;DocRefPE&gt;</w:t>
      </w:r>
      <w:r>
        <w:t>(PE782.416v01-00)</w:t>
      </w:r>
      <w:r>
        <w:rPr>
          <w:rStyle w:val="HideTWBExt"/>
        </w:rPr>
        <w:t>&lt;/DocRefPE&gt;</w:t>
      </w:r>
    </w:p>
    <w:p>
      <w:pPr>
        <w:pStyle w:val="CoverNormal"/>
      </w:pPr>
      <w:r>
        <w:rPr>
          <w:rStyle w:val="HideTWBExt"/>
        </w:rPr>
        <w:t>&lt;Titre&gt;</w:t>
      </w:r>
      <w:r>
        <w:t>Κινητοποίηση του Ευρωπαϊκού Ταμείου Προσαρμογής στην Παγκοσμιοποίηση για τους Απολυμένους Εργαζόμενους ύστερα από αίτηση του Βελγίου — EGF/2025/004 BE/Tupperware</w:t>
      </w:r>
      <w:r>
        <w:rPr>
          <w:rStyle w:val="HideTWBExt"/>
        </w:rPr>
        <w:t>&lt;/Titre&gt;</w:t>
      </w:r>
    </w:p>
    <w:p>
      <w:pPr>
        <w:pStyle w:val="CoverNormal24a"/>
      </w:pPr>
      <w:r>
        <w:rPr>
          <w:rStyle w:val="HideTWBExt"/>
        </w:rPr>
        <w:t>&lt;DocRef&gt;</w:t>
      </w:r>
      <w:r>
        <w:t>(2026/0004(BUD))</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έχοντας υπόψη τον ευρωπαϊκό πυλώνα κοινωνικών δικαιωμάτων,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λαμβάνοντας υπόψη ότι η Tupperware υπέβαλε αίτηση πτώχευσης στις 17 Φεβρουαρίου 2025· λαμβάνοντας υπόψη ότι στο Βέλγιο οι πτωχεύσεις αυξάνονται από το 2022·</w:t>
            </w:r>
          </w:p>
        </w:tc>
        <w:tc>
          <w:tcPr>
            <w:tcW w:w="4876" w:type="dxa"/>
            <w:tcBorders>
              <w:top w:val="nil"/>
              <w:left w:val="nil"/>
              <w:bottom w:val="nil"/>
              <w:right w:val="nil"/>
            </w:tcBorders>
          </w:tcPr>
          <w:p>
            <w:pPr>
              <w:pStyle w:val="Normal6a"/>
            </w:pPr>
            <w:r>
              <w:t>Δ.</w:t>
            </w:r>
            <w:r>
              <w:tab/>
            </w:r>
            <w:r>
              <w:t>λαμβάνοντας υπόψη ότι η Tupperware υπέβαλε αίτηση πτώχευσης στις 17 Φεβρουαρίου 2025· λαμβάνοντας υπόψη ότι στο Βέλγιο οι πτωχεύσεις αυξάνονται από το 2022</w:t>
            </w:r>
            <w:r>
              <w:rPr>
                <w:b/>
                <w:i/>
              </w:rPr>
              <w:t>, επηρεάζοντας ιδιαίτερα τον βιομηχανικό τομέα σε ένα πλαίσιο οικονομικής στασιμότητας και υψηλού κόστους παραγωγής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α.</w:t>
            </w:r>
            <w:r>
              <w:tab/>
            </w:r>
            <w:r>
              <w:rPr>
                <w:b/>
                <w:i/>
              </w:rPr>
              <w:t>λαμβάνοντας υπόψη ότι το κλείσιμο των εγκαταστάσεων της Tupperware στο Βέλγιο καταδεικνύει τους κινδύνους που συνδέονται με την εξάρτηση από στρατηγικά κέντρα λήψης αποφάσεων που βρίσκονται εκτός της Ευρωπαϊκής Ένωσης, αποδυναμώνοντας τον τοπικό βιομηχανικό ιστό·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σημειώνει ότι η Tupperware βρισκόταν στο Aalst της επαρχίας της Ανατολικής Φλάνδρας, όπου, ήδη πριν από την πτώχευση της Tupperware, απασχολούνταν μόνο ένας στους δύο ανθρώπους, σε σύγκριση με δύο στους τρεις κατά μέσο όρο σε ολόκληρη την περιφέρεια της Φλάνδρας, ·</w:t>
            </w:r>
          </w:p>
        </w:tc>
        <w:tc>
          <w:tcPr>
            <w:tcW w:w="4876" w:type="dxa"/>
            <w:tcBorders>
              <w:top w:val="nil"/>
              <w:left w:val="nil"/>
              <w:bottom w:val="nil"/>
              <w:right w:val="nil"/>
            </w:tcBorders>
          </w:tcPr>
          <w:p>
            <w:pPr>
              <w:pStyle w:val="Normal6a"/>
            </w:pPr>
            <w:r>
              <w:t>4.</w:t>
            </w:r>
            <w:r>
              <w:tab/>
            </w:r>
            <w:r>
              <w:t xml:space="preserve">σημειώνει ότι η Tupperware βρισκόταν στο Aalst της επαρχίας της Ανατολικής Φλάνδρας, όπου, ήδη πριν από την πτώχευση της Tupperware, απασχολούνταν μόνο ένας στους δύο ανθρώπους, σε σύγκριση με δύο στους τρεις κατά μέσο όρο σε ολόκληρη την περιφέρεια της Φλάνδρας, · </w:t>
            </w:r>
            <w:r>
              <w:rPr>
                <w:b/>
                <w:i/>
              </w:rPr>
              <w:t>εκφράζει τη λύπη του για το γεγονός ότι οι εν λόγω απολύσεις θα επιδεινώσουν περαιτέρω την κατάσταση·</w:t>
            </w:r>
            <w:r>
              <w:t xml:space="preserve"> </w:t>
            </w:r>
            <w:r>
              <w:rPr>
                <w:b/>
                <w:i/>
              </w:rPr>
              <w:t>τονίζει ότι απαιτείται ταχεία δράση για την πρόληψη της διαρθρωτικής περιφερειακής παρακμής·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α.</w:t>
            </w:r>
            <w:r>
              <w:tab/>
            </w:r>
            <w:r>
              <w:rPr>
                <w:b/>
                <w:i/>
              </w:rPr>
              <w:t>θεωρεί ότι η υπόθεση αυτή αναδεικνύει τις συνέπειες της συνεχιζόμενης εξάρτησης της Ευρώπης από παράγοντες τρίτων χωρών για βασικές τεχνολογίες και διανοητική ιδιοκτησία·</w:t>
            </w:r>
            <w:r>
              <w:t xml:space="preserve"> </w:t>
            </w:r>
            <w:r>
              <w:rPr>
                <w:b/>
                <w:i/>
              </w:rPr>
              <w:t>υπογραμμίζει ότι η κινητοποίηση του ΕΤΠ αντικατοπτρίζει την ανάγκη να αντιμετωπιστεί ο κοινωνικός αντίκτυπος αυτών των στρατηγικών εξαρτήσεων, επιβεβαιώνοντας παράλληλα ότι η μείωση αυτών των εξαρτήσεων εξακολουθεί να αποτελεί προτεραιότητα·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α.</w:t>
            </w:r>
            <w:r>
              <w:tab/>
            </w:r>
            <w:r>
              <w:rPr>
                <w:b/>
                <w:i/>
              </w:rPr>
              <w:t>υπενθυμίζει ότι η βιομηχανική ανταγωνιστικότητα στην Ευρώπη επηρεάζεται σοβαρά από το διογκούμενο ενεργειακό κόστος και τον κανονιστικό πληθωρισμό·</w:t>
            </w:r>
            <w:r>
              <w:t xml:space="preserve"> </w:t>
            </w:r>
            <w:r>
              <w:rPr>
                <w:b/>
                <w:i/>
              </w:rPr>
              <w:t>προειδοποιεί ότι, χωρίς ριζική αναθεώρηση των μηχανισμών καθορισμού των τιμών της ενέργειας και ένα σοκ απλοποίησης, άλλα παρόμοια κλεισίματα είναι αναπόφευκτα·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α.</w:t>
            </w:r>
            <w:r>
              <w:tab/>
            </w:r>
            <w:r>
              <w:rPr>
                <w:b/>
                <w:i/>
              </w:rPr>
              <w:t>χαιρετίζει μια πρωτοβουλία της ομάδας Ευρωπαίων επιχειρηματιών με στόχο την αναζωογόνηση του εμπορικού σήματος στη Γερμανία, τη Γαλλία, το Βέλγιο, την Ιταλία και την Πολωνία·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τονίζει ότι στη Φλάνδρα ο κίνδυνος ανεργίας είναι υπερδιπλάσιος για τα άτομα με χαμηλό μορφωτικό επίπεδο· σημειώνει ότι το ένα τρίτο των απολυμένων εργαζομένων έχουν ολοκληρώσει το πολύ την κατώτερη δευτεροβάθμια εκπαίδευση· καλεί τις βελγικές αρχές να παράσχουν ειδική στήριξη προσαρμοσμένη σε αυτά τα προφίλ, ώστε να βοηθήσουν τους εργαζομένους να ξεπεράσουν τις ελλείψεις τους και να βρουν νέες θέσεις εργασίας</w:t>
            </w:r>
            <w:r>
              <w:rPr>
                <w:b/>
                <w:i/>
              </w:rPr>
              <w:t>, λαμβάνοντας παράλληλα μέτρα για τη μείωση των πτωχεύσεων και την αντιμετώπιση των κοινωνικών ανισοτήτων που οδηγούν στον αποκλεισμό του εργατικού δυναμικού</w:t>
            </w:r>
            <w:r>
              <w:t>·</w:t>
            </w:r>
          </w:p>
        </w:tc>
        <w:tc>
          <w:tcPr>
            <w:tcW w:w="4876" w:type="dxa"/>
            <w:tcBorders>
              <w:top w:val="nil"/>
              <w:left w:val="nil"/>
              <w:bottom w:val="nil"/>
              <w:right w:val="nil"/>
            </w:tcBorders>
          </w:tcPr>
          <w:p>
            <w:pPr>
              <w:pStyle w:val="Normal6a"/>
            </w:pPr>
            <w:r>
              <w:t>6.</w:t>
            </w:r>
            <w:r>
              <w:tab/>
            </w:r>
            <w:r>
              <w:t>τονίζει ότι στη Φλάνδρα ο κίνδυνος ανεργίας είναι υπερδιπλάσιος για τα άτομα με χαμηλό μορφωτικό επίπεδο· σημειώνει ότι το ένα τρίτο των απολυμένων εργαζομένων έχουν ολοκληρώσει το πολύ την κατώτερη δευτεροβάθμια εκπαίδευση· καλεί τις βελγικές αρχές να παράσχουν ειδική στήριξη προσαρμοσμένη σε αυτά τα προφίλ, ώστε να βοηθήσουν τους εργαζομένους να ξεπεράσουν τις ελλείψεις τους και να βρουν νέες θέσεις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υπενθυμίζει ότι, σε συμφωνία με τις συνδικαλιστικές οργανώσεις, τους ειδικούς και τους κοινωνικούς εταίρους, οι εξατομικευμένες υπηρεσίες που πρέπει να παρέχονται στους εργαζόμενους συνίστανται στα ακόλουθα μέτρα: ενημερωτικές συναντήσεις για την επανένταξη στην απασχόληση, υπηρεσίες επανατοποθέτησης στην αγορά εργασίας, συμπεριλαμβανομένης της κατάρτισης στις ΤΠΕ· βοήθεια για την εξεύρεση εργασίας μέσω καθοδήγησης και βοήθειας για την αναζήτηση εργασίας, κατάρτισης και επανακατάρτισης, ημερίδων ευκαιριών απασχόλησης, διερεύνησης της αγοράς εργασίας για τον εντοπισμό κενών θέσεων και αντιστοίχισης προσφοράς και ζήτησης· τονίζει τη σημασία της προώθησης ποιοτικών, μελλοντοστρεφών θέσεων εργασίας για τη διασφάλιση μακροπρόθεσμης οικονομικής και κοινωνικής ανθεκτικότητας·</w:t>
            </w:r>
          </w:p>
        </w:tc>
        <w:tc>
          <w:tcPr>
            <w:tcW w:w="4876" w:type="dxa"/>
            <w:tcBorders>
              <w:top w:val="nil"/>
              <w:left w:val="nil"/>
              <w:bottom w:val="nil"/>
              <w:right w:val="nil"/>
            </w:tcBorders>
          </w:tcPr>
          <w:p>
            <w:pPr>
              <w:pStyle w:val="Normal6a"/>
            </w:pPr>
            <w:r>
              <w:t>7.</w:t>
            </w:r>
            <w:r>
              <w:tab/>
            </w:r>
            <w:r>
              <w:t xml:space="preserve">υπενθυμίζει ότι, σε συμφωνία με τις συνδικαλιστικές οργανώσεις, τους ειδικούς και τους κοινωνικούς εταίρους, οι εξατομικευμένες υπηρεσίες που πρέπει να παρέχονται στους εργαζόμενους συνίστανται στα ακόλουθα μέτρα: ενημερωτικές συναντήσεις για την επανένταξη στην απασχόληση, υπηρεσίες επανατοποθέτησης στην αγορά εργασίας, συμπεριλαμβανομένης της κατάρτισης στις ΤΠΕ· βοήθεια για την εξεύρεση εργασίας μέσω καθοδήγησης και βοήθειας για την αναζήτηση εργασίας, κατάρτισης και επανακατάρτισης, ημερίδων ευκαιριών απασχόλησης, διερεύνησης της αγοράς εργασίας για τον εντοπισμό κενών θέσεων και αντιστοίχισης προσφοράς και ζήτησης· τονίζει τη σημασία της προώθησης ποιοτικών, μελλοντοστρεφών θέσεων εργασίας για τη διασφάλιση μακροπρόθεσμης οικονομικής και κοινωνικής ανθεκτικότητας· </w:t>
            </w:r>
            <w:r>
              <w:rPr>
                <w:b/>
                <w:i/>
              </w:rPr>
              <w:t>καλεί τις βελγικές αρχές να καθιερώσουν διάλογο με τους νέους Ευρωπαίους εκπροσώπους της Tupperware για να διερευνήσουν τις δυνατότητες επανένταξης των απολυμένων εργαζομένων στις οικονομικές τους δραστηριότητες·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υπενθυμίζει ότι, σε συμφωνία με τις συνδικαλιστικές οργανώσεις, τους ειδικούς και τους κοινωνικούς εταίρους, οι εξατομικευμένες υπηρεσίες που πρέπει να παρέχονται στους εργαζόμενους συνίστανται στα ακόλουθα μέτρα: ενημερωτικές συναντήσεις για την επανένταξη στην απασχόληση, υπηρεσίες επανατοποθέτησης στην αγορά εργασίας, συμπεριλαμβανομένης της κατάρτισης στις ΤΠΕ· βοήθεια για την εξεύρεση εργασίας μέσω καθοδήγησης και βοήθειας για την αναζήτηση εργασίας, κατάρτισης και επανακατάρτισης, ημερίδων ευκαιριών απασχόλησης, διερεύνησης της αγοράς εργασίας για τον εντοπισμό κενών θέσεων και αντιστοίχισης προσφοράς και ζήτησης· τονίζει τη σημασία της προώθησης ποιοτικών</w:t>
            </w:r>
            <w:r>
              <w:rPr>
                <w:b/>
                <w:i/>
              </w:rPr>
              <w:t>, μελλοντοστρεφών</w:t>
            </w:r>
            <w:r>
              <w:t xml:space="preserve"> θέσεων εργασίας για τη διασφάλιση μακροπρόθεσμης οικονομικής </w:t>
            </w:r>
            <w:r>
              <w:rPr>
                <w:b/>
                <w:i/>
              </w:rPr>
              <w:t>και κοινωνικής ανθεκτικότητας</w:t>
            </w:r>
            <w:r>
              <w:t>·</w:t>
            </w:r>
          </w:p>
        </w:tc>
        <w:tc>
          <w:tcPr>
            <w:tcW w:w="4876" w:type="dxa"/>
            <w:tcBorders>
              <w:top w:val="nil"/>
              <w:left w:val="nil"/>
              <w:bottom w:val="nil"/>
              <w:right w:val="nil"/>
            </w:tcBorders>
          </w:tcPr>
          <w:p>
            <w:pPr>
              <w:pStyle w:val="Normal6a"/>
            </w:pPr>
            <w:r>
              <w:t>7.</w:t>
            </w:r>
            <w:r>
              <w:tab/>
            </w:r>
            <w:r>
              <w:t xml:space="preserve">υπενθυμίζει ότι, σε συμφωνία με τις συνδικαλιστικές οργανώσεις, τους ειδικούς και τους κοινωνικούς εταίρους, οι εξατομικευμένες υπηρεσίες που πρέπει να παρέχονται στους εργαζόμενους συνίστανται στα ακόλουθα μέτρα: ενημερωτικές συναντήσεις για την επανένταξη στην απασχόληση, υπηρεσίες επανατοποθέτησης στην αγορά εργασίας, συμπεριλαμβανομένης της κατάρτισης στις ΤΠΕ· βοήθεια για την εξεύρεση εργασίας μέσω καθοδήγησης και βοήθειας για την αναζήτηση εργασίας, κατάρτισης και επανακατάρτισης, ημερίδων ευκαιριών απασχόλησης, διερεύνησης της αγοράς εργασίας για τον εντοπισμό κενών θέσεων και αντιστοίχισης προσφοράς και ζήτησης· τονίζει τη σημασία της προώθησης ποιοτικών </w:t>
            </w:r>
            <w:r>
              <w:rPr>
                <w:b/>
                <w:i/>
              </w:rPr>
              <w:t>και βιώσιμων</w:t>
            </w:r>
            <w:r>
              <w:t xml:space="preserve"> θέσεων εργασίας </w:t>
            </w:r>
            <w:r>
              <w:rPr>
                <w:b/>
                <w:i/>
              </w:rPr>
              <w:t>στη βιομηχανία</w:t>
            </w:r>
            <w:r>
              <w:t xml:space="preserve"> για τη διασφάλιση μακροπρόθεσμης οικονομικής </w:t>
            </w:r>
            <w:r>
              <w:rPr>
                <w:b/>
                <w:i/>
              </w:rPr>
              <w:t>ανάπτυξης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τονίζει ότι τα προσόντα και οι δεξιότητες των απολυμένων εργαζομένων παραμένουν καίριας σημασίας για μια ανθεκτική στις μελλοντικές εξελίξεις ευρωπαϊκή οικονομία· </w:t>
            </w:r>
            <w:r>
              <w:rPr>
                <w:b/>
                <w:i/>
              </w:rPr>
              <w:t>θεωρεί, ως εκ τούτου, ότι η κινητοποίηση του ΕΤΠ πρέπει να ενσωματωθεί σε μια ευρύτερη πολιτική απάντηση σε όλα τα πολιτικά επίπεδα, προκειμένου να διασφαλιστεί ότι οι θιγόμενοι εργαζόμενοι βρίσκουν επαρκείς ευκαιρίες με γνώμονα τα προσόντα και τις δεξιότητές τους·</w:t>
            </w:r>
            <w:r>
              <w:t xml:space="preserve"> υπενθυμίζει </w:t>
            </w:r>
            <w:r>
              <w:rPr>
                <w:b/>
                <w:i/>
              </w:rPr>
              <w:t>περαιτέρω ότι το ΕΤΠ αποτελεί μέσο αλληλεγγύης και δίκαιης μετάβασης και ότι πρωταρχικό καθήκον της Ένωσης πρέπει να είναι καταρχάς να προλαμβάνονται τέτοια κλεισίματα</w:t>
            </w:r>
            <w:r>
              <w:t>·</w:t>
            </w:r>
          </w:p>
        </w:tc>
        <w:tc>
          <w:tcPr>
            <w:tcW w:w="4876" w:type="dxa"/>
            <w:tcBorders>
              <w:top w:val="nil"/>
              <w:left w:val="nil"/>
              <w:bottom w:val="nil"/>
              <w:right w:val="nil"/>
            </w:tcBorders>
          </w:tcPr>
          <w:p>
            <w:pPr>
              <w:pStyle w:val="Normal6a"/>
            </w:pPr>
            <w:r>
              <w:t>8.</w:t>
            </w:r>
            <w:r>
              <w:tab/>
            </w:r>
            <w:r>
              <w:t xml:space="preserve">τονίζει ότι τα προσόντα και οι δεξιότητες των απολυμένων εργαζομένων παραμένουν καίριας σημασίας για μια ανθεκτική στις μελλοντικές εξελίξεις ευρωπαϊκή οικονομία· υπενθυμίζει </w:t>
            </w:r>
            <w:r>
              <w:rPr>
                <w:b/>
                <w:i/>
              </w:rPr>
              <w:t>ότι η πρόληψη του κλεισίματος εταιρειών και η διασφάλιση της απασχόλησης στη βιομηχανία παραμένει πρωτίστως εθνική ευθύνη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τονίζει ότι τα προσόντα και οι δεξιότητες των απολυμένων εργαζομένων παραμένουν καίριας σημασίας για μια ανθεκτική στις μελλοντικές εξελίξεις ευρωπαϊκή οικονομία· θεωρεί, ως εκ τούτου, ότι η κινητοποίηση του ΕΤΠ πρέπει να ενσωματωθεί σε μια ευρύτερη πολιτική απάντηση σε όλα τα πολιτικά επίπεδα, προκειμένου να διασφαλιστεί ότι οι θιγόμενοι εργαζόμενοι βρίσκουν επαρκείς ευκαιρίες με γνώμονα τα προσόντα και τις δεξιότητές τους· υπενθυμίζει </w:t>
            </w:r>
            <w:r>
              <w:rPr>
                <w:b/>
                <w:i/>
              </w:rPr>
              <w:t>περαιτέρω</w:t>
            </w:r>
            <w:r>
              <w:t xml:space="preserve"> ότι το ΕΤΠ </w:t>
            </w:r>
            <w:r>
              <w:rPr>
                <w:b/>
                <w:i/>
              </w:rPr>
              <w:t>αποτελεί μέσο αλληλεγγύης και δίκαιης μετάβασης και ότι πρωταρχικό καθήκον της Ένωσης πρέπει να</w:t>
            </w:r>
            <w:r>
              <w:t xml:space="preserve"> είναι </w:t>
            </w:r>
            <w:r>
              <w:rPr>
                <w:b/>
                <w:i/>
              </w:rPr>
              <w:t>καταρχάς να προλαμβάνονται τέτοια κλεισίματα</w:t>
            </w:r>
            <w:r>
              <w:t>·</w:t>
            </w:r>
          </w:p>
        </w:tc>
        <w:tc>
          <w:tcPr>
            <w:tcW w:w="4876" w:type="dxa"/>
            <w:tcBorders>
              <w:top w:val="nil"/>
              <w:left w:val="nil"/>
              <w:bottom w:val="nil"/>
              <w:right w:val="nil"/>
            </w:tcBorders>
          </w:tcPr>
          <w:p>
            <w:pPr>
              <w:pStyle w:val="Normal6a"/>
            </w:pPr>
            <w:r>
              <w:t>8.</w:t>
            </w:r>
            <w:r>
              <w:tab/>
            </w:r>
            <w:r>
              <w:t>τονίζει ότι τα προσόντα και οι δεξιότητες των απολυμένων εργαζομένων παραμένουν καίριας σημασίας για μια ανθεκτική στις μελλοντικές εξελίξεις ευρωπαϊκή οικονομία· θεωρεί, ως εκ τούτου, ότι η κινητοποίηση του ΕΤΠ πρέπει να ενσωματωθεί σε μια ευρύτερη πολιτική απάντηση σε όλα τα πολιτικά επίπεδα, προκειμένου να διασφαλιστεί ότι οι θιγόμενοι εργαζόμενοι βρίσκουν επαρκείς ευκαιρίες με γνώμονα τα προσόντα και τις δεξιότητές τους· υπενθυμίζει ότι</w:t>
            </w:r>
            <w:r>
              <w:rPr>
                <w:b/>
                <w:i/>
              </w:rPr>
              <w:t>, σύμφωνα με τους στόχους που ορίζονται στην Πυξίδα Ανταγωνιστικότητας, ενώ</w:t>
            </w:r>
            <w:r>
              <w:t xml:space="preserve"> το ΕΤΠ </w:t>
            </w:r>
            <w:r>
              <w:rPr>
                <w:b/>
                <w:i/>
              </w:rPr>
              <w:t>παρέχει την αναγκαία στήριξη στους πληττόμενους εργαζομένους, μια ισχυρότερη βιομηχανική πολιτική και μια πιο ισχυρή και ανθεκτική οικονομία</w:t>
            </w:r>
            <w:r>
              <w:t xml:space="preserve"> είναι </w:t>
            </w:r>
            <w:r>
              <w:rPr>
                <w:b/>
                <w:i/>
              </w:rPr>
              <w:t>ουσιαστικής σημασίας για τη μείωση των απολύσεων μεγάλης κλίμακας και τη διασφάλιση της ευρωπαϊκής βιομηχανικής βάσης απασχόλησης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τονίζει ότι τα προσόντα και οι δεξιότητες των απολυμένων εργαζομένων παραμένουν καίριας σημασίας για μια </w:t>
            </w:r>
            <w:r>
              <w:rPr>
                <w:b/>
                <w:i/>
              </w:rPr>
              <w:t>ανθεκτική στις μελλοντικές εξελίξεις</w:t>
            </w:r>
            <w:r>
              <w:t xml:space="preserve"> ευρωπαϊκή οικονομία· θεωρεί, ως εκ τούτου, ότι η κινητοποίηση του ΕΤΠ πρέπει να ενσωματωθεί σε μια ευρύτερη πολιτική απάντηση σε όλα τα πολιτικά επίπεδα, προκειμένου να διασφαλιστεί ότι οι θιγόμενοι εργαζόμενοι βρίσκουν επαρκείς ευκαιρίες με γνώμονα τα προσόντα και τις δεξιότητές τους· υπενθυμίζει περαιτέρω ότι το ΕΤΠ αποτελεί μέσο αλληλεγγύης </w:t>
            </w:r>
            <w:r>
              <w:rPr>
                <w:b/>
                <w:i/>
              </w:rPr>
              <w:t>και δίκαιης μετάβασης</w:t>
            </w:r>
            <w:r>
              <w:t xml:space="preserve"> και ότι πρωταρχικό καθήκον της Ένωσης πρέπει να είναι καταρχάς να προλαμβάνονται τέτοια κλεισίματα·</w:t>
            </w:r>
          </w:p>
        </w:tc>
        <w:tc>
          <w:tcPr>
            <w:tcW w:w="4876" w:type="dxa"/>
            <w:tcBorders>
              <w:top w:val="nil"/>
              <w:left w:val="nil"/>
              <w:bottom w:val="nil"/>
              <w:right w:val="nil"/>
            </w:tcBorders>
          </w:tcPr>
          <w:p>
            <w:pPr>
              <w:pStyle w:val="Normal6a"/>
            </w:pPr>
            <w:r>
              <w:t>8.</w:t>
            </w:r>
            <w:r>
              <w:tab/>
            </w:r>
            <w:r>
              <w:t xml:space="preserve">τονίζει ότι τα προσόντα και οι δεξιότητες των απολυμένων εργαζομένων παραμένουν καίριας σημασίας για μια </w:t>
            </w:r>
            <w:r>
              <w:rPr>
                <w:b/>
                <w:i/>
              </w:rPr>
              <w:t>παραγωγική</w:t>
            </w:r>
            <w:r>
              <w:t xml:space="preserve"> ευρωπαϊκή οικονομία· θεωρεί, ως εκ τούτου, ότι η κινητοποίηση του ΕΤΠ πρέπει να ενσωματωθεί σε μια ευρύτερη πολιτική απάντηση σε όλα τα πολιτικά επίπεδα, προκειμένου να διασφαλιστεί ότι οι θιγόμενοι εργαζόμενοι βρίσκουν επαρκείς ευκαιρίες με γνώμονα τα προσόντα και τις δεξιότητές τους· υπενθυμίζει περαιτέρω ότι το ΕΤΠ αποτελεί μέσο </w:t>
            </w:r>
            <w:r>
              <w:rPr>
                <w:b/>
                <w:i/>
              </w:rPr>
              <w:t>επείγουσας</w:t>
            </w:r>
            <w:r>
              <w:t xml:space="preserve"> αλληλεγγύης και ότι πρωταρχικό καθήκον της </w:t>
            </w:r>
            <w:r>
              <w:rPr>
                <w:b/>
                <w:i/>
              </w:rPr>
              <w:t>Ευρωπαϊκής</w:t>
            </w:r>
            <w:r>
              <w:t xml:space="preserve"> Ένωσης πρέπει να είναι καταρχάς να προλαμβάνονται τέτοια κλεισίματα</w:t>
            </w:r>
            <w:r>
              <w:rPr>
                <w:b/>
                <w:i/>
              </w:rPr>
              <w:t>, προασπίζοντας τη βιομηχανική παραγωγή στο ευρωπαϊκό έδαφος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α.</w:t>
            </w:r>
            <w:r>
              <w:tab/>
            </w:r>
            <w:r>
              <w:rPr>
                <w:b/>
                <w:i/>
              </w:rPr>
              <w:t>θεωρεί ότι το ΕΤΠ, μολονότι είναι απαραίτητο για τη στήριξη των εργαζομένων στο άμεσο μέλλον, αποτελεί διορθωτικό μέτρο που δεν μπορεί να αντισταθμίσει τις διαρθρωτικές συνέπειες μιας υπερβολικά ανοικτής εμπορικής πολιτικής της Ευρωπαϊκής Ένωσης που στερείται προστασίας για την εσωτερική της αγορά·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ζητεί ενδελεχείς τελικές αξιολογήσεις των εφαρμοζόμενων μέτρων, συμπεριλαμβανομένων σαφών πληροφοριών σχετικά με τον τρόπο με τον οποίο χρησιμοποιήθηκαν τα κονδύλια και κατά πόσον δαπανήθηκαν σύμφωνα με τα εγκεκριμένα σχέδια·</w:t>
            </w:r>
          </w:p>
        </w:tc>
        <w:tc>
          <w:tcPr>
            <w:tcW w:w="4876" w:type="dxa"/>
            <w:tcBorders>
              <w:top w:val="nil"/>
              <w:left w:val="nil"/>
              <w:bottom w:val="nil"/>
              <w:right w:val="nil"/>
            </w:tcBorders>
          </w:tcPr>
          <w:p>
            <w:pPr>
              <w:pStyle w:val="Normal6a"/>
            </w:pPr>
            <w:r>
              <w:t>10.</w:t>
            </w:r>
            <w:r>
              <w:tab/>
            </w:r>
            <w:r>
              <w:t xml:space="preserve">ζητεί ενδελεχείς τελικές αξιολογήσεις των εφαρμοζόμενων μέτρων, συμπεριλαμβανομένων σαφών πληροφοριών σχετικά με τον τρόπο με τον οποίο χρησιμοποιήθηκαν τα κονδύλια και κατά πόσον δαπανήθηκαν σύμφωνα με τα εγκεκριμένα σχέδια· </w:t>
            </w:r>
            <w:r>
              <w:rPr>
                <w:b/>
                <w:i/>
              </w:rPr>
              <w:t>τονίζει ότι οι αξιολογήσεις αυτές θα πρέπει να βασίζονται σε σαφώς καθορισμένους στόχους και μετρήσιμα αποτελέσματα, επιτρέποντας την αξιολόγηση των αποτελεσμάτων που επιτυγχάνονται για τους ενδιαφερόμενους εργαζομένους·</w:t>
            </w:r>
            <w:r>
              <w:t xml:space="preserve"> </w:t>
            </w:r>
            <w:r>
              <w:rPr>
                <w:b/>
                <w:i/>
              </w:rPr>
              <w:t>υπογραμμίζει ότι είναι σημαντικό να εξασφαλιστούν ταχύτερες και αποτελεσματικότερες παρεμβάσεις και υπενθυμίζει, στο πλαίσιο αυτό, την ανάγκη να διερευνηθούν τρόποι για τη διασφάλιση της βιωσιμότητας του ΕΤΠ, ή του διάδοχου προγράμματός του, στο πλαίσιο του επόμενου πολυετούς δημοσιονομικού πλαισίου 2028-2034·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ζητεί ενδελεχείς τελικές αξιολογήσεις των εφαρμοζόμενων μέτρων, συμπεριλαμβανομένων σαφών πληροφοριών σχετικά με τον τρόπο με τον οποίο χρησιμοποιήθηκαν τα κονδύλια και κατά πόσον δαπανήθηκαν σύμφωνα με τα εγκεκριμένα σχέδια·</w:t>
            </w:r>
          </w:p>
        </w:tc>
        <w:tc>
          <w:tcPr>
            <w:tcW w:w="4876" w:type="dxa"/>
            <w:tcBorders>
              <w:top w:val="nil"/>
              <w:left w:val="nil"/>
              <w:bottom w:val="nil"/>
              <w:right w:val="nil"/>
            </w:tcBorders>
          </w:tcPr>
          <w:p>
            <w:pPr>
              <w:pStyle w:val="Normal6a"/>
            </w:pPr>
            <w:r>
              <w:t>10.</w:t>
            </w:r>
            <w:r>
              <w:tab/>
            </w:r>
            <w:r>
              <w:t>ζητεί ενδελεχείς τελικές αξιολογήσεις των εφαρμοζόμενων μέτρων, συμπεριλαμβανομένων σαφών πληροφοριών σχετικά με τον τρόπο με τον οποίο χρησιμοποιήθηκαν τα κονδύλια και κατά πόσον δαπανήθηκαν σύμφωνα με τα εγκεκριμένα σχέδια</w:t>
            </w:r>
            <w:r>
              <w:rPr>
                <w:b/>
                <w:i/>
              </w:rPr>
              <w:t>, συμπεριλαμβανομένης μιας αξιολόγησης του πραγματικού ποσοστού επανένταξης των δικαιούχων σε σταθερή απασχόληση και της σχέσης κόστους-αποτελεσματικότητας των μέτρων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784.155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11</w:t>
    </w:r>
    <w:r>
      <w:fldChar w:fldCharType="end"/>
    </w:r>
    <w:r>
      <w:tab/>
    </w:r>
    <w:r>
      <w:rPr>
        <w:rStyle w:val="HideTWBExt"/>
      </w:rPr>
      <w:t>&lt;PathFdR&gt;</w:t>
    </w:r>
    <w:r>
      <w:t>AM\1336304EL.docx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AM\1336304EL.docx</w:t>
    </w:r>
    <w:r>
      <w:rPr>
        <w:rStyle w:val="HideTWBExt"/>
      </w:rPr>
      <w:t>&lt;/PathFdR&gt;</w:t>
    </w:r>
    <w:r>
      <w:tab/>
    </w:r>
    <w:r>
      <w:fldChar w:fldCharType="begin"/>
    </w:r>
    <w:r>
      <w:instrText xml:space="preserve"> PAGE </w:instrText>
    </w:r>
    <w:r>
      <w:fldChar w:fldCharType="separate"/>
    </w:r>
    <w:r>
      <w:t>11</w:t>
    </w:r>
    <w:r>
      <w:fldChar w:fldCharType="end"/>
    </w:r>
    <w:r>
      <w:t>/</w:t>
    </w:r>
    <w:r>
      <w:fldChar w:fldCharType="begin"/>
    </w:r>
    <w:r>
      <w:instrText xml:space="preserve"> NUMPAGES </w:instrText>
    </w:r>
    <w:r>
      <w:fldChar w:fldCharType="separate"/>
    </w:r>
    <w:r>
      <w:t>11</w:t>
    </w:r>
    <w:r>
      <w:fldChar w:fldCharType="end"/>
    </w:r>
    <w:r>
      <w:tab/>
    </w:r>
    <w:r>
      <w:t>PE</w:t>
    </w:r>
    <w:r>
      <w:rPr>
        <w:rStyle w:val="HideTWBExt"/>
      </w:rPr>
      <w:t>&lt;NoPE&gt;</w:t>
    </w:r>
    <w:r>
      <w:t>784.155</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AM\1336304EL.docx</w:t>
    </w:r>
    <w:r>
      <w:rPr>
        <w:rStyle w:val="HideTWBExt"/>
      </w:rPr>
      <w:t>&lt;/PathFdR&gt;</w:t>
    </w:r>
    <w:r>
      <w:tab/>
    </w:r>
    <w:r>
      <w:tab/>
    </w:r>
    <w:r>
      <w:t>PE</w:t>
    </w:r>
    <w:r>
      <w:rPr>
        <w:rStyle w:val="HideTWBExt"/>
      </w:rPr>
      <w:t>&lt;NoPE&gt;</w:t>
    </w:r>
    <w:r>
      <w:t>784.155</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Pages>
  <Words>1921</Words>
  <Characters>12447</Characters>
  <Application>Microsoft Office Word</Application>
  <DocSecurity>0</DocSecurity>
  <Lines>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1336304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389793</vt:lpwstr>
  </property>
  <property fmtid="{D5CDD505-2E9C-101B-9397-08002B2CF9AE}" pid="7" name="dmxml.render.traceId">
    <vt:lpwstr>699d7fc86cd6b2936fd83e065dac25e0</vt:lpwstr>
  </property>
  <property fmtid="{D5CDD505-2E9C-101B-9397-08002B2CF9AE}" pid="8" name="FooterPath">
    <vt:lpwstr>AM\1336304EL.docx</vt:lpwstr>
  </property>
  <property fmtid="{D5CDD505-2E9C-101B-9397-08002B2CF9AE}" pid="9" name="PE Number">
    <vt:lpwstr>784.155</vt:lpwstr>
  </property>
  <property fmtid="{D5CDD505-2E9C-101B-9397-08002B2CF9AE}" pid="10" name="UID">
    <vt:lpwstr>eu.europa.europarl-DIN1-2026-0000025636_02.00-el-01.00_text-xml</vt:lpwstr>
  </property>
</Properties>
</file>