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Parlamento Europeo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{BUDG}</w:t>
      </w:r>
      <w:r>
        <w:t>Comisión de Presupuestos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2026/0004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(BUD)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{10/02/2026}</w:t>
      </w:r>
      <w:r>
        <w:t>10.2.2026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ENMIENDAS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16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Proyecto de informe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Jean-Marc Germain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(PE782.416v01-00)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Movilización del Fondo Europeo de Adaptación a la Globalización para Trabajadores Despedidos en respuesta a una solicitud de Bélgica (EGF/2025/004 BE/Tupperware)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(2026/0004(BUD))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Enmienda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Propuesta de Resolución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Visto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Propuesta de Resolución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Enmienda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Visto el pilar europeo de derechos sociales,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suprimido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Enmienda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Propuesta de Resolución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Considerando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Propuesta de Resolución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Enmienda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Considerando que Tupperware se declaró en quiebra el 17 de febrero de 2025; que, en Bélgica, el número de quiebras va en aumento desde 2022;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>Considerando que Tupperware se declaró en quiebra el 17 de febrero de 2025; que, en Bélgica, el número de quiebras va en aumento desde 2022</w:t>
            </w:r>
            <w:r>
              <w:rPr>
                <w:b/>
                <w:i/>
              </w:rPr>
              <w:t>, lo que afecta de forma particular al sector industrial en un contexto de estancamiento económico y de elevados costes de producción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Enmienda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Propuesta de Resolución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Considerando D bis (nuevo)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Propuesta de Resolución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Enmienda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 bis.</w:t>
            </w:r>
            <w:r>
              <w:tab/>
            </w:r>
            <w:r>
              <w:rPr>
                <w:b/>
                <w:i/>
              </w:rPr>
              <w:t>Considerando que el cierre de la planta de Tupperware en Bélgica ilustra los riesgos asociados a la dependencia de los centros de toma de decisiones estratégicas situados fuera de la Unión, lo que socava el tejido industrial local;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Enmienda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Propuesta de Resolución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Apartado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Propuesta de Resolución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Enmienda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Observa que Tupperware estaba situado en Aalst, en la provincia de Flandes Oriental, donde solo trabajaba una de cada dos personas, frente a la media de dos de cada tres personas en toda la región de Flandes, ya antes de la quiebra de Tupperware;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Observa que Tupperware estaba situado en Aalst, en la provincia de Flandes Oriental, donde solo trabajaba una de cada dos personas, frente a la media de dos de cada tres personas en toda la región de Flandes, ya antes de la quiebra de Tupperware; </w:t>
            </w:r>
            <w:r>
              <w:rPr>
                <w:b/>
                <w:i/>
              </w:rPr>
              <w:t>lamenta que estos despidos agravarán aún más la situación;</w:t>
            </w:r>
            <w:r>
              <w:t xml:space="preserve"> </w:t>
            </w:r>
            <w:r>
              <w:rPr>
                <w:b/>
                <w:i/>
              </w:rPr>
              <w:t>subraya que es necesario actuar con rapidez a fin de evitar un declive regional estructural;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Enmienda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Propuesta de Resolución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Apartado 5 bis (nuevo)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Propuesta de Resolución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Enmienda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 bis.</w:t>
            </w:r>
            <w:r>
              <w:tab/>
            </w:r>
            <w:r>
              <w:rPr>
                <w:b/>
                <w:i/>
              </w:rPr>
              <w:t>Considera que este caso pone de manifiesto las consecuencias de la persistente dependencia de Europa de agentes de terceros países en lo que respecta a tecnologías clave y propiedad intelectual;</w:t>
            </w:r>
            <w:r>
              <w:t xml:space="preserve"> </w:t>
            </w:r>
            <w:r>
              <w:rPr>
                <w:b/>
                <w:i/>
              </w:rPr>
              <w:t>señala que la movilización del FEAG refleja la necesidad de abordar el impacto social de estas dependencias estratégicas y reitera, al mismo tiempo, que reducirlas sigue siendo una prioridad;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Enmienda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Propuesta de Resolución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Apartado 5 bis (nuevo)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Propuesta de Resolución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Enmienda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 bis.</w:t>
            </w:r>
            <w:r>
              <w:tab/>
            </w:r>
            <w:r>
              <w:rPr>
                <w:b/>
                <w:i/>
              </w:rPr>
              <w:t>Recuerda que la competitividad industrial en Europa se ve gravemente afectada por el aumento de los costes de la energía y por la inflación reguladora;</w:t>
            </w:r>
            <w:r>
              <w:t xml:space="preserve"> </w:t>
            </w:r>
            <w:r>
              <w:rPr>
                <w:b/>
                <w:i/>
              </w:rPr>
              <w:t>advierte de que, sin una revisión radical de los mecanismos de fijación de los precios de la energía y un plan de simplificación de choque, serán inevitables otros cierres similares;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Enmienda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Ștefănuță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Propuesta de Resolución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Apartado 5 bis (nuevo)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Propuesta de Resolución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Enmienda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 bis.</w:t>
            </w:r>
            <w:r>
              <w:tab/>
            </w:r>
            <w:r>
              <w:rPr>
                <w:b/>
                <w:i/>
              </w:rPr>
              <w:t>Acoge con satisfacción una iniciativa del grupo de empresarios europeos que tiene por objeto revitalizar la marca en Alemania, Bélgica, Francia, Italia y Polonia;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Enmienda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Propuesta de Resolución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Apartado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Propuesta de Resolución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Enmienda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Hace hincapié en que, en Flandes, el riesgo de desempleo es más del doble para las personas con un nivel de formación bajo; observa que un tercio de los trabajadores despedidos no tiene más que la educación secundaria baja; pide a las autoridades belgas que presten un apoyo específico adaptado a estos perfiles para ayudar a los trabajadores a superar sus limitaciones y volver a encontrar trabajo</w:t>
            </w:r>
            <w:r>
              <w:rPr>
                <w:b/>
                <w:i/>
              </w:rPr>
              <w:t>, adoptando al mismo tiempo medidas para reducir el número de quiebras y abordar las disparidades sociales que conducen a la exclusión de la mano de obra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Hace hincapié en que, en Flandes, el riesgo de desempleo es más del doble para las personas con un nivel de formación bajo; observa que un tercio de los trabajadores despedidos no tiene más que la educación secundaria baja; pide a las autoridades belgas que presten un apoyo específico adaptado a estos perfiles para ayudar a los trabajadores a superar sus limitaciones y volver a encontrar trabajo;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Enmienda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Nicolae Ștefănuță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Propuesta de Resolución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Apartado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Propuesta de Resolución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Enmienda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Recuerda que, con el acuerdo de los sindicatos, expertos y los interlocutores sociales, los servicios personalizados que se prestarán a los trabajadores consisten en las siguientes medidas: sesiones informativas para la reinserción laboral, servicios de recolocación, incluida la formación en TIC; asistencia en la búsqueda de empleo a través de la orientación y la asistencia en la búsqueda de empleo, formación y reciclaje profesional, una feria de empleo, búsqueda de puestos de trabajo y adecuación entre la oferta y la demanda de empleo; hace hincapié en la importancia de fomentar el empleo de calidad y orientado al futuro con el fin de garantizar la resiliencia económica y social a largo plazo;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Recuerda que, con el acuerdo de los sindicatos, expertos y los interlocutores sociales, los servicios personalizados que se prestarán a los trabajadores consisten en las siguientes medidas: sesiones informativas para la reinserción laboral, servicios de recolocación, incluida la formación en TIC; asistencia en la búsqueda de empleo a través de la orientación y la asistencia en la búsqueda de empleo, formación y reciclaje profesional, una feria de empleo, búsqueda de puestos de trabajo y adecuación entre la oferta y la demanda de empleo; hace hincapié en la importancia de fomentar el empleo de calidad y orientado al futuro con el fin de garantizar la resiliencia económica y social a largo plazo; </w:t>
            </w:r>
            <w:r>
              <w:rPr>
                <w:b/>
                <w:i/>
              </w:rPr>
              <w:t>pide a las autoridades belgas que entablen un diálogo con los nuevos representantes europeos de Tupperware con vistas a analizar las posibles vías de reinserción de los trabajadores despedidos en sus actividades económicas;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Enmienda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Propuesta de Resolución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Apartado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Propuesta de Resolución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Enmienda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 xml:space="preserve">Recuerda que, con el acuerdo de los sindicatos, expertos y los interlocutores sociales, los servicios personalizados que se prestarán a los trabajadores consisten en las siguientes medidas: sesiones informativas para la reinserción laboral, servicios de recolocación, incluida la formación en TIC; asistencia en la búsqueda de empleo a través de la orientación y la asistencia en la búsqueda de empleo, formación y reciclaje profesional, una feria de empleo, búsqueda de puestos de trabajo y adecuación entre la oferta y la demanda de empleo; hace hincapié en la importancia de fomentar el empleo de calidad y </w:t>
            </w:r>
            <w:r>
              <w:rPr>
                <w:b/>
                <w:i/>
              </w:rPr>
              <w:t>orientado al futuro</w:t>
            </w:r>
            <w:r>
              <w:t xml:space="preserve"> con el fin de garantizar </w:t>
            </w:r>
            <w:r>
              <w:rPr>
                <w:b/>
                <w:i/>
              </w:rPr>
              <w:t>la resiliencia económica y social</w:t>
            </w:r>
            <w:r>
              <w:t xml:space="preserve"> a largo plazo;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7.</w:t>
            </w:r>
            <w:r>
              <w:tab/>
            </w:r>
            <w:r>
              <w:t>Recuerda que, con el acuerdo de los sindicatos, expertos y los interlocutores sociales, los servicios personalizados que se prestarán a los trabajadores consisten en las siguientes medidas: sesiones informativas para la reinserción laboral, servicios de recolocación, incluida la formación en TIC; asistencia en la búsqueda de empleo a través de la orientación y la asistencia en la búsqueda de empleo, formación y reciclaje profesional, una feria de empleo, búsqueda de puestos de trabajo y adecuación entre la oferta y la demanda de empleo; hace hincapié en la importancia de fomentar el empleo </w:t>
            </w:r>
            <w:r>
              <w:rPr>
                <w:b/>
                <w:i/>
              </w:rPr>
              <w:t>industrial</w:t>
            </w:r>
            <w:r>
              <w:t xml:space="preserve"> de calidad y </w:t>
            </w:r>
            <w:r>
              <w:rPr>
                <w:b/>
                <w:i/>
              </w:rPr>
              <w:t>duradero</w:t>
            </w:r>
            <w:r>
              <w:t xml:space="preserve"> con el fin de garantizar </w:t>
            </w:r>
            <w:r>
              <w:rPr>
                <w:b/>
                <w:i/>
              </w:rPr>
              <w:t>el crecimiento económico</w:t>
            </w:r>
            <w:r>
              <w:t xml:space="preserve"> a largo plazo;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Enmienda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Propuesta de Resolución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Apartado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Propuesta de Resolución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Enmienda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Hace hincapié en que las cualificaciones y competencias de los trabajadores despedidos siguen siendo fundamentales para una economía europea con perspectivas de futuro; </w:t>
            </w:r>
            <w:r>
              <w:rPr>
                <w:b/>
                <w:i/>
              </w:rPr>
              <w:t>considera, por consiguiente,</w:t>
            </w:r>
            <w:r>
              <w:t xml:space="preserve"> que la </w:t>
            </w:r>
            <w:r>
              <w:rPr>
                <w:b/>
                <w:i/>
              </w:rPr>
              <w:t>movilización del FEAG debe enmarcarse dentro de una respuesta de estrategia política más amplia a todos los niveles políticos para garantizar que los trabajadores afectados encuentren oportunidades adecuadas en consonancia con sus cualificaciones y competencias;</w:t>
            </w:r>
            <w:r>
              <w:t xml:space="preserve"> </w:t>
            </w:r>
            <w:r>
              <w:rPr>
                <w:b/>
                <w:i/>
              </w:rPr>
              <w:t>recuerda, además, que el FEAG es un instrumento de solidaridad y transición justa y que, en primera instancia, la principal función de la Unión debe ser evitar estos</w:t>
            </w:r>
            <w:r>
              <w:t xml:space="preserve"> cierres;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Hace hincapié en que las cualificaciones y competencias de los trabajadores despedidos siguen siendo fundamentales para una economía europea con perspectivas de futuro; </w:t>
            </w:r>
            <w:r>
              <w:rPr>
                <w:b/>
                <w:i/>
              </w:rPr>
              <w:t>recuerda</w:t>
            </w:r>
            <w:r>
              <w:t xml:space="preserve"> que la </w:t>
            </w:r>
            <w:r>
              <w:rPr>
                <w:b/>
                <w:i/>
              </w:rPr>
              <w:t>prevención de los</w:t>
            </w:r>
            <w:r>
              <w:t xml:space="preserve"> cierres </w:t>
            </w:r>
            <w:r>
              <w:rPr>
                <w:b/>
                <w:i/>
              </w:rPr>
              <w:t>de empresas y la salvaguarda del empleo industrial siguen constituyendo, ante todo, una responsabilidad de carácter nacional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Enmienda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Propuesta de Resolución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Apartado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Propuesta de Resolución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Enmienda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Hace hincapié en que las cualificaciones y competencias de los trabajadores despedidos siguen siendo fundamentales para una economía europea con perspectivas de futuro; considera, por consiguiente, que la movilización del FEAG debe enmarcarse dentro de una respuesta de estrategia política más amplia a todos los niveles políticos para garantizar que los trabajadores afectados encuentren oportunidades adecuadas en consonancia con sus cualificaciones y competencias; recuerda</w:t>
            </w:r>
            <w:r>
              <w:rPr>
                <w:b/>
                <w:i/>
              </w:rPr>
              <w:t>, además,</w:t>
            </w:r>
            <w:r>
              <w:t xml:space="preserve"> que el FEAG </w:t>
            </w:r>
            <w:r>
              <w:rPr>
                <w:b/>
                <w:i/>
              </w:rPr>
              <w:t>es un instrumento de solidaridad y transición justa y que, en primera instancia, la principal función</w:t>
            </w:r>
            <w:r>
              <w:t xml:space="preserve"> de </w:t>
            </w:r>
            <w:r>
              <w:rPr>
                <w:b/>
                <w:i/>
              </w:rPr>
              <w:t>la Unión debe ser evitar estos cierres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Hace hincapié en que las cualificaciones y competencias de los trabajadores despedidos siguen siendo fundamentales para una economía europea con perspectivas de futuro; considera, por consiguiente, que la movilización del FEAG debe enmarcarse dentro de una respuesta de estrategia política más amplia a todos los niveles políticos para garantizar que los trabajadores afectados encuentren oportunidades adecuadas en consonancia con sus cualificaciones y competencias; recuerda que</w:t>
            </w:r>
            <w:r>
              <w:rPr>
                <w:b/>
                <w:i/>
              </w:rPr>
              <w:t>, en consonancia con los objetivos estipulados en la Brújula para la Competitividad, si bien</w:t>
            </w:r>
            <w:r>
              <w:t xml:space="preserve"> el FEAG </w:t>
            </w:r>
            <w:r>
              <w:rPr>
                <w:b/>
                <w:i/>
              </w:rPr>
              <w:t>presta el apoyo necesario a los trabajadores afectados, resulta esencial disponer de una política industrial reforzada y</w:t>
            </w:r>
            <w:r>
              <w:t xml:space="preserve"> de </w:t>
            </w:r>
            <w:r>
              <w:rPr>
                <w:b/>
                <w:i/>
              </w:rPr>
              <w:t>una economía más sólida y resiliente para reducir los despidos a gran escala y salvaguardar la base de empleo industrial europea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Enmienda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Propuesta de Resolución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Apartado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Propuesta de Resolución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Enmienda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Hace hincapié en que las cualificaciones y competencias de los trabajadores despedidos siguen siendo fundamentales para una economía europea </w:t>
            </w:r>
            <w:r>
              <w:rPr>
                <w:b/>
                <w:i/>
              </w:rPr>
              <w:t>con perspectivas de futuro</w:t>
            </w:r>
            <w:r>
              <w:t xml:space="preserve">; considera, por consiguiente, que la movilización del FEAG debe enmarcarse dentro de una respuesta de estrategia política más amplia a todos los niveles políticos para garantizar que los trabajadores afectados encuentren oportunidades adecuadas en consonancia con sus cualificaciones y competencias; recuerda, además, que el FEAG es un instrumento de solidaridad </w:t>
            </w:r>
            <w:r>
              <w:rPr>
                <w:b/>
                <w:i/>
              </w:rPr>
              <w:t>y transición justa</w:t>
            </w:r>
            <w:r>
              <w:t xml:space="preserve"> y que, en primera instancia, la principal función de la Unión debe ser evitar estos cierres;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Hace hincapié en que las cualificaciones y competencias de los trabajadores despedidos siguen siendo fundamentales para una economía europea </w:t>
            </w:r>
            <w:r>
              <w:rPr>
                <w:b/>
                <w:i/>
              </w:rPr>
              <w:t>productiva</w:t>
            </w:r>
            <w:r>
              <w:t xml:space="preserve">; considera, por consiguiente, que la movilización del FEAG debe enmarcarse dentro de una respuesta de estrategia política más amplia a todos los niveles políticos para garantizar que los trabajadores afectados encuentren oportunidades adecuadas en consonancia con sus cualificaciones y competencias; recuerda, además, que el FEAG es un instrumento de solidaridad </w:t>
            </w:r>
            <w:r>
              <w:rPr>
                <w:b/>
                <w:i/>
              </w:rPr>
              <w:t>de emergencia</w:t>
            </w:r>
            <w:r>
              <w:t xml:space="preserve"> y que, en primera instancia, la principal función de la Unión debe ser evitar estos cierres </w:t>
            </w:r>
            <w:r>
              <w:rPr>
                <w:b/>
                <w:i/>
              </w:rPr>
              <w:t>mediante la defensa de la producción industrial en territorio europeo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Enmienda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Angéline Furet, Julien Sanchez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Propuesta de Resolución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Apartado 8 bis (nuevo)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Propuesta de Resolución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Enmienda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 bis.</w:t>
            </w:r>
            <w:r>
              <w:tab/>
            </w:r>
            <w:r>
              <w:rPr>
                <w:b/>
                <w:i/>
              </w:rPr>
              <w:t>Considera que el FEAG, pese a resultar indispensable para el apoyo a los trabajadores a corto plazo, constituye una medida paliativa que no puede compensar las consecuencias de carácter estructural derivadas de una política comercial de la Unión demasiado laxa y carente de protección para su mercado interior;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Enmienda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Céline Imart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Propuesta de Resolución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Apartado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Propuesta de Resolución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Enmienda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Pide que se efectúen evaluaciones finales exhaustivas de las medidas aplicadas, en las que figure información clara sobre cómo se han utilizado los fondos y si se han gastado en consonancia con los planes aprobados;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Pide que se efectúen evaluaciones finales exhaustivas de las medidas aplicadas, en las que figure información clara sobre cómo se han utilizado los fondos y si se han gastado en consonancia con los planes aprobados; </w:t>
            </w:r>
            <w:r>
              <w:rPr>
                <w:b/>
                <w:i/>
              </w:rPr>
              <w:t>subraya que dichas evaluaciones deberían fundamentarse en objetivos definidos de manera clara y en resultados mensurables, lo que posibilitaría a los trabajadores en cuestión realizar una valoración de los resultados obtenidos;</w:t>
            </w:r>
            <w:r>
              <w:t xml:space="preserve"> </w:t>
            </w:r>
            <w:r>
              <w:rPr>
                <w:b/>
                <w:i/>
              </w:rPr>
              <w:t>resalta la importancia de garantizar unas intervenciones más rápidas y eficaces y reitera, en este sentido, la necesidad de estudiar posibles vías dirigidas a garantizar la sostenibilidad del FEAG, o del programa que lo sustituya, en el contexto del próximo marco financiero plurianual 2028-2034;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Enmienda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Alexander Jungbluth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Propuesta de Resolución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Apartado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Propuesta de Resolución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Enmienda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Pide que se efectúen evaluaciones finales exhaustivas de las medidas aplicadas, en las que figure información clara sobre cómo se han utilizado los fondos y si se han gastado en consonancia con los planes aprobados;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Pide que se efectúen evaluaciones finales exhaustivas de las medidas aplicadas, en las que figure información clara sobre cómo se han utilizado los fondos y si se han gastado en consonancia con los planes aprobados</w:t>
            </w:r>
            <w:r>
              <w:rPr>
                <w:b/>
                <w:i/>
              </w:rPr>
              <w:t>, incluida una evaluación de la tasa de reinserción real de los beneficiarios en puestos de trabajo estables y de la rentabilidad de las medidas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</w:t>
    </w:r>
    <w:r>
      <w:fldChar w:fldCharType="end"/>
    </w:r>
    <w:r>
      <w:tab/>
    </w:r>
    <w:r>
      <w:rPr>
        <w:rStyle w:val="HideTWBExt"/>
      </w:rPr>
      <w:t>&lt;PathFdR&gt;</w:t>
    </w:r>
    <w:r>
      <w:t>AM\1336304ES.docx</w:t>
    </w:r>
    <w:r>
      <w:rPr>
        <w:rStyle w:val="HideTWBExt"/>
      </w:rPr>
      <w:t>&lt;/PathFdR&gt;</w:t>
    </w:r>
  </w:p>
  <w:p>
    <w:pPr>
      <w:pStyle w:val="EPFooter2"/>
    </w:pPr>
    <w:r>
      <w:t>ES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AM\1336304ES.docx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11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ES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AM\1336304ES.docx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784.155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ES</w:t>
    </w:r>
    <w:r>
      <w:tab/>
    </w:r>
    <w:r>
      <w:rPr>
        <w:rStyle w:val="EPFooter2Motto"/>
      </w:rPr>
      <w:t>Unida en la diversidad</w:t>
    </w:r>
    <w:r>
      <w:tab/>
    </w:r>
    <w:r>
      <w:t>ES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11</Pages>
  <Words>2164</Words>
  <Characters>11956</Characters>
  <Application>Microsoft Office Word</Application>
  <DocSecurity>0</DocSecurity>
  <Lines>1</Lines>
  <Paragraphs>152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1336304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386003</vt:lpwstr>
  </property>
  <property fmtid="{D5CDD505-2E9C-101B-9397-08002B2CF9AE}" pid="7" name="dmxml.render.traceId">
    <vt:lpwstr>6996cfae006fa87b7a5e36391ea6dc1b</vt:lpwstr>
  </property>
  <property fmtid="{D5CDD505-2E9C-101B-9397-08002B2CF9AE}" pid="8" name="FooterPath">
    <vt:lpwstr>AM\1336304ES.docx</vt:lpwstr>
  </property>
  <property fmtid="{D5CDD505-2E9C-101B-9397-08002B2CF9AE}" pid="9" name="PE Number">
    <vt:lpwstr>784.155</vt:lpwstr>
  </property>
  <property fmtid="{D5CDD505-2E9C-101B-9397-08002B2CF9AE}" pid="10" name="UID">
    <vt:lpwstr>eu.europa.europarl-DIN1-2026-0000025636_02.00-es-01.00_text-xml</vt:lpwstr>
  </property>
</Properties>
</file>