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Euroopa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{BUDG}</w:t>
      </w:r>
      <w:r>
        <w:t>Eelarvekomisjon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2026/0004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(BUD)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{10/02/2026}</w:t>
      </w:r>
      <w:r>
        <w:t>10.2.2026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MUUDATUSETTEPANEKUD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Raporti projekt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Jean-Marc Germain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(PE782.416v01-00)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Koondatud töötajate toetuseks loodud Globaliseerumisega Kohanemise Euroopa Fondi vahendite kasutuselevõtmine (Belgia taotlus – EGF/2025/004 BE/Tupperware)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(2026/0004(BUD))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Volitus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võttes arvesse Euroopa sotsiaalõiguste sammast,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välja jäetud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Põhjendus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arvestades, et Tupperware esitas 17. veebruaril 2025 pankrotiavalduse; arvestades, et Belgias on pankrottide arv alates 2022. aastast olnud tõusuteel;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arvestades, et Tupperware esitas 17. veebruaril 2025 pankrotiavalduse; arvestades, et Belgias on pankrottide arv alates 2022. aastast olnud tõusuteel</w:t>
            </w:r>
            <w:r>
              <w:rPr>
                <w:b/>
                <w:i/>
              </w:rPr>
              <w:t>, mis mõjutab eelkõige tööstussektorit majandusliku seisaku ja kõrgete tootmiskulude kontekstis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Põhjendus D a (uus)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arvestades, et Tupperware’i tegevuskoha sulgemine Belgias on näide riskidest, mis on seotud sõltuvusega väljaspool Euroopa Liitu asuvatest strateegilistest otsustuskeskustest, mis nõrgendab kohalikku tööstusstruktuuri;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märgib, et Tupperware asus Ida-Flandria provintsis Aalstis, kus tööhõives osales vaid pool elanikkonnast, samas kui kogu Flandria piirkonnas osales juba enne Tupperware pankrotti tööhõives keskmiselt kaks kolmandikku;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märgib, et Tupperware asus Ida-Flandria provintsis Aalstis, kus tööhõives osales vaid pool elanikkonnast, samas kui kogu Flandria piirkonnas osales juba enne Tupperware pankrotti tööhõives keskmiselt kaks kolmandikku; </w:t>
            </w:r>
            <w:r>
              <w:rPr>
                <w:b/>
                <w:i/>
              </w:rPr>
              <w:t>peab kahetsusväärseks, et nende koondamiste tõttu halveneb olukord veelgi;</w:t>
            </w:r>
            <w:r>
              <w:t xml:space="preserve"> </w:t>
            </w:r>
            <w:r>
              <w:rPr>
                <w:b/>
                <w:i/>
              </w:rPr>
              <w:t>rõhutab, et on vaja kiireid meetmeid, et vältida struktuurset piirkondlikku allakäiku;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 5 a (uus)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on seisukohal, et see juhtum toob esile tagajärjed, mis tulenevad Euroopa jätkuvast sõltuvusest kolmandate riikide osalejatest peamiste tehnoloogiate ja intellektuaalomandi osas;</w:t>
            </w:r>
            <w:r>
              <w:t xml:space="preserve"> </w:t>
            </w:r>
            <w:r>
              <w:rPr>
                <w:b/>
                <w:i/>
              </w:rPr>
              <w:t>rõhutab, et EGFi kasutuselevõtt kajastab vajadust tegeleda selliste strateegiliste sõltuvuste sotsiaalse mõjuga, kinnitades samas veel kord, et nende sõltuvuste vähendamine on endiselt prioriteet;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 5 a (uus)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tuletab meelde, et Euroopa tööstuse konkurentsivõimet mõjutavad tõsiselt kasvavad energiakulud ja regulatiivne inflatsioon;</w:t>
            </w:r>
            <w:r>
              <w:t xml:space="preserve"> </w:t>
            </w:r>
            <w:r>
              <w:rPr>
                <w:b/>
                <w:i/>
              </w:rPr>
              <w:t>hoiatab, et ilma energiahindade kujundamise mehhanismide radikaalse muutmise ja lihtsustamise šokita on muud sarnased sulgemised vältimatud;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 5 a (uus)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väljendab heameelt Euroopa ettevõtjate rühma algatuse üle, mille eesmärk on taaselustada kaubamärk Saksamaal, Prantsusmaal, Belgias, Itaalias ja Poolas;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 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rõhutab, et Flandrias on madala haridustasemega inimeste töötuserisk üle kahe korra suurem; märgib, et kolmandikul koondatud töötajatest on ainult teise taseme hariduse alumine aste; kutsub Belgia ametiasutusi üles pakkuma nendele profiilidele kohandatud eritoetust, et aidata töötajatel puudused ületada ja leida uus töökoht</w:t>
            </w:r>
            <w:r>
              <w:rPr>
                <w:b/>
                <w:i/>
              </w:rPr>
              <w:t>, võttes samal ajal meetmeid pankrottide vähendamiseks ja tööjõu tõrjutust põhjustava sotsiaalse ebavõrdsusega tegelemiseks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rõhutab, et Flandrias on madala haridustasemega inimeste töötuserisk üle kahe korra suurem; märgib, et kolmandikul koondatud töötajatest on ainult teise taseme hariduse alumine aste; kutsub Belgia ametiasutusi üles pakkuma nendele profiilidele kohandatud eritoetust, et aidata töötajatel puudused ületada ja leida uus töökoht;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 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tuletab meelde, et kokkuleppel ametiühingute, ekspertide ja sotsiaalpartneritega sisaldavad töötajatele osutatavad individuaalsed teenused järgmisi meetmeid: teabeüritused tööturule naasmiseks, töövahendusteenused, sealhulgas IKT-koolitus; abi töö leidmisel juhendamise ja tööotsingute toetamise, koolituse ja ümberõppe, töömesside, töökohtade eelneva taustauuringu ja töökohale sobitamise kaudu; rõhutab, kui oluline on edendada kvaliteetseid ja tulevikku suunatud töökohti, et tagada pikaajaline majanduslik ja sotsiaalne vastupanuvõime;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tuletab meelde, et kokkuleppel ametiühingute, ekspertide ja sotsiaalpartneritega sisaldavad töötajatele osutatavad individuaalsed teenused järgmisi meetmeid: teabeüritused tööturule naasmiseks, töövahendusteenused, sealhulgas IKT-koolitus; abi töö leidmisel juhendamise ja tööotsingute toetamise, koolituse ja ümberõppe, töömesside, töökohtade eelneva taustauuringu ja töökohale sobitamise kaudu; rõhutab, kui oluline on edendada kvaliteetseid ja tulevikku suunatud töökohti, et tagada pikaajaline majanduslik ja sotsiaalne vastupanuvõime; </w:t>
            </w:r>
            <w:r>
              <w:rPr>
                <w:b/>
                <w:i/>
              </w:rPr>
              <w:t>kutsub Belgia ametiasutusi üles alustama dialoogi uute Euroopa Tupperware’i esindajatega, et uurida koondatud töötajate majandustegevusse taasintegreerimise võimalusi;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 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tuletab meelde, et kokkuleppel ametiühingute, ekspertide ja sotsiaalpartneritega sisaldavad töötajatele osutatavad individuaalsed teenused järgmisi meetmeid: teabeüritused tööturule naasmiseks, töövahendusteenused, sealhulgas IKT-koolitus; abi töö leidmisel juhendamise ja tööotsingute toetamise, koolituse ja ümberõppe, töömesside, töökohtade eelneva taustauuringu ja töökohale sobitamise kaudu; rõhutab, kui oluline on edendada kvaliteetseid ja </w:t>
            </w:r>
            <w:r>
              <w:rPr>
                <w:b/>
                <w:i/>
              </w:rPr>
              <w:t>tulevikku suunatud</w:t>
            </w:r>
            <w:r>
              <w:t xml:space="preserve"> töökohti, et tagada pikaajaline </w:t>
            </w:r>
            <w:r>
              <w:rPr>
                <w:b/>
                <w:i/>
              </w:rPr>
              <w:t>majanduslik ja sotsiaalne vastupanuvõime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tuletab meelde, et kokkuleppel ametiühingute, ekspertide ja sotsiaalpartneritega sisaldavad töötajatele osutatavad individuaalsed teenused järgmisi meetmeid: teabeüritused tööturule naasmiseks, töövahendusteenused, sealhulgas IKT-koolitus; abi töö leidmisel juhendamise ja tööotsingute toetamise, koolituse ja ümberõppe, töömesside, töökohtade eelneva taustauuringu ja töökohale sobitamise kaudu; rõhutab, kui oluline on edendada kvaliteetseid ja </w:t>
            </w:r>
            <w:r>
              <w:rPr>
                <w:b/>
                <w:i/>
              </w:rPr>
              <w:t>kestvaid tööstuslikke</w:t>
            </w:r>
            <w:r>
              <w:t xml:space="preserve"> töökohti, et tagada pikaajaline </w:t>
            </w:r>
            <w:r>
              <w:rPr>
                <w:b/>
                <w:i/>
              </w:rPr>
              <w:t>majanduskasv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 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rõhutab, et koondatud töötajate kvalifikatsioon ja oskused on tulevikukindla Euroopa majanduse jaoks jätkuvalt keskse tähtsusega; </w:t>
            </w:r>
            <w:r>
              <w:rPr>
                <w:b/>
                <w:i/>
              </w:rPr>
              <w:t>on seetõttu seisukohal, et EGFi kasutuselevõtmine peab toimuma ulatuslikumate poliitilise meetmete raames kõigil poliitilistel tasanditel, et tagada mõjutatud töötajatele piisavad võimalused, mis vastavad nende kvalifikatsioonile ja oskustele;</w:t>
            </w:r>
            <w:r>
              <w:t xml:space="preserve"> tuletab </w:t>
            </w:r>
            <w:r>
              <w:rPr>
                <w:b/>
                <w:i/>
              </w:rPr>
              <w:t>lisaks</w:t>
            </w:r>
            <w:r>
              <w:t xml:space="preserve"> meelde, et </w:t>
            </w:r>
            <w:r>
              <w:rPr>
                <w:b/>
                <w:i/>
              </w:rPr>
              <w:t>EGF on solidaarsuse ja õiglase ülemineku vahend ning et liidu esmane ülesanne peab olema selliste sulgemiste ennetamine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rõhutab, et koondatud töötajate kvalifikatsioon ja oskused on tulevikukindla Euroopa majanduse jaoks jätkuvalt keskse tähtsusega; tuletab meelde, et </w:t>
            </w:r>
            <w:r>
              <w:rPr>
                <w:b/>
                <w:i/>
              </w:rPr>
              <w:t>ettevõtete sulgemise vältimine ja töökohtade säilitamine tööstuses kuulub peamiselt liikmesriikide vastutusalasse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 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rõhutab, et koondatud töötajate kvalifikatsioon ja oskused on tulevikukindla Euroopa majanduse jaoks jätkuvalt keskse tähtsusega; on seetõttu seisukohal, et EGFi kasutuselevõtmine peab toimuma ulatuslikumate poliitilise meetmete raames kõigil poliitilistel tasanditel, et tagada mõjutatud töötajatele piisavad võimalused, mis vastavad nende kvalifikatsioonile ja oskustele; tuletab </w:t>
            </w:r>
            <w:r>
              <w:rPr>
                <w:b/>
                <w:i/>
              </w:rPr>
              <w:t>lisaks</w:t>
            </w:r>
            <w:r>
              <w:t xml:space="preserve"> meelde, et </w:t>
            </w:r>
            <w:r>
              <w:rPr>
                <w:b/>
                <w:i/>
              </w:rPr>
              <w:t>EGF on solidaarsuse ja õiglase ülemineku vahend ning et liidu esmane ülesanne peab olema selliste sulgemiste ennetamine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rõhutab, et koondatud töötajate kvalifikatsioon ja oskused on tulevikukindla Euroopa majanduse jaoks jätkuvalt keskse tähtsusega; on seetõttu seisukohal, et EGFi kasutuselevõtmine peab toimuma ulatuslikumate poliitilise meetmete raames kõigil poliitilistel tasanditel, et tagada mõjutatud töötajatele piisavad võimalused, mis vastavad nende kvalifikatsioonile ja oskustele; tuletab meelde, et </w:t>
            </w:r>
            <w:r>
              <w:rPr>
                <w:b/>
                <w:i/>
              </w:rPr>
              <w:t>kuigi EGF pakub mõjutatud töötajatele vajalikku toetust, on kooskõlas konkurentsivõime kompassis sätestatud eesmärkidega vaja jõulisemat tööstuspoliitikat ning tugevamat ja vastupidavamat majandust, et vähendada ulatuslikke koondamisi ja kaitsta Euroopa tööstuslikku tööhõivebaasi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 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rõhutab, et koondatud töötajate kvalifikatsioon ja oskused on </w:t>
            </w:r>
            <w:r>
              <w:rPr>
                <w:b/>
                <w:i/>
              </w:rPr>
              <w:t>tulevikukindla</w:t>
            </w:r>
            <w:r>
              <w:t xml:space="preserve"> Euroopa majanduse jaoks jätkuvalt keskse tähtsusega; on seetõttu seisukohal, et EGFi kasutuselevõtmine peab toimuma ulatuslikumate poliitilise meetmete raames kõigil poliitilistel tasanditel, et tagada mõjutatud töötajatele piisavad võimalused, mis vastavad nende kvalifikatsioonile ja oskustele; tuletab lisaks meelde, et EGF on solidaarsuse </w:t>
            </w:r>
            <w:r>
              <w:rPr>
                <w:b/>
                <w:i/>
              </w:rPr>
              <w:t>ja õiglase ülemineku</w:t>
            </w:r>
            <w:r>
              <w:t xml:space="preserve"> vahend ning et liidu esmane ülesanne peab olema selliste sulgemiste ennetamine;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rõhutab, et koondatud töötajate kvalifikatsioon ja oskused on </w:t>
            </w:r>
            <w:r>
              <w:rPr>
                <w:b/>
                <w:i/>
              </w:rPr>
              <w:t>tootliku</w:t>
            </w:r>
            <w:r>
              <w:t xml:space="preserve"> Euroopa majanduse jaoks jätkuvalt keskse tähtsusega; on seetõttu seisukohal, et EGFi kasutuselevõtmine peab toimuma ulatuslikumate poliitilise meetmete raames kõigil poliitilistel tasanditel, et tagada mõjutatud töötajatele piisavad võimalused, mis vastavad nende kvalifikatsioonile ja oskustele; tuletab lisaks meelde, et EGF on </w:t>
            </w:r>
            <w:r>
              <w:rPr>
                <w:b/>
                <w:i/>
              </w:rPr>
              <w:t>erakorralise</w:t>
            </w:r>
            <w:r>
              <w:t xml:space="preserve"> solidaarsuse vahend ning et </w:t>
            </w:r>
            <w:r>
              <w:rPr>
                <w:b/>
                <w:i/>
              </w:rPr>
              <w:t>Euroopa</w:t>
            </w:r>
            <w:r>
              <w:t xml:space="preserve"> Liidu esmane ülesanne peab olema </w:t>
            </w:r>
            <w:r>
              <w:rPr>
                <w:b/>
                <w:i/>
              </w:rPr>
              <w:t>eelkõige</w:t>
            </w:r>
            <w:r>
              <w:t xml:space="preserve"> selliste sulgemiste ennetamine</w:t>
            </w:r>
            <w:r>
              <w:rPr>
                <w:b/>
                <w:i/>
              </w:rPr>
              <w:t>, kaitstes tööstuslikku tootmist Euroopa pinnal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 8 a (uus)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on seisukohal, et kuigi EGF on töötajate viivitamatuks toetamiseks hädavajalik, kujutab see endast parandusmeedet, millega ei saa kompenseerida Euroopa Liidu liiga avatud ja siseturu kaitseta kaubanduspoliitika struktuurilisi tagajärgi;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 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nõuab võetud meetmete põhjalikku lõpphindamist, sealhulgas selget teavet selle kohta, kuidas rahalisi vahendeid on kasutatud ja kas see on toimunud kooskõlas heakskiidetud kavadega;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nõuab võetud meetmete põhjalikku lõpphindamist, sealhulgas selget teavet selle kohta, kuidas rahalisi vahendeid on kasutatud ja kas see on toimunud kooskõlas heakskiidetud kavadega; </w:t>
            </w:r>
            <w:r>
              <w:rPr>
                <w:b/>
                <w:i/>
              </w:rPr>
              <w:t>rõhutab, et sellised hindamised peaksid põhinema selgelt kindlaks määratud eesmärkidel ja mõõdetavatel tulemustel, mis võimaldab hinnata asjaomaste töötajate puhul saavutatud tulemusi;</w:t>
            </w:r>
            <w:r>
              <w:t xml:space="preserve"> </w:t>
            </w:r>
            <w:r>
              <w:rPr>
                <w:b/>
                <w:i/>
              </w:rPr>
              <w:t>toonitab, kui oluline on tagada kiiremad ja tõhusamad sekkumised, ning tuletab sellega seoses meelde vajadust uurida viise, kuidas tagada EGFi või selle jätkuprogrammi kestlikkus järgmise mitmeaastase finantsraamistiku 2028–2034 raames;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Muudatusettepanek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Resolutsiooni ettepanek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 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Resolutsiooni ettepanek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Muudatusettepanek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nõuab võetud meetmete põhjalikku lõpphindamist, sealhulgas selget teavet selle kohta, kuidas rahalisi vahendeid on kasutatud ja kas see on toimunud kooskõlas heakskiidetud kavadega;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nõuab võetud meetmete põhjalikku lõpphindamist, sealhulgas selget teavet selle kohta, kuidas rahalisi vahendeid on kasutatud ja kas see on toimunud kooskõlas heakskiidetud kavadega</w:t>
            </w:r>
            <w:r>
              <w:rPr>
                <w:b/>
                <w:i/>
              </w:rPr>
              <w:t>, k.a toetusesaajate stabiilsele töökohale naasmise tegeliku määra ning meetmete kulutõhususe hindamine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</w:t>
    </w:r>
    <w:r>
      <w:fldChar w:fldCharType="end"/>
    </w:r>
    <w:r>
      <w:tab/>
    </w:r>
    <w:r>
      <w:rPr>
        <w:rStyle w:val="HideTWBExt"/>
      </w:rPr>
      <w:t>&lt;PathFdR&gt;</w:t>
    </w:r>
    <w:r>
      <w:t>AM\1336304ET.docx</w:t>
    </w:r>
    <w:r>
      <w:rPr>
        <w:rStyle w:val="HideTWBExt"/>
      </w:rPr>
      <w:t>&lt;/PathFdR&gt;</w:t>
    </w:r>
  </w:p>
  <w:p>
    <w:pPr>
      <w:pStyle w:val="EPFooter2"/>
    </w:pPr>
    <w:r>
      <w:t>ET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AM\1336304ET.docx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ET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AM\1336304ET.docx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ET</w:t>
    </w:r>
    <w:r>
      <w:tab/>
    </w:r>
    <w:r>
      <w:rPr>
        <w:rStyle w:val="EPFooter2Motto"/>
      </w:rPr>
      <w:t>Ühinenud mitmekesisuses</w:t>
    </w:r>
    <w:r>
      <w:tab/>
    </w:r>
    <w:r>
      <w:t>ET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</Pages>
  <Words>1409</Words>
  <Characters>10768</Characters>
  <Application>Microsoft Office Word</Application>
  <DocSecurity>0</DocSecurity>
  <Lines>1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1336304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387566</vt:lpwstr>
  </property>
  <property fmtid="{D5CDD505-2E9C-101B-9397-08002B2CF9AE}" pid="7" name="dmxml.render.traceId">
    <vt:lpwstr>6998479af0b3b810c51eba11c586bc05</vt:lpwstr>
  </property>
  <property fmtid="{D5CDD505-2E9C-101B-9397-08002B2CF9AE}" pid="8" name="FooterPath">
    <vt:lpwstr>AM\1336304ET.docx</vt:lpwstr>
  </property>
  <property fmtid="{D5CDD505-2E9C-101B-9397-08002B2CF9AE}" pid="9" name="PE Number">
    <vt:lpwstr>784.155</vt:lpwstr>
  </property>
  <property fmtid="{D5CDD505-2E9C-101B-9397-08002B2CF9AE}" pid="10" name="UID">
    <vt:lpwstr>eu.europa.europarl-DIN1-2026-0000025636_02.00-et-01.00_text-xml</vt:lpwstr>
  </property>
</Properties>
</file>