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Budjettivaliokunta</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Ehdotus Euroopan parlamentin ja neuvoston päätökseksi työttömiksi jääneitä työntekijöitä tukevan Euroopan globalisaatiorahaston varojen käyttöönotosta Belgian hakemuksen johdosta – EGF/2025/004 BE/ 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Euroopan sosiaalisten oikeuksien pilarin,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Tupperware hakeutui konkurssiin 17. helmikuuta 2025; ottaa huomioon, että konkurssit ovat lisääntyneet Belgiassa vuodesta 2022;</w:t>
            </w:r>
          </w:p>
        </w:tc>
        <w:tc>
          <w:tcPr>
            <w:tcW w:w="4876" w:type="dxa"/>
            <w:tcBorders>
              <w:top w:val="nil"/>
              <w:left w:val="nil"/>
              <w:bottom w:val="nil"/>
              <w:right w:val="nil"/>
            </w:tcBorders>
          </w:tcPr>
          <w:p>
            <w:pPr>
              <w:pStyle w:val="Normal6a"/>
            </w:pPr>
            <w:r>
              <w:t>D.</w:t>
            </w:r>
            <w:r>
              <w:tab/>
            </w:r>
            <w:r>
              <w:t xml:space="preserve">ottaa huomioon, että Tupperware hakeutui konkurssiin 17. helmikuuta 2025; ottaa huomioon, että konkurssit ovat lisääntyneet Belgiassa vuodesta 2022 </w:t>
            </w:r>
            <w:r>
              <w:rPr>
                <w:b/>
                <w:i/>
              </w:rPr>
              <w:t>ja erityisesti teollisuudessa tilanteessa, jossa talous on pysähtynyt ja tuotantokustannukset ovat korkeat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ottaa huomioon, että Tupperwaren Belgiassa sijaitsevan toimipaikan sulkeminen osoittaa riskit, joita liittyy riippuvuuteen Euroopan unionin ulkopuolella sijaitsevista strategisista päätöksentekokeskuksista ja jotka heikentävät paikallista teollisuusrakennetta;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panee merkille, että Tupperware sijaitsi Aalstissa Itä-Flanderin maakunnassa, jossa jo ennen Tupperwaren konkurssia vain noin puolet väestöstä oli työssä, kun koko Flanderin alueella vastaava osuus oli keskimäärin kaksi kolmasosaa;</w:t>
            </w:r>
          </w:p>
        </w:tc>
        <w:tc>
          <w:tcPr>
            <w:tcW w:w="4876" w:type="dxa"/>
            <w:tcBorders>
              <w:top w:val="nil"/>
              <w:left w:val="nil"/>
              <w:bottom w:val="nil"/>
              <w:right w:val="nil"/>
            </w:tcBorders>
          </w:tcPr>
          <w:p>
            <w:pPr>
              <w:pStyle w:val="Normal6a"/>
            </w:pPr>
            <w:r>
              <w:t>4.</w:t>
            </w:r>
            <w:r>
              <w:tab/>
            </w:r>
            <w:r>
              <w:t xml:space="preserve">panee merkille, että Tupperware sijaitsi Aalstissa Itä-Flanderin maakunnassa, jossa jo ennen Tupperwaren konkurssia vain noin puolet väestöstä oli työssä, kun koko Flanderin alueella vastaava osuus oli keskimäärin kaksi kolmasosaa; </w:t>
            </w:r>
            <w:r>
              <w:rPr>
                <w:b/>
                <w:i/>
              </w:rPr>
              <w:t>pitää valitettavana, että nämä työntekijävähennykset pahentavat tilannetta entisestään;</w:t>
            </w:r>
            <w:r>
              <w:t xml:space="preserve"> </w:t>
            </w:r>
            <w:r>
              <w:rPr>
                <w:b/>
                <w:i/>
              </w:rPr>
              <w:t>korostaa, että tarvitaan nopeita toimia rakenteellisen alueellisen taantuman estämiseksi;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katsoo, että tämä tapaus osoittaa seuraukset, joita aiheutuu Euroopan jatkuvasta riippuvuudesta kolmansien maiden toimijoista keskeisten teknologioiden ja teollis- ja tekijänoikeuksien osalta;</w:t>
            </w:r>
            <w:r>
              <w:t xml:space="preserve"> </w:t>
            </w:r>
            <w:r>
              <w:rPr>
                <w:b/>
                <w:i/>
              </w:rPr>
              <w:t>korostaa, että EGR:n varojen käyttöönotto heijastaa tarvetta puuttua tällaisten strategisten riippuvuuksien sosiaalisiin vaikutuksiin, ja vahvistaa, että näiden riippuvuuksien vähentäminen on edelleen ensisijainen tavoite;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muistuttaa, että energiakustannusten jyrkkä nousu ja liiallinen sääntely vaikuttavat vakavasti Euroopan teollisuuden kilpailukykyyn;</w:t>
            </w:r>
            <w:r>
              <w:t xml:space="preserve"> </w:t>
            </w:r>
            <w:r>
              <w:rPr>
                <w:b/>
                <w:i/>
              </w:rPr>
              <w:t>varoittaa, että ilman energian hinnanmuodostusmekanismien radikaalia tarkistamista ja voimakasta yksinkertaistamista muut vastaavat sulkemiset ovat väistämättömiä;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suhtautuu myönteisesti eurooppalaisten yrittäjien ryhmän aloitteeseen, jolla tuotemerkki pyritään elvyttämään Saksassa, Ranskassa, Belgiassa, Italiassa ja Puolassa;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korostaa, että Flanderissa matalasti koulutettujen työttömyysriski on yli kaksinkertainen; toteaa, että kolmasosalla työttömiksi jääneistä työntekijöistä on enintään ylemmän perusasteen koulutus; kehottaa Belgian viranomaisia tarjoamaan tällaisten työttömiksi jääneiden työntekijöiden tarpeisiin räätälöityä erityistukea, jotta heitä voidaan auttaa korjaamaan puutteet osaamisessaan ja uuden työpaikan löytämisessä</w:t>
            </w:r>
            <w:r>
              <w:rPr>
                <w:b/>
                <w:i/>
              </w:rPr>
              <w:t>, ja samalla toteuttamaan toimenpiteitä konkurssien vähentämiseksi ja ratkaisujen löytämiseksi työvoiman syrjäytymiseen johtavaan sosiaaliseen eriarvoisuuteen</w:t>
            </w:r>
            <w:r>
              <w:t>;</w:t>
            </w:r>
          </w:p>
        </w:tc>
        <w:tc>
          <w:tcPr>
            <w:tcW w:w="4876" w:type="dxa"/>
            <w:tcBorders>
              <w:top w:val="nil"/>
              <w:left w:val="nil"/>
              <w:bottom w:val="nil"/>
              <w:right w:val="nil"/>
            </w:tcBorders>
          </w:tcPr>
          <w:p>
            <w:pPr>
              <w:pStyle w:val="Normal6a"/>
            </w:pPr>
            <w:r>
              <w:t>6.</w:t>
            </w:r>
            <w:r>
              <w:tab/>
            </w:r>
            <w:r>
              <w:t>korostaa, että Flanderissa matalasti koulutettujen työttömyysriski on yli kaksinkertainen; toteaa, että kolmasosalla työttömiksi jääneistä työntekijöistä on enintään ylemmän perusasteen koulutus; kehottaa Belgian viranomaisia tarjoamaan tällaisten työttömiksi jääneiden työntekijöiden tarpeisiin räätälöityä erityistukea, jotta heitä voidaan auttaa korjaamaan puutteet osaamisessaan ja uuden työpaikan löytämisessä;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muistuttaa, että työntekijöille on tarjottava ammattiliittojen, asiantuntijoiden ja työmarkkinaosapuolten kanssa sovitun mukaisesti yksilöllisten palvelujen paketti, joka koostuu seuraavista toimenpiteistä: työelämään palaamista koskevat tiedotustilaisuudet ja uudelleensijoituspalvelut, mukaan lukien tieto- ja viestintätekniikkakoulutus; avustaminen työpaikan löytämisessä ohjauksen ja työnhakuneuvonnan, koulutuksen ja uudelleenkoulutuksen, työpaikkamessujen, työpaikkojen kartoituksen ja työnhakijoiden ja työpaikkojen yhteensaattamisen avulla; korostaa, että on tärkeää edistää laadukkaita ja tulevaisuuteen suuntautuvia työpaikkoja pitkän aikavälin taloudellisen ja sosiaalisen selviytymiskyvyn varmistamiseksi;</w:t>
            </w:r>
          </w:p>
        </w:tc>
        <w:tc>
          <w:tcPr>
            <w:tcW w:w="4876" w:type="dxa"/>
            <w:tcBorders>
              <w:top w:val="nil"/>
              <w:left w:val="nil"/>
              <w:bottom w:val="nil"/>
              <w:right w:val="nil"/>
            </w:tcBorders>
          </w:tcPr>
          <w:p>
            <w:pPr>
              <w:pStyle w:val="Normal6a"/>
            </w:pPr>
            <w:r>
              <w:t>7.</w:t>
            </w:r>
            <w:r>
              <w:tab/>
            </w:r>
            <w:r>
              <w:t xml:space="preserve">muistuttaa, että työntekijöille on tarjottava ammattiliittojen, asiantuntijoiden ja työmarkkinaosapuolten kanssa sovitun mukaisesti yksilöllisten palvelujen paketti, joka koostuu seuraavista toimenpiteistä: työelämään palaamista koskevat tiedotustilaisuudet ja uudelleensijoituspalvelut, mukaan lukien tieto- ja viestintätekniikkakoulutus; avustaminen työpaikan löytämisessä ohjauksen ja työnhakuneuvonnan, koulutuksen ja uudelleenkoulutuksen, työpaikkamessujen, työpaikkojen kartoituksen ja työnhakijoiden ja työpaikkojen yhteensaattamisen avulla; korostaa, että on tärkeää edistää laadukkaita ja tulevaisuuteen suuntautuvia työpaikkoja pitkän aikavälin taloudellisen ja sosiaalisen selviytymiskyvyn varmistamiseksi; </w:t>
            </w:r>
            <w:r>
              <w:rPr>
                <w:b/>
                <w:i/>
              </w:rPr>
              <w:t>kehottaa Belgian viranomaisia käynnistämään vuoropuhelun Tupperwaren uusien eurooppalaisten edustajien kanssa, jotta voidaan tutkia mahdollisuuksia integroida työttömiksi jääneet työntekijät niiden taloudelliseen toimintaan;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muistuttaa, että työntekijöille on tarjottava ammattiliittojen, asiantuntijoiden ja työmarkkinaosapuolten kanssa sovitun mukaisesti yksilöllisten palvelujen paketti, joka koostuu seuraavista toimenpiteistä: työelämään palaamista koskevat tiedotustilaisuudet ja uudelleensijoituspalvelut, mukaan lukien tieto- ja viestintätekniikkakoulutus; avustaminen työpaikan löytämisessä ohjauksen ja työnhakuneuvonnan, koulutuksen ja uudelleenkoulutuksen, työpaikkamessujen, työpaikkojen kartoituksen ja työnhakijoiden ja työpaikkojen yhteensaattamisen avulla; korostaa, että on tärkeää edistää laadukkaita ja </w:t>
            </w:r>
            <w:r>
              <w:rPr>
                <w:b/>
                <w:i/>
              </w:rPr>
              <w:t>tulevaisuuteen suuntautuvia</w:t>
            </w:r>
            <w:r>
              <w:t xml:space="preserve"> työpaikkoja pitkän aikavälin </w:t>
            </w:r>
            <w:r>
              <w:rPr>
                <w:b/>
                <w:i/>
              </w:rPr>
              <w:t>taloudellisen ja sosiaalisen selviytymiskyvyn</w:t>
            </w:r>
            <w:r>
              <w:t xml:space="preserve"> varmistamiseksi;</w:t>
            </w:r>
          </w:p>
        </w:tc>
        <w:tc>
          <w:tcPr>
            <w:tcW w:w="4876" w:type="dxa"/>
            <w:tcBorders>
              <w:top w:val="nil"/>
              <w:left w:val="nil"/>
              <w:bottom w:val="nil"/>
              <w:right w:val="nil"/>
            </w:tcBorders>
          </w:tcPr>
          <w:p>
            <w:pPr>
              <w:pStyle w:val="Normal6a"/>
            </w:pPr>
            <w:r>
              <w:t>7.</w:t>
            </w:r>
            <w:r>
              <w:tab/>
            </w:r>
            <w:r>
              <w:t xml:space="preserve">muistuttaa, että työntekijöille on tarjottava ammattiliittojen, asiantuntijoiden ja työmarkkinaosapuolten kanssa sovitun mukaisesti yksilöllisten palvelujen paketti, joka koostuu seuraavista toimenpiteistä: työelämään palaamista koskevat tiedotustilaisuudet ja uudelleensijoituspalvelut, mukaan lukien tieto- ja viestintätekniikkakoulutus; avustaminen työpaikan löytämisessä ohjauksen ja työnhakuneuvonnan, koulutuksen ja uudelleenkoulutuksen, työpaikkamessujen, työpaikkojen kartoituksen ja työnhakijoiden ja työpaikkojen yhteensaattamisen avulla; korostaa, että on tärkeää edistää laadukkaita ja </w:t>
            </w:r>
            <w:r>
              <w:rPr>
                <w:b/>
                <w:i/>
              </w:rPr>
              <w:t>pysyviä teollisten alojen</w:t>
            </w:r>
            <w:r>
              <w:t xml:space="preserve"> työpaikkoja pitkän aikavälin </w:t>
            </w:r>
            <w:r>
              <w:rPr>
                <w:b/>
                <w:i/>
              </w:rPr>
              <w:t>talouskasvun</w:t>
            </w:r>
            <w:r>
              <w:t xml:space="preserve">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irtisanottujen työntekijöiden pätevyydet ja taidot ovat edelleen keskeisessä asemassa tulevaisuuden vaatimukset huomioon ottavassa Euroopan taloudessa; </w:t>
            </w:r>
            <w:r>
              <w:rPr>
                <w:b/>
                <w:i/>
              </w:rPr>
              <w:t>katsoo siksi, että EGR:n varojen käyttöönotto on sisällytettävä osaksi laajempia toimintapoliittisia toimia kaikilla politiikan tasoilla sen varmistamiseksi, että asianomaiset työntekijät löytävät pätevyyksiään ja taitojaan vastaavia mahdollisuuksia;</w:t>
            </w:r>
            <w:r>
              <w:t xml:space="preserve"> muistuttaa </w:t>
            </w:r>
            <w:r>
              <w:rPr>
                <w:b/>
                <w:i/>
              </w:rPr>
              <w:t>lisäksi, että EGR on solidaarisuuden ja oikeudenmukaisen siirtymän väline ja että unionin ensisijaisena tehtävänä on oltava tällaisten sulkemisten</w:t>
            </w:r>
            <w:r>
              <w:t xml:space="preserve"> estäminen </w:t>
            </w:r>
            <w:r>
              <w:rPr>
                <w:b/>
                <w:i/>
              </w:rPr>
              <w:t>alun pitäen</w:t>
            </w:r>
            <w:r>
              <w:t>;</w:t>
            </w:r>
          </w:p>
        </w:tc>
        <w:tc>
          <w:tcPr>
            <w:tcW w:w="4876" w:type="dxa"/>
            <w:tcBorders>
              <w:top w:val="nil"/>
              <w:left w:val="nil"/>
              <w:bottom w:val="nil"/>
              <w:right w:val="nil"/>
            </w:tcBorders>
          </w:tcPr>
          <w:p>
            <w:pPr>
              <w:pStyle w:val="Normal6a"/>
            </w:pPr>
            <w:r>
              <w:t>8.</w:t>
            </w:r>
            <w:r>
              <w:tab/>
            </w:r>
            <w:r>
              <w:t>korostaa, että irtisanottujen työntekijöiden pätevyydet ja taidot ovat edelleen keskeisessä asemassa tulevaisuuden vaatimukset huomioon ottavassa Euroopan taloudessa; muistuttaa</w:t>
            </w:r>
            <w:r>
              <w:rPr>
                <w:b/>
                <w:i/>
              </w:rPr>
              <w:t>, että yritysten sulkemisen</w:t>
            </w:r>
            <w:r>
              <w:t xml:space="preserve"> estäminen </w:t>
            </w:r>
            <w:r>
              <w:rPr>
                <w:b/>
                <w:i/>
              </w:rPr>
              <w:t>ja teollisuuden työpaikkojen turvaaminen ovat ensisijaisesti jäsenvaltioiden vastuulla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irtisanottujen työntekijöiden pätevyydet ja taidot ovat edelleen keskeisessä asemassa tulevaisuuden vaatimukset huomioon ottavassa Euroopan taloudessa; katsoo siksi, että EGR:n varojen käyttöönotto on sisällytettävä osaksi laajempia toimintapoliittisia toimia kaikilla politiikan tasoilla sen varmistamiseksi, että asianomaiset työntekijät löytävät pätevyyksiään ja taitojaan vastaavia mahdollisuuksia; muistuttaa </w:t>
            </w:r>
            <w:r>
              <w:rPr>
                <w:b/>
                <w:i/>
              </w:rPr>
              <w:t>lisäksi</w:t>
            </w:r>
            <w:r>
              <w:t xml:space="preserve">, että </w:t>
            </w:r>
            <w:r>
              <w:rPr>
                <w:b/>
                <w:i/>
              </w:rPr>
              <w:t>EGR on solidaarisuuden ja oikeudenmukaisen siirtymän väline ja että unionin ensisijaisena tehtävänä on oltava tällaisten sulkemisten estäminen alun pitäen</w:t>
            </w:r>
            <w:r>
              <w:t>;</w:t>
            </w:r>
          </w:p>
        </w:tc>
        <w:tc>
          <w:tcPr>
            <w:tcW w:w="4876" w:type="dxa"/>
            <w:tcBorders>
              <w:top w:val="nil"/>
              <w:left w:val="nil"/>
              <w:bottom w:val="nil"/>
              <w:right w:val="nil"/>
            </w:tcBorders>
          </w:tcPr>
          <w:p>
            <w:pPr>
              <w:pStyle w:val="Normal6a"/>
            </w:pPr>
            <w:r>
              <w:t>8.</w:t>
            </w:r>
            <w:r>
              <w:tab/>
            </w:r>
            <w:r>
              <w:t xml:space="preserve">korostaa, että irtisanottujen työntekijöiden pätevyydet ja taidot ovat edelleen keskeisessä asemassa tulevaisuuden vaatimukset huomioon ottavassa Euroopan taloudessa; katsoo siksi, että EGR:n varojen käyttöönotto on sisällytettävä osaksi laajempia toimintapoliittisia toimia kaikilla politiikan tasoilla sen varmistamiseksi, että asianomaiset työntekijät löytävät pätevyyksiään ja taitojaan vastaavia mahdollisuuksia; muistuttaa, että </w:t>
            </w:r>
            <w:r>
              <w:rPr>
                <w:b/>
                <w:i/>
              </w:rPr>
              <w:t>vaikka EGR tarjoaa tarvittavaa tukea asianomaisille työntekijöille, kilpailukykykompassissa asetettujen tavoitteiden mukaisesti entistä vahvempi teollisuuspolitiikka sekä vahvempi ja häiriönsietokykyisempi talous ovat olennaisen tärkeitä, jotta voidaan vähentää laajamittaisia työntekijävähennyksiä ja turvata Euroopan teollisuuden työllisyyspohja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korostaa, että irtisanottujen työntekijöiden pätevyydet ja taidot ovat edelleen keskeisessä asemassa </w:t>
            </w:r>
            <w:r>
              <w:rPr>
                <w:b/>
                <w:i/>
              </w:rPr>
              <w:t>tulevaisuuden vaatimukset huomioon ottavassa</w:t>
            </w:r>
            <w:r>
              <w:t xml:space="preserve"> Euroopan taloudessa; katsoo siksi, että EGR:n varojen käyttöönotto on sisällytettävä osaksi laajempia toimintapoliittisia toimia kaikilla politiikan tasoilla sen varmistamiseksi, että asianomaiset työntekijät löytävät pätevyyksiään ja taitojaan vastaavia mahdollisuuksia; muistuttaa lisäksi, että EGR on </w:t>
            </w:r>
            <w:r>
              <w:rPr>
                <w:b/>
                <w:i/>
              </w:rPr>
              <w:t>solidaarisuuden ja oikeudenmukaisen siirtymän väline</w:t>
            </w:r>
            <w:r>
              <w:t xml:space="preserve"> ja että unionin ensisijaisena tehtävänä on oltava tällaisten sulkemisten estäminen alun pitäen;</w:t>
            </w:r>
          </w:p>
        </w:tc>
        <w:tc>
          <w:tcPr>
            <w:tcW w:w="4876" w:type="dxa"/>
            <w:tcBorders>
              <w:top w:val="nil"/>
              <w:left w:val="nil"/>
              <w:bottom w:val="nil"/>
              <w:right w:val="nil"/>
            </w:tcBorders>
          </w:tcPr>
          <w:p>
            <w:pPr>
              <w:pStyle w:val="Normal6a"/>
            </w:pPr>
            <w:r>
              <w:t>8.</w:t>
            </w:r>
            <w:r>
              <w:tab/>
            </w:r>
            <w:r>
              <w:t xml:space="preserve">korostaa, että irtisanottujen työntekijöiden pätevyydet ja taidot ovat edelleen keskeisessä asemassa </w:t>
            </w:r>
            <w:r>
              <w:rPr>
                <w:b/>
                <w:i/>
              </w:rPr>
              <w:t>tuottavassa</w:t>
            </w:r>
            <w:r>
              <w:t xml:space="preserve"> Euroopan taloudessa; katsoo siksi, että EGR:n varojen käyttöönotto on sisällytettävä osaksi laajempia toimintapoliittisia toimia kaikilla politiikan tasoilla sen varmistamiseksi, että asianomaiset työntekijät löytävät pätevyyksiään ja taitojaan vastaavia mahdollisuuksia; muistuttaa lisäksi, että EGR on </w:t>
            </w:r>
            <w:r>
              <w:rPr>
                <w:b/>
                <w:i/>
              </w:rPr>
              <w:t>hätätilanteissa käytettävä solidaarisuusväline</w:t>
            </w:r>
            <w:r>
              <w:t xml:space="preserve"> ja että </w:t>
            </w:r>
            <w:r>
              <w:rPr>
                <w:b/>
                <w:i/>
              </w:rPr>
              <w:t>Euroopan</w:t>
            </w:r>
            <w:r>
              <w:t xml:space="preserve"> unionin ensisijaisena tehtävänä on oltava tällaisten sulkemisten estäminen alun pitäen </w:t>
            </w:r>
            <w:r>
              <w:rPr>
                <w:b/>
                <w:i/>
              </w:rPr>
              <w:t>puolustamalla Euroopan maaperällä tapahtuvaa teollisuustuotantoa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katsoo, että vaikka EGR on välttämätön työntekijöiden tukemiseksi välittömästi, se on korjaava toimenpide, jolla ei voida kompensoida Euroopan unionin liian avoimen ja sisämarkkinoita suojaamattoman kauppapolitiikan rakenteellisia seurauksia;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laatimaan toteutetuista toimenpiteistä perusteelliset loppuarvioinnit, joissa ilmoitetaan selkeästi, miten varat on käytetty ja käytettiinkö ne hyväksyttyjen suunnitelmien mukaisesti;</w:t>
            </w:r>
          </w:p>
        </w:tc>
        <w:tc>
          <w:tcPr>
            <w:tcW w:w="4876" w:type="dxa"/>
            <w:tcBorders>
              <w:top w:val="nil"/>
              <w:left w:val="nil"/>
              <w:bottom w:val="nil"/>
              <w:right w:val="nil"/>
            </w:tcBorders>
          </w:tcPr>
          <w:p>
            <w:pPr>
              <w:pStyle w:val="Normal6a"/>
            </w:pPr>
            <w:r>
              <w:t>10.</w:t>
            </w:r>
            <w:r>
              <w:tab/>
            </w:r>
            <w:r>
              <w:t xml:space="preserve">kehottaa laatimaan toteutetuista toimenpiteistä perusteelliset loppuarvioinnit, joissa ilmoitetaan selkeästi, miten varat on käytetty ja käytettiinkö ne hyväksyttyjen suunnitelmien mukaisesti; </w:t>
            </w:r>
            <w:r>
              <w:rPr>
                <w:b/>
                <w:i/>
              </w:rPr>
              <w:t>korostaa, että tällaisten arviointien olisi perustuttava selkeästi määriteltyihin tavoitteisiin ja mitattavissa oleviin tuloksiin, jotta voidaan arvioida asianomaisten työntekijöiden kannalta saavutettuja tuloksia;</w:t>
            </w:r>
            <w:r>
              <w:t xml:space="preserve"> </w:t>
            </w:r>
            <w:r>
              <w:rPr>
                <w:b/>
                <w:i/>
              </w:rPr>
              <w:t>korostaa, että on tärkeää varmistaa nopeammat ja tehokkaammat toimet, ja muistuttaa tässä yhteydessä tarpeesta tutkia tapoja varmistaa EGR:n tai sitä seuraavan ohjelman kestävyys seuraavan monivuotisen rahoituskehyksen 2028–2034 puitteissa;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kehottaa laatimaan toteutetuista toimenpiteistä perusteelliset loppuarvioinnit, joissa ilmoitetaan selkeästi, miten varat on käytetty ja käytettiinkö ne hyväksyttyjen suunnitelmien mukaisesti;</w:t>
            </w:r>
          </w:p>
        </w:tc>
        <w:tc>
          <w:tcPr>
            <w:tcW w:w="4876" w:type="dxa"/>
            <w:tcBorders>
              <w:top w:val="nil"/>
              <w:left w:val="nil"/>
              <w:bottom w:val="nil"/>
              <w:right w:val="nil"/>
            </w:tcBorders>
          </w:tcPr>
          <w:p>
            <w:pPr>
              <w:pStyle w:val="Normal6a"/>
            </w:pPr>
            <w:r>
              <w:t>10.</w:t>
            </w:r>
            <w:r>
              <w:tab/>
            </w:r>
            <w:r>
              <w:t>kehottaa laatimaan toteutetuista toimenpiteistä perusteelliset loppuarvioinnit, joissa ilmoitetaan selkeästi, miten varat on käytetty ja käytettiinkö ne hyväksyttyjen suunnitelmien mukaisesti</w:t>
            </w:r>
            <w:r>
              <w:rPr>
                <w:b/>
                <w:i/>
              </w:rPr>
              <w:t>, ja joihin sisältyy arvio edunsaajien todellisesta uudelleentyöllistymisasteesta vakaisiin työpaikkoihin ja toimenpiteiden kustannustehokkuudesta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11</w:t>
    </w:r>
    <w:r>
      <w:fldChar w:fldCharType="end"/>
    </w:r>
    <w:r>
      <w:tab/>
    </w:r>
    <w:r>
      <w:rPr>
        <w:rStyle w:val="HideTWBExt"/>
      </w:rPr>
      <w:t>&lt;PathFdR&gt;</w:t>
    </w:r>
    <w:r>
      <w:t>AM\1336304FI.docx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AM\1336304FI.docx</w:t>
    </w:r>
    <w:r>
      <w:rPr>
        <w:rStyle w:val="HideTWBExt"/>
      </w:rPr>
      <w:t>&lt;/PathFdR&gt;</w:t>
    </w:r>
    <w:r>
      <w:tab/>
    </w:r>
    <w:r>
      <w:fldChar w:fldCharType="begin"/>
    </w:r>
    <w:r>
      <w:instrText xml:space="preserve"> PAGE </w:instrText>
    </w:r>
    <w:r>
      <w:fldChar w:fldCharType="separate"/>
    </w:r>
    <w:r>
      <w:t>11</w:t>
    </w:r>
    <w:r>
      <w:fldChar w:fldCharType="end"/>
    </w:r>
    <w:r>
      <w:t>/</w:t>
    </w:r>
    <w:r>
      <w:fldChar w:fldCharType="begin"/>
    </w:r>
    <w:r>
      <w:instrText xml:space="preserve"> NUMPAGES </w:instrText>
    </w:r>
    <w:r>
      <w:fldChar w:fldCharType="separate"/>
    </w:r>
    <w:r>
      <w:t>11</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AM\1336304FI.docx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1421</Words>
  <Characters>12233</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388477</vt:lpwstr>
  </property>
  <property fmtid="{D5CDD505-2E9C-101B-9397-08002B2CF9AE}" pid="7" name="dmxml.render.traceId">
    <vt:lpwstr>699c1ddfeb5bc1b9c47fc02ae67e110e</vt:lpwstr>
  </property>
  <property fmtid="{D5CDD505-2E9C-101B-9397-08002B2CF9AE}" pid="8" name="FooterPath">
    <vt:lpwstr>AM\1336304FI.docx</vt:lpwstr>
  </property>
  <property fmtid="{D5CDD505-2E9C-101B-9397-08002B2CF9AE}" pid="9" name="PE Number">
    <vt:lpwstr>784.155</vt:lpwstr>
  </property>
  <property fmtid="{D5CDD505-2E9C-101B-9397-08002B2CF9AE}" pid="10" name="UID">
    <vt:lpwstr>eu.europa.europarl-DIN1-2026-0000025636_02.00-fi-01.00_text-xml</vt:lpwstr>
  </property>
</Properties>
</file>