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{BUDG}</w:t>
      </w:r>
      <w:r>
        <w:t>Odbor za proračune</w:t>
      </w:r>
      <w:r>
        <w:rPr>
          <w:rStyle w:val="HideTWBExt"/>
        </w:rPr>
        <w:t>&lt;/Commission&gt;</w:t>
      </w:r>
    </w:p>
    <w:p>
      <w:pPr>
        <w:pStyle w:val="LineBottom"/>
      </w:pPr>
      <w:r>
        <w:t xml:space="preserve"> </w:t>
      </w:r>
    </w:p>
    <w:p>
      <w:pPr>
        <w:pStyle w:val="CoverReference"/>
      </w:pPr>
      <w:r>
        <w:rPr>
          <w:rStyle w:val="HideTWBExt"/>
        </w:rPr>
        <w:t>&lt;RefProc&gt;</w:t>
      </w:r>
      <w:r>
        <w:t>2026/0004</w:t>
      </w:r>
      <w:r>
        <w:rPr>
          <w:rStyle w:val="HideTWBExt"/>
        </w:rPr>
        <w:t>&lt;/RefProc&gt;</w:t>
      </w:r>
      <w:r>
        <w:rPr>
          <w:rStyle w:val="HideTWBExt"/>
        </w:rPr>
        <w:t>&lt;RefTypeProc&gt;</w:t>
      </w:r>
      <w:r>
        <w:t>(BUD)</w:t>
      </w:r>
      <w:r>
        <w:rPr>
          <w:rStyle w:val="HideTWBExt"/>
        </w:rPr>
        <w:t>&lt;/RefTypeProc&gt;</w:t>
      </w:r>
    </w:p>
    <w:p>
      <w:pPr>
        <w:pStyle w:val="CoverDate"/>
      </w:pPr>
      <w:r>
        <w:rPr>
          <w:rStyle w:val="HideTWBExt"/>
        </w:rPr>
        <w:t>&lt;Date&gt;</w:t>
      </w:r>
      <w:r>
        <w:rPr>
          <w:rStyle w:val="HideTWBInt"/>
        </w:rPr>
        <w:t>{10/02/2026}</w:t>
      </w:r>
      <w:r>
        <w:t>10.2.2026</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16</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Jean-Marc Germain</w:t>
      </w:r>
      <w:r>
        <w:rPr>
          <w:rStyle w:val="HideTWBExt"/>
        </w:rPr>
        <w:t>&lt;/Rapporteur&gt;</w:t>
      </w:r>
    </w:p>
    <w:p>
      <w:pPr>
        <w:pStyle w:val="CoverNormal24a"/>
      </w:pPr>
      <w:r>
        <w:rPr>
          <w:rStyle w:val="HideTWBExt"/>
        </w:rPr>
        <w:t>&lt;DocRefPE&gt;</w:t>
      </w:r>
      <w:r>
        <w:t>(PE782.416v01-00)</w:t>
      </w:r>
      <w:r>
        <w:rPr>
          <w:rStyle w:val="HideTWBExt"/>
        </w:rPr>
        <w:t>&lt;/DocRefPE&gt;</w:t>
      </w:r>
    </w:p>
    <w:p>
      <w:pPr>
        <w:pStyle w:val="CoverNormal"/>
      </w:pPr>
      <w:r>
        <w:rPr>
          <w:rStyle w:val="HideTWBExt"/>
        </w:rPr>
        <w:t>&lt;Titre&gt;</w:t>
      </w:r>
      <w:r>
        <w:t>Mobilizacija Europskog fonda za prilagodbu globalizaciji za radnike koji su proglašeni viškom na temelju zahtjeva Belgije – EGF/2025/004 BE/Tupperware</w:t>
      </w:r>
      <w:r>
        <w:rPr>
          <w:rStyle w:val="HideTWBExt"/>
        </w:rPr>
        <w:t>&lt;/Titre&gt;</w:t>
      </w:r>
    </w:p>
    <w:p>
      <w:pPr>
        <w:pStyle w:val="CoverNormal24a"/>
      </w:pPr>
      <w:r>
        <w:rPr>
          <w:rStyle w:val="HideTWBExt"/>
        </w:rPr>
        <w:t>&lt;DocRef&gt;</w:t>
      </w:r>
      <w:r>
        <w:t>(2026/0004(BUD))</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europski stup socijalnih prava,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Tupperware 17. veljače 2025. pokrenuo stečajni postupak; budući da Belgija od 2022. bilježi rast broja stečajeva;</w:t>
            </w:r>
          </w:p>
        </w:tc>
        <w:tc>
          <w:tcPr>
            <w:tcW w:w="4876" w:type="dxa"/>
            <w:tcBorders>
              <w:top w:val="nil"/>
              <w:left w:val="nil"/>
              <w:bottom w:val="nil"/>
              <w:right w:val="nil"/>
            </w:tcBorders>
          </w:tcPr>
          <w:p>
            <w:pPr>
              <w:pStyle w:val="Normal6a"/>
            </w:pPr>
            <w:r>
              <w:t>D.</w:t>
            </w:r>
            <w:r>
              <w:tab/>
            </w:r>
            <w:r>
              <w:t>budući da je Tupperware 17. veljače 2025. pokrenuo stečajni postupak; budući da Belgija od 2022. bilježi rast broja stečajeva</w:t>
            </w:r>
            <w:r>
              <w:rPr>
                <w:b/>
                <w:i/>
              </w:rPr>
              <w:t>, što posebno utječe na industrijski sektor u kontekstu gospodarske stagnacije i visokih troškova proizvodnje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a.</w:t>
            </w:r>
            <w:r>
              <w:tab/>
            </w:r>
            <w:r>
              <w:rPr>
                <w:b/>
                <w:i/>
              </w:rPr>
              <w:t>budući da zatvaranje Tupperwarea u Belgiji upućuje na rizike povezane s ovisnošću o strateškim centrima odlučivanja koji se nalaze izvan Europske unije, čime se oslabljuje lokalna industrijska struktura;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napominje da se Tupperware nalazio u Aalstu u pokrajini Istočnoj Flandriji, gdje je bila zaposlena samo svaka druga osoba, u usporedbi s prosječno dvije trećine osoba u Flandriji ukupno, već i prije stečaja Tupperwarea;</w:t>
            </w:r>
          </w:p>
        </w:tc>
        <w:tc>
          <w:tcPr>
            <w:tcW w:w="4876" w:type="dxa"/>
            <w:tcBorders>
              <w:top w:val="nil"/>
              <w:left w:val="nil"/>
              <w:bottom w:val="nil"/>
              <w:right w:val="nil"/>
            </w:tcBorders>
          </w:tcPr>
          <w:p>
            <w:pPr>
              <w:pStyle w:val="Normal6a"/>
            </w:pPr>
            <w:r>
              <w:t>4.</w:t>
            </w:r>
            <w:r>
              <w:tab/>
            </w:r>
            <w:r>
              <w:t xml:space="preserve">napominje da se Tupperware nalazio u Aalstu u pokrajini Istočnoj Flandriji, gdje je bila zaposlena samo svaka druga osoba, u usporedbi s prosječno dvije trećine osoba u Flandriji ukupno, već i prije stečaja Tupperwarea; </w:t>
            </w:r>
            <w:r>
              <w:rPr>
                <w:b/>
                <w:i/>
              </w:rPr>
              <w:t>izražava žaljenje zbog toga što će ta otpuštanja dodatno pogoršati postojeću situaciju;</w:t>
            </w:r>
            <w:r>
              <w:t xml:space="preserve"> </w:t>
            </w:r>
            <w:r>
              <w:rPr>
                <w:b/>
                <w:i/>
              </w:rPr>
              <w:t>naglašava da je potrebno brzo djelovati kako bi se spriječilo strukturno regionalno pogoršanje;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smatra da je taj slučaj primjer posljedice kontinuirane ovisnosti Europe o akterima iz trećih zemalja u pogledu ključnih tehnologija i intelektualnog vlasništva;</w:t>
            </w:r>
            <w:r>
              <w:t xml:space="preserve"> </w:t>
            </w:r>
            <w:r>
              <w:rPr>
                <w:b/>
                <w:i/>
              </w:rPr>
              <w:t>ističe da mobilizacija EGF-a odražava potrebu za rješavanjem pitanja socijalnog učinka takvih strateških ovisnosti, pri čemu ponovno potvrđuje da je smanjenje tih ovisnosti i dalje prioritet;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podsjeća da na industrijsku konkurentnost u Europi ozbiljno utječu nagli porast troškova energije i regulatorna inflacija;</w:t>
            </w:r>
            <w:r>
              <w:t xml:space="preserve"> </w:t>
            </w:r>
            <w:r>
              <w:rPr>
                <w:b/>
                <w:i/>
              </w:rPr>
              <w:t>upozorava da su bez radikalne revizije mehanizama određivanja cijena energije, kao i bez radikalnog pojednostavnjenja, drugi slični slučajevi zatvaranja neizbježni;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pozdravlja inicijativu skupine europskih poduzetnika čiji je cilj oživjeti taj brend u Njemačkoj, Francuskoj, Belgiji, Italiji i Poljskoj;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naglašava da je u Flandriji rizik od nezaposlenosti više nego dvostruko veći za osobe s niskom razinom obrazovanja; napominje da trećina radnika koji su proglašeni viškom ima samo niži stupanj srednjoškolskog obrazovanja; poziva belgijske vlasti da pruže posebnu potporu prilagođenu tim profilima kako bi se radnicima pomoglo da prevladaju svoje nedostatke i pronađu nova radna mjesta</w:t>
            </w:r>
            <w:r>
              <w:rPr>
                <w:b/>
                <w:i/>
              </w:rPr>
              <w:t>, kao i da poduzmu mjere za smanjenje stečajeva i rješavanje socijalnih razlika koje dovode do isključenosti radne snage</w:t>
            </w:r>
            <w:r>
              <w:t>;</w:t>
            </w:r>
          </w:p>
        </w:tc>
        <w:tc>
          <w:tcPr>
            <w:tcW w:w="4876" w:type="dxa"/>
            <w:tcBorders>
              <w:top w:val="nil"/>
              <w:left w:val="nil"/>
              <w:bottom w:val="nil"/>
              <w:right w:val="nil"/>
            </w:tcBorders>
          </w:tcPr>
          <w:p>
            <w:pPr>
              <w:pStyle w:val="Normal6a"/>
            </w:pPr>
            <w:r>
              <w:t>6.</w:t>
            </w:r>
            <w:r>
              <w:tab/>
            </w:r>
            <w:r>
              <w:t>naglašava da je u Flandriji rizik od nezaposlenosti više nego dvostruko veći za osobe s niskom razinom obrazovanja; napominje da trećina radnika koji su proglašeni viškom ima samo niži stupanj srednjoškolskog obrazovanja; poziva belgijske vlasti da pruže posebnu potporu prilagođenu tim profilima kako bi se radnicima pomoglo da prevladaju svoje nedostatke i pronađu nova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Nicolae Ștefănuță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podsjeća na to da se, u dogovoru sa sindikatima, stručnjacima i socijalnim partnerima, personalizirane usluge koje se trebaju pružati radnicima sastoje od sljedećih mjera: informativnih sastanaka za reintegraciju na tržište rada, usluga traženja novoga radnog mjesta, uključujući osposobljavanje u području IKT-a; pomoći u pronalaženju posla putem savjetovanja i pomoći pri pronalasku radnog mjesta, osposobljavanja i prekvalifikacije, sajmova poslova, izviđanja i pronalaska idealnog kandidata; ističe važnost poticanja visokokvalitetnih radnih mjesta usmjerenih na budućnost kako bi se osigurala dugoročna gospodarska i socijalna otpornost;</w:t>
            </w:r>
          </w:p>
        </w:tc>
        <w:tc>
          <w:tcPr>
            <w:tcW w:w="4876" w:type="dxa"/>
            <w:tcBorders>
              <w:top w:val="nil"/>
              <w:left w:val="nil"/>
              <w:bottom w:val="nil"/>
              <w:right w:val="nil"/>
            </w:tcBorders>
          </w:tcPr>
          <w:p>
            <w:pPr>
              <w:pStyle w:val="Normal6a"/>
            </w:pPr>
            <w:r>
              <w:t>7.</w:t>
            </w:r>
            <w:r>
              <w:tab/>
            </w:r>
            <w:r>
              <w:t xml:space="preserve">podsjeća na to da se, u dogovoru sa sindikatima, stručnjacima i socijalnim partnerima, personalizirane usluge koje se trebaju pružati radnicima sastoje od sljedećih mjera: informativnih sastanaka za reintegraciju na tržište rada, usluga traženja novoga radnog mjesta, uključujući osposobljavanje u području IKT-a; pomoći u pronalaženju posla putem savjetovanja i pomoći pri pronalasku radnog mjesta, osposobljavanja i prekvalifikacije, sajmova poslova, izviđanja i pronalaska idealnog kandidata; ističe važnost poticanja visokokvalitetnih radnih mjesta usmjerenih na budućnost kako bi se osigurala dugoročna gospodarska i socijalna otpornost; </w:t>
            </w:r>
            <w:r>
              <w:rPr>
                <w:b/>
                <w:i/>
              </w:rPr>
              <w:t>poziva belgijske vlasti da uspostave dijalog s novim europskim predstavnicima Tupperwarea kako bi se istražile mogućnosti za reintegraciju radnika koji su proglašeni viškom u njihove gospodarske aktivnosti;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podsjeća na to da se, u dogovoru sa sindikatima, stručnjacima i socijalnim partnerima, personalizirane usluge koje se trebaju pružati radnicima sastoje od sljedećih mjera: informativnih sastanaka za reintegraciju na tržište rada, usluga traženja novoga radnog mjesta, uključujući osposobljavanje u području IKT-a; pomoći u pronalaženju posla putem savjetovanja i pomoći pri pronalasku radnog mjesta, osposobljavanja i prekvalifikacije, sajmova poslova, izviđanja i pronalaska idealnog kandidata; ističe važnost poticanja visokokvalitetnih radnih mjesta </w:t>
            </w:r>
            <w:r>
              <w:rPr>
                <w:b/>
                <w:i/>
              </w:rPr>
              <w:t>usmjerenih na budućnost</w:t>
            </w:r>
            <w:r>
              <w:t xml:space="preserve"> kako bi se </w:t>
            </w:r>
            <w:r>
              <w:rPr>
                <w:b/>
                <w:i/>
              </w:rPr>
              <w:t>osigurala dugoročna gospodarska i socijalna otpornost</w:t>
            </w:r>
            <w:r>
              <w:t>;</w:t>
            </w:r>
          </w:p>
        </w:tc>
        <w:tc>
          <w:tcPr>
            <w:tcW w:w="4876" w:type="dxa"/>
            <w:tcBorders>
              <w:top w:val="nil"/>
              <w:left w:val="nil"/>
              <w:bottom w:val="nil"/>
              <w:right w:val="nil"/>
            </w:tcBorders>
          </w:tcPr>
          <w:p>
            <w:pPr>
              <w:pStyle w:val="Normal6a"/>
            </w:pPr>
            <w:r>
              <w:t>7.</w:t>
            </w:r>
            <w:r>
              <w:tab/>
            </w:r>
            <w:r>
              <w:t xml:space="preserve">podsjeća na to da se, u dogovoru sa sindikatima, stručnjacima i socijalnim partnerima, personalizirane usluge koje se trebaju pružati radnicima sastoje od sljedećih mjera: informativnih sastanaka za reintegraciju na tržište rada, usluga traženja novoga radnog mjesta, uključujući osposobljavanje u području IKT-a; pomoći u pronalaženju posla putem savjetovanja i pomoći pri pronalasku radnog mjesta, osposobljavanja i prekvalifikacije, sajmova poslova, izviđanja i pronalaska idealnog kandidata; ističe važnost poticanja visokokvalitetnih </w:t>
            </w:r>
            <w:r>
              <w:rPr>
                <w:b/>
                <w:i/>
              </w:rPr>
              <w:t>i dugoročnih industrijskih</w:t>
            </w:r>
            <w:r>
              <w:t xml:space="preserve"> radnih mjesta kako bi se </w:t>
            </w:r>
            <w:r>
              <w:rPr>
                <w:b/>
                <w:i/>
              </w:rPr>
              <w:t>osigurao dugoročni gospodarski rast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ističe da su kvalifikacije i vještine otpuštenih radnika i dalje ključne za europsko gospodarstvo; </w:t>
            </w:r>
            <w:r>
              <w:rPr>
                <w:b/>
                <w:i/>
              </w:rPr>
              <w:t>stoga smatra da mobilizacija EGF-a treba biti ugrađena u širi politički odgovor na svim političkim razinama kako bi se osiguralo da pogođeni radnici pronađu odgovarajuće mogućnosti u skladu sa svojim kvalifikacijama i vještinama;</w:t>
            </w:r>
            <w:r>
              <w:t xml:space="preserve"> </w:t>
            </w:r>
            <w:r>
              <w:rPr>
                <w:b/>
                <w:i/>
              </w:rPr>
              <w:t>nadalje</w:t>
            </w:r>
            <w:r>
              <w:t xml:space="preserve"> podsjeća da </w:t>
            </w:r>
            <w:r>
              <w:rPr>
                <w:b/>
                <w:i/>
              </w:rPr>
              <w:t>je EGF instrument solidarnosti i pravedne tranzicije te da primarna zadaća Unije prije svega mora biti</w:t>
            </w:r>
            <w:r>
              <w:t xml:space="preserve"> sprečavanje </w:t>
            </w:r>
            <w:r>
              <w:rPr>
                <w:b/>
                <w:i/>
              </w:rPr>
              <w:t>takvih</w:t>
            </w:r>
            <w:r>
              <w:t xml:space="preserve"> zatvaranja;</w:t>
            </w:r>
          </w:p>
        </w:tc>
        <w:tc>
          <w:tcPr>
            <w:tcW w:w="4876" w:type="dxa"/>
            <w:tcBorders>
              <w:top w:val="nil"/>
              <w:left w:val="nil"/>
              <w:bottom w:val="nil"/>
              <w:right w:val="nil"/>
            </w:tcBorders>
          </w:tcPr>
          <w:p>
            <w:pPr>
              <w:pStyle w:val="Normal6a"/>
            </w:pPr>
            <w:r>
              <w:t>8.</w:t>
            </w:r>
            <w:r>
              <w:tab/>
            </w:r>
            <w:r>
              <w:t xml:space="preserve">ističe da su kvalifikacije i vještine otpuštenih radnika i dalje ključne za europsko gospodarstvo; podsjeća da </w:t>
            </w:r>
            <w:r>
              <w:rPr>
                <w:b/>
                <w:i/>
              </w:rPr>
              <w:t>su</w:t>
            </w:r>
            <w:r>
              <w:t xml:space="preserve"> sprečavanje zatvaranja </w:t>
            </w:r>
            <w:r>
              <w:rPr>
                <w:b/>
                <w:i/>
              </w:rPr>
              <w:t>poduzeća i zaštita radnih mjesta u industriji i dalje prvenstveno u nacionalnoj nadležnosti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ističe da su kvalifikacije i vještine otpuštenih radnika i dalje ključne za europsko gospodarstvo; stoga smatra da mobilizacija EGF-a treba biti ugrađena u širi politički odgovor na svim političkim razinama kako bi se osiguralo da pogođeni radnici pronađu odgovarajuće mogućnosti u skladu sa svojim kvalifikacijama i vještinama; </w:t>
            </w:r>
            <w:r>
              <w:rPr>
                <w:b/>
                <w:i/>
              </w:rPr>
              <w:t>nadalje</w:t>
            </w:r>
            <w:r>
              <w:t xml:space="preserve"> podsjeća da </w:t>
            </w:r>
            <w:r>
              <w:rPr>
                <w:b/>
                <w:i/>
              </w:rPr>
              <w:t>je EGF instrument solidarnosti i pravedne tranzicije te da primarna zadaća Unije prije svega mora biti sprečavanje takvih zatvaranja</w:t>
            </w:r>
            <w:r>
              <w:t>;</w:t>
            </w:r>
          </w:p>
        </w:tc>
        <w:tc>
          <w:tcPr>
            <w:tcW w:w="4876" w:type="dxa"/>
            <w:tcBorders>
              <w:top w:val="nil"/>
              <w:left w:val="nil"/>
              <w:bottom w:val="nil"/>
              <w:right w:val="nil"/>
            </w:tcBorders>
          </w:tcPr>
          <w:p>
            <w:pPr>
              <w:pStyle w:val="Normal6a"/>
            </w:pPr>
            <w:r>
              <w:t>8.</w:t>
            </w:r>
            <w:r>
              <w:tab/>
            </w:r>
            <w:r>
              <w:t xml:space="preserve">ističe da su kvalifikacije i vještine otpuštenih radnika i dalje ključne za europsko gospodarstvo; stoga smatra da mobilizacija EGF-a treba biti ugrađena u širi politički odgovor na svim političkim razinama kako bi se osiguralo da pogođeni radnici pronađu odgovarajuće mogućnosti u skladu sa svojim kvalifikacijama i vještinama; podsjeća da </w:t>
            </w:r>
            <w:r>
              <w:rPr>
                <w:b/>
                <w:i/>
              </w:rPr>
              <w:t>su, u skladu s ciljevima utvrđenima u Kompasu konkurentnosti, iako EGF pruža potrebnu potporu pogođenim radnicima, snažnija industrijska politika te snažnije i otpornije gospodarstvo ključni za smanjenje otpuštanja velikih razmjera i očuvanje europske baze radnih mjesta u industriji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ističe da su kvalifikacije i vještine otpuštenih radnika i dalje ključne za europsko gospodarstvo; stoga smatra da mobilizacija EGF-a treba biti ugrađena u širi politički odgovor na svim političkim razinama kako bi se osiguralo da pogođeni radnici pronađu odgovarajuće mogućnosti u skladu sa svojim kvalifikacijama i vještinama; nadalje podsjeća da je EGF instrument solidarnosti </w:t>
            </w:r>
            <w:r>
              <w:rPr>
                <w:b/>
                <w:i/>
              </w:rPr>
              <w:t>i pravedne tranzicije</w:t>
            </w:r>
            <w:r>
              <w:t xml:space="preserve"> te da primarna zadaća Unije prije svega mora biti sprečavanje takvih zatvaranja;</w:t>
            </w:r>
          </w:p>
        </w:tc>
        <w:tc>
          <w:tcPr>
            <w:tcW w:w="4876" w:type="dxa"/>
            <w:tcBorders>
              <w:top w:val="nil"/>
              <w:left w:val="nil"/>
              <w:bottom w:val="nil"/>
              <w:right w:val="nil"/>
            </w:tcBorders>
          </w:tcPr>
          <w:p>
            <w:pPr>
              <w:pStyle w:val="Normal6a"/>
            </w:pPr>
            <w:r>
              <w:t>8.</w:t>
            </w:r>
            <w:r>
              <w:tab/>
            </w:r>
            <w:r>
              <w:t xml:space="preserve">ističe da su kvalifikacije i vještine otpuštenih radnika i dalje ključne za </w:t>
            </w:r>
            <w:r>
              <w:rPr>
                <w:b/>
                <w:i/>
              </w:rPr>
              <w:t>produktivno</w:t>
            </w:r>
            <w:r>
              <w:t xml:space="preserve"> europsko gospodarstvo; stoga smatra da mobilizacija EGF-a treba biti ugrađena u širi politički odgovor na svim političkim razinama kako bi se osiguralo da pogođeni radnici pronađu odgovarajuće mogućnosti u skladu sa svojim kvalifikacijama i vještinama; nadalje podsjeća da je EGF instrument </w:t>
            </w:r>
            <w:r>
              <w:rPr>
                <w:b/>
                <w:i/>
              </w:rPr>
              <w:t>hitne</w:t>
            </w:r>
            <w:r>
              <w:t xml:space="preserve"> solidarnosti te da primarna zadaća </w:t>
            </w:r>
            <w:r>
              <w:rPr>
                <w:b/>
                <w:i/>
              </w:rPr>
              <w:t>Europske</w:t>
            </w:r>
            <w:r>
              <w:t xml:space="preserve"> unije prije svega mora biti sprečavanje takvih zatvaranja</w:t>
            </w:r>
            <w:r>
              <w:rPr>
                <w:b/>
                <w:i/>
              </w:rPr>
              <w:t>, ponajprije obranom industrijske proizvodnje na europskom tlu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Angéline Furet, Julien Sanchez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smatra da je EGF, iako neophodan za pružanje neposredne potpore radnicima, mjera ublažavanja kojom se ne mogu nadoknaditi strukturne posljedice preotvorene trgovinske politike Europske unije koja ne štiti svoje unutarnje tržište;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Céline Imart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na temeljitu završnu evaluaciju provedenih mjera, uključujući jasne informacije o tome kako su sredstva iskorištena i jesu li potrošena u skladu s odobrenim planovima;</w:t>
            </w:r>
          </w:p>
        </w:tc>
        <w:tc>
          <w:tcPr>
            <w:tcW w:w="4876" w:type="dxa"/>
            <w:tcBorders>
              <w:top w:val="nil"/>
              <w:left w:val="nil"/>
              <w:bottom w:val="nil"/>
              <w:right w:val="nil"/>
            </w:tcBorders>
          </w:tcPr>
          <w:p>
            <w:pPr>
              <w:pStyle w:val="Normal6a"/>
            </w:pPr>
            <w:r>
              <w:t>10.</w:t>
            </w:r>
            <w:r>
              <w:tab/>
            </w:r>
            <w:r>
              <w:t xml:space="preserve">poziva na temeljitu završnu evaluaciju provedenih mjera, uključujući jasne informacije o tome kako su sredstva iskorištena i jesu li potrošena u skladu s odobrenim planovima; </w:t>
            </w:r>
            <w:r>
              <w:rPr>
                <w:b/>
                <w:i/>
              </w:rPr>
              <w:t>naglašava da bi se takve evaluacije trebale temeljiti na jasno definiranim ciljevima i mjerljivim rezultatima, čime bi se omogućila procjena ishoda ostvarenih za dotične radnike;</w:t>
            </w:r>
            <w:r>
              <w:t xml:space="preserve"> </w:t>
            </w:r>
            <w:r>
              <w:rPr>
                <w:b/>
                <w:i/>
              </w:rPr>
              <w:t>naglašava važnost osiguravanja bržih i učinkovitijih intervencija i u tom kontekstu podsjeća da je u okviru sljedećeg višegodišnjeg financijskog okvira za razdoblje 2028. – 2034. potrebno istražiti načine za osiguravanje održivosti EGF-a ili njegova programa sljednika;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Alexander Jungbluth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na temeljitu završnu evaluaciju provedenih mjera, uključujući jasne informacije o tome kako su sredstva iskorištena i jesu li potrošena u skladu s odobrenim planovima;</w:t>
            </w:r>
          </w:p>
        </w:tc>
        <w:tc>
          <w:tcPr>
            <w:tcW w:w="4876" w:type="dxa"/>
            <w:tcBorders>
              <w:top w:val="nil"/>
              <w:left w:val="nil"/>
              <w:bottom w:val="nil"/>
              <w:right w:val="nil"/>
            </w:tcBorders>
          </w:tcPr>
          <w:p>
            <w:pPr>
              <w:pStyle w:val="Normal6a"/>
            </w:pPr>
            <w:r>
              <w:t>10.</w:t>
            </w:r>
            <w:r>
              <w:tab/>
            </w:r>
            <w:r>
              <w:t>poziva na temeljitu završnu evaluaciju provedenih mjera, uključujući jasne informacije o tome kako su sredstva iskorištena i jesu li potrošena u skladu s odobrenim planovima</w:t>
            </w:r>
            <w:r>
              <w:rPr>
                <w:b/>
                <w:i/>
              </w:rPr>
              <w:t>, uključujući procjenu stvarne stope reintegracije korisnika na stabilna radna mjesta, kao i troškovne učinkovitosti mjera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784.155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AM\1336304HR.docx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AM\1336304HR.docx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AM\1336304HR.docx</w:t>
    </w:r>
    <w:r>
      <w:rPr>
        <w:rStyle w:val="HideTWBExt"/>
      </w:rPr>
      <w:t>&lt;/PathFdR&gt;</w:t>
    </w:r>
    <w:r>
      <w:tab/>
    </w:r>
    <w:r>
      <w:tab/>
    </w:r>
    <w:r>
      <w:t>PE</w:t>
    </w:r>
    <w:r>
      <w:rPr>
        <w:rStyle w:val="HideTWBExt"/>
      </w:rPr>
      <w:t>&lt;NoPE&gt;</w:t>
    </w:r>
    <w:r>
      <w:t>784.155</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1663</Words>
  <Characters>10471</Characters>
  <Application>Microsoft Office Word</Application>
  <DocSecurity>0</DocSecurity>
  <Lines>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1336304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380899</vt:lpwstr>
  </property>
  <property fmtid="{D5CDD505-2E9C-101B-9397-08002B2CF9AE}" pid="7" name="dmxml.render.traceId">
    <vt:lpwstr>698eea6c460622eea307430ecf527881</vt:lpwstr>
  </property>
  <property fmtid="{D5CDD505-2E9C-101B-9397-08002B2CF9AE}" pid="8" name="FooterPath">
    <vt:lpwstr>AM\1336304HR.docx</vt:lpwstr>
  </property>
  <property fmtid="{D5CDD505-2E9C-101B-9397-08002B2CF9AE}" pid="9" name="PE Number">
    <vt:lpwstr>784.155</vt:lpwstr>
  </property>
  <property fmtid="{D5CDD505-2E9C-101B-9397-08002B2CF9AE}" pid="10" name="UID">
    <vt:lpwstr>eu.europa.europarl-DIN1-2026-0000025636_02.00-hr-01.00_text-xml</vt:lpwstr>
  </property>
</Properties>
</file>