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Európai Parlament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0.11pt">
                  <v:imagedata r:id="rId4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{BUDG}</w:t>
      </w:r>
      <w:r>
        <w:t>Költségvetési Bizottság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2026/0004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(BUD)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{10/02/2026}</w:t>
      </w:r>
      <w:r>
        <w:t>10.2.2026</w:t>
      </w:r>
      <w:r>
        <w:rPr>
          <w:rStyle w:val="HideTWBExt"/>
        </w:rPr>
        <w:t>&lt;/Date&gt;</w:t>
      </w:r>
    </w:p>
    <w:p>
      <w:pPr>
        <w:pStyle w:val="CoverDocType"/>
      </w:pPr>
      <w:r>
        <w:rPr>
          <w:rStyle w:val="HideTWBExt"/>
        </w:rPr>
        <w:t>&lt;TypeAM&gt;</w:t>
      </w:r>
      <w:r>
        <w:t>MÓDOSÍTÁS:</w:t>
      </w:r>
      <w:r>
        <w:rPr>
          <w:rStyle w:val="HideTWBExt"/>
        </w:rPr>
        <w:t>&lt;/TypeAM&gt;</w:t>
      </w:r>
    </w:p>
    <w:p>
      <w:pPr>
        <w:pStyle w:val="CoverDocType24a"/>
      </w:pPr>
      <w:r>
        <w:rPr>
          <w:rStyle w:val="HideTWBExt"/>
        </w:rPr>
        <w:t>&lt;RangeAM&gt;</w:t>
      </w:r>
      <w:r>
        <w:t>1</w:t>
      </w:r>
      <w:r>
        <w:t xml:space="preserve"> - </w:t>
      </w:r>
      <w:r>
        <w:t>16</w:t>
      </w:r>
      <w:r>
        <w:rPr>
          <w:rStyle w:val="HideTWBExt"/>
        </w:rPr>
        <w:t>&lt;/RangeAM&gt;</w:t>
      </w:r>
    </w:p>
    <w:p>
      <w:pPr>
        <w:pStyle w:val="CoverBold"/>
      </w:pPr>
      <w:r>
        <w:rPr>
          <w:rStyle w:val="HideTWBExt"/>
        </w:rPr>
        <w:t>&lt;TitreType&gt;</w:t>
      </w:r>
      <w:r>
        <w:t>Jelentéstervezet</w:t>
      </w:r>
      <w:r>
        <w:rPr>
          <w:rStyle w:val="HideTWBExt"/>
        </w:rPr>
        <w:t>&lt;/TitreType&gt;</w:t>
      </w:r>
    </w:p>
    <w:p>
      <w:pPr>
        <w:pStyle w:val="CoverBold"/>
      </w:pPr>
      <w:r>
        <w:rPr>
          <w:rStyle w:val="HideTWBExt"/>
        </w:rPr>
        <w:t>&lt;Rapporteur&gt;</w:t>
      </w:r>
      <w:r>
        <w:t>Jean-Marc Germain</w:t>
      </w:r>
      <w:r>
        <w:rPr>
          <w:rStyle w:val="HideTWBExt"/>
        </w:rPr>
        <w:t>&lt;/Rapporteur&gt;</w:t>
      </w:r>
    </w:p>
    <w:p>
      <w:pPr>
        <w:pStyle w:val="CoverNormal24a"/>
      </w:pPr>
      <w:r>
        <w:rPr>
          <w:rStyle w:val="HideTWBExt"/>
        </w:rPr>
        <w:t>&lt;DocRefPE&gt;</w:t>
      </w:r>
      <w:r>
        <w:t>(PE782.416v01-00)</w:t>
      </w:r>
      <w:r>
        <w:rPr>
          <w:rStyle w:val="HideTWBExt"/>
        </w:rPr>
        <w:t>&lt;/DocRefPE&gt;</w:t>
      </w:r>
    </w:p>
    <w:p>
      <w:pPr>
        <w:pStyle w:val="CoverNormal"/>
      </w:pPr>
      <w:r>
        <w:rPr>
          <w:rStyle w:val="HideTWBExt"/>
        </w:rPr>
        <w:t>&lt;Titre&gt;</w:t>
      </w:r>
      <w:r>
        <w:t>Az elbocsátott munkavállalók támogatását szolgáló Európai Globalizációs Alkalmazkodási Alapnak Belgium EGF/2025/004 BE/ Tupperware referenciaszámú kérelme nyomán történő igénybevétele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(2026/0004(BUD))</w:t>
      </w:r>
      <w:r>
        <w:rPr>
          <w:rStyle w:val="HideTWBExt"/>
        </w:rPr>
        <w:t>&lt;/DocRef&gt;</w:t>
      </w:r>
    </w:p>
    <w:p>
      <w:r>
        <w:br w:type="page"/>
      </w:r>
      <w:r>
        <w:t>AM_Com_NonLegReport</w:t>
      </w:r>
    </w:p>
    <w:p>
      <w:pPr>
        <w:pStyle w:val="AmNumberTabs"/>
      </w:pPr>
      <w:r>
        <w:br w:type="page"/>
      </w:r>
      <w:r>
        <w:rPr>
          <w:rStyle w:val="HideTWBExt"/>
        </w:rPr>
        <w:t>&lt;RepeatBlock-Amend&gt;</w:t>
      </w: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Angéline Furet, Julien Sanchez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5 bevezető hivatkozás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tekintettel a szociális jogok európai pillérére,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törölve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Angéline Furet, Julien Sanchez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D preambulumbekezdés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>mivel a Tupperware 2025. február 17-én csődöt jelentett; mivel Belgiumban 2022 óta emelkedik a csődök száma;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D.</w:t>
            </w:r>
            <w:r>
              <w:tab/>
            </w:r>
            <w:r>
              <w:t>mivel a Tupperware 2025. február 17-én csődöt jelentett; mivel Belgiumban 2022 óta emelkedik a csődök száma</w:t>
            </w:r>
            <w:r>
              <w:rPr>
                <w:b/>
                <w:i/>
              </w:rPr>
              <w:t>, ami a gazdasági stagnálás és a magas termelési költségek közepette különösen az ipari ágazatokat érinti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Angéline Furet, Julien Sanchez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D a preambulumbekezdés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Da.</w:t>
            </w:r>
            <w:r>
              <w:tab/>
            </w:r>
            <w:r>
              <w:rPr>
                <w:b/>
                <w:i/>
              </w:rPr>
              <w:t>mivel a belgiumi Tupperware-telep bezárása jól szemlélteti az Európai Unión kívül található stratégiai döntéshozatali központoktól való függőséggel kapcsolatos kockázatokat, ami gyengíti a helyi ipari szerkezetet;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Céline Imart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4 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megjegyzi, hogy a Tupperware a Kelet-Flandria tartományban található Aalstban található, ahol csak minden második embert foglalkoztattak, míg a flamand régióban már a Tupperware csődje előtt átlagosan minden harmadik embert foglalkoztattak;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megjegyzi, hogy a Tupperware a Kelet-Flandria tartományban található Aalstban található, ahol csak minden második embert foglalkoztattak, míg a flamand régióban már a Tupperware csődje előtt átlagosan minden harmadik embert foglalkoztattak; </w:t>
            </w:r>
            <w:r>
              <w:rPr>
                <w:b/>
                <w:i/>
              </w:rPr>
              <w:t>sajnálatát fejezi ki amiatt, hogy ezek az elbocsátások tovább súlyosbítják a helyzetet;</w:t>
            </w:r>
            <w:r>
              <w:t xml:space="preserve"> </w:t>
            </w:r>
            <w:r>
              <w:rPr>
                <w:b/>
                <w:i/>
              </w:rPr>
              <w:t>hangsúlyozza, hogy gyors fellépésre van szükség a regionális strukturális hanyatlás megelőzése érdekében;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Céline Imart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5 a 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5a.</w:t>
            </w:r>
            <w:r>
              <w:tab/>
            </w:r>
            <w:r>
              <w:rPr>
                <w:b/>
                <w:i/>
              </w:rPr>
              <w:t>úgy véli, hogy ez az eset rávilágít annak következményeire, hogy Európa továbbra is harmadik országbeli szereplőktől függ a kulcsfontosságú technológiák és a szellemi tulajdon tekintetében;</w:t>
            </w:r>
            <w:r>
              <w:t xml:space="preserve"> </w:t>
            </w:r>
            <w:r>
              <w:rPr>
                <w:b/>
                <w:i/>
              </w:rPr>
              <w:t>hangsúlyozza, hogy az EGAA igénybevétele tükrözi, hogy kezelni kell az ilyen stratégiai függőségek társadalmi hatását, ugyanakkor megerősíti, hogy e függőségek csökkentése továbbra is prioritás;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Angéline Furet, Julien Sanchez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5 a 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5a.</w:t>
            </w:r>
            <w:r>
              <w:tab/>
            </w:r>
            <w:r>
              <w:rPr>
                <w:b/>
                <w:i/>
              </w:rPr>
              <w:t>emlékeztet arra, hogy az emelkedő energiaköltségek és a szabályozási infláció súlyosan érinti Európa ipari versenyképességét;</w:t>
            </w:r>
            <w:r>
              <w:t xml:space="preserve"> </w:t>
            </w:r>
            <w:r>
              <w:rPr>
                <w:b/>
                <w:i/>
              </w:rPr>
              <w:t>figyelmeztet arra, hogy az energiaár-megállapítási mechanizmusok radikális felülvizsgálata és az egyszerűsítés nélkül elkerülhetetlenek lesznek más hasonló csődök;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Nicolae Ștefănuță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5 a 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5a.</w:t>
            </w:r>
            <w:r>
              <w:tab/>
            </w:r>
            <w:r>
              <w:rPr>
                <w:b/>
                <w:i/>
              </w:rPr>
              <w:t>üdvözli az európai vállalkozók csoportjának kezdeményezését, amelynek célja a márka újjáélesztése Németországban, Franciaországban, Belgiumban, Olaszországban és Lengyelországban;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Jungbluth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6 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hangsúlyozza, hogy Flandriában a munkanélküliség kockázata több mint kétszeres az alacsony iskolai végzettséggel rendelkezők esetében; megjegyzi, hogy az elbocsátott munkavállalók egyharmada legfeljebb alsó középfokú végzettséggel rendelkezik; felhívja a belga hatóságokat, hogy nyújtsanak e profilokhoz igazított egyedi támogatást annak érdekében, hogy segítsék a munkavállalókat hiányosságaik leküzdésében és </w:t>
            </w:r>
            <w:r>
              <w:rPr>
                <w:b/>
                <w:i/>
              </w:rPr>
              <w:t>az</w:t>
            </w:r>
            <w:r>
              <w:t xml:space="preserve"> új munkahelyek megtalálásában</w:t>
            </w:r>
            <w:r>
              <w:rPr>
                <w:b/>
                <w:i/>
              </w:rPr>
              <w:t>, ugyanakkor hozzanak intézkedéseket a csődök csökkentése és a munkaerő kirekesztéséhez vezető társadalmi egyenlőtlenségek kezelése érdekében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hangsúlyozza, hogy Flandriában a munkanélküliség kockázata több mint kétszeres az alacsony iskolai végzettséggel rendelkezők esetében; megjegyzi, hogy az elbocsátott munkavállalók egyharmada legfeljebb alsó középfokú végzettséggel rendelkezik; felhívja a belga hatóságokat, hogy nyújtsanak </w:t>
            </w:r>
            <w:r>
              <w:rPr>
                <w:b/>
                <w:i/>
              </w:rPr>
              <w:t>az</w:t>
            </w:r>
            <w:r>
              <w:t xml:space="preserve"> e profilokhoz igazított egyedi támogatást annak érdekében, hogy segítsék a munkavállalókat hiányosságaik leküzdésében és új munkahelyek megtalálásában;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Nicolae Ștefănuță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7 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>emlékeztet arra, hogy a szakszervezetekkel, a szakértőkkel és a szociális partnerekkel egyetértésben a munkavállalóknak nyújtandó, személyre szabott szolgáltatások a következő intézkedésekből állnak: tájékoztató előadások a foglalkoztatásba való visszailleszkedésről, az újbóli elhelyezkedés esélyét javító szolgáltatásokról, beleértve az IKT-képzést is; segítségnyújtás az álláskeresésben pályaorientáció és munkakereséshez nyújtott segítség, képzés és átképzés, állásbörzék, álláskeresés és munkaközvetítés révén; kiemeli a magas színvonalú, jövőorientált munkahelyek előmozdításának fontosságát a hosszú távú gazdasági és társadalmi reziliencia biztosítása érdekében;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emlékeztet arra, hogy a szakszervezetekkel, a szakértőkkel és a szociális partnerekkel egyetértésben a munkavállalóknak nyújtandó, személyre szabott szolgáltatások a következő intézkedésekből állnak: tájékoztató előadások a foglalkoztatásba való visszailleszkedésről, az újbóli elhelyezkedés esélyét javító szolgáltatásokról, beleértve az IKT-képzést is; segítségnyújtás az álláskeresésben pályaorientáció és munkakereséshez nyújtott segítség, képzés és átképzés, állásbörzék, álláskeresés és munkaközvetítés révén; kiemeli a magas színvonalú, jövőorientált munkahelyek előmozdításának fontosságát a hosszú távú gazdasági és társadalmi reziliencia biztosítása érdekében; </w:t>
            </w:r>
            <w:r>
              <w:rPr>
                <w:b/>
                <w:i/>
              </w:rPr>
              <w:t>felhívja a belga hatóságokat, hogy kezdjenek párbeszédet a Tupperware új európai képviselőivel annak érdekében, hogy feltárják az elbocsátott munkavállalók gazdasági tevékenységeikbe való visszailleszkedésének lehetőségeit;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Angéline Furet, Julien Sanchez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7 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emlékeztet arra, hogy a szakszervezetekkel, a szakértőkkel és a szociális partnerekkel egyetértésben a munkavállalóknak nyújtandó, személyre szabott szolgáltatások a következő intézkedésekből állnak: tájékoztató előadások a foglalkoztatásba való visszailleszkedésről, az újbóli elhelyezkedés esélyét javító szolgáltatásokról, beleértve az IKT-képzést is; segítségnyújtás az álláskeresésben pályaorientáció és munkakereséshez nyújtott segítség, képzés és átképzés, állásbörzék, álláskeresés és munkaközvetítés révén; kiemeli a magas színvonalú, </w:t>
            </w:r>
            <w:r>
              <w:rPr>
                <w:b/>
                <w:i/>
              </w:rPr>
              <w:t>jövőorientált</w:t>
            </w:r>
            <w:r>
              <w:t xml:space="preserve"> munkahelyek előmozdításának fontosságát a hosszú távú gazdasági </w:t>
            </w:r>
            <w:r>
              <w:rPr>
                <w:b/>
                <w:i/>
              </w:rPr>
              <w:t>és társadalmi reziliencia</w:t>
            </w:r>
            <w:r>
              <w:t xml:space="preserve"> biztosítása érdekében;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emlékeztet arra, hogy a szakszervezetekkel, a szakértőkkel és a szociális partnerekkel egyetértésben a munkavállalóknak nyújtandó, személyre szabott szolgáltatások a következő intézkedésekből állnak: tájékoztató előadások a foglalkoztatásba való visszailleszkedésről, az újbóli elhelyezkedés esélyét javító szolgáltatásokról, beleértve az IKT-képzést is; segítségnyújtás az álláskeresésben pályaorientáció és munkakereséshez nyújtott segítség, képzés és átképzés, állásbörzék, álláskeresés és munkaközvetítés révén; kiemeli a magas színvonalú, </w:t>
            </w:r>
            <w:r>
              <w:rPr>
                <w:b/>
                <w:i/>
              </w:rPr>
              <w:t>időtálló ágazati</w:t>
            </w:r>
            <w:r>
              <w:t xml:space="preserve"> munkahelyek előmozdításának fontosságát a hosszú távú gazdasági </w:t>
            </w:r>
            <w:r>
              <w:rPr>
                <w:b/>
                <w:i/>
              </w:rPr>
              <w:t>növekedés</w:t>
            </w:r>
            <w:r>
              <w:t xml:space="preserve"> biztosítása érdekében;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Jungbluth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8 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hangsúlyozza, hogy az elbocsátott munkavállalók képesítései és készségei továbbra is kulcsfontosságúak egy olyan időtálló európai gazdaság szempontjából; </w:t>
            </w:r>
            <w:r>
              <w:rPr>
                <w:b/>
                <w:i/>
              </w:rPr>
              <w:t>ezért úgy véli, hogy az EGAA igénybevételét minden politikai szinten egy nagyobb szakpolitikai válaszba kell ágyazni annak biztosítása érdekében, hogy az érintett munkavállalók a képesítéseiknek és készségeiknek megfelelő lehetőségeket találjanak;</w:t>
            </w:r>
            <w:r>
              <w:t xml:space="preserve"> emlékeztet </w:t>
            </w:r>
            <w:r>
              <w:rPr>
                <w:b/>
                <w:i/>
              </w:rPr>
              <w:t>továbbá arra, hogy az EGAA a szolidaritás</w:t>
            </w:r>
            <w:r>
              <w:t xml:space="preserve"> és az </w:t>
            </w:r>
            <w:r>
              <w:rPr>
                <w:b/>
                <w:i/>
              </w:rPr>
              <w:t>igazságos átmenet eszköze, és hogy az Unió elsődleges feladatának annak kell lennie, hogy megelőzze az ilyen bezárásokat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hangsúlyozza, hogy az elbocsátott munkavállalók képesítései és készségei továbbra is kulcsfontosságúak egy olyan időtálló európai gazdaság szempontjából; emlékeztet </w:t>
            </w:r>
            <w:r>
              <w:rPr>
                <w:b/>
                <w:i/>
              </w:rPr>
              <w:t>arra, hogy a vállalatbezárások megelőzése</w:t>
            </w:r>
            <w:r>
              <w:t xml:space="preserve"> és az </w:t>
            </w:r>
            <w:r>
              <w:rPr>
                <w:b/>
                <w:i/>
              </w:rPr>
              <w:t>ipari foglalkoztatás megőrzése továbbra is elsősorban nemzeti felelősség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Céline Imart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8 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hangsúlyozza, hogy az elbocsátott munkavállalók képesítései és készségei továbbra is kulcsfontosságúak egy olyan időtálló európai gazdaság szempontjából; ezért úgy véli, hogy az EGAA igénybevételét minden politikai szinten egy nagyobb szakpolitikai válaszba kell ágyazni annak biztosítása érdekében, hogy az érintett munkavállalók a képesítéseiknek és készségeiknek megfelelő lehetőségeket találjanak; emlékeztet </w:t>
            </w:r>
            <w:r>
              <w:rPr>
                <w:b/>
                <w:i/>
              </w:rPr>
              <w:t>továbbá</w:t>
            </w:r>
            <w:r>
              <w:t xml:space="preserve"> arra, hogy az EGAA </w:t>
            </w:r>
            <w:r>
              <w:rPr>
                <w:b/>
                <w:i/>
              </w:rPr>
              <w:t>a szolidaritás</w:t>
            </w:r>
            <w:r>
              <w:t xml:space="preserve"> és az </w:t>
            </w:r>
            <w:r>
              <w:rPr>
                <w:b/>
                <w:i/>
              </w:rPr>
              <w:t>igazságos átmenet eszköze</w:t>
            </w:r>
            <w:r>
              <w:t xml:space="preserve">, </w:t>
            </w:r>
            <w:r>
              <w:rPr>
                <w:b/>
                <w:i/>
              </w:rPr>
              <w:t>és hogy az Unió elsődleges feladatának annak kell lennie, hogy megelőzze az ilyen bezárásokat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hangsúlyozza, hogy az elbocsátott munkavállalók képesítései és készségei továbbra is kulcsfontosságúak egy olyan időtálló európai gazdaság szempontjából; ezért úgy véli, hogy az EGAA igénybevételét minden politikai szinten egy nagyobb szakpolitikai válaszba kell ágyazni annak biztosítása érdekében, hogy az érintett munkavállalók a képesítéseiknek és készségeiknek megfelelő lehetőségeket találjanak; emlékeztet arra, hogy </w:t>
            </w:r>
            <w:r>
              <w:rPr>
                <w:b/>
                <w:i/>
              </w:rPr>
              <w:t>a versenyképességi iránytűben meghatározott célkitűzésekkel összhangban</w:t>
            </w:r>
            <w:r>
              <w:t xml:space="preserve"> az EGAA </w:t>
            </w:r>
            <w:r>
              <w:rPr>
                <w:b/>
                <w:i/>
              </w:rPr>
              <w:t>ugyan biztosítja a szükséges támogatást az érintett munkavállalók számára, a nagyszabású elbocsátások csökkentéséhez</w:t>
            </w:r>
            <w:r>
              <w:t xml:space="preserve"> és az </w:t>
            </w:r>
            <w:r>
              <w:rPr>
                <w:b/>
                <w:i/>
              </w:rPr>
              <w:t>európai ipari foglalkoztatási bázis megőrzéséhez elengedhetetlen egy erősebb iparpolitika</w:t>
            </w:r>
            <w:r>
              <w:t xml:space="preserve">, </w:t>
            </w:r>
            <w:r>
              <w:rPr>
                <w:b/>
                <w:i/>
              </w:rPr>
              <w:t>valamint egy szilárdabb és reziliensebb gazdaság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Angéline Furet, Julien Sanchez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8 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hangsúlyozza, hogy az elbocsátott munkavállalók képesítései és készségei továbbra is kulcsfontosságúak egy </w:t>
            </w:r>
            <w:r>
              <w:rPr>
                <w:b/>
                <w:i/>
              </w:rPr>
              <w:t>olyan időtálló</w:t>
            </w:r>
            <w:r>
              <w:t xml:space="preserve"> európai gazdaság szempontjából; ezért úgy véli, hogy az EGAA igénybevételét minden politikai szinten egy nagyobb szakpolitikai válaszba kell ágyazni annak biztosítása érdekében, hogy az érintett munkavállalók a képesítéseiknek és készségeiknek megfelelő lehetőségeket találjanak; emlékeztet továbbá arra, hogy az EGAA a szolidaritás </w:t>
            </w:r>
            <w:r>
              <w:rPr>
                <w:b/>
                <w:i/>
              </w:rPr>
              <w:t>és az igazságos átmenet</w:t>
            </w:r>
            <w:r>
              <w:t xml:space="preserve"> eszköze, és hogy az Unió elsődleges feladatának annak kell lennie, hogy megelőzze az ilyen bezárásokat;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hangsúlyozza, hogy az elbocsátott munkavállalók képesítései és készségei továbbra is kulcsfontosságúak egy </w:t>
            </w:r>
            <w:r>
              <w:rPr>
                <w:b/>
                <w:i/>
              </w:rPr>
              <w:t>produktív</w:t>
            </w:r>
            <w:r>
              <w:t xml:space="preserve"> európai gazdaság szempontjából; ezért úgy véli, hogy az EGAA igénybevételét minden politikai szinten egy nagyobb szakpolitikai válaszba kell ágyazni annak biztosítása érdekében, hogy az érintett munkavállalók a képesítéseiknek és készségeiknek megfelelő lehetőségeket találjanak; emlékeztet továbbá arra, hogy az EGAA a </w:t>
            </w:r>
            <w:r>
              <w:rPr>
                <w:b/>
                <w:i/>
              </w:rPr>
              <w:t>sürgősségi</w:t>
            </w:r>
            <w:r>
              <w:t xml:space="preserve"> szolidaritás eszköze, és hogy az Unió elsődleges feladatának annak kell lennie, hogy </w:t>
            </w:r>
            <w:r>
              <w:rPr>
                <w:b/>
                <w:i/>
              </w:rPr>
              <w:t>– elsősorban az európai ipari termelés védelme révén –</w:t>
            </w:r>
            <w:r>
              <w:t xml:space="preserve"> megelőzze az ilyen bezárásokat;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Angéline Furet, Julien Sanchez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8 a bekezdés (új)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8a.</w:t>
            </w:r>
            <w:r>
              <w:tab/>
            </w:r>
            <w:r>
              <w:rPr>
                <w:b/>
                <w:i/>
              </w:rPr>
              <w:t>úgy véli, hogy bár az EGAA nélkülözhetetlen a munkavállalók azonnali támogatásához, olyan helyreállító intézkedést jelent, amely nem képes ellensúlyozni az Európai Unió túlságosan nyitott és belső piacának védelmét nélkülöző kereskedelempolitikájának strukturális következményeit;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Céline Imart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10 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>felszólít a végrehajtott intézkedések alapos végső értékelésére, többek között egyértelmű információkkal arra vonatkozóan, hogy a forrásokat hogyan használták fel, és hogy azokat a jóváhagyott tervekkel összhangban költötték-e el;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 xml:space="preserve">felszólít a végrehajtott intézkedések alapos végső értékelésére, többek között egyértelmű információkkal arra vonatkozóan, hogy a forrásokat hogyan használták fel, és hogy azokat a jóváhagyott tervekkel összhangban költötték-e el; </w:t>
            </w:r>
            <w:r>
              <w:rPr>
                <w:b/>
                <w:i/>
              </w:rPr>
              <w:t>hangsúlyozza, hogy ezeknek az értékeléseknek egyértelműen meghatározott célkitűzéseken és mérhető eredményeken kell alapulniuk, lehetővé téve az érintett munkavállalók tekintetében elért eredmények értékelését;</w:t>
            </w:r>
            <w:r>
              <w:t xml:space="preserve"> </w:t>
            </w:r>
            <w:r>
              <w:rPr>
                <w:b/>
                <w:i/>
              </w:rPr>
              <w:t>hangsúlyozza a gyorsabb és hatékonyabb beavatkozások biztosításának fontosságát, és ezzel összefüggésben emlékeztet arra, hogy a 2028–2034 közötti időszakra vonatkozó következő többéves pénzügyi keret keretében fel kell tárni az EGAA vagy utódprogramja fenntarthatósága biztosításának módjait;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Módosítás</w:t>
      </w:r>
      <w:r>
        <w:tab/>
      </w:r>
      <w:r>
        <w:tab/>
      </w:r>
      <w:r>
        <w:rPr>
          <w:rStyle w:val="HideTWBExt"/>
        </w:rPr>
        <w:t>&lt;NumAm&gt;</w:t>
      </w:r>
      <w:r>
        <w:t>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Jungbluth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Állásfoglalási indítvány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10 bekezdés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Állásfoglalási indítvány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Módosítás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>felszólít a végrehajtott intézkedések alapos végső értékelésére, többek között egyértelmű információkkal arra vonatkozóan, hogy a forrásokat hogyan használták fel, és hogy azokat a jóváhagyott tervekkel összhangban költötték-e el;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>felszólít a végrehajtott intézkedések alapos végső értékelésére, többek között egyértelmű információkkal arra vonatkozóan, hogy a forrásokat hogyan használták fel, és hogy azokat a jóváhagyott tervekkel összhangban költötték-e el</w:t>
            </w:r>
            <w:r>
              <w:rPr>
                <w:b/>
                <w:i/>
              </w:rPr>
              <w:t>, ideértve a kedvezményezettek stabil foglalkoztatásba való tényleges visszailleszkedési arányának és az intézkedések költséghatékonyságának elemzését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r>
        <w:rPr>
          <w:rStyle w:val="HideTWBExt"/>
        </w:rPr>
        <w:t>&lt;/RepeatBlock-Amend&gt;</w:t>
      </w:r>
    </w:p>
    <w:sectPr>
      <w:footerReference w:type="even" r:id="rId5"/>
      <w:footerReference w:type="default" r:id="rId6"/>
      <w:footerReference w:type="first" r:id="rId7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784.155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10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11</w:t>
    </w:r>
    <w:r>
      <w:fldChar w:fldCharType="end"/>
    </w:r>
    <w:r>
      <w:tab/>
    </w:r>
    <w:r>
      <w:rPr>
        <w:rStyle w:val="HideTWBExt"/>
      </w:rPr>
      <w:t>&lt;PathFdR&gt;</w:t>
    </w:r>
    <w:r>
      <w:t>AM\1336304HU.docx</w:t>
    </w:r>
    <w:r>
      <w:rPr>
        <w:rStyle w:val="HideTWBExt"/>
      </w:rPr>
      <w:t>&lt;/PathFdR&gt;</w:t>
    </w:r>
  </w:p>
  <w:p>
    <w:pPr>
      <w:pStyle w:val="EPFooter2"/>
    </w:pPr>
    <w:r>
      <w:t>HU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AM\1336304HU.docx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11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11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784.155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HU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AM\1336304HU.docx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784.155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HU</w:t>
    </w:r>
    <w:r>
      <w:tab/>
    </w:r>
    <w:r>
      <w:rPr>
        <w:rStyle w:val="EPFooter2Motto"/>
      </w:rPr>
      <w:t>Egyesülve a sokféleségben</w:t>
    </w:r>
    <w:r>
      <w:tab/>
    </w:r>
    <w:r>
      <w:t>HU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140430 HideTWBExt;}{\s16\qr \li0\ri0\sb240\sa240\nowidctlpar\wrapdefault\aspalpha\aspnum\faauto\adjustright\rin0\lin0\itap0 \rtlch\fcs1 \af0\afs20\alang1025 \ltrch\fcs0 &#13;_x000a_\fs24\lang2057\langfe2057\cgrid\langnp2057\langfenp2057 \sbasedon0 \snext16 \spriority0 \styrsid1140430 AmOrLang;}{\s17\ql \li0\ri0\sa120\nowidctlpar\wrapdefault\aspalpha\aspnum\faauto\adjustright\rin0\lin0\itap0 \rtlch\fcs1 \af0\afs20\alang1025 &#13;_x000a_\ltrch\fcs0 \fs24\lang2057\langfe2057\cgrid\langnp2057\langfenp2057 \sbasedon0 \snext17 \spriority0 \styrsid1140430 Normal6a;}{\s18\ql \li0\ri0\nowidctlpar\wrapdefault\aspalpha\aspnum\faauto\adjustright\rin0\lin0\itap0 \rtlch\fcs1 \af0\afs20\alang1025 &#13;_x000a_\ltrch\fcs0 \b\fs24\lang2057\langfe2057\cgrid\langnp2057\langfenp2057 \sbasedon0 \snext18 \spriority0 \styrsid1140430 NormalBold;}{\s19\qc \li0\ri0\sa240\nowidctlpar\wrapdefault\aspalpha\aspnum\faauto\adjustright\rin0\lin0\itap0 \rtlch\fcs1 &#13;_x000a_\af0\afs20\alang1025 \ltrch\fcs0 \i\fs24\lang2057\langfe2057\cgrid\langnp2057\langfenp2057 \sbasedon0 \snext19 \spriority0 \styrsid1140430 AmColumnHeading;}{\s20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0 \spriority0 \styrsid1140430 AmNumberTabs;}}{\*\rsidtbl \rsid24658\rsid358857\rsid735077\rsid787282\rsid1140430\rsid2892074\rsid3622648\rsid4666813\rsid5708216&#13;_x000a_\rsid6641733\rsid7553164\rsid8465581\rsid8681905\rsid8724649\rsid9636012\rsid9862312\rsid11215221\rsid11370291\rsid11434737\rsid11607138\rsid11824949\rsid12154954\rsid12213393\rsid14424199\rsid15204470\rsid15285974\rsid15535219\rsid15950462\rsid16324206&#13;_x000a_\rsid16662270}{\mmathPr\mmathFont34\mbrkBin0\mbrkBinSub0\msmallFrac0\mdispDef1\mlMargin0\mrMargin0\mdefJc1\mwrapIndent1440\mintLim0\mnaryLim1}{\info{\author FELIX Karina}{\operator FELIX Karina}{\creatim\yr2019\mo7\dy3\hr17\min21}&#13;_x000a_{\revtim\yr2019\mo7\dy3\hr17\min21}{\version1}{\edmins0}{\nofpages1}{\nofwords25}{\nofchars291}{\*\company European Parliament}{\nofcharsws294}{\vern97}}{\*\xmlnstbl {\xmlns1 http://schemas.microsoft.com/office/word/2003/wordml}}&#13;_x000a_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140430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2213393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s20\ql \li0\ri0\sb240\keepn\nowidctlpar\tx879\tx936\tx1021\tx1077\tx1134\tx1191\tx1247\tx1304\tx1361\tx1418\tx1474\tx1531\tx1588\tx1644\tx1701\tx1758\tx1814\tx1871\tx2070\tx2126\tx3374\tx3430\wrapdefault\aspalpha\aspnum\faauto\adjustright\rin0&#13;_x000a_\lin0\itap0\pararsid1140430 \rtlch\fcs1 \af0\afs20\alang1025 \ltrch\fcs0 \b\fs24\lang2057\langfe2057\cgrid\langnp2057\langfenp2057 {\rtlch\fcs1 \af0 \ltrch\fcs0 \cs15\b0\v\f1\fs20\cf9\lang1024\langfe1024\noproof\insrsid1140430\charrsid4417459 &#13;_x000a_{\*\bkmkstart restart}&lt;Amend&gt;}{\rtlch\fcs1 \af0 \ltrch\fcs0 \insrsid1140430\charrsid1799708 [ZAMENDMENT]}{\rtlch\fcs1 \af0 \ltrch\fcs0 \insrsid1140430 \tab \tab }{\rtlch\fcs1 \af0 \ltrch\fcs0 &#13;_x000a_\cs15\b0\v\f1\fs20\cf9\lang1024\langfe1024\noproof\insrsid1140430\charrsid4417459 &lt;NumAm&gt;}{\rtlch\fcs1 \af0 \ltrch\fcs0 \insrsid1140430\charrsid1799708 [ZNRAM]}{\rtlch\fcs1 \af0 \ltrch\fcs0 &#13;_x000a_\cs15\b0\v\f1\fs20\cf9\lang1024\langfe1024\noproof\insrsid1140430\charrsid4417459 &lt;/NumAm&gt;}{\rtlch\fcs1 \af0 \ltrch\fcs0 \insrsid1140430\charrsid4080556 &#13;_x000a_\par }\pard\plain \ltrpar\s18\ql \li0\ri0\nowidctlpar\wrapdefault\aspalpha\aspnum\faauto\adjustright\rin0\lin0\itap0\pararsid1140430 \rtlch\fcs1 \af0\afs20\alang1025 \ltrch\fcs0 \b\fs24\lang2057\langfe2057\cgrid\langnp2057\langfenp2057 {\rtlch\fcs1 \af0 &#13;_x000a_\ltrch\fcs0 \cs15\b0\v\f1\fs20\cf9\lang1024\langfe1024\noproof\insrsid1140430\charrsid14699840 &lt;RepeatBlock-By&gt;}{\rtlch\fcs1 \af0 \ltrch\fcs0 \lang1024\langfe1024\noproof\insrsid1140430\charrsid14699840 [RepeatMembers]}{\rtlch\fcs1 \af0 \ltrch\fcs0 &#13;_x000a_\cs15\b0\v\f1\fs20\cf9\lang1024\langfe1024\noproof\insrsid1140430\charrsid14699840 &lt;Members&gt;}{\rtlch\fcs1 \af0 \ltrch\fcs0 \insrsid1140430\charrsid14699840 [ZMEMBERS]}{\rtlch\fcs1 \af0 \ltrch\fcs0 &#13;_x000a_\cs15\b0\v\f1\fs20\cf9\lang1024\langfe1024\noproof\insrsid1140430\charrsid14699840 &lt;/Members&gt;}{\rtlch\fcs1 \af0 \ltrch\fcs0 \insrsid1140430\charrsid14699840 &#13;_x000a_\par }\pard\plain \ltrpar\ql \li0\ri0\widctlpar\wrapdefault\aspalpha\aspnum\faauto\adjustright\rin0\lin0\itap0\pararsid1140430 \rtlch\fcs1 \af0\afs20\alang1025 \ltrch\fcs0 \fs24\lang2057\langfe2057\cgrid\langnp2057\langfenp2057 {\rtlch\fcs1 \af0 \ltrch\fcs0 &#13;_x000a_\cs15\v\f1\fs20\cf9\lang1024\langfe1024\noproof\langnp1043\insrsid1140430\charrsid14424489 &lt;AuNomDe&gt;&lt;OptDel&gt;}{\rtlch\fcs1 \af0 \ltrch\fcs0 \lang1043\langfe2057\langnp1043\insrsid1140430\charrsid14424489 [ZONBEHALF]}{\rtlch\fcs1 \af0 \ltrch\fcs0 &#13;_x000a_\cs15\v\f1\fs20\cf9\lang1024\langfe1024\noproof\langnp1043\insrsid1140430\charrsid14424489 &lt;/OptDel&gt;&lt;/AuNomDe&gt;}{\rtlch\fcs1 \af0 \ltrch\fcs0 \lang1043\langfe2057\langnp1043\insrsid1140430\charrsid14424489 &#13;_x000a_\par }{\rtlch\fcs1 \af0 \ltrch\fcs0 \insrsid1140430\charrsid14699840 &lt;&lt;&lt;}{\rtlch\fcs1 \af0 \ltrch\fcs0 \cs15\v\f1\fs20\cf9\lang1024\langfe1024\noproof\insrsid1140430\charrsid14699840 &lt;/RepeatBlock-By&gt;}{\rtlch\fcs1 \af0 \ltrch\fcs0 &#13;_x000a_\insrsid1140430\charrsid14699840 &#13;_x000a_\par }\pard\plain \ltrpar\s18\ql \li0\ri0\nowidctlpar\wrapdefault\aspalpha\aspnum\faauto\adjustright\rin0\lin0\itap0\pararsid1140430 \rtlch\fcs1 \af0\afs20\alang1025 \ltrch\fcs0 \b\fs24\lang2057\langfe2057\cgrid\langnp2057\langfenp2057 {\rtlch\fcs1 \af0 &#13;_x000a_\ltrch\fcs0 \cs15\b0\v\f1\fs20\cf9\lang1024\langfe1024\noproof\insrsid1140430\charrsid4737239 &lt;DocAmend&gt;}{\rtlch\fcs1 \af0 \ltrch\fcs0 \insrsid1140430\charrsid1799708 [Z}{\rtlch\fcs1 \af0 \ltrch\fcs0 \insrsid1140430 AMDOC}{\rtlch\fcs1 \af0 \ltrch\fcs0 &#13;_x000a_\insrsid1140430\charrsid1799708 ]}{\rtlch\fcs1 \af0 \ltrch\fcs0 \cs15\b0\v\f1\fs20\cf9\lang1024\langfe1024\noproof\insrsid1140430\charrsid4737239 &lt;/DocAmend&gt;}{\rtlch\fcs1 \af0 \ltrch\fcs0 \insrsid1140430\charrsid1799708 &#13;_x000a_\par }{\rtlch\fcs1 \af0 \ltrch\fcs0 \cs15\b0\v\f1\fs20\cf9\lang1024\langfe1024\noproof\insrsid1140430\charrsid1799708 &lt;Article&gt;}{\rtlch\fcs1 \af0 \ltrch\fcs0 \insrsid1140430\charrsid1799708 [ZAMPART]}{\rtlch\fcs1 \af0 \ltrch\fcs0 &#13;_x000a_\cs15\b0\v\f1\fs20\cf9\lang1024\langfe1024\noproof\insrsid1140430\charrsid1799708 &lt;/Article&gt;}{\rtlch\fcs1 \af0 \ltrch\fcs0 \insrsid1140430\charrsid1799708 &#13;_x000a_\par \ltrrow}\trowd \irow0\irowband0\ltrrow\ts11\trqc\trgaph340\trleft-340\trftsWidth3\trwWidth9752\trftsWidthB3\trpaddl340\trpaddr340\trpaddfl3\trpaddft3\trpaddfb3\trpaddfr3\tblrsid7949889\tblind0\tblindtype3 \clvertalt\clbrdrt\brdrtbl \clbrdrl\brdrtbl &#13;_x000a_\clbrdrb\brdrtbl \clbrdrr\brdrtbl \cltxlrtb\clftsWidth3\clwWidth9752\clshdrawnil \cellx9412\pard\plain \ltrpar\ql \li0\ri0\keepn\widctlpar\intbl\wrapdefault\aspalpha\aspnum\faauto\adjustright\rin0\lin0\pararsid13053803 \rtlch\fcs1 \af0\afs20\alang1025 &#13;_x000a_\ltrch\fcs0 \fs24\lang2057\langfe2057\cgrid\langnp2057\langfenp2057 {\rtlch\fcs1 \af0 \ltrch\fcs0 \insrsid1140430\charrsid1799708 \cell }\pard\plain \ltrpar\ql \li0\ri0\widctlpar\intbl\wrapdefault\aspalpha\aspnum\faauto\adjustright\rin0\lin0 \rtlch\fcs1 &#13;_x000a_\af0\afs20\alang1025 \ltrch\fcs0 \fs24\lang2057\langfe2057\cgrid\langnp2057\langfenp2057 {\rtlch\fcs1 \af0 \ltrch\fcs0 \insrsid1140430\charrsid1799708 \trowd \irow0\irowband0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9752\clshdrawnil \cellx9412\row \ltrrow}\trowd \irow1\irowband1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pard\plain \ltrpar&#13;_x000a_\s19\qc \li0\ri0\sa240\keepn\nowidctlpar\intbl\wrapdefault\aspalpha\aspnum\faauto\adjustright\rin0\lin0\pararsid13053803 \rtlch\fcs1 \af0\afs20\alang1025 \ltrch\fcs0 \i\fs24\lang2057\langfe2057\cgrid\langnp2057\langfenp2057 {\rtlch\fcs1 \af0 \ltrch\fcs0 &#13;_x000a_\insrsid1140430\charrsid1799708 [ZLEFT]\cell [ZRIGHT]\cell }\pard\plain \ltrpar\ql \li0\ri0\widctlpar\intbl\wrapdefault\aspalpha\aspnum\faauto\adjustright\rin0\lin0 \rtlch\fcs1 \af0\afs20\alang1025 \ltrch\fcs0 &#13;_x000a_\fs24\lang2057\langfe2057\cgrid\langnp2057\langfenp2057 {\rtlch\fcs1 \af0 \ltrch\fcs0 \insrsid1140430\charrsid1799708 \trowd \irow1\irowband1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\ltrrow}\pard\plain \ltrpar&#13;_x000a_\s17\ql \li0\ri0\sa120\nowidctlpar\intbl\wrapdefault\aspalpha\aspnum\faauto\adjustright\rin0\lin0\pararsid7949889 \rtlch\fcs1 \af0\afs20\alang1025 \ltrch\fcs0 \fs24\lang2057\langfe2057\cgrid\langnp2057\langfenp2057 {\rtlch\fcs1 \af0 \ltrch\fcs0 &#13;_x000a_\insrsid1140430\charrsid1799708 [ZTEXTL]\cell [ZTEXTR]}{\rtlch\fcs1 \af0\afs24 \ltrch\fcs0 \insrsid1140430\charrsid1799708 \cell }\pard\plain \ltrpar\ql \li0\ri0\widctlpar\intbl\wrapdefault\aspalpha\aspnum\faauto\adjustright\rin0\lin0 \rtlch\fcs1 &#13;_x000a_\af0\afs20\alang1025 \ltrch\fcs0 \fs24\lang2057\langfe2057\cgrid\langnp2057\langfenp2057 {\rtlch\fcs1 \af0 \ltrch\fcs0 \insrsid1140430\charrsid1799708 \trowd \irow2\irowband2\lastrow 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\plain \ltrpar&#13;_x000a_\s16\qr \li0\ri0\sb240\sa240\nowidctlpar\wrapdefault\aspalpha\aspnum\faauto\adjustright\rin0\lin0\itap0\pararsid1140430 \rtlch\fcs1 \af0\afs20\alang1025 \ltrch\fcs0 \fs24\lang2057\langfe2057\cgrid\langnp2057\langfenp2057 {\rtlch\fcs1 \af0 \ltrch\fcs0 &#13;_x000a_\insrsid1140430\charrsid1799708 Or. }{\rtlch\fcs1 \af0 \ltrch\fcs0 \cs15\v\f1\fs20\cf9\lang1024\langfe1024\noproof\insrsid1140430\charrsid1799708 &lt;Original&gt;}{\rtlch\fcs1 \af0 \ltrch\fcs0 \insrsid1140430\charrsid1799708 [ZORLANG]}{\rtlch\fcs1 \af0 &#13;_x000a_\ltrch\fcs0 \cs15\v\f1\fs20\cf9\lang1024\langfe1024\noproof\insrsid1140430\charrsid1799708 &lt;/Original&gt;}{\rtlch\fcs1 \af0 \ltrch\fcs0 \insrsid1140430\charrsid1799708 &#13;_x000a_\par }\pard\plain \ltrpar\ql \li0\ri0\widctlpar\wrapdefault\aspalpha\aspnum\faauto\adjustright\rin0\lin0\itap0\pararsid1140430 \rtlch\fcs1 \af0\afs20\alang1025 \ltrch\fcs0 \fs24\lang2057\langfe2057\cgrid\langnp2057\langfenp2057 {\rtlch\fcs1 \af0 \ltrch\fcs0 &#13;_x000a_\cs15\v\f1\fs20\cf9\lang1024\langfe1024\noproof\insrsid1140430\charrsid1799708 &lt;/Amend&gt;}{\rtlch\fcs1 \af0 \ltrch\fcs0 \insrsid24658\charrsid16324206 {\*\bkmkend restart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6054&#13;_x000a_9504b3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/>
      <w:ind w:left="1416"/>
    </w:pPr>
    <w:rPr>
      <w:b/>
    </w:r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widowControl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 w:themeColor="bg2" w:themeFill="bg2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/>
      <w:spacing w:after="240"/>
    </w:p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11</Pages>
  <Words>1611</Words>
  <Characters>12057</Characters>
  <Application>Microsoft Office Word</Application>
  <DocSecurity>0</DocSecurity>
  <Lines>1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HU</vt:lpwstr>
  </property>
  <property fmtid="{D5CDD505-2E9C-101B-9397-08002B2CF9AE}" pid="3" name="&lt;FdR&gt;">
    <vt:lpwstr>1336304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388517</vt:lpwstr>
  </property>
  <property fmtid="{D5CDD505-2E9C-101B-9397-08002B2CF9AE}" pid="7" name="dmxml.render.traceId">
    <vt:lpwstr>699c1f0af9b7767f2ca3638c90394eea</vt:lpwstr>
  </property>
  <property fmtid="{D5CDD505-2E9C-101B-9397-08002B2CF9AE}" pid="8" name="FooterPath">
    <vt:lpwstr>AM\1336304HU.docx</vt:lpwstr>
  </property>
  <property fmtid="{D5CDD505-2E9C-101B-9397-08002B2CF9AE}" pid="9" name="PE Number">
    <vt:lpwstr>784.155</vt:lpwstr>
  </property>
  <property fmtid="{D5CDD505-2E9C-101B-9397-08002B2CF9AE}" pid="10" name="UID">
    <vt:lpwstr>eu.europa.europarl-DIN1-2026-0000025636_02.00-hu-01.00_text-xml</vt:lpwstr>
  </property>
</Properties>
</file>