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Commissione per i bilanci</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Mobilitazione del Fondo europeo di adeguamento alla globalizzazione per i lavoratori espulsi dal lavoro a seguito di una domanda presentata dal Belgio –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il pilastro europeo dei diritti sociali,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Tupperware ha presentato istanza di fallimento il 17 febbraio 2025; che dal 2022 i fallimenti sono in aumento in Belgio;</w:t>
            </w:r>
          </w:p>
        </w:tc>
        <w:tc>
          <w:tcPr>
            <w:tcW w:w="4876" w:type="dxa"/>
            <w:tcBorders>
              <w:top w:val="nil"/>
              <w:left w:val="nil"/>
              <w:bottom w:val="nil"/>
              <w:right w:val="nil"/>
            </w:tcBorders>
          </w:tcPr>
          <w:p>
            <w:pPr>
              <w:pStyle w:val="Normal6a"/>
            </w:pPr>
            <w:r>
              <w:t>D.</w:t>
            </w:r>
            <w:r>
              <w:tab/>
            </w:r>
            <w:r>
              <w:t>considerando che Tupperware ha presentato istanza di fallimento il 17 febbraio 2025; che dal 2022 i fallimenti sono in aumento in Belgio</w:t>
            </w:r>
            <w:r>
              <w:rPr>
                <w:b/>
                <w:i/>
              </w:rPr>
              <w:t>, con ripercussioni particolarmente gravi sul settore industriale in un contesto di stagnazione economica e costi di produzione elevati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la chiusura dello stabilimento Tupperware in Belgio è la dimostrazione dei rischi associati alla dipendenza da centri decisionali strategici situati al di fuori dell'Unione europea, che indebolisce il tessuto industriale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prende atto del fatto che Tupperware era ubicata ad Aalst, nella provincia delle Fiandre orientali, dove già prima del fallimento di tale impresa solo una persona su due aveva un lavoro, rispetto alla media di due persone su tre registrata nella regione delle Fiandre;</w:t>
            </w:r>
          </w:p>
        </w:tc>
        <w:tc>
          <w:tcPr>
            <w:tcW w:w="4876" w:type="dxa"/>
            <w:tcBorders>
              <w:top w:val="nil"/>
              <w:left w:val="nil"/>
              <w:bottom w:val="nil"/>
              <w:right w:val="nil"/>
            </w:tcBorders>
          </w:tcPr>
          <w:p>
            <w:pPr>
              <w:pStyle w:val="Normal6a"/>
            </w:pPr>
            <w:r>
              <w:t>4.</w:t>
            </w:r>
            <w:r>
              <w:tab/>
            </w:r>
            <w:r>
              <w:t xml:space="preserve">prende atto del fatto che Tupperware era ubicata ad Aalst, nella provincia delle Fiandre orientali, dove già prima del fallimento di tale impresa solo una persona su due aveva un lavoro, rispetto alla media di due persone su tre registrata nella regione delle Fiandre; </w:t>
            </w:r>
            <w:r>
              <w:rPr>
                <w:b/>
                <w:i/>
              </w:rPr>
              <w:t>si rammarica che tali licenziamenti aggraveranno ulteriormente la situazione;</w:t>
            </w:r>
            <w:r>
              <w:t xml:space="preserve"> </w:t>
            </w:r>
            <w:r>
              <w:rPr>
                <w:b/>
                <w:i/>
              </w:rPr>
              <w:t>sottolinea che è necessaria un'azione rapida per prevenire il declino strutturale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ritiene che questo caso metta in evidenza le conseguenze della continua dipendenza dell'Europa da attori di paesi terzi per quanto riguarda le tecnologie chiave e la proprietà intellettuale;</w:t>
            </w:r>
            <w:r>
              <w:t xml:space="preserve"> </w:t>
            </w:r>
            <w:r>
              <w:rPr>
                <w:b/>
                <w:i/>
              </w:rPr>
              <w:t>sottolinea che la mobilitazione del FEG rispecchia la necessità di affrontare l'impatto sociale di tali dipendenze strategiche, ribadendo nel contempo che la riduzione di tali dipendenze rimane una priorità;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ricorda che la competitività industriale in Europa è gravemente colpita dall'impennata dei costi dell'energia e dall'inflazione normativa;</w:t>
            </w:r>
            <w:r>
              <w:t xml:space="preserve"> </w:t>
            </w:r>
            <w:r>
              <w:rPr>
                <w:b/>
                <w:i/>
              </w:rPr>
              <w:t>avverte che, senza una revisione radicale dei meccanismi di fissazione dei prezzi dell'energia e uno shock di semplificazione, altre chiusure analoghe saranno inevitabili;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accoglie con favore un'iniziativa del gruppo di imprenditori europei volta a rilanciare il marchio in Germania, Francia, Belgio, Italia e Polonia;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sottolinea che nelle Fiandre il rischio di disoccupazione è più che doppio per le persone con un basso livello di istruzione; osserva che un terzo dei lavoratori espulsi dal lavoro ha un livello di istruzione non superiore all'istruzione secondaria inferiore; invita le autorità belghe a fornire un sostegno specifico adattato a tali profili per aiutare i lavoratori a superare le loro carenze e a trovare nuovi posti di lavoro</w:t>
            </w:r>
            <w:r>
              <w:rPr>
                <w:b/>
                <w:i/>
              </w:rPr>
              <w:t>, adottando nel contempo misure volte a ridurre i fallimenti e ad affrontare le disparità sociali che portano all'esclusione della forza lavoro</w:t>
            </w:r>
            <w:r>
              <w:t>;</w:t>
            </w:r>
          </w:p>
        </w:tc>
        <w:tc>
          <w:tcPr>
            <w:tcW w:w="4876" w:type="dxa"/>
            <w:tcBorders>
              <w:top w:val="nil"/>
              <w:left w:val="nil"/>
              <w:bottom w:val="nil"/>
              <w:right w:val="nil"/>
            </w:tcBorders>
          </w:tcPr>
          <w:p>
            <w:pPr>
              <w:pStyle w:val="Normal6a"/>
            </w:pPr>
            <w:r>
              <w:t>6.</w:t>
            </w:r>
            <w:r>
              <w:tab/>
            </w:r>
            <w:r>
              <w:t>sottolinea che nelle Fiandre il rischio di disoccupazione è più che doppio per le persone con un basso livello di istruzione; osserva che un terzo dei lavoratori espulsi dal lavoro ha un livello di istruzione non superiore all'istruzione secondaria inferiore; invita le autorità belghe a fornire un sostegno specifico adattato a tali profili per aiutare i lavoratori a superare le loro carenze e a trovare nuovi posti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ricorda che, d'intesa con i sindacati, gli esperti e le parti sociali, i servizi personalizzati da fornire ai lavoratori consistono nelle misure seguenti: sessioni informative per il reinserimento lavorativo, servizi di ricollocamento, compresa la formazione in materia di TIC; assistenza nella ricerca di un lavoro attraverso orientamento e assistenza nella ricerca di un impiego, formazione e riqualificazione, fiera del lavoro, ricerca di offerte di lavoro e incontro tra domanda e offerta di lavoro; sottolinea l'importanza di promuovere posti di lavoro di alta qualità e orientati al futuro per garantire la resilienza economica e sociale a lungo termine;</w:t>
            </w:r>
          </w:p>
        </w:tc>
        <w:tc>
          <w:tcPr>
            <w:tcW w:w="4876" w:type="dxa"/>
            <w:tcBorders>
              <w:top w:val="nil"/>
              <w:left w:val="nil"/>
              <w:bottom w:val="nil"/>
              <w:right w:val="nil"/>
            </w:tcBorders>
          </w:tcPr>
          <w:p>
            <w:pPr>
              <w:pStyle w:val="Normal6a"/>
            </w:pPr>
            <w:r>
              <w:t>7.</w:t>
            </w:r>
            <w:r>
              <w:tab/>
            </w:r>
            <w:r>
              <w:t xml:space="preserve">ricorda che, d'intesa con i sindacati, gli esperti e le parti sociali, i servizi personalizzati da fornire ai lavoratori consistono nelle misure seguenti: sessioni informative per il reinserimento lavorativo, servizi di ricollocamento, compresa la formazione in materia di TIC; assistenza nella ricerca di un lavoro attraverso orientamento e assistenza nella ricerca di un impiego, formazione e riqualificazione, fiera del lavoro, ricerca di offerte di lavoro e incontro tra domanda e offerta di lavoro; sottolinea l'importanza di promuovere posti di lavoro di alta qualità e orientati al futuro per garantire la resilienza economica e sociale a lungo termine; </w:t>
            </w:r>
            <w:r>
              <w:rPr>
                <w:b/>
                <w:i/>
              </w:rPr>
              <w:t>invita le autorità belghe a instaurare un dialogo con i nuovi rappresentanti europei di Tupperware per esplorare le possibilità di reinserimento dei lavoratori espulsi dal lavoro nelle loro attività economiche;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ricorda che, d'intesa con i sindacati, gli esperti e le parti sociali, i servizi personalizzati da fornire ai lavoratori consistono nelle misure seguenti: sessioni informative per il reinserimento lavorativo, servizi di ricollocamento, compresa la formazione in materia di TIC; assistenza nella ricerca di un lavoro attraverso orientamento e assistenza nella ricerca di un impiego, formazione e riqualificazione, fiera del lavoro, ricerca di offerte di lavoro e incontro tra domanda e offerta di lavoro; sottolinea l'importanza di promuovere posti di lavoro di alta qualità e </w:t>
            </w:r>
            <w:r>
              <w:rPr>
                <w:b/>
                <w:i/>
              </w:rPr>
              <w:t>orientati al futuro</w:t>
            </w:r>
            <w:r>
              <w:t xml:space="preserve"> per garantire </w:t>
            </w:r>
            <w:r>
              <w:rPr>
                <w:b/>
                <w:i/>
              </w:rPr>
              <w:t>la resilienza</w:t>
            </w:r>
            <w:r>
              <w:t xml:space="preserve"> economica </w:t>
            </w:r>
            <w:r>
              <w:rPr>
                <w:b/>
                <w:i/>
              </w:rPr>
              <w:t>e sociale</w:t>
            </w:r>
            <w:r>
              <w:t xml:space="preserve"> a lungo termine;</w:t>
            </w:r>
          </w:p>
        </w:tc>
        <w:tc>
          <w:tcPr>
            <w:tcW w:w="4876" w:type="dxa"/>
            <w:tcBorders>
              <w:top w:val="nil"/>
              <w:left w:val="nil"/>
              <w:bottom w:val="nil"/>
              <w:right w:val="nil"/>
            </w:tcBorders>
          </w:tcPr>
          <w:p>
            <w:pPr>
              <w:pStyle w:val="Normal6a"/>
            </w:pPr>
            <w:r>
              <w:t>7.</w:t>
            </w:r>
            <w:r>
              <w:tab/>
            </w:r>
            <w:r>
              <w:t xml:space="preserve">ricorda che, d'intesa con i sindacati, gli esperti e le parti sociali, i servizi personalizzati da fornire ai lavoratori consistono nelle misure seguenti: sessioni informative per il reinserimento lavorativo, servizi di ricollocamento, compresa la formazione in materia di TIC; assistenza nella ricerca di un lavoro attraverso orientamento e assistenza nella ricerca di un impiego, formazione e riqualificazione, fiera del lavoro, ricerca di offerte di lavoro e incontro tra domanda e offerta di lavoro; sottolinea l'importanza di promuovere posti di lavoro di alta qualità e </w:t>
            </w:r>
            <w:r>
              <w:rPr>
                <w:b/>
                <w:i/>
              </w:rPr>
              <w:t>duraturi nel settore industriale</w:t>
            </w:r>
            <w:r>
              <w:t xml:space="preserve"> per garantire </w:t>
            </w:r>
            <w:r>
              <w:rPr>
                <w:b/>
                <w:i/>
              </w:rPr>
              <w:t>una crescita</w:t>
            </w:r>
            <w:r>
              <w:t xml:space="preserve"> economica a lungo termine;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sottolinea che le qualifiche e le competenze dei lavoratori licenziati rimangono fondamentali per un'economia europea adeguata alle esigenze future; </w:t>
            </w:r>
            <w:r>
              <w:rPr>
                <w:b/>
                <w:i/>
              </w:rPr>
              <w:t>ritiene pertanto</w:t>
            </w:r>
            <w:r>
              <w:t xml:space="preserve"> che la </w:t>
            </w:r>
            <w:r>
              <w:rPr>
                <w:b/>
                <w:i/>
              </w:rPr>
              <w:t>mobilitazione del FEG debba essere integrata in una risposta politica più ampia, a tutti i livelli politici, per garantire che i lavoratori interessati trovino adeguate opportunità in linea con le loro qualifiche e competenze;</w:t>
            </w:r>
            <w:r>
              <w:t xml:space="preserve"> </w:t>
            </w:r>
            <w:r>
              <w:rPr>
                <w:b/>
                <w:i/>
              </w:rPr>
              <w:t>ricorda inoltre che il FEG è uno strumento di solidarietà e di transizione giusta e che il compito principale dell'Unione deve essere quello di evitare dal principio tali</w:t>
            </w:r>
            <w:r>
              <w:t xml:space="preserve"> chiusure;</w:t>
            </w:r>
          </w:p>
        </w:tc>
        <w:tc>
          <w:tcPr>
            <w:tcW w:w="4876" w:type="dxa"/>
            <w:tcBorders>
              <w:top w:val="nil"/>
              <w:left w:val="nil"/>
              <w:bottom w:val="nil"/>
              <w:right w:val="nil"/>
            </w:tcBorders>
          </w:tcPr>
          <w:p>
            <w:pPr>
              <w:pStyle w:val="Normal6a"/>
            </w:pPr>
            <w:r>
              <w:t>8.</w:t>
            </w:r>
            <w:r>
              <w:tab/>
            </w:r>
            <w:r>
              <w:t xml:space="preserve">sottolinea che le qualifiche e le competenze dei lavoratori licenziati rimangono fondamentali per un'economia europea adeguata alle esigenze future; </w:t>
            </w:r>
            <w:r>
              <w:rPr>
                <w:b/>
                <w:i/>
              </w:rPr>
              <w:t>ricorda</w:t>
            </w:r>
            <w:r>
              <w:t xml:space="preserve"> che la </w:t>
            </w:r>
            <w:r>
              <w:rPr>
                <w:b/>
                <w:i/>
              </w:rPr>
              <w:t>prevenzione delle</w:t>
            </w:r>
            <w:r>
              <w:t xml:space="preserve"> chiusure </w:t>
            </w:r>
            <w:r>
              <w:rPr>
                <w:b/>
                <w:i/>
              </w:rPr>
              <w:t>aziendali e la salvaguardia dell'occupazione industriale rimangono principalmente di competenza nazionale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sottolinea che le qualifiche e le competenze dei lavoratori licenziati rimangono fondamentali per un'economia europea adeguata alle esigenze future; ritiene pertanto che la mobilitazione del FEG debba essere integrata in una risposta politica più ampia, a tutti i livelli politici, per garantire che i lavoratori interessati trovino adeguate opportunità in linea con le loro qualifiche e competenze; ricorda </w:t>
            </w:r>
            <w:r>
              <w:rPr>
                <w:b/>
                <w:i/>
              </w:rPr>
              <w:t>inoltre</w:t>
            </w:r>
            <w:r>
              <w:t xml:space="preserve"> che il FEG </w:t>
            </w:r>
            <w:r>
              <w:rPr>
                <w:b/>
                <w:i/>
              </w:rPr>
              <w:t>è uno strumento di solidarietà e di transizione giusta e che il compito principale dell'Unione deve essere quello di evitare dal principio tali chiusure</w:t>
            </w:r>
            <w:r>
              <w:t>;</w:t>
            </w:r>
          </w:p>
        </w:tc>
        <w:tc>
          <w:tcPr>
            <w:tcW w:w="4876" w:type="dxa"/>
            <w:tcBorders>
              <w:top w:val="nil"/>
              <w:left w:val="nil"/>
              <w:bottom w:val="nil"/>
              <w:right w:val="nil"/>
            </w:tcBorders>
          </w:tcPr>
          <w:p>
            <w:pPr>
              <w:pStyle w:val="Normal6a"/>
            </w:pPr>
            <w:r>
              <w:t>8.</w:t>
            </w:r>
            <w:r>
              <w:tab/>
            </w:r>
            <w:r>
              <w:t>sottolinea che le qualifiche e le competenze dei lavoratori licenziati rimangono fondamentali per un'economia europea adeguata alle esigenze future; ritiene pertanto che la mobilitazione del FEG debba essere integrata in una risposta politica più ampia, a tutti i livelli politici, per garantire che i lavoratori interessati trovino adeguate opportunità in linea con le loro qualifiche e competenze; ricorda che</w:t>
            </w:r>
            <w:r>
              <w:rPr>
                <w:b/>
                <w:i/>
              </w:rPr>
              <w:t>, in linea con gli obiettivi stabiliti nella bussola per la competitività, sebbene</w:t>
            </w:r>
            <w:r>
              <w:t xml:space="preserve"> il FEG </w:t>
            </w:r>
            <w:r>
              <w:rPr>
                <w:b/>
                <w:i/>
              </w:rPr>
              <w:t>fornisca il sostegno necessario ai lavoratori colpiti, una politica industriale più forte e un'economia più solida e resiliente sono essenziali per ridurre gli esuberi su vasta scala e salvaguardare la base occupazionale industriale europea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sottolinea che le qualifiche e le competenze dei lavoratori licenziati rimangono fondamentali per un'economia europea </w:t>
            </w:r>
            <w:r>
              <w:rPr>
                <w:b/>
                <w:i/>
              </w:rPr>
              <w:t>adeguata alle esigenze future</w:t>
            </w:r>
            <w:r>
              <w:t xml:space="preserve">; ritiene pertanto che la mobilitazione del FEG debba essere integrata in una risposta politica più ampia, a tutti i livelli politici, per garantire che i lavoratori interessati trovino adeguate opportunità in linea con le loro qualifiche e competenze; ricorda inoltre che il FEG è uno strumento di solidarietà </w:t>
            </w:r>
            <w:r>
              <w:rPr>
                <w:b/>
                <w:i/>
              </w:rPr>
              <w:t>e di transizione giusta</w:t>
            </w:r>
            <w:r>
              <w:t xml:space="preserve"> e che il compito principale dell'Unione deve essere quello di evitare dal principio tali chiusure;</w:t>
            </w:r>
          </w:p>
        </w:tc>
        <w:tc>
          <w:tcPr>
            <w:tcW w:w="4876" w:type="dxa"/>
            <w:tcBorders>
              <w:top w:val="nil"/>
              <w:left w:val="nil"/>
              <w:bottom w:val="nil"/>
              <w:right w:val="nil"/>
            </w:tcBorders>
          </w:tcPr>
          <w:p>
            <w:pPr>
              <w:pStyle w:val="Normal6a"/>
            </w:pPr>
            <w:r>
              <w:t>8.</w:t>
            </w:r>
            <w:r>
              <w:tab/>
            </w:r>
            <w:r>
              <w:t xml:space="preserve">sottolinea che le qualifiche e le competenze dei lavoratori licenziati rimangono fondamentali per un'economia europea </w:t>
            </w:r>
            <w:r>
              <w:rPr>
                <w:b/>
                <w:i/>
              </w:rPr>
              <w:t>produttiva</w:t>
            </w:r>
            <w:r>
              <w:t xml:space="preserve">; ritiene pertanto che la mobilitazione del FEG debba essere integrata in una risposta politica più ampia, a tutti i livelli politici, per garantire che i lavoratori interessati trovino adeguate opportunità in linea con le loro qualifiche e competenze; ricorda inoltre che il FEG è uno strumento di solidarietà </w:t>
            </w:r>
            <w:r>
              <w:rPr>
                <w:b/>
                <w:i/>
              </w:rPr>
              <w:t>di emergenza</w:t>
            </w:r>
            <w:r>
              <w:t xml:space="preserve"> e che il compito principale dell'Unione </w:t>
            </w:r>
            <w:r>
              <w:rPr>
                <w:b/>
                <w:i/>
              </w:rPr>
              <w:t>europea</w:t>
            </w:r>
            <w:r>
              <w:t xml:space="preserve"> deve essere quello di evitare dal principio tali chiusure</w:t>
            </w:r>
            <w:r>
              <w:rPr>
                <w:b/>
                <w:i/>
              </w:rPr>
              <w:t>, difendendo la produzione industriale sul territorio europeo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ritiene che il FEG, pur essendo indispensabile per sostenere i lavoratori nell'immediato, costituisca una misura curativa che non può compensare le conseguenze strutturali di una politica commerciale dell'Unione europea troppo aperta e priva di protezione per il suo mercato interno;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chiede valutazioni finali approfondite delle misure attuate, tra cui informazioni chiare che indichino le modalità di impiego dei fondi e se questi sono stati spesi in linea con i piani approvati;</w:t>
            </w:r>
          </w:p>
        </w:tc>
        <w:tc>
          <w:tcPr>
            <w:tcW w:w="4876" w:type="dxa"/>
            <w:tcBorders>
              <w:top w:val="nil"/>
              <w:left w:val="nil"/>
              <w:bottom w:val="nil"/>
              <w:right w:val="nil"/>
            </w:tcBorders>
          </w:tcPr>
          <w:p>
            <w:pPr>
              <w:pStyle w:val="Normal6a"/>
            </w:pPr>
            <w:r>
              <w:t>10.</w:t>
            </w:r>
            <w:r>
              <w:tab/>
            </w:r>
            <w:r>
              <w:t xml:space="preserve">chiede valutazioni finali approfondite delle misure attuate, tra cui informazioni chiare che indichino le modalità di impiego dei fondi e se questi sono stati spesi in linea con i piani approvati; </w:t>
            </w:r>
            <w:r>
              <w:rPr>
                <w:b/>
                <w:i/>
              </w:rPr>
              <w:t>evidenzia che tali valutazioni dovrebbero basarsi su obiettivi chiaramente definiti e risultati misurabili, consentendo una valutazione dei risultati ottenuti per i lavoratori interessati;</w:t>
            </w:r>
            <w:r>
              <w:t xml:space="preserve"> </w:t>
            </w:r>
            <w:r>
              <w:rPr>
                <w:b/>
                <w:i/>
              </w:rPr>
              <w:t>sottolinea l'importanza di garantire interventi più rapidi ed efficaci e ricorda, in tale contesto, la necessità di esaminare modalità per garantire la sostenibilità del FEG, o del programma che lo sostituirà, nel quadro del prossimo quadro finanziario pluriennale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chiede valutazioni finali approfondite delle misure attuate, tra cui informazioni chiare che indichino le modalità di impiego dei fondi e se questi sono stati spesi in linea con i piani approvati;</w:t>
            </w:r>
          </w:p>
        </w:tc>
        <w:tc>
          <w:tcPr>
            <w:tcW w:w="4876" w:type="dxa"/>
            <w:tcBorders>
              <w:top w:val="nil"/>
              <w:left w:val="nil"/>
              <w:bottom w:val="nil"/>
              <w:right w:val="nil"/>
            </w:tcBorders>
          </w:tcPr>
          <w:p>
            <w:pPr>
              <w:pStyle w:val="Normal6a"/>
            </w:pPr>
            <w:r>
              <w:t>10.</w:t>
            </w:r>
            <w:r>
              <w:tab/>
            </w:r>
            <w:r>
              <w:t>chiede valutazioni finali approfondite delle misure attuate, tra cui informazioni chiare che indichino le modalità di impiego dei fondi e se questi sono stati spesi in linea con i piani approvati</w:t>
            </w:r>
            <w:r>
              <w:rPr>
                <w:b/>
                <w:i/>
              </w:rPr>
              <w:t>, compresa una valutazione dell'effettivo tasso di reintegrazione dei beneficiari in attività lavorative stabili e dell'efficacia in termini di costi delle misure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AM\1336304IT.docx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AM\1336304IT.docx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AM\1336304IT.docx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1982</Words>
  <Characters>11656</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389956</vt:lpwstr>
  </property>
  <property fmtid="{D5CDD505-2E9C-101B-9397-08002B2CF9AE}" pid="7" name="dmxml.render.traceId">
    <vt:lpwstr>699d8a1ad3c57b2a1ab81a7e5a4af76c</vt:lpwstr>
  </property>
  <property fmtid="{D5CDD505-2E9C-101B-9397-08002B2CF9AE}" pid="8" name="FooterPath">
    <vt:lpwstr>AM\1336304IT.docx</vt:lpwstr>
  </property>
  <property fmtid="{D5CDD505-2E9C-101B-9397-08002B2CF9AE}" pid="9" name="PE Number">
    <vt:lpwstr>784.155</vt:lpwstr>
  </property>
  <property fmtid="{D5CDD505-2E9C-101B-9397-08002B2CF9AE}" pid="10" name="UID">
    <vt:lpwstr>eu.europa.europarl-DIN1-2026-0000025636_02.00-it-01.00_text-xml</vt:lpwstr>
  </property>
</Properties>
</file>