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Eiropas Parlaments</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{BUDG}</w:t>
      </w:r>
      <w:r>
        <w:t>Budžeta komiteja</w:t>
      </w:r>
      <w:r>
        <w:rPr>
          <w:rStyle w:val="HideTWBExt"/>
        </w:rPr>
        <w:t>&lt;/Commission&gt;</w:t>
      </w:r>
    </w:p>
    <w:p>
      <w:pPr>
        <w:pStyle w:val="LineBottom"/>
      </w:pPr>
      <w:r>
        <w:t xml:space="preserve"> </w:t>
      </w:r>
    </w:p>
    <w:p>
      <w:pPr>
        <w:pStyle w:val="CoverReference"/>
      </w:pPr>
      <w:r>
        <w:rPr>
          <w:rStyle w:val="HideTWBExt"/>
        </w:rPr>
        <w:t>&lt;RefProc&gt;</w:t>
      </w:r>
      <w:r>
        <w:t>2026/0004</w:t>
      </w:r>
      <w:r>
        <w:rPr>
          <w:rStyle w:val="HideTWBExt"/>
        </w:rPr>
        <w:t>&lt;/RefProc&gt;</w:t>
      </w:r>
      <w:r>
        <w:rPr>
          <w:rStyle w:val="HideTWBExt"/>
        </w:rPr>
        <w:t>&lt;RefTypeProc&gt;</w:t>
      </w:r>
      <w:r>
        <w:t>(BUD)</w:t>
      </w:r>
      <w:r>
        <w:rPr>
          <w:rStyle w:val="HideTWBExt"/>
        </w:rPr>
        <w:t>&lt;/RefTypeProc&gt;</w:t>
      </w:r>
    </w:p>
    <w:p>
      <w:pPr>
        <w:pStyle w:val="CoverDate"/>
      </w:pPr>
      <w:r>
        <w:rPr>
          <w:rStyle w:val="HideTWBExt"/>
        </w:rPr>
        <w:t>&lt;Date&gt;</w:t>
      </w:r>
      <w:r>
        <w:rPr>
          <w:rStyle w:val="HideTWBInt"/>
        </w:rPr>
        <w:t>{10/02/2026}</w:t>
      </w:r>
      <w:r>
        <w:t>10.2.2026</w:t>
      </w:r>
      <w:r>
        <w:rPr>
          <w:rStyle w:val="HideTWBExt"/>
        </w:rPr>
        <w:t>&lt;/Date&gt;</w:t>
      </w:r>
    </w:p>
    <w:p>
      <w:pPr>
        <w:pStyle w:val="CoverDocType"/>
      </w:pPr>
      <w:r>
        <w:rPr>
          <w:rStyle w:val="HideTWBExt"/>
        </w:rPr>
        <w:t>&lt;TypeAM&gt;</w:t>
      </w:r>
      <w:r>
        <w:t>GROZĪJUMI Nr.</w:t>
      </w:r>
      <w:r>
        <w:rPr>
          <w:rStyle w:val="HideTWBExt"/>
        </w:rPr>
        <w:t>&lt;/TypeAM&gt;</w:t>
      </w:r>
    </w:p>
    <w:p>
      <w:pPr>
        <w:pStyle w:val="CoverDocType24a"/>
      </w:pPr>
      <w:r>
        <w:rPr>
          <w:rStyle w:val="HideTWBExt"/>
        </w:rPr>
        <w:t>&lt;RangeAM&gt;</w:t>
      </w:r>
      <w:r>
        <w:t>1</w:t>
      </w:r>
      <w:r>
        <w:t xml:space="preserve"> - </w:t>
      </w:r>
      <w:r>
        <w:t>16</w:t>
      </w:r>
      <w:r>
        <w:rPr>
          <w:rStyle w:val="HideTWBExt"/>
        </w:rPr>
        <w:t>&lt;/RangeAM&gt;</w:t>
      </w:r>
    </w:p>
    <w:p>
      <w:pPr>
        <w:pStyle w:val="CoverBold"/>
      </w:pPr>
      <w:r>
        <w:rPr>
          <w:rStyle w:val="HideTWBExt"/>
        </w:rPr>
        <w:t>&lt;TitreType&gt;</w:t>
      </w:r>
      <w:r>
        <w:t>Ziņojuma projekts</w:t>
      </w:r>
      <w:r>
        <w:rPr>
          <w:rStyle w:val="HideTWBExt"/>
        </w:rPr>
        <w:t>&lt;/TitreType&gt;</w:t>
      </w:r>
    </w:p>
    <w:p>
      <w:pPr>
        <w:pStyle w:val="CoverBold"/>
      </w:pPr>
      <w:r>
        <w:rPr>
          <w:rStyle w:val="HideTWBExt"/>
        </w:rPr>
        <w:t>&lt;Rapporteur&gt;</w:t>
      </w:r>
      <w:r>
        <w:t>Jean-Marc Germain</w:t>
      </w:r>
      <w:r>
        <w:rPr>
          <w:rStyle w:val="HideTWBExt"/>
        </w:rPr>
        <w:t>&lt;/Rapporteur&gt;</w:t>
      </w:r>
    </w:p>
    <w:p>
      <w:pPr>
        <w:pStyle w:val="CoverNormal24a"/>
      </w:pPr>
      <w:r>
        <w:rPr>
          <w:rStyle w:val="HideTWBExt"/>
        </w:rPr>
        <w:t>&lt;DocRefPE&gt;</w:t>
      </w:r>
      <w:r>
        <w:t>(PE782.416v01-00)</w:t>
      </w:r>
      <w:r>
        <w:rPr>
          <w:rStyle w:val="HideTWBExt"/>
        </w:rPr>
        <w:t>&lt;/DocRefPE&gt;</w:t>
      </w:r>
    </w:p>
    <w:p>
      <w:pPr>
        <w:pStyle w:val="CoverNormal"/>
      </w:pPr>
      <w:r>
        <w:rPr>
          <w:rStyle w:val="HideTWBExt"/>
        </w:rPr>
        <w:t>&lt;Titre&gt;</w:t>
      </w:r>
      <w:r>
        <w:t>Eiropas Globalizācijas pielāgošanās fonda darbu zaudējušiem darba ņēmējiem izmantošana saistībā ar Beļģijas iesniegto pieteikumu (EGF/2025/004 BE/Tupperware)</w:t>
      </w:r>
      <w:r>
        <w:rPr>
          <w:rStyle w:val="HideTWBExt"/>
        </w:rPr>
        <w:t>&lt;/Titre&gt;</w:t>
      </w:r>
    </w:p>
    <w:p>
      <w:pPr>
        <w:pStyle w:val="CoverNormal24a"/>
      </w:pPr>
      <w:r>
        <w:rPr>
          <w:rStyle w:val="HideTWBExt"/>
        </w:rPr>
        <w:t>&lt;DocRef&gt;</w:t>
      </w:r>
      <w:r>
        <w:t>(2026/0004(BUD))</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Grozījums Nr.</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Angéline Furet,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Rezolūcijas priekšlikums</w:t>
      </w:r>
      <w:r>
        <w:rPr>
          <w:rStyle w:val="HideTWBExt"/>
        </w:rPr>
        <w:t>&lt;/DocAmend&gt;</w:t>
      </w:r>
    </w:p>
    <w:p>
      <w:pPr>
        <w:pStyle w:val="NormalBold"/>
      </w:pPr>
      <w:r>
        <w:rPr>
          <w:rStyle w:val="HideTWBExt"/>
        </w:rPr>
        <w:t>&lt;Article&gt;</w:t>
      </w:r>
      <w:r>
        <w:t>5. norāde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Rezolūcijas priekšlikums</w:t>
            </w:r>
          </w:p>
        </w:tc>
        <w:tc>
          <w:tcPr>
            <w:tcW w:w="4876" w:type="dxa"/>
            <w:tcBorders>
              <w:top w:val="nil"/>
              <w:left w:val="nil"/>
              <w:bottom w:val="nil"/>
              <w:right w:val="nil"/>
            </w:tcBorders>
          </w:tcPr>
          <w:p>
            <w:pPr>
              <w:pStyle w:val="AmColumnHeading"/>
            </w:pPr>
            <w:r>
              <w:t>Grozījums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ņemot vērā Eiropas sociālo tiesību pīlāru,</w:t>
            </w:r>
          </w:p>
        </w:tc>
        <w:tc>
          <w:tcPr>
            <w:tcW w:w="4876" w:type="dxa"/>
            <w:tcBorders>
              <w:top w:val="nil"/>
              <w:left w:val="nil"/>
              <w:bottom w:val="nil"/>
              <w:right w:val="nil"/>
            </w:tcBorders>
          </w:tcPr>
          <w:p>
            <w:pPr>
              <w:pStyle w:val="Normal6a"/>
            </w:pPr>
            <w:r>
              <w:rPr>
                <w:b/>
                <w:i/>
              </w:rPr>
              <w:t>svītrots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Grozījums Nr.</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Angéline Furet,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Rezolūcijas priekšlikums</w:t>
      </w:r>
      <w:r>
        <w:rPr>
          <w:rStyle w:val="HideTWBExt"/>
        </w:rPr>
        <w:t>&lt;/DocAmend&gt;</w:t>
      </w:r>
    </w:p>
    <w:p>
      <w:pPr>
        <w:pStyle w:val="NormalBold"/>
      </w:pPr>
      <w:r>
        <w:rPr>
          <w:rStyle w:val="HideTWBExt"/>
        </w:rPr>
        <w:t>&lt;Article&gt;</w:t>
      </w:r>
      <w:r>
        <w:t>D apsvērums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Rezolūcijas priekšlikums</w:t>
            </w:r>
          </w:p>
        </w:tc>
        <w:tc>
          <w:tcPr>
            <w:tcW w:w="4876" w:type="dxa"/>
            <w:tcBorders>
              <w:top w:val="nil"/>
              <w:left w:val="nil"/>
              <w:bottom w:val="nil"/>
              <w:right w:val="nil"/>
            </w:tcBorders>
          </w:tcPr>
          <w:p>
            <w:pPr>
              <w:pStyle w:val="AmColumnHeading"/>
            </w:pPr>
            <w:r>
              <w:t>Grozījums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rPr>
                <w:b/>
                <w:i/>
              </w:rPr>
              <w:t>,</w:t>
            </w:r>
            <w:r>
              <w:tab/>
            </w:r>
            <w:r>
              <w:t>tā kā Tupperware 2025. gada 17. februārī iesniedza bankrota pieteikumu; tā kā Beļģijā kopš 2022. gada pieaug bankrotu skaits;</w:t>
            </w:r>
          </w:p>
        </w:tc>
        <w:tc>
          <w:tcPr>
            <w:tcW w:w="4876" w:type="dxa"/>
            <w:tcBorders>
              <w:top w:val="nil"/>
              <w:left w:val="nil"/>
              <w:bottom w:val="nil"/>
              <w:right w:val="nil"/>
            </w:tcBorders>
          </w:tcPr>
          <w:p>
            <w:pPr>
              <w:pStyle w:val="Normal6a"/>
            </w:pPr>
            <w:r>
              <w:t>D.</w:t>
            </w:r>
            <w:r>
              <w:tab/>
            </w:r>
            <w:r>
              <w:t>tā kā Tupperware 2025. gada 17. februārī iesniedza bankrota pieteikumu; tā kā Beļģijā kopš 2022. gada pieaug bankrotu skaits</w:t>
            </w:r>
            <w:r>
              <w:rPr>
                <w:b/>
                <w:i/>
              </w:rPr>
              <w:t>, kas ekonomikas stagnācijas un augstu ražošanas izmaksu apstākļos sevišķi ietekmē rūpniecības nozari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Grozījums Nr.</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Angéline Furet,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Rezolūcijas priekšlikums</w:t>
      </w:r>
      <w:r>
        <w:rPr>
          <w:rStyle w:val="HideTWBExt"/>
        </w:rPr>
        <w:t>&lt;/DocAmend&gt;</w:t>
      </w:r>
    </w:p>
    <w:p>
      <w:pPr>
        <w:pStyle w:val="NormalBold"/>
      </w:pPr>
      <w:r>
        <w:rPr>
          <w:rStyle w:val="HideTWBExt"/>
        </w:rPr>
        <w:t>&lt;Article&gt;</w:t>
      </w:r>
      <w:r>
        <w:t>Da apsvērums (jauns)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Rezolūcijas priekšlikums</w:t>
            </w:r>
          </w:p>
        </w:tc>
        <w:tc>
          <w:tcPr>
            <w:tcW w:w="4876" w:type="dxa"/>
            <w:tcBorders>
              <w:top w:val="nil"/>
              <w:left w:val="nil"/>
              <w:bottom w:val="nil"/>
              <w:right w:val="nil"/>
            </w:tcBorders>
          </w:tcPr>
          <w:p>
            <w:pPr>
              <w:pStyle w:val="AmColumnHeading"/>
            </w:pPr>
            <w:r>
              <w:t>Grozījums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tā kā Tupperware ražotnes slēgšana Beļģijā ir piemērs riskam, kas saistīts ar vietējo rūpniecības struktūru vājinošo atkarību no stratēģiskiem lēmumu pieņemšanas centriem ārpus Eiropas Savienības;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Grozījums Nr.</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Céline Imart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Rezolūcijas priekšlikums</w:t>
      </w:r>
      <w:r>
        <w:rPr>
          <w:rStyle w:val="HideTWBExt"/>
        </w:rPr>
        <w:t>&lt;/DocAmend&gt;</w:t>
      </w:r>
    </w:p>
    <w:p>
      <w:pPr>
        <w:pStyle w:val="NormalBold"/>
      </w:pPr>
      <w:r>
        <w:rPr>
          <w:rStyle w:val="HideTWBExt"/>
        </w:rPr>
        <w:t>&lt;Article&gt;</w:t>
      </w:r>
      <w:r>
        <w:t>4.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Rezolūcijas priekšlikums</w:t>
            </w:r>
          </w:p>
        </w:tc>
        <w:tc>
          <w:tcPr>
            <w:tcW w:w="4876" w:type="dxa"/>
            <w:tcBorders>
              <w:top w:val="nil"/>
              <w:left w:val="nil"/>
              <w:bottom w:val="nil"/>
              <w:right w:val="nil"/>
            </w:tcBorders>
          </w:tcPr>
          <w:p>
            <w:pPr>
              <w:pStyle w:val="AmColumnHeading"/>
            </w:pPr>
            <w:r>
              <w:t>Grozījums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norāda, ka uzņēmums Tupperware atrodas Ālstā (Austrumflandrijas provincē), kur jau pirms attiecīgā uzņēmuma bankrota nodarbināts bija tikai viens no diviem cilvēkiem salīdzinājumā ar vidēji diviem no trim visā Flandrijas reģionā;</w:t>
            </w:r>
          </w:p>
        </w:tc>
        <w:tc>
          <w:tcPr>
            <w:tcW w:w="4876" w:type="dxa"/>
            <w:tcBorders>
              <w:top w:val="nil"/>
              <w:left w:val="nil"/>
              <w:bottom w:val="nil"/>
              <w:right w:val="nil"/>
            </w:tcBorders>
          </w:tcPr>
          <w:p>
            <w:pPr>
              <w:pStyle w:val="Normal6a"/>
            </w:pPr>
            <w:r>
              <w:t>4</w:t>
            </w:r>
            <w:r>
              <w:rPr>
                <w:b/>
                <w:i/>
              </w:rPr>
              <w:t>.</w:t>
            </w:r>
            <w:r>
              <w:tab/>
            </w:r>
            <w:r>
              <w:t xml:space="preserve">norāda, ka uzņēmums Tupperware atrodas Ālstā (Austrumflandrijas provincē), kur jau pirms attiecīgā uzņēmuma bankrota nodarbināts bija tikai viens no diviem cilvēkiem salīdzinājumā ar vidēji diviem no trim visā Flandrijas reģionā; </w:t>
            </w:r>
            <w:r>
              <w:rPr>
                <w:b/>
                <w:i/>
              </w:rPr>
              <w:t>pauž nožēlu par to, ka šī darbinieku atlaišana situāciju pasliktinās vēl vairāk;</w:t>
            </w:r>
            <w:r>
              <w:t xml:space="preserve"> </w:t>
            </w:r>
            <w:r>
              <w:rPr>
                <w:b/>
                <w:i/>
              </w:rPr>
              <w:t>uzsver, ka jārīkojas ātri, lai novērstu strukturālu reģiona panīkumu;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Grozījums Nr.</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Céline Imart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Rezolūcijas priekšlikums</w:t>
      </w:r>
      <w:r>
        <w:rPr>
          <w:rStyle w:val="HideTWBExt"/>
        </w:rPr>
        <w:t>&lt;/DocAmend&gt;</w:t>
      </w:r>
    </w:p>
    <w:p>
      <w:pPr>
        <w:pStyle w:val="NormalBold"/>
      </w:pPr>
      <w:r>
        <w:rPr>
          <w:rStyle w:val="HideTWBExt"/>
        </w:rPr>
        <w:t>&lt;Article&gt;</w:t>
      </w:r>
      <w:r>
        <w:t>5.a punkts (jauns)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Rezolūcijas priekšlikums</w:t>
            </w:r>
          </w:p>
        </w:tc>
        <w:tc>
          <w:tcPr>
            <w:tcW w:w="4876" w:type="dxa"/>
            <w:tcBorders>
              <w:top w:val="nil"/>
              <w:left w:val="nil"/>
              <w:bottom w:val="nil"/>
              <w:right w:val="nil"/>
            </w:tcBorders>
          </w:tcPr>
          <w:p>
            <w:pPr>
              <w:pStyle w:val="AmColumnHeading"/>
            </w:pPr>
            <w:r>
              <w:t>Grozījums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uzskata, ka šis gadījums spilgti parāda to, kādas ir sekas ilgstošajai Eiropas atkarībai no trešo valstu dalībniekiem svarīgu tehnoloģiju un intelektuālā īpašuma jomā;</w:t>
            </w:r>
            <w:r>
              <w:t xml:space="preserve"> </w:t>
            </w:r>
            <w:r>
              <w:rPr>
                <w:b/>
                <w:i/>
              </w:rPr>
              <w:t>uzsver, ka EGF izmantošana atspoguļo nepieciešamību novērst šādas stratēģiskas atkarības sociālo ietekmi, vienlaikus vēlreiz apstiprinot, ka šīs atkarības samazināšana joprojām ir prioritāte;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Grozījums Nr.</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Angéline Furet,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Rezolūcijas priekšlikums</w:t>
      </w:r>
      <w:r>
        <w:rPr>
          <w:rStyle w:val="HideTWBExt"/>
        </w:rPr>
        <w:t>&lt;/DocAmend&gt;</w:t>
      </w:r>
    </w:p>
    <w:p>
      <w:pPr>
        <w:pStyle w:val="NormalBold"/>
      </w:pPr>
      <w:r>
        <w:rPr>
          <w:rStyle w:val="HideTWBExt"/>
        </w:rPr>
        <w:t>&lt;Article&gt;</w:t>
      </w:r>
      <w:r>
        <w:t>5.a punkts (jauns)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Rezolūcijas priekšlikums</w:t>
            </w:r>
          </w:p>
        </w:tc>
        <w:tc>
          <w:tcPr>
            <w:tcW w:w="4876" w:type="dxa"/>
            <w:tcBorders>
              <w:top w:val="nil"/>
              <w:left w:val="nil"/>
              <w:bottom w:val="nil"/>
              <w:right w:val="nil"/>
            </w:tcBorders>
          </w:tcPr>
          <w:p>
            <w:pPr>
              <w:pStyle w:val="AmColumnHeading"/>
            </w:pPr>
            <w:r>
              <w:t>Grozījums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atgādina, ka rūpniecības konkurētspēju Eiropā spēcīgi ietekmē krasi kāpušās enerģijas izmaksas un pārmērīgs regulējums;</w:t>
            </w:r>
            <w:r>
              <w:t xml:space="preserve"> </w:t>
            </w:r>
            <w:r>
              <w:rPr>
                <w:b/>
                <w:i/>
              </w:rPr>
              <w:t>brīdina, ka citi līdzīgi slēgšanas gadījumi ir neizbēgami, ja netiks radikāli pārskatīti enerģijas cenas noteikšanas mehānismi un veikta pamatīga vienkāršošana;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Grozījums Nr.</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Nicolae Ștefănuță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Rezolūcijas priekšlikums</w:t>
      </w:r>
      <w:r>
        <w:rPr>
          <w:rStyle w:val="HideTWBExt"/>
        </w:rPr>
        <w:t>&lt;/DocAmend&gt;</w:t>
      </w:r>
    </w:p>
    <w:p>
      <w:pPr>
        <w:pStyle w:val="NormalBold"/>
      </w:pPr>
      <w:r>
        <w:rPr>
          <w:rStyle w:val="HideTWBExt"/>
        </w:rPr>
        <w:t>&lt;Article&gt;</w:t>
      </w:r>
      <w:r>
        <w:t>5.a punkts (jauns)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Rezolūcijas priekšlikums</w:t>
            </w:r>
          </w:p>
        </w:tc>
        <w:tc>
          <w:tcPr>
            <w:tcW w:w="4876" w:type="dxa"/>
            <w:tcBorders>
              <w:top w:val="nil"/>
              <w:left w:val="nil"/>
              <w:bottom w:val="nil"/>
              <w:right w:val="nil"/>
            </w:tcBorders>
          </w:tcPr>
          <w:p>
            <w:pPr>
              <w:pStyle w:val="AmColumnHeading"/>
            </w:pPr>
            <w:r>
              <w:t>Grozījums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atzinīgi vērtē grupas Eiropas uzņēmēju iniciatīvu nolūkā atdzīvināt šo zīmolu Vācijā, Francijā, Beļģijā, Itālijā un Polijā;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Grozījums Nr.</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Alexander Jungbluth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Rezolūcijas priekšlikums</w:t>
      </w:r>
      <w:r>
        <w:rPr>
          <w:rStyle w:val="HideTWBExt"/>
        </w:rPr>
        <w:t>&lt;/DocAmend&gt;</w:t>
      </w:r>
    </w:p>
    <w:p>
      <w:pPr>
        <w:pStyle w:val="NormalBold"/>
      </w:pPr>
      <w:r>
        <w:rPr>
          <w:rStyle w:val="HideTWBExt"/>
        </w:rPr>
        <w:t>&lt;Article&gt;</w:t>
      </w:r>
      <w:r>
        <w:t>6.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Rezolūcijas priekšlikums</w:t>
            </w:r>
          </w:p>
        </w:tc>
        <w:tc>
          <w:tcPr>
            <w:tcW w:w="4876" w:type="dxa"/>
            <w:tcBorders>
              <w:top w:val="nil"/>
              <w:left w:val="nil"/>
              <w:bottom w:val="nil"/>
              <w:right w:val="nil"/>
            </w:tcBorders>
          </w:tcPr>
          <w:p>
            <w:pPr>
              <w:pStyle w:val="AmColumnHeading"/>
            </w:pPr>
            <w:r>
              <w:t>Grozījums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uzsver, ka Flandrijā bezdarba risks ir vairāk nekā divas reizes lielāks cilvēkiem ar zemu izglītības līmeni; norāda, ka trešajai daļai atlaisto darba ņēmēju ir tikai pamatizglītības otrā posma izglītība; aicina Beļģijas iestādes sniegt īpaši šiem profiliem pielāgotu atbalstu, lai palīdzētu darba ņēmējiem pārvarēt viņu trūkumus un atrast jaunu darbu</w:t>
            </w:r>
            <w:r>
              <w:rPr>
                <w:b/>
                <w:i/>
              </w:rPr>
              <w:t>, un vienlaikus veikt pasākumus nolūkā samazināt bankrota gadījumu skaitu un novērst sociālās atšķirības, kas noved pie darba ņēmēju izslēgšanas no darba tirgus</w:t>
            </w:r>
            <w:r>
              <w:t>;</w:t>
            </w:r>
          </w:p>
        </w:tc>
        <w:tc>
          <w:tcPr>
            <w:tcW w:w="4876" w:type="dxa"/>
            <w:tcBorders>
              <w:top w:val="nil"/>
              <w:left w:val="nil"/>
              <w:bottom w:val="nil"/>
              <w:right w:val="nil"/>
            </w:tcBorders>
          </w:tcPr>
          <w:p>
            <w:pPr>
              <w:pStyle w:val="Normal6a"/>
            </w:pPr>
            <w:r>
              <w:t>6.</w:t>
            </w:r>
            <w:r>
              <w:tab/>
            </w:r>
            <w:r>
              <w:t>uzsver, ka Flandrijā bezdarba risks ir vairāk nekā divas reizes lielāks cilvēkiem ar zemu izglītības līmeni; norāda, ka trešajai daļai atlaisto darba ņēmēju ir tikai pamatizglītības otrā posma izglītība; aicina Beļģijas iestādes sniegt īpaši šiem profiliem pielāgotu atbalstu, lai palīdzētu darba ņēmējiem pārvarēt viņu trūkumus un atrast jaunu darbu;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Grozījums Nr.</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Nicolae Ștefănuță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Rezolūcijas priekšlikums</w:t>
      </w:r>
      <w:r>
        <w:rPr>
          <w:rStyle w:val="HideTWBExt"/>
        </w:rPr>
        <w:t>&lt;/DocAmend&gt;</w:t>
      </w:r>
    </w:p>
    <w:p>
      <w:pPr>
        <w:pStyle w:val="NormalBold"/>
      </w:pPr>
      <w:r>
        <w:rPr>
          <w:rStyle w:val="HideTWBExt"/>
        </w:rPr>
        <w:t>&lt;Article&gt;</w:t>
      </w:r>
      <w:r>
        <w:t>7.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Rezolūcijas priekšlikums</w:t>
            </w:r>
          </w:p>
        </w:tc>
        <w:tc>
          <w:tcPr>
            <w:tcW w:w="4876" w:type="dxa"/>
            <w:tcBorders>
              <w:top w:val="nil"/>
              <w:left w:val="nil"/>
              <w:bottom w:val="nil"/>
              <w:right w:val="nil"/>
            </w:tcBorders>
          </w:tcPr>
          <w:p>
            <w:pPr>
              <w:pStyle w:val="AmColumnHeading"/>
            </w:pPr>
            <w:r>
              <w:t>Grozījums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atgādina, ka saskaņā ar vienošanos ar arodbiedrībām, ekspertiem un sociālajiem partneriem individualizētie pakalpojumi, kas sniedzami darba ņēmējiem, ietver šādus pasākumus: informatīvas sesijas par reintegrāciju darba tirgū, profesionālās pārejas pasākumi, cita starpā IKT apmācība; palīdzība darba atrašanā — konsultācijas un atbalsts darba meklēšanā, apmācība un pārkvalifikācija, darba gadatirgus, darbvietu apzināšana un darba piemeklēšana; uzsver, ka ir svarīgi veicināt kvalitatīvu un uz nākotni vērstu darbvietu izveidi, lai nodrošinātu ilgtermiņa ekonomisko un sociālo noturību;</w:t>
            </w:r>
          </w:p>
        </w:tc>
        <w:tc>
          <w:tcPr>
            <w:tcW w:w="4876" w:type="dxa"/>
            <w:tcBorders>
              <w:top w:val="nil"/>
              <w:left w:val="nil"/>
              <w:bottom w:val="nil"/>
              <w:right w:val="nil"/>
            </w:tcBorders>
          </w:tcPr>
          <w:p>
            <w:pPr>
              <w:pStyle w:val="Normal6a"/>
            </w:pPr>
            <w:r>
              <w:t>7.</w:t>
            </w:r>
            <w:r>
              <w:tab/>
            </w:r>
            <w:r>
              <w:t xml:space="preserve">atgādina, ka saskaņā ar vienošanos ar arodbiedrībām, ekspertiem un sociālajiem partneriem individualizētie pakalpojumi, kas sniedzami darba ņēmējiem, ietver šādus pasākumus: informatīvas sesijas par reintegrāciju darba tirgū, profesionālās pārejas pasākumi, cita starpā IKT apmācība; palīdzība darba atrašanā — konsultācijas un atbalsts darba meklēšanā, apmācība un pārkvalifikācija, darba gadatirgus, darbvietu apzināšana un darba piemeklēšana; uzsver, ka ir svarīgi veicināt kvalitatīvu un uz nākotni vērstu darbvietu izveidi, lai nodrošinātu ilgtermiņa ekonomisko un sociālo noturību; </w:t>
            </w:r>
            <w:r>
              <w:rPr>
                <w:b/>
                <w:i/>
              </w:rPr>
              <w:t>aicina Beļģijas iestādes izveidot dialogu ar jaunajiem Tupperware pārstāvjiem no Eiropas, lai izpētītu iespējas darbu zaudējušo darba ņēmēju reintegrācijai to saimnieciskajā darbībā;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Grozījums Nr.</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Angéline Furet,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Rezolūcijas priekšlikums</w:t>
      </w:r>
      <w:r>
        <w:rPr>
          <w:rStyle w:val="HideTWBExt"/>
        </w:rPr>
        <w:t>&lt;/DocAmend&gt;</w:t>
      </w:r>
    </w:p>
    <w:p>
      <w:pPr>
        <w:pStyle w:val="NormalBold"/>
      </w:pPr>
      <w:r>
        <w:rPr>
          <w:rStyle w:val="HideTWBExt"/>
        </w:rPr>
        <w:t>&lt;Article&gt;</w:t>
      </w:r>
      <w:r>
        <w:t>7.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Rezolūcijas priekšlikums</w:t>
            </w:r>
          </w:p>
        </w:tc>
        <w:tc>
          <w:tcPr>
            <w:tcW w:w="4876" w:type="dxa"/>
            <w:tcBorders>
              <w:top w:val="nil"/>
              <w:left w:val="nil"/>
              <w:bottom w:val="nil"/>
              <w:right w:val="nil"/>
            </w:tcBorders>
          </w:tcPr>
          <w:p>
            <w:pPr>
              <w:pStyle w:val="AmColumnHeading"/>
            </w:pPr>
            <w:r>
              <w:t>Grozījums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atgādina, ka saskaņā ar vienošanos ar arodbiedrībām, ekspertiem un sociālajiem partneriem individualizētie pakalpojumi, kas sniedzami darba ņēmējiem, ietver šādus pasākumus: informatīvas sesijas par reintegrāciju darba tirgū, profesionālās pārejas pasākumi, cita starpā IKT apmācība; palīdzība darba atrašanā — konsultācijas un atbalsts darba meklēšanā, apmācība un pārkvalifikācija, darba gadatirgus, darbvietu apzināšana un darba piemeklēšana; uzsver, ka ir svarīgi veicināt kvalitatīvu un </w:t>
            </w:r>
            <w:r>
              <w:rPr>
                <w:b/>
                <w:i/>
              </w:rPr>
              <w:t>uz nākotni vērstu</w:t>
            </w:r>
            <w:r>
              <w:t xml:space="preserve"> darbvietu izveidi, lai nodrošinātu ilgtermiņa ekonomisko </w:t>
            </w:r>
            <w:r>
              <w:rPr>
                <w:b/>
                <w:i/>
              </w:rPr>
              <w:t>un sociālo noturību</w:t>
            </w:r>
            <w:r>
              <w:t>;</w:t>
            </w:r>
          </w:p>
        </w:tc>
        <w:tc>
          <w:tcPr>
            <w:tcW w:w="4876" w:type="dxa"/>
            <w:tcBorders>
              <w:top w:val="nil"/>
              <w:left w:val="nil"/>
              <w:bottom w:val="nil"/>
              <w:right w:val="nil"/>
            </w:tcBorders>
          </w:tcPr>
          <w:p>
            <w:pPr>
              <w:pStyle w:val="Normal6a"/>
            </w:pPr>
            <w:r>
              <w:t>7.</w:t>
            </w:r>
            <w:r>
              <w:tab/>
            </w:r>
            <w:r>
              <w:t xml:space="preserve">atgādina, ka saskaņā ar vienošanos ar arodbiedrībām, ekspertiem un sociālajiem partneriem individualizētie pakalpojumi, kas sniedzami darba ņēmējiem, ietver šādus pasākumus: informatīvas sesijas par reintegrāciju darba tirgū, profesionālās pārejas pasākumi, cita starpā IKT apmācība; palīdzība darba atrašanā — konsultācijas un atbalsts darba meklēšanā, apmācība un pārkvalifikācija, darba gadatirgus, darbvietu apzināšana un darba piemeklēšana; uzsver, ka ir svarīgi veicināt kvalitatīvu un </w:t>
            </w:r>
            <w:r>
              <w:rPr>
                <w:b/>
                <w:i/>
              </w:rPr>
              <w:t>noturīgu rūpniecības</w:t>
            </w:r>
            <w:r>
              <w:t xml:space="preserve"> darbvietu izveidi, lai nodrošinātu ilgtermiņa ekonomisko </w:t>
            </w:r>
            <w:r>
              <w:rPr>
                <w:b/>
                <w:i/>
              </w:rPr>
              <w:t>izaugsmi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Grozījums Nr.</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Alexander Jungbluth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Rezolūcijas priekšlikums</w:t>
      </w:r>
      <w:r>
        <w:rPr>
          <w:rStyle w:val="HideTWBExt"/>
        </w:rPr>
        <w:t>&lt;/DocAmend&gt;</w:t>
      </w:r>
    </w:p>
    <w:p>
      <w:pPr>
        <w:pStyle w:val="NormalBold"/>
      </w:pPr>
      <w:r>
        <w:rPr>
          <w:rStyle w:val="HideTWBExt"/>
        </w:rPr>
        <w:t>&lt;Article&gt;</w:t>
      </w:r>
      <w:r>
        <w:t>8.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Rezolūcijas priekšlikums</w:t>
            </w:r>
          </w:p>
        </w:tc>
        <w:tc>
          <w:tcPr>
            <w:tcW w:w="4876" w:type="dxa"/>
            <w:tcBorders>
              <w:top w:val="nil"/>
              <w:left w:val="nil"/>
              <w:bottom w:val="nil"/>
              <w:right w:val="nil"/>
            </w:tcBorders>
          </w:tcPr>
          <w:p>
            <w:pPr>
              <w:pStyle w:val="AmColumnHeading"/>
            </w:pPr>
            <w:r>
              <w:t>Grozījums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uzsver, ka atlaisto darba ņēmēju kvalifikācijai un prasmēm joprojām ir būtiska nozīme nākotnes prasībām atbilstošas Eiropas ekonomikas nodrošināšanā; </w:t>
            </w:r>
            <w:r>
              <w:rPr>
                <w:b/>
                <w:i/>
              </w:rPr>
              <w:t>tādēļ uzskata, ka EGF līdzekļu izmantošana ir jāiekļauj plašākā politikas pasākumu kopumā visos politiskajos līmeņos, lai nodrošinātu, ka skartie darba ņēmēji atrod piemērotas iespējas, kas atbilst viņu kvalifikācijai un prasmēm;</w:t>
            </w:r>
            <w:r>
              <w:t xml:space="preserve"> </w:t>
            </w:r>
            <w:r>
              <w:rPr>
                <w:b/>
                <w:i/>
              </w:rPr>
              <w:t>turklāt</w:t>
            </w:r>
            <w:r>
              <w:t xml:space="preserve"> atgādina, ka </w:t>
            </w:r>
            <w:r>
              <w:rPr>
                <w:b/>
                <w:i/>
              </w:rPr>
              <w:t>EGF ir solidaritātes un taisnīgas pārkārtošanās instruments un ka Savienības galvenajam uzdevumam pirmkārt jābūt šādu</w:t>
            </w:r>
            <w:r>
              <w:t xml:space="preserve"> slēgšanas </w:t>
            </w:r>
            <w:r>
              <w:rPr>
                <w:b/>
                <w:i/>
              </w:rPr>
              <w:t>gadījumu novēršanai</w:t>
            </w:r>
            <w:r>
              <w:t>;</w:t>
            </w:r>
          </w:p>
        </w:tc>
        <w:tc>
          <w:tcPr>
            <w:tcW w:w="4876" w:type="dxa"/>
            <w:tcBorders>
              <w:top w:val="nil"/>
              <w:left w:val="nil"/>
              <w:bottom w:val="nil"/>
              <w:right w:val="nil"/>
            </w:tcBorders>
          </w:tcPr>
          <w:p>
            <w:pPr>
              <w:pStyle w:val="Normal6a"/>
            </w:pPr>
            <w:r>
              <w:t>8.</w:t>
            </w:r>
            <w:r>
              <w:tab/>
            </w:r>
            <w:r>
              <w:t xml:space="preserve">uzsver, ka atlaisto darba ņēmēju kvalifikācijai un prasmēm joprojām ir būtiska nozīme nākotnes prasībām atbilstošas Eiropas ekonomikas nodrošināšanā; atgādina, ka </w:t>
            </w:r>
            <w:r>
              <w:rPr>
                <w:b/>
                <w:i/>
              </w:rPr>
              <w:t>uzņēmumu</w:t>
            </w:r>
            <w:r>
              <w:t xml:space="preserve"> slēgšanas </w:t>
            </w:r>
            <w:r>
              <w:rPr>
                <w:b/>
                <w:i/>
              </w:rPr>
              <w:t>novēršana un nodarbinātības saglabāšana rūpniecībā joprojām ir galvenokārt valstu kompetencē</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Grozījums Nr.</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Céline Imart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Rezolūcijas priekšlikums</w:t>
      </w:r>
      <w:r>
        <w:rPr>
          <w:rStyle w:val="HideTWBExt"/>
        </w:rPr>
        <w:t>&lt;/DocAmend&gt;</w:t>
      </w:r>
    </w:p>
    <w:p>
      <w:pPr>
        <w:pStyle w:val="NormalBold"/>
      </w:pPr>
      <w:r>
        <w:rPr>
          <w:rStyle w:val="HideTWBExt"/>
        </w:rPr>
        <w:t>&lt;Article&gt;</w:t>
      </w:r>
      <w:r>
        <w:t>8.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Rezolūcijas priekšlikums</w:t>
            </w:r>
          </w:p>
        </w:tc>
        <w:tc>
          <w:tcPr>
            <w:tcW w:w="4876" w:type="dxa"/>
            <w:tcBorders>
              <w:top w:val="nil"/>
              <w:left w:val="nil"/>
              <w:bottom w:val="nil"/>
              <w:right w:val="nil"/>
            </w:tcBorders>
          </w:tcPr>
          <w:p>
            <w:pPr>
              <w:pStyle w:val="AmColumnHeading"/>
            </w:pPr>
            <w:r>
              <w:t>Grozījums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uzsver, ka atlaisto darba ņēmēju kvalifikācijai un prasmēm joprojām ir būtiska nozīme nākotnes prasībām atbilstošas Eiropas ekonomikas nodrošināšanā; tādēļ uzskata, ka EGF līdzekļu izmantošana ir jāiekļauj plašākā politikas pasākumu kopumā visos politiskajos līmeņos, lai nodrošinātu, ka skartie darba ņēmēji atrod piemērotas iespējas, kas atbilst viņu kvalifikācijai un prasmēm; </w:t>
            </w:r>
            <w:r>
              <w:rPr>
                <w:b/>
                <w:i/>
              </w:rPr>
              <w:t>turklāt</w:t>
            </w:r>
            <w:r>
              <w:t xml:space="preserve"> atgādina</w:t>
            </w:r>
            <w:r>
              <w:rPr>
                <w:b/>
                <w:i/>
              </w:rPr>
              <w:t>, ka EGF ir solidaritātes un taisnīgas pārkārtošanās instruments un ka Savienības galvenajam uzdevumam pirmkārt jābūt šādu slēgšanas gadījumu novēršanai</w:t>
            </w:r>
            <w:r>
              <w:t>;</w:t>
            </w:r>
          </w:p>
        </w:tc>
        <w:tc>
          <w:tcPr>
            <w:tcW w:w="4876" w:type="dxa"/>
            <w:tcBorders>
              <w:top w:val="nil"/>
              <w:left w:val="nil"/>
              <w:bottom w:val="nil"/>
              <w:right w:val="nil"/>
            </w:tcBorders>
          </w:tcPr>
          <w:p>
            <w:pPr>
              <w:pStyle w:val="Normal6a"/>
            </w:pPr>
            <w:r>
              <w:t>8.</w:t>
            </w:r>
            <w:r>
              <w:tab/>
            </w:r>
            <w:r>
              <w:t xml:space="preserve">uzsver, ka atlaisto darba ņēmēju kvalifikācijai un prasmēm joprojām ir būtiska nozīme nākotnes prasībām atbilstošas Eiropas ekonomikas nodrošināšanā; tādēļ uzskata, ka EGF līdzekļu izmantošana ir jāiekļauj plašākā politikas pasākumu kopumā visos politiskajos līmeņos, lai nodrošinātu, ka skartie darba ņēmēji atrod piemērotas iespējas, kas atbilst viņu kvalifikācijai un prasmēm; atgādina </w:t>
            </w:r>
            <w:r>
              <w:rPr>
                <w:b/>
                <w:i/>
              </w:rPr>
              <w:t>— lai gan EGF sniedz nepieciešamo atbalstu skartajiem darba ņēmējiem, saskaņā ar Konkurētspējas kompasā izklāstītajiem mērķiem ļoti liela nozīme ir spēcīgākai rūpniecības politikai un stabilākai un noturīgākai ekonomikai, lai samazinātu darbinieku masveida atlaišanas gadījumus un aizsargātu Eiropas rūpnieciskās nodarbinātības bāzi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Grozījums Nr.</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Angéline Furet,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Rezolūcijas priekšlikums</w:t>
      </w:r>
      <w:r>
        <w:rPr>
          <w:rStyle w:val="HideTWBExt"/>
        </w:rPr>
        <w:t>&lt;/DocAmend&gt;</w:t>
      </w:r>
    </w:p>
    <w:p>
      <w:pPr>
        <w:pStyle w:val="NormalBold"/>
      </w:pPr>
      <w:r>
        <w:rPr>
          <w:rStyle w:val="HideTWBExt"/>
        </w:rPr>
        <w:t>&lt;Article&gt;</w:t>
      </w:r>
      <w:r>
        <w:t>8.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Rezolūcijas priekšlikums</w:t>
            </w:r>
          </w:p>
        </w:tc>
        <w:tc>
          <w:tcPr>
            <w:tcW w:w="4876" w:type="dxa"/>
            <w:tcBorders>
              <w:top w:val="nil"/>
              <w:left w:val="nil"/>
              <w:bottom w:val="nil"/>
              <w:right w:val="nil"/>
            </w:tcBorders>
          </w:tcPr>
          <w:p>
            <w:pPr>
              <w:pStyle w:val="AmColumnHeading"/>
            </w:pPr>
            <w:r>
              <w:t>Grozījums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uzsver, ka atlaisto darba ņēmēju kvalifikācijai un prasmēm joprojām ir būtiska nozīme </w:t>
            </w:r>
            <w:r>
              <w:rPr>
                <w:b/>
                <w:i/>
              </w:rPr>
              <w:t>nākotnes prasībām atbilstošas</w:t>
            </w:r>
            <w:r>
              <w:t xml:space="preserve"> Eiropas ekonomikas nodrošināšanā; tādēļ uzskata, ka EGF līdzekļu izmantošana ir jāiekļauj plašākā politikas pasākumu kopumā visos politiskajos līmeņos, lai nodrošinātu, ka skartie darba ņēmēji atrod piemērotas iespējas, kas atbilst viņu kvalifikācijai un prasmēm; turklāt atgādina, ka EGF ir solidaritātes </w:t>
            </w:r>
            <w:r>
              <w:rPr>
                <w:b/>
                <w:i/>
              </w:rPr>
              <w:t>un taisnīgas pārkārtošanās</w:t>
            </w:r>
            <w:r>
              <w:t xml:space="preserve"> instruments un ka Savienības galvenajam uzdevumam pirmkārt jābūt šādu slēgšanas gadījumu novēršanai;</w:t>
            </w:r>
          </w:p>
        </w:tc>
        <w:tc>
          <w:tcPr>
            <w:tcW w:w="4876" w:type="dxa"/>
            <w:tcBorders>
              <w:top w:val="nil"/>
              <w:left w:val="nil"/>
              <w:bottom w:val="nil"/>
              <w:right w:val="nil"/>
            </w:tcBorders>
          </w:tcPr>
          <w:p>
            <w:pPr>
              <w:pStyle w:val="Normal6a"/>
            </w:pPr>
            <w:r>
              <w:t>8.</w:t>
            </w:r>
            <w:r>
              <w:tab/>
            </w:r>
            <w:r>
              <w:t xml:space="preserve">uzsver, ka atlaisto darba ņēmēju kvalifikācijai un prasmēm joprojām ir būtiska nozīme </w:t>
            </w:r>
            <w:r>
              <w:rPr>
                <w:b/>
                <w:i/>
              </w:rPr>
              <w:t>produktīvas</w:t>
            </w:r>
            <w:r>
              <w:t xml:space="preserve"> Eiropas ekonomikas nodrošināšanā; tādēļ uzskata, ka EGF līdzekļu izmantošana ir jāiekļauj plašākā politikas pasākumu kopumā visos politiskajos līmeņos, lai nodrošinātu, ka skartie darba ņēmēji atrod piemērotas iespējas, kas atbilst viņu kvalifikācijai un prasmēm; turklāt atgādina, ka EGF ir </w:t>
            </w:r>
            <w:r>
              <w:rPr>
                <w:b/>
                <w:i/>
              </w:rPr>
              <w:t>ārkārtas</w:t>
            </w:r>
            <w:r>
              <w:t xml:space="preserve"> solidaritātes instruments un ka </w:t>
            </w:r>
            <w:r>
              <w:rPr>
                <w:b/>
                <w:i/>
              </w:rPr>
              <w:t>Eiropas</w:t>
            </w:r>
            <w:r>
              <w:t xml:space="preserve"> Savienības galvenajam uzdevumam pirmkārt jābūt šādu slēgšanas gadījumu novēršanai</w:t>
            </w:r>
            <w:r>
              <w:rPr>
                <w:b/>
                <w:i/>
              </w:rPr>
              <w:t>, aizsargājot rūpniecisko ražošanu Eiropas teritorijā</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Grozījums Nr.</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Angéline Furet,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Rezolūcijas priekšlikums</w:t>
      </w:r>
      <w:r>
        <w:rPr>
          <w:rStyle w:val="HideTWBExt"/>
        </w:rPr>
        <w:t>&lt;/DocAmend&gt;</w:t>
      </w:r>
    </w:p>
    <w:p>
      <w:pPr>
        <w:pStyle w:val="NormalBold"/>
      </w:pPr>
      <w:r>
        <w:rPr>
          <w:rStyle w:val="HideTWBExt"/>
        </w:rPr>
        <w:t>&lt;Article&gt;</w:t>
      </w:r>
      <w:r>
        <w:t>8.a punkts (jauns)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Rezolūcijas priekšlikums</w:t>
            </w:r>
          </w:p>
        </w:tc>
        <w:tc>
          <w:tcPr>
            <w:tcW w:w="4876" w:type="dxa"/>
            <w:tcBorders>
              <w:top w:val="nil"/>
              <w:left w:val="nil"/>
              <w:bottom w:val="nil"/>
              <w:right w:val="nil"/>
            </w:tcBorders>
          </w:tcPr>
          <w:p>
            <w:pPr>
              <w:pStyle w:val="AmColumnHeading"/>
            </w:pPr>
            <w:r>
              <w:t>Grozījums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uzskata, ka EGF izmantošana, kaut nepieciešama darba ņēmēju tūlītējai atbalstīšanai, ir korektīvs pasākums, kas nevar kompensēt pārlieku atvērtas un iekšējo tirgu neaizsargājošas Eiropas Savienības tirdzniecības politikas strukturālās sekas;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Grozījums Nr.</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Céline Imart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Rezolūcijas priekšlikums</w:t>
      </w:r>
      <w:r>
        <w:rPr>
          <w:rStyle w:val="HideTWBExt"/>
        </w:rPr>
        <w:t>&lt;/DocAmend&gt;</w:t>
      </w:r>
    </w:p>
    <w:p>
      <w:pPr>
        <w:pStyle w:val="NormalBold"/>
      </w:pPr>
      <w:r>
        <w:rPr>
          <w:rStyle w:val="HideTWBExt"/>
        </w:rPr>
        <w:t>&lt;Article&gt;</w:t>
      </w:r>
      <w:r>
        <w:t>10.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Rezolūcijas priekšlikums</w:t>
            </w:r>
          </w:p>
        </w:tc>
        <w:tc>
          <w:tcPr>
            <w:tcW w:w="4876" w:type="dxa"/>
            <w:tcBorders>
              <w:top w:val="nil"/>
              <w:left w:val="nil"/>
              <w:bottom w:val="nil"/>
              <w:right w:val="nil"/>
            </w:tcBorders>
          </w:tcPr>
          <w:p>
            <w:pPr>
              <w:pStyle w:val="AmColumnHeading"/>
            </w:pPr>
            <w:r>
              <w:t>Grozījums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aicina veikt rūpīgus īstenoto pasākumu galīgos novērtējumus, tostarp sniegt skaidru informāciju par to, kā līdzekļi ir izlietoti un vai tas ir darīts saskaņā ar apstiprinātajiem plāniem;</w:t>
            </w:r>
          </w:p>
        </w:tc>
        <w:tc>
          <w:tcPr>
            <w:tcW w:w="4876" w:type="dxa"/>
            <w:tcBorders>
              <w:top w:val="nil"/>
              <w:left w:val="nil"/>
              <w:bottom w:val="nil"/>
              <w:right w:val="nil"/>
            </w:tcBorders>
          </w:tcPr>
          <w:p>
            <w:pPr>
              <w:pStyle w:val="Normal6a"/>
            </w:pPr>
            <w:r>
              <w:t>10.</w:t>
            </w:r>
            <w:r>
              <w:tab/>
            </w:r>
            <w:r>
              <w:t xml:space="preserve">aicina veikt rūpīgus īstenoto pasākumu galīgos novērtējumus, tostarp sniegt skaidru informāciju par to, kā līdzekļi ir izlietoti un vai tas ir darīts saskaņā ar apstiprinātajiem plāniem; </w:t>
            </w:r>
            <w:r>
              <w:rPr>
                <w:b/>
                <w:i/>
              </w:rPr>
              <w:t>uzsver, ka šādu novērtējumu pamatā vajadzētu būt skaidri definētiem mērķiem un izmērāmiem rezultātiem, kas ļauj novērtēt attiecībā uz skartajiem darba ņēmējiem panākto iznākumu;</w:t>
            </w:r>
            <w:r>
              <w:t xml:space="preserve"> </w:t>
            </w:r>
            <w:r>
              <w:rPr>
                <w:b/>
                <w:i/>
              </w:rPr>
              <w:t>uzsver, ka ir svarīgi nodrošināt ātrākus un efektīvākus intervences pasākumus, un šajā sakarībā atgādina, ka saistībā ar nākamo daudzgadu finanšu shēmu 2028.–2034. gadam jāpēta iespējas nodrošināt EGF vai to nomainošās programmas ilgtspēju;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Grozījums Nr.</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Alexander Jungbluth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Rezolūcijas priekšlikums</w:t>
      </w:r>
      <w:r>
        <w:rPr>
          <w:rStyle w:val="HideTWBExt"/>
        </w:rPr>
        <w:t>&lt;/DocAmend&gt;</w:t>
      </w:r>
    </w:p>
    <w:p>
      <w:pPr>
        <w:pStyle w:val="NormalBold"/>
      </w:pPr>
      <w:r>
        <w:rPr>
          <w:rStyle w:val="HideTWBExt"/>
        </w:rPr>
        <w:t>&lt;Article&gt;</w:t>
      </w:r>
      <w:r>
        <w:t>10.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Rezolūcijas priekšlikums</w:t>
            </w:r>
          </w:p>
        </w:tc>
        <w:tc>
          <w:tcPr>
            <w:tcW w:w="4876" w:type="dxa"/>
            <w:tcBorders>
              <w:top w:val="nil"/>
              <w:left w:val="nil"/>
              <w:bottom w:val="nil"/>
              <w:right w:val="nil"/>
            </w:tcBorders>
          </w:tcPr>
          <w:p>
            <w:pPr>
              <w:pStyle w:val="AmColumnHeading"/>
            </w:pPr>
            <w:r>
              <w:t>Grozījums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aicina veikt rūpīgus īstenoto pasākumu galīgos novērtējumus, tostarp sniegt skaidru informāciju par to, kā līdzekļi ir izlietoti un vai tas ir darīts saskaņā ar apstiprinātajiem plāniem;</w:t>
            </w:r>
          </w:p>
        </w:tc>
        <w:tc>
          <w:tcPr>
            <w:tcW w:w="4876" w:type="dxa"/>
            <w:tcBorders>
              <w:top w:val="nil"/>
              <w:left w:val="nil"/>
              <w:bottom w:val="nil"/>
              <w:right w:val="nil"/>
            </w:tcBorders>
          </w:tcPr>
          <w:p>
            <w:pPr>
              <w:pStyle w:val="Normal6a"/>
            </w:pPr>
            <w:r>
              <w:t>10.</w:t>
            </w:r>
            <w:r>
              <w:tab/>
            </w:r>
            <w:r>
              <w:t>aicina veikt rūpīgus īstenoto pasākumu galīgos novērtējumus, tostarp sniegt skaidru informāciju par to, kā līdzekļi ir izlietoti un vai tas ir darīts saskaņā ar apstiprinātajiem plāniem</w:t>
            </w:r>
            <w:r>
              <w:rPr>
                <w:b/>
                <w:i/>
              </w:rPr>
              <w:t>, kā arī izvērtējumu par atbalsta saņēmēju reālo reintegrāciju stabilā nodarbinātībā un pasākumu izmaksu lietderību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784.155</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10</w:t>
    </w:r>
    <w:r>
      <w:fldChar w:fldCharType="end"/>
    </w:r>
    <w:r>
      <w:t>/</w:t>
    </w:r>
    <w:r>
      <w:fldChar w:fldCharType="begin"/>
    </w:r>
    <w:r>
      <w:instrText xml:space="preserve"> NUMPAGES </w:instrText>
    </w:r>
    <w:r>
      <w:fldChar w:fldCharType="separate"/>
    </w:r>
    <w:r>
      <w:t>10</w:t>
    </w:r>
    <w:r>
      <w:fldChar w:fldCharType="end"/>
    </w:r>
    <w:r>
      <w:tab/>
    </w:r>
    <w:r>
      <w:rPr>
        <w:rStyle w:val="HideTWBExt"/>
      </w:rPr>
      <w:t>&lt;PathFdR&gt;</w:t>
    </w:r>
    <w:r>
      <w:t>AM\1336304LV.docx</w:t>
    </w:r>
    <w:r>
      <w:rPr>
        <w:rStyle w:val="HideTWBExt"/>
      </w:rPr>
      <w:t>&lt;/PathFdR&gt;</w:t>
    </w:r>
  </w:p>
  <w:p>
    <w:pPr>
      <w:pStyle w:val="EPFooter2"/>
    </w:pPr>
    <w:r>
      <w:t>LV</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AM\1336304LV.docx</w:t>
    </w:r>
    <w:r>
      <w:rPr>
        <w:rStyle w:val="HideTWBExt"/>
      </w:rPr>
      <w:t>&lt;/PathFdR&gt;</w:t>
    </w:r>
    <w:r>
      <w:tab/>
    </w:r>
    <w:r>
      <w:fldChar w:fldCharType="begin"/>
    </w:r>
    <w:r>
      <w:instrText xml:space="preserve"> PAGE </w:instrText>
    </w:r>
    <w:r>
      <w:fldChar w:fldCharType="separate"/>
    </w:r>
    <w:r>
      <w:t>9</w:t>
    </w:r>
    <w:r>
      <w:fldChar w:fldCharType="end"/>
    </w:r>
    <w:r>
      <w:t>/</w:t>
    </w:r>
    <w:r>
      <w:fldChar w:fldCharType="begin"/>
    </w:r>
    <w:r>
      <w:instrText xml:space="preserve"> NUMPAGES </w:instrText>
    </w:r>
    <w:r>
      <w:fldChar w:fldCharType="separate"/>
    </w:r>
    <w:r>
      <w:t>10</w:t>
    </w:r>
    <w:r>
      <w:fldChar w:fldCharType="end"/>
    </w:r>
    <w:r>
      <w:tab/>
    </w:r>
    <w:r>
      <w:t>PE</w:t>
    </w:r>
    <w:r>
      <w:rPr>
        <w:rStyle w:val="HideTWBExt"/>
      </w:rPr>
      <w:t>&lt;NoPE&gt;</w:t>
    </w:r>
    <w:r>
      <w:t>784.155</w:t>
    </w:r>
    <w:r>
      <w:rPr>
        <w:rStyle w:val="HideTWBExt"/>
      </w:rPr>
      <w:t>&lt;/NoPE&gt;</w:t>
    </w:r>
    <w:r>
      <w:rPr>
        <w:rStyle w:val="HideTWBExt"/>
      </w:rPr>
      <w:t>&lt;Version&gt;</w:t>
    </w:r>
    <w:r>
      <w:t>v01-00</w:t>
    </w:r>
    <w:r>
      <w:rPr>
        <w:rStyle w:val="HideTWBExt"/>
      </w:rPr>
      <w:t>&lt;/Version&gt;</w:t>
    </w:r>
  </w:p>
  <w:p>
    <w:pPr>
      <w:pStyle w:val="EPFooter2"/>
    </w:pPr>
    <w:r>
      <w:tab/>
    </w:r>
    <w:r>
      <w:tab/>
    </w:r>
    <w:r>
      <w:t>LV</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AM\1336304LV.docx</w:t>
    </w:r>
    <w:r>
      <w:rPr>
        <w:rStyle w:val="HideTWBExt"/>
      </w:rPr>
      <w:t>&lt;/PathFdR&gt;</w:t>
    </w:r>
    <w:r>
      <w:tab/>
    </w:r>
    <w:r>
      <w:tab/>
    </w:r>
    <w:r>
      <w:t>PE</w:t>
    </w:r>
    <w:r>
      <w:rPr>
        <w:rStyle w:val="HideTWBExt"/>
      </w:rPr>
      <w:t>&lt;NoPE&gt;</w:t>
    </w:r>
    <w:r>
      <w:t>784.155</w:t>
    </w:r>
    <w:r>
      <w:rPr>
        <w:rStyle w:val="HideTWBExt"/>
      </w:rPr>
      <w:t>&lt;/NoPE&gt;</w:t>
    </w:r>
    <w:r>
      <w:rPr>
        <w:rStyle w:val="HideTWBExt"/>
      </w:rPr>
      <w:t>&lt;Version&gt;</w:t>
    </w:r>
    <w:r>
      <w:t>v01-00</w:t>
    </w:r>
    <w:r>
      <w:rPr>
        <w:rStyle w:val="HideTWBExt"/>
      </w:rPr>
      <w:t>&lt;/Version&gt;</w:t>
    </w:r>
  </w:p>
  <w:p>
    <w:pPr>
      <w:pStyle w:val="EPFooter2"/>
    </w:pPr>
    <w:r>
      <w:t>LV</w:t>
    </w:r>
    <w:r>
      <w:tab/>
    </w:r>
    <w:r>
      <w:rPr>
        <w:rStyle w:val="EPFooter2Motto"/>
      </w:rPr>
      <w:t>Vienoti daudzveidībā</w:t>
    </w:r>
    <w:r>
      <w:tab/>
    </w:r>
    <w:r>
      <w:t>LV</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v-LV"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10</Pages>
  <Words>1580</Words>
  <Characters>10870</Characters>
  <Application>Microsoft Office Word</Application>
  <DocSecurity>0</DocSecurity>
  <Lines>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lt;FdR&gt;">
    <vt:lpwstr>1336304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385626</vt:lpwstr>
  </property>
  <property fmtid="{D5CDD505-2E9C-101B-9397-08002B2CF9AE}" pid="7" name="dmxml.render.traceId">
    <vt:lpwstr>6995dfaaf7813cd8a7f86aa4093362c4</vt:lpwstr>
  </property>
  <property fmtid="{D5CDD505-2E9C-101B-9397-08002B2CF9AE}" pid="8" name="FooterPath">
    <vt:lpwstr>AM\1336304LV.docx</vt:lpwstr>
  </property>
  <property fmtid="{D5CDD505-2E9C-101B-9397-08002B2CF9AE}" pid="9" name="PE Number">
    <vt:lpwstr>784.155</vt:lpwstr>
  </property>
  <property fmtid="{D5CDD505-2E9C-101B-9397-08002B2CF9AE}" pid="10" name="UID">
    <vt:lpwstr>eu.europa.europarl-DIN1-2026-0000025636_02.00-lv-01.00_text-xml</vt:lpwstr>
  </property>
</Properties>
</file>