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Begrotingscommissie</w:t>
      </w:r>
      <w:r>
        <w:rPr>
          <w:rStyle w:val="HideTWBExt"/>
        </w:rPr>
        <w:t>&lt;/Commission&gt;</w:t>
      </w:r>
    </w:p>
    <w:p>
      <w:pPr>
        <w:pStyle w:val="LineBottom"/>
      </w:pPr>
      <w:r>
        <w:t xml:space="preserve"> </w:t>
      </w:r>
    </w:p>
    <w:p>
      <w:pPr>
        <w:pStyle w:val="CoverReference"/>
      </w:pPr>
      <w:r>
        <w:rPr>
          <w:rStyle w:val="HideTWBExt"/>
        </w:rPr>
        <w:t>&lt;RefProc&gt;</w:t>
      </w:r>
      <w:r>
        <w:t>2026/0004</w:t>
      </w:r>
      <w:r>
        <w:rPr>
          <w:rStyle w:val="HideTWBExt"/>
        </w:rPr>
        <w:t>&lt;/RefProc&gt;</w:t>
      </w:r>
      <w:r>
        <w:rPr>
          <w:rStyle w:val="HideTWBExt"/>
        </w:rPr>
        <w:t>&lt;RefTypeProc&gt;</w:t>
      </w:r>
      <w:r>
        <w:t>(BUD)</w:t>
      </w:r>
      <w:r>
        <w:rPr>
          <w:rStyle w:val="HideTWBExt"/>
        </w:rPr>
        <w:t>&lt;/RefTypeProc&gt;</w:t>
      </w:r>
    </w:p>
    <w:p>
      <w:pPr>
        <w:pStyle w:val="CoverDate"/>
      </w:pPr>
      <w:r>
        <w:rPr>
          <w:rStyle w:val="HideTWBExt"/>
        </w:rPr>
        <w:t>&lt;Date&gt;</w:t>
      </w:r>
      <w:r>
        <w:rPr>
          <w:rStyle w:val="HideTWBInt"/>
        </w:rPr>
        <w:t>{10/02/2026}</w:t>
      </w:r>
      <w:r>
        <w:t>10.2.2026</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1</w:t>
      </w:r>
      <w:r>
        <w:t xml:space="preserve"> - </w:t>
      </w:r>
      <w:r>
        <w:t>16</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Jean-Marc Germain</w:t>
      </w:r>
      <w:r>
        <w:rPr>
          <w:rStyle w:val="HideTWBExt"/>
        </w:rPr>
        <w:t>&lt;/Rapporteur&gt;</w:t>
      </w:r>
    </w:p>
    <w:p>
      <w:pPr>
        <w:pStyle w:val="CoverNormal24a"/>
      </w:pPr>
      <w:r>
        <w:rPr>
          <w:rStyle w:val="HideTWBExt"/>
        </w:rPr>
        <w:t>&lt;DocRefPE&gt;</w:t>
      </w:r>
      <w:r>
        <w:t>(PE782.416v01-00)</w:t>
      </w:r>
      <w:r>
        <w:rPr>
          <w:rStyle w:val="HideTWBExt"/>
        </w:rPr>
        <w:t>&lt;/DocRefPE&gt;</w:t>
      </w:r>
    </w:p>
    <w:p>
      <w:pPr>
        <w:pStyle w:val="CoverNormal"/>
      </w:pPr>
      <w:r>
        <w:rPr>
          <w:rStyle w:val="HideTWBExt"/>
        </w:rPr>
        <w:t>&lt;Titre&gt;</w:t>
      </w:r>
      <w:r>
        <w:t>Beschikbaarstelling van middelen uit het Europees Fonds voor aanpassing aan de globalisering voor ontslagen werknemers naar aanleiding van aanvraag EGF/2025/004 BE/Tupperware van België</w:t>
      </w:r>
      <w:r>
        <w:rPr>
          <w:rStyle w:val="HideTWBExt"/>
        </w:rPr>
        <w:t>&lt;/Titre&gt;</w:t>
      </w:r>
    </w:p>
    <w:p>
      <w:pPr>
        <w:pStyle w:val="CoverNormal24a"/>
      </w:pPr>
      <w:r>
        <w:rPr>
          <w:rStyle w:val="HideTWBExt"/>
        </w:rPr>
        <w:t>&lt;DocRef&gt;</w:t>
      </w:r>
      <w:r>
        <w:t>(2026/0004(BUD))</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de Europese pijler van sociale rechten,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overwegende dat Tupperware op 17 februari 2025 faillissement heeft aangevraagd; overwegende dat het aantal faillissementen in België sinds 2022 toeneemt;</w:t>
            </w:r>
          </w:p>
        </w:tc>
        <w:tc>
          <w:tcPr>
            <w:tcW w:w="4876" w:type="dxa"/>
            <w:tcBorders>
              <w:top w:val="nil"/>
              <w:left w:val="nil"/>
              <w:bottom w:val="nil"/>
              <w:right w:val="nil"/>
            </w:tcBorders>
          </w:tcPr>
          <w:p>
            <w:pPr>
              <w:pStyle w:val="Normal6a"/>
            </w:pPr>
            <w:r>
              <w:t>D.</w:t>
            </w:r>
            <w:r>
              <w:tab/>
            </w:r>
            <w:r>
              <w:t>overwegende dat Tupperware op 17 februari 2025 faillissement heeft aangevraagd; overwegende dat het aantal faillissementen in België sinds 2022 toeneemt</w:t>
            </w:r>
            <w:r>
              <w:rPr>
                <w:b/>
                <w:i/>
              </w:rPr>
              <w:t>, met name in de industriële sector tegen de achtergrond van economische stagnatie en hoge productiekosten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overwegende dat de sluiting van de Tupperware-site in België wijst op de risico’s van de afhankelijkheid van strategische besluitvormingscentra die buiten de Europese Unie gevestigd zijn, waardoor het lokale industriële weefsel wordt verzwakt;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merkt op dat Tupperware zich bevond in Aalst in de provincie Oost-Vlaanderen, waar reeds voor het faillissement van Tupperware slechts een op de twee personen een baan had, terwijl het gemiddelde in het hele Vlaamse Gewest twee op de drie personen was;</w:t>
            </w:r>
          </w:p>
        </w:tc>
        <w:tc>
          <w:tcPr>
            <w:tcW w:w="4876" w:type="dxa"/>
            <w:tcBorders>
              <w:top w:val="nil"/>
              <w:left w:val="nil"/>
              <w:bottom w:val="nil"/>
              <w:right w:val="nil"/>
            </w:tcBorders>
          </w:tcPr>
          <w:p>
            <w:pPr>
              <w:pStyle w:val="Normal6a"/>
            </w:pPr>
            <w:r>
              <w:t>4.</w:t>
            </w:r>
            <w:r>
              <w:tab/>
            </w:r>
            <w:r>
              <w:t xml:space="preserve">merkt op dat Tupperware zich bevond in Aalst in de provincie Oost-Vlaanderen, waar reeds voor het faillissement van Tupperware slechts een op de twee personen een baan had, terwijl het gemiddelde in het hele Vlaamse Gewest twee op de drie personen was; </w:t>
            </w:r>
            <w:r>
              <w:rPr>
                <w:b/>
                <w:i/>
              </w:rPr>
              <w:t>betreurt dat deze ontslagen de situatie nog zullen verergeren;</w:t>
            </w:r>
            <w:r>
              <w:t xml:space="preserve"> </w:t>
            </w:r>
            <w:r>
              <w:rPr>
                <w:b/>
                <w:i/>
              </w:rPr>
              <w:t>benadrukt dat er snel maatregelen moeten worden genomen om een regionale structurele neergang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is van mening dat hiermee de aandacht wordt gevestigd op de gevolgen van de aanhoudende Europese afhankelijkheid van actoren uit derde landen voor belangrijke technologieën en intellectuele eigendom;</w:t>
            </w:r>
            <w:r>
              <w:t xml:space="preserve"> </w:t>
            </w:r>
            <w:r>
              <w:rPr>
                <w:b/>
                <w:i/>
              </w:rPr>
              <w:t>onderstreept dat de beschikbaarstelling van middelen uit het EFG aantoont dat er maatregelen moeten worden genomen tegen de sociale gevolgen van dergelijke strategische afhankelijkheden, en herhaalt dat het verminderen van deze afhankelijkheden een prioriteit blijft;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herinnert eraan dat het concurrentievermogen van de Europese industrie zwaar onder druk staat door de snel stijgende energiekosten en de toenemende regelgeving;</w:t>
            </w:r>
            <w:r>
              <w:t xml:space="preserve"> </w:t>
            </w:r>
            <w:r>
              <w:rPr>
                <w:b/>
                <w:i/>
              </w:rPr>
              <w:t>waarschuwt dat zonder een radicale herziening van de prijsstellingsmechanismen voor energie en ingrijpende vereenvoudigingsmaatregelen, andere soortgelijke sluitingen onvermijdelijk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is ingenomen met het initiatief van een groep Europese ondernemers om het merk in Duitsland, Frankrijk, België, Italië en Polen nieuw leven in te blazen;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benadrukt dat in Vlaanderen het risico op werkloosheid meer dan twee keer zo groot is voor mensen met een laag opleidingsniveau; merkt op dat een derde van de ontslagen werknemers niet meer dan een lager middelbaar opleidingsniveau heeft; verzoekt de Belgische autoriteiten specifieke steun te verlenen die is afgestemd op deze profielen, om werknemers te helpen hun tekortkomingen te verhelpen en een nieuwe baan te vinden</w:t>
            </w:r>
            <w:r>
              <w:rPr>
                <w:b/>
                <w:i/>
              </w:rPr>
              <w:t>, en tegelijkertijd maatregelen te nemen om faillissementen te verminderen en sociale ongelijkheden aan te pakken die leiden tot uitsluiting van de arbeidsmarkt</w:t>
            </w:r>
            <w:r>
              <w:t>;</w:t>
            </w:r>
          </w:p>
        </w:tc>
        <w:tc>
          <w:tcPr>
            <w:tcW w:w="4876" w:type="dxa"/>
            <w:tcBorders>
              <w:top w:val="nil"/>
              <w:left w:val="nil"/>
              <w:bottom w:val="nil"/>
              <w:right w:val="nil"/>
            </w:tcBorders>
          </w:tcPr>
          <w:p>
            <w:pPr>
              <w:pStyle w:val="Normal6a"/>
            </w:pPr>
            <w:r>
              <w:t>6.</w:t>
            </w:r>
            <w:r>
              <w:tab/>
            </w:r>
            <w:r>
              <w:t>benadrukt dat in Vlaanderen het risico op werkloosheid meer dan twee keer zo groot is voor mensen met een laag opleidingsniveau; merkt op dat een derde van de ontslagen werknemers niet meer dan een lager middelbaar opleidingsniveau heeft; verzoekt de Belgische autoriteiten specifieke steun te verlenen die is afgestemd op deze profielen, om werknemers te helpen hun tekortkomingen te verhelpen en een nieuwe baan te vinden;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wijst erop dat, in overleg met vakbonden, deskundigen en sociale partners, de gepersonaliseerde dienstverlening aan de werknemers bestaat uit de volgende maatregelen: informatiesessies voor re-integratie op de arbeidsmarkt, outplacementdiensten, met inbegrip van ICT-opleiding; hulp bij het vinden van een baan door begeleiding en hulp bij het zoeken van een baan, opleiding en omscholing, jobbeurzen, jobscouting en zoeken naar een gepaste baan; benadrukt hoe belangrijk het is hoogwaardige, toekomstgerichte banen te bevorderen om de economische en sociale veerkracht op lange termijn te waarborgen;</w:t>
            </w:r>
          </w:p>
        </w:tc>
        <w:tc>
          <w:tcPr>
            <w:tcW w:w="4876" w:type="dxa"/>
            <w:tcBorders>
              <w:top w:val="nil"/>
              <w:left w:val="nil"/>
              <w:bottom w:val="nil"/>
              <w:right w:val="nil"/>
            </w:tcBorders>
          </w:tcPr>
          <w:p>
            <w:pPr>
              <w:pStyle w:val="Normal6a"/>
            </w:pPr>
            <w:r>
              <w:t>7.</w:t>
            </w:r>
            <w:r>
              <w:tab/>
            </w:r>
            <w:r>
              <w:t xml:space="preserve">wijst erop dat, in overleg met vakbonden, deskundigen en sociale partners, de gepersonaliseerde dienstverlening aan de werknemers bestaat uit de volgende maatregelen: informatiesessies voor re-integratie op de arbeidsmarkt, outplacementdiensten, met inbegrip van ICT-opleiding; hulp bij het vinden van een baan door begeleiding en hulp bij het zoeken van een baan, opleiding en omscholing, jobbeurzen, jobscouting en zoeken naar een gepaste baan; benadrukt hoe belangrijk het is hoogwaardige, toekomstgerichte banen te bevorderen om de economische en sociale veerkracht op lange termijn te waarborgen; </w:t>
            </w:r>
            <w:r>
              <w:rPr>
                <w:b/>
                <w:i/>
              </w:rPr>
              <w:t>verzoekt de Belgische autoriteiten een dialoog op te starten met de nieuwe Europese vertegenwoordigers van Tupperware om na te gaan hoe ontslagen werknemers opnieuw binnen hun economische activiteiten een baan kunnen vinden;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wijst erop dat, in overleg met vakbonden, deskundigen en sociale partners, de gepersonaliseerde dienstverlening aan de werknemers bestaat uit de volgende maatregelen: informatiesessies voor re-integratie op de arbeidsmarkt, outplacementdiensten, met inbegrip van ICT-opleiding; hulp bij het vinden van een baan door begeleiding en hulp bij het zoeken van een baan, opleiding en omscholing, </w:t>
            </w:r>
            <w:r>
              <w:rPr>
                <w:b/>
                <w:i/>
              </w:rPr>
              <w:t>jobbeursen</w:t>
            </w:r>
            <w:r>
              <w:t>, jobscouting en zoeken naar een gepaste baan; benadrukt hoe belangrijk het is hoogwaardige</w:t>
            </w:r>
            <w:r>
              <w:rPr>
                <w:b/>
                <w:i/>
              </w:rPr>
              <w:t>, toekomstgerichte</w:t>
            </w:r>
            <w:r>
              <w:t xml:space="preserve"> banen te bevorderen om de economische </w:t>
            </w:r>
            <w:r>
              <w:rPr>
                <w:b/>
                <w:i/>
              </w:rPr>
              <w:t>en sociale veerkracht</w:t>
            </w:r>
            <w:r>
              <w:t xml:space="preserve"> op lange termijn te waarborgen;</w:t>
            </w:r>
          </w:p>
        </w:tc>
        <w:tc>
          <w:tcPr>
            <w:tcW w:w="4876" w:type="dxa"/>
            <w:tcBorders>
              <w:top w:val="nil"/>
              <w:left w:val="nil"/>
              <w:bottom w:val="nil"/>
              <w:right w:val="nil"/>
            </w:tcBorders>
          </w:tcPr>
          <w:p>
            <w:pPr>
              <w:pStyle w:val="Normal6a"/>
            </w:pPr>
            <w:r>
              <w:t>7.</w:t>
            </w:r>
            <w:r>
              <w:tab/>
            </w:r>
            <w:r>
              <w:t xml:space="preserve">wijst erop dat, in overleg met vakbonden, deskundigen en sociale partners, de gepersonaliseerde dienstverlening aan de werknemers bestaat uit de volgende maatregelen: informatiesessies voor re-integratie op de arbeidsmarkt, outplacementdiensten, met inbegrip van ICT-opleiding; hulp bij het vinden van een baan door begeleiding en hulp bij het zoeken van een baan, opleiding en omscholing, </w:t>
            </w:r>
            <w:r>
              <w:rPr>
                <w:b/>
                <w:i/>
              </w:rPr>
              <w:t>jobbeurzen</w:t>
            </w:r>
            <w:r>
              <w:t xml:space="preserve">, jobscouting en zoeken naar een gepaste baan; benadrukt hoe belangrijk het is hoogwaardige </w:t>
            </w:r>
            <w:r>
              <w:rPr>
                <w:b/>
                <w:i/>
              </w:rPr>
              <w:t>en duurzame industriële</w:t>
            </w:r>
            <w:r>
              <w:t xml:space="preserve"> banen te bevorderen om de economische </w:t>
            </w:r>
            <w:r>
              <w:rPr>
                <w:b/>
                <w:i/>
              </w:rPr>
              <w:t>groei</w:t>
            </w:r>
            <w:r>
              <w:t xml:space="preserve"> op lange termijn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t xml:space="preserve">benadrukt dat de kwalificaties en vaardigheden van de ontslagen werknemers van cruciaal belang blijven voor een toekomstbestendige Europese economie; </w:t>
            </w:r>
            <w:r>
              <w:rPr>
                <w:b/>
                <w:i/>
              </w:rPr>
              <w:t>is daarom van mening dat de beschikbaarstelling van middelen uit het EFG moet worden ingebed in een bredere beleidsaanpak op alle politieke niveaus om ervoor te zorgen dat de getroffen werknemers passende kansen krijgen die aansluiten op hun kwalificaties en vaardigheden;</w:t>
            </w:r>
            <w:r>
              <w:t xml:space="preserve"> herinnert </w:t>
            </w:r>
            <w:r>
              <w:rPr>
                <w:b/>
                <w:i/>
              </w:rPr>
              <w:t>er voorts aan</w:t>
            </w:r>
            <w:r>
              <w:t xml:space="preserve"> dat het </w:t>
            </w:r>
            <w:r>
              <w:rPr>
                <w:b/>
                <w:i/>
              </w:rPr>
              <w:t>EFG een instrument voor solidariteit en een rechtvaardige transitie is en dat de primaire taak van de Unie moet zijn om dergelijke sluitingen</w:t>
            </w:r>
            <w:r>
              <w:t xml:space="preserve"> in de eerste plaats te voorkomen;</w:t>
            </w:r>
          </w:p>
        </w:tc>
        <w:tc>
          <w:tcPr>
            <w:tcW w:w="4876" w:type="dxa"/>
            <w:tcBorders>
              <w:top w:val="nil"/>
              <w:left w:val="nil"/>
              <w:bottom w:val="nil"/>
              <w:right w:val="nil"/>
            </w:tcBorders>
          </w:tcPr>
          <w:p>
            <w:pPr>
              <w:pStyle w:val="Normal6a"/>
            </w:pPr>
            <w:r>
              <w:rPr>
                <w:b/>
                <w:i/>
              </w:rPr>
              <w:t>8.</w:t>
            </w:r>
            <w:r>
              <w:tab/>
            </w:r>
            <w:r>
              <w:t xml:space="preserve">benadrukt dat de kwalificaties en vaardigheden van de ontslagen werknemers van cruciaal belang blijven voor een toekomstbestendige Europese economie; herinnert </w:t>
            </w:r>
            <w:r>
              <w:rPr>
                <w:b/>
                <w:i/>
              </w:rPr>
              <w:t>eraan</w:t>
            </w:r>
            <w:r>
              <w:t xml:space="preserve"> dat het in de eerste plaats </w:t>
            </w:r>
            <w:r>
              <w:rPr>
                <w:b/>
                <w:i/>
              </w:rPr>
              <w:t>de verantwoordelijkheid van de lidstaten blijft om bedrijfssluitingen</w:t>
            </w:r>
            <w:r>
              <w:t xml:space="preserve"> te voorkomen </w:t>
            </w:r>
            <w:r>
              <w:rPr>
                <w:b/>
                <w:i/>
              </w:rPr>
              <w:t>en werkgelegenheid in de industrie te waarborgen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t xml:space="preserve">benadrukt dat de kwalificaties en vaardigheden van de ontslagen werknemers van cruciaal belang blijven voor een toekomstbestendige Europese economie; is daarom van mening dat de beschikbaarstelling van middelen uit het EFG moet worden ingebed in een bredere beleidsaanpak op alle politieke niveaus om ervoor te zorgen dat de getroffen werknemers passende kansen krijgen die aansluiten op hun kwalificaties en vaardigheden; herinnert </w:t>
            </w:r>
            <w:r>
              <w:rPr>
                <w:b/>
                <w:i/>
              </w:rPr>
              <w:t>er voorts aan dat</w:t>
            </w:r>
            <w:r>
              <w:t xml:space="preserve"> het EFG </w:t>
            </w:r>
            <w:r>
              <w:rPr>
                <w:b/>
                <w:i/>
              </w:rPr>
              <w:t>een instrument voor solidariteit</w:t>
            </w:r>
            <w:r>
              <w:t xml:space="preserve"> en een </w:t>
            </w:r>
            <w:r>
              <w:rPr>
                <w:b/>
                <w:i/>
              </w:rPr>
              <w:t>rechtvaardige transitie is en dat de primaire taak van de Unie moet</w:t>
            </w:r>
            <w:r>
              <w:t xml:space="preserve"> zijn om </w:t>
            </w:r>
            <w:r>
              <w:rPr>
                <w:b/>
                <w:i/>
              </w:rPr>
              <w:t>dergelijke sluitingen in de eerste plaats te voorkomen</w:t>
            </w:r>
            <w:r>
              <w:t>;</w:t>
            </w:r>
          </w:p>
        </w:tc>
        <w:tc>
          <w:tcPr>
            <w:tcW w:w="4876" w:type="dxa"/>
            <w:tcBorders>
              <w:top w:val="nil"/>
              <w:left w:val="nil"/>
              <w:bottom w:val="nil"/>
              <w:right w:val="nil"/>
            </w:tcBorders>
          </w:tcPr>
          <w:p>
            <w:pPr>
              <w:pStyle w:val="Normal6a"/>
            </w:pPr>
            <w:r>
              <w:rPr>
                <w:b/>
                <w:i/>
              </w:rPr>
              <w:t>8.</w:t>
            </w:r>
            <w:r>
              <w:tab/>
            </w:r>
            <w:r>
              <w:t xml:space="preserve">benadrukt dat de kwalificaties en vaardigheden van de ontslagen werknemers van cruciaal belang blijven voor een toekomstbestendige Europese economie; is daarom van mening dat de beschikbaarstelling van middelen uit het EFG moet worden ingebed in een bredere beleidsaanpak op alle politieke niveaus om ervoor te zorgen dat de getroffen werknemers passende kansen krijgen die aansluiten op hun kwalificaties en vaardigheden; herinnert </w:t>
            </w:r>
            <w:r>
              <w:rPr>
                <w:b/>
                <w:i/>
              </w:rPr>
              <w:t>eraan dat in overeenstemming met de doelstellingen van het kompas voor concurrentievermogen,</w:t>
            </w:r>
            <w:r>
              <w:t xml:space="preserve"> het EFG </w:t>
            </w:r>
            <w:r>
              <w:rPr>
                <w:b/>
                <w:i/>
              </w:rPr>
              <w:t>weliswaar voorziet in de nodige steun voor getroffen werknemers, maar dat een sterker industriebeleid</w:t>
            </w:r>
            <w:r>
              <w:t xml:space="preserve"> en een </w:t>
            </w:r>
            <w:r>
              <w:rPr>
                <w:b/>
                <w:i/>
              </w:rPr>
              <w:t>robuustere en veerkrachtigere economie van essentieel belang</w:t>
            </w:r>
            <w:r>
              <w:t xml:space="preserve"> zijn om </w:t>
            </w:r>
            <w:r>
              <w:rPr>
                <w:b/>
                <w:i/>
              </w:rPr>
              <w:t>grootschalige ontslagen tegen te gaan en de Europese industriële werkgelegenheidsbasis veilig te 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t xml:space="preserve">benadrukt dat de kwalificaties en vaardigheden van de ontslagen werknemers van cruciaal belang blijven voor een </w:t>
            </w:r>
            <w:r>
              <w:rPr>
                <w:b/>
                <w:i/>
              </w:rPr>
              <w:t>toekomstbestendige</w:t>
            </w:r>
            <w:r>
              <w:t xml:space="preserve"> Europese economie; is daarom van mening dat de beschikbaarstelling van middelen uit het EFG moet worden ingebed in een bredere beleidsaanpak op alle politieke niveaus om ervoor te zorgen dat de getroffen werknemers passende kansen krijgen die aansluiten op hun kwalificaties en vaardigheden; herinnert er voorts aan dat het EFG een instrument voor solidariteit </w:t>
            </w:r>
            <w:r>
              <w:rPr>
                <w:b/>
                <w:i/>
              </w:rPr>
              <w:t>en een rechtvaardige transitie</w:t>
            </w:r>
            <w:r>
              <w:t xml:space="preserve"> is en dat de primaire taak van de Unie moet zijn om dergelijke sluitingen in de eerste plaats te voorkomen;</w:t>
            </w:r>
          </w:p>
        </w:tc>
        <w:tc>
          <w:tcPr>
            <w:tcW w:w="4876" w:type="dxa"/>
            <w:tcBorders>
              <w:top w:val="nil"/>
              <w:left w:val="nil"/>
              <w:bottom w:val="nil"/>
              <w:right w:val="nil"/>
            </w:tcBorders>
          </w:tcPr>
          <w:p>
            <w:pPr>
              <w:pStyle w:val="Normal6a"/>
            </w:pPr>
            <w:r>
              <w:rPr>
                <w:b/>
                <w:i/>
              </w:rPr>
              <w:t>8.</w:t>
            </w:r>
            <w:r>
              <w:tab/>
            </w:r>
            <w:r>
              <w:t xml:space="preserve">benadrukt dat de kwalificaties en vaardigheden van de ontslagen werknemers van cruciaal belang blijven voor een </w:t>
            </w:r>
            <w:r>
              <w:rPr>
                <w:b/>
                <w:i/>
              </w:rPr>
              <w:t>productieve</w:t>
            </w:r>
            <w:r>
              <w:t xml:space="preserve"> Europese economie; is daarom van mening dat de beschikbaarstelling van middelen uit het EFG moet worden ingebed in een bredere beleidsaanpak op alle politieke niveaus om ervoor te zorgen dat de getroffen werknemers passende kansen krijgen die aansluiten op hun kwalificaties en vaardigheden; herinnert er voorts aan dat het EFG een instrument voor solidariteit </w:t>
            </w:r>
            <w:r>
              <w:rPr>
                <w:b/>
                <w:i/>
              </w:rPr>
              <w:t>in noodsituaties</w:t>
            </w:r>
            <w:r>
              <w:t xml:space="preserve"> is en dat </w:t>
            </w:r>
            <w:r>
              <w:rPr>
                <w:b/>
                <w:i/>
              </w:rPr>
              <w:t>het</w:t>
            </w:r>
            <w:r>
              <w:t xml:space="preserve"> de primaire taak van de </w:t>
            </w:r>
            <w:r>
              <w:rPr>
                <w:b/>
                <w:i/>
              </w:rPr>
              <w:t>Europese</w:t>
            </w:r>
            <w:r>
              <w:t xml:space="preserve"> Unie moet zijn om dergelijke sluitingen in de eerste plaats te voorkomen </w:t>
            </w:r>
            <w:r>
              <w:rPr>
                <w:b/>
                <w:i/>
              </w:rPr>
              <w:t>door de industriële productie op Europese bodem te verdedigen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is van mening dat het EFG weliswaar onontbeerlijk is om werknemers op korte termijn te ondersteunen, maar eigenlijk slechts een corrigerende maatregel is die niet opweegt tegen de structurele gevolgen van een te open EU-handelsbeleid dat de interne markt onvoldoende beschermt;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w:t>
            </w:r>
            <w:r>
              <w:tab/>
            </w:r>
            <w:r>
              <w:t>dringt aan op grondige eindevaluaties van de uitgevoerde maatregelen, met inbegrip van duidelijke informatie over de wijze waarop de middelen zijn gebruikt en of ze zijn besteed in overeenstemming met de goedgekeurde plannen;</w:t>
            </w:r>
          </w:p>
        </w:tc>
        <w:tc>
          <w:tcPr>
            <w:tcW w:w="4876" w:type="dxa"/>
            <w:tcBorders>
              <w:top w:val="nil"/>
              <w:left w:val="nil"/>
              <w:bottom w:val="nil"/>
              <w:right w:val="nil"/>
            </w:tcBorders>
          </w:tcPr>
          <w:p>
            <w:pPr>
              <w:pStyle w:val="Normal6a"/>
            </w:pPr>
            <w:r>
              <w:rPr>
                <w:b/>
                <w:i/>
              </w:rPr>
              <w:t>10</w:t>
            </w:r>
            <w:r>
              <w:t>.</w:t>
            </w:r>
            <w:r>
              <w:tab/>
            </w:r>
            <w:r>
              <w:t xml:space="preserve">dringt aan op grondige eindevaluaties van de uitgevoerde maatregelen, met inbegrip van duidelijke informatie over de wijze waarop de middelen zijn gebruikt en of ze zijn besteed in overeenstemming met de goedgekeurde plannen; </w:t>
            </w:r>
            <w:r>
              <w:rPr>
                <w:b/>
                <w:i/>
              </w:rPr>
              <w:t>benadrukt dat dergelijke evaluaties gebaseerd moeten zijn op duidelijk gedefinieerde doelstellingen en meetbare resultaten, zodat kan worden nagegaan welke resultaten voor de betrokken werknemers zijn bereikt;</w:t>
            </w:r>
            <w:r>
              <w:t xml:space="preserve"> </w:t>
            </w:r>
            <w:r>
              <w:rPr>
                <w:b/>
                <w:i/>
              </w:rPr>
              <w:t>onderstreept het belang van snellere en doeltreffendere interventies en herinnert er in dit verband aan dat moet worden gezocht naar manieren om de duurzaamheid van het EFG of het vervolgprogramma te waarborgen in het kader van het volgende meerjarig financieel kader 2028-2034;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w:t>
            </w:r>
            <w:r>
              <w:tab/>
            </w:r>
            <w:r>
              <w:t>dringt aan op grondige eindevaluaties van de uitgevoerde maatregelen, met inbegrip van duidelijke informatie over de wijze waarop de middelen zijn gebruikt en of ze zijn besteed in overeenstemming met de goedgekeurde plannen;</w:t>
            </w:r>
          </w:p>
        </w:tc>
        <w:tc>
          <w:tcPr>
            <w:tcW w:w="4876" w:type="dxa"/>
            <w:tcBorders>
              <w:top w:val="nil"/>
              <w:left w:val="nil"/>
              <w:bottom w:val="nil"/>
              <w:right w:val="nil"/>
            </w:tcBorders>
          </w:tcPr>
          <w:p>
            <w:pPr>
              <w:pStyle w:val="Normal6a"/>
            </w:pPr>
            <w:r>
              <w:rPr>
                <w:b/>
                <w:i/>
              </w:rPr>
              <w:t>10</w:t>
            </w:r>
            <w:r>
              <w:t>.</w:t>
            </w:r>
            <w:r>
              <w:tab/>
            </w:r>
            <w:r>
              <w:t>dringt aan op grondige eindevaluaties van de uitgevoerde maatregelen, met inbegrip van duidelijke informatie over de wijze waarop de middelen zijn gebruikt en of ze zijn besteed in overeenstemming met de goedgekeurde plannen</w:t>
            </w:r>
            <w:r>
              <w:rPr>
                <w:b/>
                <w:i/>
              </w:rPr>
              <w:t>, en met inbegrip van een beoordeling van het werkelijke percentage begunstigden dat weer een stabiele baan heeft gevonden en de kosteneffectiviteit van de maatregelen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784.155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11</w:t>
    </w:r>
    <w:r>
      <w:fldChar w:fldCharType="end"/>
    </w:r>
    <w:r>
      <w:tab/>
    </w:r>
    <w:r>
      <w:rPr>
        <w:rStyle w:val="HideTWBExt"/>
      </w:rPr>
      <w:t>&lt;PathFdR&gt;</w:t>
    </w:r>
    <w:r>
      <w:t>AM\1336304NL.docx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AM\1336304NL.docx</w:t>
    </w:r>
    <w:r>
      <w:rPr>
        <w:rStyle w:val="HideTWBExt"/>
      </w:rPr>
      <w:t>&lt;/PathFdR&gt;</w:t>
    </w:r>
    <w:r>
      <w:tab/>
    </w:r>
    <w:r>
      <w:fldChar w:fldCharType="begin"/>
    </w:r>
    <w:r>
      <w:instrText xml:space="preserve"> PAGE </w:instrText>
    </w:r>
    <w:r>
      <w:fldChar w:fldCharType="separate"/>
    </w:r>
    <w:r>
      <w:t>11</w:t>
    </w:r>
    <w:r>
      <w:fldChar w:fldCharType="end"/>
    </w:r>
    <w:r>
      <w:t>/</w:t>
    </w:r>
    <w:r>
      <w:fldChar w:fldCharType="begin"/>
    </w:r>
    <w:r>
      <w:instrText xml:space="preserve"> NUMPAGES </w:instrText>
    </w:r>
    <w:r>
      <w:fldChar w:fldCharType="separate"/>
    </w:r>
    <w:r>
      <w:t>11</w:t>
    </w:r>
    <w:r>
      <w:fldChar w:fldCharType="end"/>
    </w:r>
    <w:r>
      <w:tab/>
    </w:r>
    <w:r>
      <w:t>PE</w:t>
    </w:r>
    <w:r>
      <w:rPr>
        <w:rStyle w:val="HideTWBExt"/>
      </w:rPr>
      <w:t>&lt;NoPE&gt;</w:t>
    </w:r>
    <w:r>
      <w:t>784.155</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AM\1336304NL.docx</w:t>
    </w:r>
    <w:r>
      <w:rPr>
        <w:rStyle w:val="HideTWBExt"/>
      </w:rPr>
      <w:t>&lt;/PathFdR&gt;</w:t>
    </w:r>
    <w:r>
      <w:tab/>
    </w:r>
    <w:r>
      <w:tab/>
    </w:r>
    <w:r>
      <w:t>PE</w:t>
    </w:r>
    <w:r>
      <w:rPr>
        <w:rStyle w:val="HideTWBExt"/>
      </w:rPr>
      <w:t>&lt;NoPE&gt;</w:t>
    </w:r>
    <w:r>
      <w:t>784.155</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Pages>
  <Words>1927</Words>
  <Characters>11765</Characters>
  <Application>Microsoft Office Word</Application>
  <DocSecurity>0</DocSecurity>
  <Lines>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1336304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389265</vt:lpwstr>
  </property>
  <property fmtid="{D5CDD505-2E9C-101B-9397-08002B2CF9AE}" pid="7" name="dmxml.render.traceId">
    <vt:lpwstr>699c835b4c9285e86b3def38719efcdf</vt:lpwstr>
  </property>
  <property fmtid="{D5CDD505-2E9C-101B-9397-08002B2CF9AE}" pid="8" name="FooterPath">
    <vt:lpwstr>AM\1336304NL.docx</vt:lpwstr>
  </property>
  <property fmtid="{D5CDD505-2E9C-101B-9397-08002B2CF9AE}" pid="9" name="PE Number">
    <vt:lpwstr>784.155</vt:lpwstr>
  </property>
  <property fmtid="{D5CDD505-2E9C-101B-9397-08002B2CF9AE}" pid="10" name="UID">
    <vt:lpwstr>eu.europa.europarl-DIN1-2026-0000025636_02.00-nl-01.00_text-xml</vt:lpwstr>
  </property>
</Properties>
</file>