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Europejski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Komisja Budżetowa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2026/0004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(BUD)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{10/02/2026}</w:t>
      </w:r>
      <w:r>
        <w:t>10.2.2026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POPRAWKI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Projekt sprawozdania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Jean-Marc Germain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(PE782.416v01-00)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Uruchomienie Europejskiego Funduszu Dostosowania do Globalizacji dla Zwalnianych Pracowników w następstwie wniosku złożonego przez Belgię – EGF/2025/004 BE/ Tupperware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(2026/0004(BUD))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Europejski filar praw socjalnych,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mając na uwadze, że 17 lutego 2025 r. firma Tupperware złożyła wniosek o ogłoszenie upadłości; mając na uwadze, że w Belgii od 2022 r. obserwuje się wzrost liczby upadłości przedsiębiorstw;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mając na uwadze, że 17 lutego 2025 r. firma Tupperware złożyła wniosek o ogłoszenie upadłości; mając na uwadze, że w Belgii od 2022 r. obserwuje się wzrost liczby upadłości przedsiębiorstw</w:t>
            </w:r>
            <w:r>
              <w:rPr>
                <w:b/>
                <w:i/>
              </w:rPr>
              <w:t>, co ma szczególny wpływ na sektor przemysłowy w kontekście stagnacji gospodarczej i wysokich kosztów produkcji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mając na uwadze, że zamknięcie zakładu Tupperware w Belgii ilustruje ryzyko związane z zależnością od strategicznych ośrodków decyzyjnych znajdujących się poza Unią Europejską, co osłabia lokalną tkankę przemysłową;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zauważa, że Tupperware miał siedzibę w Aalst w prowincji Flandria Wschodnia, gdzie tylko co drugi mieszkaniec ma pracę, podczas gdy w regionie Flandria zatrudnienie – jeszcze przed upadłością Tupperware – miało dwie trzecie mieszkańców;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zauważa, że Tupperware miał siedzibę w Aalst w prowincji Flandria Wschodnia, gdzie tylko co drugi mieszkaniec ma pracę, podczas gdy w regionie Flandria zatrudnienie – jeszcze przed upadłością Tupperware – miało dwie trzecie mieszkańców; </w:t>
            </w:r>
            <w:r>
              <w:rPr>
                <w:b/>
                <w:i/>
              </w:rPr>
              <w:t>ubolewa, że zwolnienia, których dotyczy wniosek, jeszcze bardziej pogorszą sytuację;</w:t>
            </w:r>
            <w:r>
              <w:t xml:space="preserve"> </w:t>
            </w:r>
            <w:r>
              <w:rPr>
                <w:b/>
                <w:i/>
              </w:rPr>
              <w:t>podkreśla, że potrzebne są szybkie działania, aby zapobiec strukturalnemu upadkowi regionalnemu;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uważa, że sprawa ta uwypukla konsekwencje utrzymującej się zależności Europy od podmiotów z państw trzecich w odniesieniu do kluczowych technologii i własności intelektualnej;</w:t>
            </w:r>
            <w:r>
              <w:t xml:space="preserve"> </w:t>
            </w:r>
            <w:r>
              <w:rPr>
                <w:b/>
                <w:i/>
              </w:rPr>
              <w:t>podkreśla, że uruchomienie EFG odzwierciedla potrzebę zajęcia się społecznymi skutkami takich strategicznych zależności, a jednocześnie potwierdza, że zmniejszenie tych zależności pozostaje priorytetem;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przypomina, że na konkurencyjność przemysłu w Europie poważny wpływ ma gwałtowny wzrost kosztów energii i inflacja regulacyjna;</w:t>
            </w:r>
            <w:r>
              <w:t xml:space="preserve"> </w:t>
            </w:r>
            <w:r>
              <w:rPr>
                <w:b/>
                <w:i/>
              </w:rPr>
              <w:t>ostrzega, że bez radykalnego przeglądu mechanizmów ustalania cen energii i drastycznego uproszczenia kolejne zamknięcia zakładów są nieuniknione;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z zadowoleniem przyjmuje inicjatywę grupy europejskich przedsiębiorców mającą na celu ożywienie marki w Niemczech, Francji, Belgii, Włoszech i Polsce;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podkreśla, że we Flandrii ryzyko bezrobocia jest ponad dwukrotnie wyższe w przypadku osób o niskim poziomie wykształcenia; zauważa, że jedna trzecia zwolnionych pracowników ma co najwyżej wykształcenie średnie I stopnia; wzywa władze belgijskie do zapewnienia specjalnego wsparcia dostosowanego do takiego profilu pracowników, aby pomóc im przezwyciężyć swoje ograniczenia i znaleźć nową pracę</w:t>
            </w:r>
            <w:r>
              <w:rPr>
                <w:b/>
                <w:i/>
              </w:rPr>
              <w:t>, a jednocześnie do podjęcia środków mających na celu zmniejszenie liczby przypadków upadłości i rozwiązanie problemu dysproporcji społecznych prowadzących do wykluczenia siły roboczej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podkreśla, że we Flandrii ryzyko bezrobocia jest ponad dwukrotnie wyższe w przypadku osób o niskim poziomie wykształcenia; zauważa, że jedna trzecia zwolnionych pracowników ma co najwyżej wykształcenie średnie I stopnia; wzywa władze belgijskie do zapewnienia specjalnego wsparcia dostosowanego do takiego profilu pracowników, aby pomóc im przezwyciężyć swoje ograniczenia i znaleźć nową pracę;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przypomina, że zgodnie z porozumieniem zawartym ze związkami zawodowymi, ekspertami i partnerami społecznymi na rzecz pracowników mają być świadczone następujące spersonalizowane usługi: sesje informacyjne na temat reintegracji zawodowej, usługi w zakresie zwolnień monitorowanych, w tym szkolenia w zakresie ICT; pomoc w znalezieniu pracy poprzez poradnictwo i pomoc w poszukiwaniu zatrudnienia, szkolenia i przekwalifikowanie, targi pracy, wyszukiwanie potencjalnych ofert pracy i kojarzenie ich z pracownikami poszukującymi zatrudnienia; podkreśla, jak ważne jest wspieranie wysokiej jakości, zorientowanych na przyszłość miejsc pracy w celu zapewnienia długoterminowej odporności gospodarczej i społecznej;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przypomina, że zgodnie z porozumieniem zawartym ze związkami zawodowymi, ekspertami i partnerami społecznymi na rzecz pracowników mają być świadczone następujące spersonalizowane usługi: sesje informacyjne na temat reintegracji zawodowej, usługi w zakresie zwolnień monitorowanych, w tym szkolenia w zakresie ICT; pomoc w znalezieniu pracy poprzez poradnictwo i pomoc w poszukiwaniu zatrudnienia, szkolenia i przekwalifikowanie, targi pracy, wyszukiwanie potencjalnych ofert pracy i kojarzenie ich z pracownikami poszukującymi zatrudnienia; podkreśla, jak ważne jest wspieranie wysokiej jakości, zorientowanych na przyszłość miejsc pracy w celu zapewnienia długoterminowej odporności gospodarczej i społecznej; </w:t>
            </w:r>
            <w:r>
              <w:rPr>
                <w:b/>
                <w:i/>
              </w:rPr>
              <w:t>wzywa władze belgijskie do nawiązania dialogu z przedstawicielami nowego europejskiego Tupperware w celu zbadania możliwości reintegracji zwolnionych pracowników w ich działalności gospodarczej;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przypomina, że zgodnie z porozumieniem zawartym ze związkami zawodowymi, ekspertami i partnerami społecznymi na rzecz pracowników mają być świadczone następujące spersonalizowane usługi: sesje informacyjne na temat reintegracji zawodowej, usługi w zakresie zwolnień monitorowanych, w tym szkolenia w zakresie ICT; pomoc w znalezieniu pracy poprzez poradnictwo i pomoc w poszukiwaniu zatrudnienia, szkolenia i przekwalifikowanie, targi pracy, wyszukiwanie potencjalnych ofert pracy i kojarzenie ich z pracownikami poszukującymi zatrudnienia; podkreśla, jak ważne jest wspieranie wysokiej jakości</w:t>
            </w:r>
            <w:r>
              <w:rPr>
                <w:b/>
                <w:i/>
              </w:rPr>
              <w:t>, zorientowanych na przyszłość</w:t>
            </w:r>
            <w:r>
              <w:t xml:space="preserve"> miejsc pracy w celu zapewnienia </w:t>
            </w:r>
            <w:r>
              <w:rPr>
                <w:b/>
                <w:i/>
              </w:rPr>
              <w:t>długoterminowej odporności gospodarczej i społecznej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przypomina, że zgodnie z porozumieniem zawartym ze związkami zawodowymi, ekspertami i partnerami społecznymi na rzecz pracowników mają być świadczone następujące spersonalizowane usługi: sesje informacyjne na temat reintegracji zawodowej, usługi w zakresie zwolnień monitorowanych, w tym szkolenia w zakresie ICT; pomoc w znalezieniu pracy poprzez poradnictwo i pomoc w poszukiwaniu zatrudnienia, szkolenia i przekwalifikowanie, targi pracy, wyszukiwanie potencjalnych ofert pracy i kojarzenie ich z pracownikami poszukującymi zatrudnienia; podkreśla, jak ważne jest wspieranie wysokiej jakości </w:t>
            </w:r>
            <w:r>
              <w:rPr>
                <w:b/>
                <w:i/>
              </w:rPr>
              <w:t>trwałych</w:t>
            </w:r>
            <w:r>
              <w:t xml:space="preserve"> miejsc pracy </w:t>
            </w:r>
            <w:r>
              <w:rPr>
                <w:b/>
                <w:i/>
              </w:rPr>
              <w:t>w przemyśle</w:t>
            </w:r>
            <w:r>
              <w:t xml:space="preserve"> w celu zapewnienia </w:t>
            </w:r>
            <w:r>
              <w:rPr>
                <w:b/>
                <w:i/>
              </w:rPr>
              <w:t>długoterminowego wzrostu gospodarczego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podkreśla, że kwalifikacje i umiejętności zwolnionych pracowników pozostają kluczowe dla zadbania o to, by gospodarka europejska była odporna na zawirowania w przyszłości; </w:t>
            </w:r>
            <w:r>
              <w:rPr>
                <w:b/>
                <w:i/>
              </w:rPr>
              <w:t>uważa w związku z tym, że uruchomienie EFG musi być częścią szerszej reakcji politycznej na wszystkich szczeblach politycznych, aby zapewnić zwolnionym pracownikom odpowiednie możliwości</w:t>
            </w:r>
            <w:r>
              <w:t xml:space="preserve"> zatrudnienia </w:t>
            </w:r>
            <w:r>
              <w:rPr>
                <w:b/>
                <w:i/>
              </w:rPr>
              <w:t>zgodne z ich kwalifikacjami i umiejętnościami;</w:t>
            </w:r>
            <w:r>
              <w:t xml:space="preserve"> </w:t>
            </w:r>
            <w:r>
              <w:rPr>
                <w:b/>
                <w:i/>
              </w:rPr>
              <w:t>przypomina ponadto, że EFG jest instrumentem solidarności i sprawiedliwej transformacji oraz że głównym zadaniem Unii musi być</w:t>
            </w:r>
            <w:r>
              <w:t xml:space="preserve"> przede wszystkim </w:t>
            </w:r>
            <w:r>
              <w:rPr>
                <w:b/>
                <w:i/>
              </w:rPr>
              <w:t>zapobieganie takim zamknięciom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podkreśla, że kwalifikacje i umiejętności zwolnionych pracowników pozostają kluczowe dla zadbania o to, by gospodarka europejska była odporna na zawirowania w przyszłości; </w:t>
            </w:r>
            <w:r>
              <w:rPr>
                <w:b/>
                <w:i/>
              </w:rPr>
              <w:t>przypomina, że zapobieganie zamykaniu przedsiębiorstw i ochrona</w:t>
            </w:r>
            <w:r>
              <w:t xml:space="preserve"> zatrudnienia </w:t>
            </w:r>
            <w:r>
              <w:rPr>
                <w:b/>
                <w:i/>
              </w:rPr>
              <w:t>w przemyśle pozostaje</w:t>
            </w:r>
            <w:r>
              <w:t xml:space="preserve"> przede wszystkim </w:t>
            </w:r>
            <w:r>
              <w:rPr>
                <w:b/>
                <w:i/>
              </w:rPr>
              <w:t>w gestii państw członkowskich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podkreśla, że kwalifikacje i umiejętności zwolnionych pracowników pozostają kluczowe dla zadbania o to, by gospodarka europejska była odporna na zawirowania w przyszłości; uważa w związku z tym, że uruchomienie EFG musi być częścią szerszej reakcji politycznej na wszystkich szczeblach politycznych, aby zapewnić zwolnionym pracownikom odpowiednie możliwości zatrudnienia zgodne z ich kwalifikacjami i umiejętnościami; przypomina </w:t>
            </w:r>
            <w:r>
              <w:rPr>
                <w:b/>
                <w:i/>
              </w:rPr>
              <w:t>ponadto</w:t>
            </w:r>
            <w:r>
              <w:t xml:space="preserve">, że </w:t>
            </w:r>
            <w:r>
              <w:rPr>
                <w:b/>
                <w:i/>
              </w:rPr>
              <w:t>EFG jest instrumentem solidarności i sprawiedliwej transformacji oraz że głównym zadaniem Unii musi być przede wszystkim zapobieganie takim zamknięciom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podkreśla, że kwalifikacje i umiejętności zwolnionych pracowników pozostają kluczowe dla zadbania o to, by gospodarka europejska była odporna na zawirowania w przyszłości; uważa w związku z tym, że uruchomienie EFG musi być częścią szerszej reakcji politycznej na wszystkich szczeblach politycznych, aby zapewnić zwolnionym pracownikom odpowiednie możliwości zatrudnienia zgodne z ich kwalifikacjami i umiejętnościami; przypomina, że </w:t>
            </w:r>
            <w:r>
              <w:rPr>
                <w:b/>
                <w:i/>
              </w:rPr>
              <w:t>zgodnie z celami określonymi w Kompasie konkurencyjności dla UE, chociaż EFG zapewnia niezbędne wsparcie zwolnionym pracownikom, silniejsza polityka przemysłowa oraz solidniejsza i odporniejsza gospodarka mają zasadnicze znaczenie dla ograniczenia zwolnień na dużą skalę i ochrony europejskiej bazy zatrudnienia w przemyśle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podkreśla, że kwalifikacje i umiejętności zwolnionych pracowników pozostają kluczowe dla </w:t>
            </w:r>
            <w:r>
              <w:rPr>
                <w:b/>
                <w:i/>
              </w:rPr>
              <w:t>zadbania o to, by gospodarka europejska była odporna na zawirowania w przyszłości</w:t>
            </w:r>
            <w:r>
              <w:t xml:space="preserve">; uważa w związku z tym, że uruchomienie EFG musi być częścią szerszej reakcji politycznej na wszystkich szczeblach politycznych, aby zapewnić zwolnionym pracownikom odpowiednie możliwości zatrudnienia zgodne z ich kwalifikacjami i umiejętnościami; przypomina ponadto, że EFG jest instrumentem solidarności </w:t>
            </w:r>
            <w:r>
              <w:rPr>
                <w:b/>
                <w:i/>
              </w:rPr>
              <w:t>i sprawiedliwej transformacji</w:t>
            </w:r>
            <w:r>
              <w:t xml:space="preserve"> oraz że głównym zadaniem Unii musi być przede wszystkim zapobieganie takim zamknięciom;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podkreśla, że kwalifikacje i umiejętności zwolnionych pracowników pozostają kluczowe dla </w:t>
            </w:r>
            <w:r>
              <w:rPr>
                <w:b/>
                <w:i/>
              </w:rPr>
              <w:t>produktywnej gospodarki europejskiej</w:t>
            </w:r>
            <w:r>
              <w:t xml:space="preserve">; uważa w związku z tym, że uruchomienie EFG musi być częścią szerszej reakcji politycznej na wszystkich szczeblach politycznych, aby zapewnić zwolnionym pracownikom odpowiednie możliwości zatrudnienia zgodne z ich kwalifikacjami i umiejętnościami; przypomina ponadto, że EFG jest instrumentem solidarności </w:t>
            </w:r>
            <w:r>
              <w:rPr>
                <w:b/>
                <w:i/>
              </w:rPr>
              <w:t>w sytuacjach nadzwyczajnych</w:t>
            </w:r>
            <w:r>
              <w:t xml:space="preserve"> oraz że głównym zadaniem Unii </w:t>
            </w:r>
            <w:r>
              <w:rPr>
                <w:b/>
                <w:i/>
              </w:rPr>
              <w:t>Europejskiej</w:t>
            </w:r>
            <w:r>
              <w:t xml:space="preserve"> musi być przede wszystkim zapobieganie takim zamknięciom </w:t>
            </w:r>
            <w:r>
              <w:rPr>
                <w:b/>
                <w:i/>
              </w:rPr>
              <w:t>poprzez obronę produkcji przemysłowej w Europie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uważa, że EFG – choć niezbędny do wspierania pracowników w krótkiej perspektywie – stanowi środek naprawczy, który nie może zrekompensować strukturalnych konsekwencji zbyt otwartej i pozbawionej ochrony polityki handlowej Unii Europejskiej dla jej rynku wewnętrznego;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apeluje o przeprowadzenie gruntownych ocen końcowych wdrożonych środków, w tym o przedstawienie jasnych informacji na temat sposobu wykorzystania funduszy i ich wydatkowania zgodnie z zatwierdzonymi planami;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apeluje o przeprowadzenie gruntownych ocen końcowych wdrożonych środków, w tym o przedstawienie jasnych informacji na temat sposobu wykorzystania funduszy i ich wydatkowania zgodnie z zatwierdzonymi planami; </w:t>
            </w:r>
            <w:r>
              <w:rPr>
                <w:b/>
                <w:i/>
              </w:rPr>
              <w:t>podkreśla, że takie oceny powinny opierać się na jasno określonych celach i wymiernych wynikach, umożliwiając ocenę wyników osiągniętych w odniesieniu do danych pracowników;</w:t>
            </w:r>
            <w:r>
              <w:t xml:space="preserve"> </w:t>
            </w:r>
            <w:r>
              <w:rPr>
                <w:b/>
                <w:i/>
              </w:rPr>
              <w:t>podkreśla, że należy zadbać o szybsze i skuteczniejsze interwencje, i przypomina w tym kontekście o potrzebie zbadania sposobów zapewnienia trwałości EFG lub programu będącego jego następcą w kolejnych wieloletnich ramach finansowych na lata 2028–2034;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apeluje o przeprowadzenie gruntownych ocen końcowych wdrożonych środków, w tym o przedstawienie jasnych informacji na temat sposobu wykorzystania funduszy i ich wydatkowania zgodnie z zatwierdzonymi planami;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apeluje o przeprowadzenie gruntownych ocen końcowych wdrożonych środków, w tym o przedstawienie jasnych informacji na temat sposobu wykorzystania funduszy i ich wydatkowania zgodnie z zatwierdzonymi planami</w:t>
            </w:r>
            <w:r>
              <w:rPr>
                <w:b/>
                <w:i/>
              </w:rPr>
              <w:t>, w tym oceny rzeczywistego wskaźnika reintegracji beneficjentów powracających do stabilnego zatrudnienia oraz opłacalności środków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rPr>
        <w:rStyle w:val="HideTWBExt"/>
      </w:rPr>
      <w:t>&lt;PathFdR&gt;</w:t>
    </w:r>
    <w:r>
      <w:t>AM\1336304PL.docx</w:t>
    </w:r>
    <w:r>
      <w:rPr>
        <w:rStyle w:val="HideTWBExt"/>
      </w:rPr>
      <w:t>&lt;/PathFdR&gt;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AM\1336304PL.docx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AM\1336304PL.docx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</Pages>
  <Words>1717</Words>
  <Characters>11621</Characters>
  <Application>Microsoft Office Word</Application>
  <DocSecurity>0</DocSecurity>
  <Lines>1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1336304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389426</vt:lpwstr>
  </property>
  <property fmtid="{D5CDD505-2E9C-101B-9397-08002B2CF9AE}" pid="7" name="dmxml.render.traceId">
    <vt:lpwstr>699d5fac53fb5b667f60b5f229fbb143</vt:lpwstr>
  </property>
  <property fmtid="{D5CDD505-2E9C-101B-9397-08002B2CF9AE}" pid="8" name="FooterPath">
    <vt:lpwstr>AM\1336304PL.docx</vt:lpwstr>
  </property>
  <property fmtid="{D5CDD505-2E9C-101B-9397-08002B2CF9AE}" pid="9" name="PE Number">
    <vt:lpwstr>784.155</vt:lpwstr>
  </property>
  <property fmtid="{D5CDD505-2E9C-101B-9397-08002B2CF9AE}" pid="10" name="UID">
    <vt:lpwstr>eu.europa.europarl-DIN1-2026-0000025636_02.00-pl-01.00_text-xml</vt:lpwstr>
  </property>
</Properties>
</file>