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Parlamento Europeu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{BUDG}</w:t>
      </w:r>
      <w:r>
        <w:t>Comissão dos Orçamentos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2026/0004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(BUD)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{10/02/2026}</w:t>
      </w:r>
      <w:r>
        <w:t>10.2.2026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ALTERAÇÕES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Projeto de relatório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Jean-Marc Germain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(PE782.416v01-00)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Mobilização do Fundo Europeu de Ajustamento à Globalização a favor dos Trabalhadores Despedidos na sequência de uma candidatura da Bélgica — EGF/2025/004 BE/Tupperware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(2026/0004(BUD))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Citação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Tendo em conta o Pilar Europeu dos Direitos Sociais,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Suprimido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Considerando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Considerando que a Tupperware declarou insolvências em 17 de fevereiro de 2025; que, na Bélgica, as insolvências têm aumentado desde 2022;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Considerando que a Tupperware declarou insolvências em 17 de fevereiro de 2025; que, na Bélgica, as insolvências têm aumentado desde 2022</w:t>
            </w:r>
            <w:r>
              <w:rPr>
                <w:b/>
                <w:i/>
              </w:rPr>
              <w:t>, afetando particularmente o setor industrial num contexto de estagnação económica e de elevados custos de produção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Considerando D-A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D-A.</w:t>
            </w:r>
            <w:r>
              <w:tab/>
            </w:r>
            <w:r>
              <w:rPr>
                <w:b/>
                <w:i/>
              </w:rPr>
              <w:t>Considerando que o encerramento das instalações da Tupperware na Bélgica coloca em evidência os riscos associados à dependência de centros de decisão estratégicos, localizados fora da União Europeia, o que enfraquece o tecido industrial local;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Faz notar que a Tupperware estava localizada em Aalst, na província da Flandres Oriental, onde apenas uma em duas pessoas estava empregada, em comparação com a média de duas em três pessoas na região da Flandres, mesmo antes da insolvência da Tupperware;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Faz notar que a Tupperware estava localizada em Aalst, na província da Flandres Oriental, onde apenas uma em duas pessoas estava empregada, em comparação com a média de duas em três pessoas na região da Flandres, mesmo antes da insolvência da Tupperware; </w:t>
            </w:r>
            <w:r>
              <w:rPr>
                <w:b/>
                <w:i/>
              </w:rPr>
              <w:t>lamenta que estes despedimentos agravem ainda mais a situação;</w:t>
            </w:r>
            <w:r>
              <w:t xml:space="preserve"> </w:t>
            </w:r>
            <w:r>
              <w:rPr>
                <w:b/>
                <w:i/>
              </w:rPr>
              <w:t>frisa que são necessárias medidas rápidas para evitar o declínio estrutural regional;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5-A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5-A.</w:t>
            </w:r>
            <w:r>
              <w:tab/>
            </w:r>
            <w:r>
              <w:rPr>
                <w:b/>
                <w:i/>
              </w:rPr>
              <w:t>Considera que este caso coloca em evidência as consequências da dependência contínua da Europa de intervenientes de países terceiros no que diz respeito a tecnologias essenciais e à propriedade intelectual;</w:t>
            </w:r>
            <w:r>
              <w:t xml:space="preserve"> </w:t>
            </w:r>
            <w:r>
              <w:rPr>
                <w:b/>
                <w:i/>
              </w:rPr>
              <w:t>sublinha que a mobilização do FEG reflete a necessidade de abordar o impacto social dessas dependências estratégicas, reafirmando simultaneamente que a redução das mesmas continua a ser uma prioridade;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5-A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5-A.</w:t>
            </w:r>
            <w:r>
              <w:tab/>
            </w:r>
            <w:r>
              <w:rPr>
                <w:b/>
                <w:i/>
              </w:rPr>
              <w:t>Recorda que a competitividade industrial na Europa é gravemente afetada pelo aumento dos custos da energia e pela inflação regulamentar;</w:t>
            </w:r>
            <w:r>
              <w:t xml:space="preserve"> </w:t>
            </w:r>
            <w:r>
              <w:rPr>
                <w:b/>
                <w:i/>
              </w:rPr>
              <w:t>adverte que, sem uma revisão completa dos mecanismos de fixação dos preços da energia e um choque de simplificação, serão inevitáveis outros encerramentos semelhantes;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5-A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5-A.</w:t>
            </w:r>
            <w:r>
              <w:tab/>
            </w:r>
            <w:r>
              <w:rPr>
                <w:b/>
                <w:i/>
              </w:rPr>
              <w:t>Congratula-se com uma iniciativa do grupo de empresários europeus que visa relançar a marca na Alemanha, na França, na Bélgica, na Itália e na Polónia;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Frisa que, na Flandres, o risco de desemprego duplica para as pessoas com um baixo nível de escolaridade; observa que um terço dos trabalhadores despedidos não foi além do terceiro ciclo do ensino básico; insta as autoridades belgas a prestarem um apoio específico adaptado a estes perfis para ajudar os trabalhadores a superar as suas lacunas e a encontrar novos empregos </w:t>
            </w:r>
            <w:r>
              <w:rPr>
                <w:b/>
                <w:i/>
              </w:rPr>
              <w:t>e, ao mesmo tempo, a tomarem medidas para reduzir o número de insolvências e combater as disparidades sociais que conduzem à exclusão da mão de obra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Frisa que, na Flandres, o risco de desemprego duplica para as pessoas com um baixo nível de escolaridade; observa que um terço dos trabalhadores despedidos não foi além do terceiro ciclo do ensino básico; insta as autoridades belgas a prestarem um apoio específico adaptado a estes perfis para ajudar os trabalhadores a superar as suas lacunas e a encontrar novos empregos;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Recorda que, em concertação com os sindicatos, os peritos e os parceiros sociais, os serviços personalizados a prestar aos trabalhadores consistem nas seguintes medidas: sessões de informação com vista à reinserção profissional, serviços de recolocação, designadamente formação em TIC; assistência na procura de emprego através de orientação e ajuda reforçada na procura de emprego, de formação e reconversão, de feiras de emprego, de buscas de empregos e de correspondência entre oferta e procura de emprego; destaca a importância de promover empregos de elevada qualidade e virados para o futuro, de modo a assegurar a resiliência económica e social a longo prazo;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Recorda que, em concertação com os sindicatos, os peritos e os parceiros sociais, os serviços personalizados a prestar aos trabalhadores consistem nas seguintes medidas: sessões de informação com vista à reinserção profissional, serviços de recolocação, designadamente formação em TIC; assistência na procura de emprego através de orientação e ajuda reforçada na procura de emprego, de formação e reconversão, de feiras de emprego, de buscas de empregos e de correspondência entre oferta e procura de emprego; destaca a importância de promover empregos de elevada qualidade e virados para o futuro, de modo a assegurar a resiliência económica e social a longo prazo; </w:t>
            </w:r>
            <w:r>
              <w:rPr>
                <w:b/>
                <w:i/>
              </w:rPr>
              <w:t>insta as autoridades belgas a estabelecerem um diálogo com os novos representantes da Tupperware europeia, a fim de explorar as possibilidades de reintegração dos trabalhadores despedidos nas suas atividades económicas;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Recorda que, em concertação com os sindicatos, os peritos e os parceiros sociais, os serviços personalizados a prestar aos trabalhadores consistem nas seguintes medidas: sessões de informação com vista à reinserção profissional, serviços de recolocação, designadamente formação em TIC; assistência na procura de emprego através de orientação e ajuda reforçada na procura de emprego, de formação e reconversão, de feiras de emprego, de buscas de empregos e de correspondência entre oferta e procura de emprego; destaca a importância de promover empregos de elevada qualidade e </w:t>
            </w:r>
            <w:r>
              <w:rPr>
                <w:b/>
                <w:i/>
              </w:rPr>
              <w:t>virados para o futuro</w:t>
            </w:r>
            <w:r>
              <w:t xml:space="preserve">, de modo a assegurar </w:t>
            </w:r>
            <w:r>
              <w:rPr>
                <w:b/>
                <w:i/>
              </w:rPr>
              <w:t>a resiliência económica e social</w:t>
            </w:r>
            <w:r>
              <w:t xml:space="preserve"> a longo prazo;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Recorda que, em concertação com os sindicatos, os peritos e os parceiros sociais, os serviços personalizados a prestar aos trabalhadores consistem nas seguintes medidas: sessões de informação com vista à reinserção profissional, serviços de recolocação, designadamente formação em TIC; assistência na procura de emprego através de orientação e ajuda reforçada na procura de emprego, de formação e reconversão, de feiras de emprego, de buscas de empregos e de correspondência entre oferta e procura de emprego; destaca a importância de promover empregos de elevada qualidade e </w:t>
            </w:r>
            <w:r>
              <w:rPr>
                <w:b/>
                <w:i/>
              </w:rPr>
              <w:t>duradouros no setor industrial</w:t>
            </w:r>
            <w:r>
              <w:t xml:space="preserve">, de modo a assegurar </w:t>
            </w:r>
            <w:r>
              <w:rPr>
                <w:b/>
                <w:i/>
              </w:rPr>
              <w:t>um crescimento económico</w:t>
            </w:r>
            <w:r>
              <w:t xml:space="preserve"> a longo prazo;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Frisa que as qualificações e competências dos trabalhadores despedidos continuam a ser fundamentais para uma economia europeia orientada para o futuro; </w:t>
            </w:r>
            <w:r>
              <w:rPr>
                <w:b/>
                <w:i/>
              </w:rPr>
              <w:t>considera, por conseguinte, que a mobilização do FEG deve ser integrada numa resposta política mais ampla, em todos os domínios de intervenção, a fim de garantir que os trabalhadores afetados encontrem oportunidades adequadas que correspondam às suas qualificações e competências;</w:t>
            </w:r>
            <w:r>
              <w:t xml:space="preserve"> recorda </w:t>
            </w:r>
            <w:r>
              <w:rPr>
                <w:b/>
                <w:i/>
              </w:rPr>
              <w:t>ainda que o FEG é um instrumento de solidariedade e de transição justa e</w:t>
            </w:r>
            <w:r>
              <w:t xml:space="preserve"> que a </w:t>
            </w:r>
            <w:r>
              <w:rPr>
                <w:b/>
                <w:i/>
              </w:rPr>
              <w:t>missão primordial da União deve ser evitar este tipo de encerramentos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Frisa que as qualificações e competências dos trabalhadores despedidos continuam a ser fundamentais para uma economia europeia orientada para o futuro; recorda que a </w:t>
            </w:r>
            <w:r>
              <w:rPr>
                <w:b/>
                <w:i/>
              </w:rPr>
              <w:t>prevenção do encerramento de empresas e a salvaguarda do emprego no setor industrial continuam a ser, em primeiro lugar, uma responsabilidade nacional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Frisa que as qualificações e competências dos trabalhadores despedidos continuam a ser fundamentais para uma economia europeia orientada para o futuro; considera, por conseguinte, que a mobilização do FEG deve ser integrada numa resposta política mais ampla, em todos os domínios de intervenção, a fim de garantir que os trabalhadores afetados encontrem oportunidades adequadas que correspondam às suas qualificações e competências; recorda </w:t>
            </w:r>
            <w:r>
              <w:rPr>
                <w:b/>
                <w:i/>
              </w:rPr>
              <w:t>ainda</w:t>
            </w:r>
            <w:r>
              <w:t xml:space="preserve"> que o FEG </w:t>
            </w:r>
            <w:r>
              <w:rPr>
                <w:b/>
                <w:i/>
              </w:rPr>
              <w:t>é um instrumento de solidariedade e de transição justa e que a missão primordial da União deve ser evitar este tipo de encerramentos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Frisa que as qualificações e competências dos trabalhadores despedidos continuam a ser fundamentais para uma economia europeia orientada para o futuro; considera, por conseguinte, que a mobilização do FEG deve ser integrada numa resposta política mais ampla, em todos os domínios de intervenção, a fim de garantir que os trabalhadores afetados encontrem oportunidades adequadas que correspondam às suas qualificações e competências; recorda que</w:t>
            </w:r>
            <w:r>
              <w:rPr>
                <w:b/>
                <w:i/>
              </w:rPr>
              <w:t>, em consonância com os objetivos estabelecidos na Bússola para a Competitividade, embora</w:t>
            </w:r>
            <w:r>
              <w:t xml:space="preserve"> o FEG </w:t>
            </w:r>
            <w:r>
              <w:rPr>
                <w:b/>
                <w:i/>
              </w:rPr>
              <w:t>preste o apoio necessário aos trabalhadores afetados, é essencial dispor de uma política industrial mais forte e de uma economia mais robusta e resiliente para reduzir os despedimentos coletivos e salvaguardar a base de emprego industrial europeia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Frisa que as qualificações e competências dos trabalhadores despedidos continuam a ser fundamentais para uma economia europeia </w:t>
            </w:r>
            <w:r>
              <w:rPr>
                <w:b/>
                <w:i/>
              </w:rPr>
              <w:t>orientada para o futuro</w:t>
            </w:r>
            <w:r>
              <w:t xml:space="preserve">; considera, por conseguinte, que a mobilização do FEG deve ser integrada numa resposta política mais ampla, em todos os domínios de intervenção, a fim de garantir que os trabalhadores afetados encontrem oportunidades adequadas que correspondam às suas qualificações e competências; recorda ainda que o FEG é um instrumento de solidariedade </w:t>
            </w:r>
            <w:r>
              <w:rPr>
                <w:b/>
                <w:i/>
              </w:rPr>
              <w:t>e de transição justa</w:t>
            </w:r>
            <w:r>
              <w:t xml:space="preserve"> e que a missão primordial da União deve ser evitar este tipo de encerramentos;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Frisa que as qualificações e competências dos trabalhadores despedidos continuam a ser fundamentais para uma economia europeia </w:t>
            </w:r>
            <w:r>
              <w:rPr>
                <w:b/>
                <w:i/>
              </w:rPr>
              <w:t>produtiva</w:t>
            </w:r>
            <w:r>
              <w:t xml:space="preserve">; considera, por conseguinte, que a mobilização do FEG deve ser integrada numa resposta política mais ampla, em todos os domínios de intervenção, a fim de garantir que os trabalhadores afetados encontrem oportunidades adequadas que correspondam às suas qualificações e competências; recorda ainda que o FEG é um instrumento de solidariedade </w:t>
            </w:r>
            <w:r>
              <w:rPr>
                <w:b/>
                <w:i/>
              </w:rPr>
              <w:t>de emergência</w:t>
            </w:r>
            <w:r>
              <w:t xml:space="preserve"> e que a missão primordial da União </w:t>
            </w:r>
            <w:r>
              <w:rPr>
                <w:b/>
                <w:i/>
              </w:rPr>
              <w:t>Europeia</w:t>
            </w:r>
            <w:r>
              <w:t xml:space="preserve"> deve ser evitar este tipo de encerramentos</w:t>
            </w:r>
            <w:r>
              <w:rPr>
                <w:b/>
                <w:i/>
              </w:rPr>
              <w:t>, defendendo a produção industrial em solo europeu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8-A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8-A.</w:t>
            </w:r>
            <w:r>
              <w:tab/>
            </w:r>
            <w:r>
              <w:rPr>
                <w:b/>
                <w:i/>
              </w:rPr>
              <w:t>Considera que o FEG, embora indispensável para apoiar prontamente os trabalhadores, constitui uma medida curativa, que não pode compensar as consequências estruturais de uma política comercial da União Europeia demasiado aberta e sem proteção para o seu mercado interno;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Solicita a realização de avaliações finais exaustivas das medidas aplicadas, incluindo informações claras sobre a forma como os fundos foram utilizados e se foram gastos em conformidade com os planos aprovados;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Solicita a realização de avaliações finais exaustivas das medidas aplicadas, incluindo informações claras sobre a forma como os fundos foram utilizados e se foram gastos em conformidade com os planos aprovados; </w:t>
            </w:r>
            <w:r>
              <w:rPr>
                <w:b/>
                <w:i/>
              </w:rPr>
              <w:t>salienta que essas avaliações devem basear-se em objetivos claramente definidos e em resultados mensuráveis, permitindo uma avaliação dos resultados produzidos para trabalhadores em causa;</w:t>
            </w:r>
            <w:r>
              <w:t xml:space="preserve"> </w:t>
            </w:r>
            <w:r>
              <w:rPr>
                <w:b/>
                <w:i/>
              </w:rPr>
              <w:t>frisa a importância de assegurar intervenções mais rápidas e eficazes e recorda, neste contexto, a necessidade de explorar formas de assegurar a sustentabilidade do FEG, ou do seu programa sucessor, no âmbito do próximo quadro financeiro plurianual 2028-2034;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resolução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N.º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Solicita a realização de avaliações finais exaustivas das medidas aplicadas, incluindo informações claras sobre a forma como os fundos foram utilizados e se foram gastos em conformidade com os planos aprovados;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Solicita a realização de avaliações finais exaustivas das medidas aplicadas, incluindo informações claras sobre a forma como os fundos foram utilizados e se foram gastos em conformidade com os planos aprovados</w:t>
            </w:r>
            <w:r>
              <w:rPr>
                <w:b/>
                <w:i/>
              </w:rPr>
              <w:t>, incluindo uma avaliação da taxa real de reintegração dos beneficiários num emprego estável e da relação custo-eficácia das medidas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</w:t>
    </w:r>
    <w:r>
      <w:fldChar w:fldCharType="end"/>
    </w:r>
    <w:r>
      <w:tab/>
    </w:r>
    <w:r>
      <w:rPr>
        <w:rStyle w:val="HideTWBExt"/>
      </w:rPr>
      <w:t>&lt;PathFdR&gt;</w:t>
    </w:r>
    <w:r>
      <w:t>AM\1336304PT.docx</w:t>
    </w:r>
    <w:r>
      <w:rPr>
        <w:rStyle w:val="HideTWBExt"/>
      </w:rPr>
      <w:t>&lt;/PathFdR&gt;</w:t>
    </w:r>
  </w:p>
  <w:p>
    <w:pPr>
      <w:pStyle w:val="EPFooter2"/>
    </w:pPr>
    <w:r>
      <w:t>PT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AM\1336304PT.docx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AM\1336304PT.docx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PT</w:t>
    </w:r>
    <w:r>
      <w:tab/>
    </w:r>
    <w:r>
      <w:rPr>
        <w:rStyle w:val="EPFooter2Motto"/>
      </w:rPr>
      <w:t>Unida na diversidade</w:t>
    </w:r>
    <w:r>
      <w:tab/>
    </w:r>
    <w:r>
      <w:t>PT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</Pages>
  <Words>2005</Words>
  <Characters>11363</Characters>
  <Application>Microsoft Office Word</Application>
  <DocSecurity>0</DocSecurity>
  <Lines>1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1336304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387717</vt:lpwstr>
  </property>
  <property fmtid="{D5CDD505-2E9C-101B-9397-08002B2CF9AE}" pid="7" name="dmxml.render.traceId">
    <vt:lpwstr>699854f73d47fd333dbe94e425c630d6</vt:lpwstr>
  </property>
  <property fmtid="{D5CDD505-2E9C-101B-9397-08002B2CF9AE}" pid="8" name="FooterPath">
    <vt:lpwstr>AM\1336304PT.docx</vt:lpwstr>
  </property>
  <property fmtid="{D5CDD505-2E9C-101B-9397-08002B2CF9AE}" pid="9" name="PE Number">
    <vt:lpwstr>784.155</vt:lpwstr>
  </property>
  <property fmtid="{D5CDD505-2E9C-101B-9397-08002B2CF9AE}" pid="10" name="UID">
    <vt:lpwstr>eu.europa.europarl-DIN1-2026-0000025636_02.00-pt-01.00_text-xml</vt:lpwstr>
  </property>
</Properties>
</file>