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{BUDG}</w:t>
      </w:r>
      <w:r>
        <w:t>Comisia pentru bugete</w:t>
      </w:r>
      <w:r>
        <w:rPr>
          <w:rStyle w:val="HideTWBExt"/>
        </w:rPr>
        <w:t>&lt;/Commission&gt;</w:t>
      </w:r>
    </w:p>
    <w:p>
      <w:pPr>
        <w:pStyle w:val="LineBottom"/>
      </w:pPr>
      <w:r>
        <w:t xml:space="preserve"> </w:t>
      </w:r>
    </w:p>
    <w:p>
      <w:pPr>
        <w:pStyle w:val="CoverReference"/>
      </w:pPr>
      <w:r>
        <w:rPr>
          <w:rStyle w:val="HideTWBExt"/>
        </w:rPr>
        <w:t>&lt;RefProc&gt;</w:t>
      </w:r>
      <w:r>
        <w:t>2026/0004</w:t>
      </w:r>
      <w:r>
        <w:rPr>
          <w:rStyle w:val="HideTWBExt"/>
        </w:rPr>
        <w:t>&lt;/RefProc&gt;</w:t>
      </w:r>
      <w:r>
        <w:rPr>
          <w:rStyle w:val="HideTWBExt"/>
        </w:rPr>
        <w:t>&lt;RefTypeProc&gt;</w:t>
      </w:r>
      <w:r>
        <w:t>(BUD)</w:t>
      </w:r>
      <w:r>
        <w:rPr>
          <w:rStyle w:val="HideTWBExt"/>
        </w:rPr>
        <w:t>&lt;/RefTypeProc&gt;</w:t>
      </w:r>
    </w:p>
    <w:p>
      <w:pPr>
        <w:pStyle w:val="CoverDate"/>
      </w:pPr>
      <w:r>
        <w:rPr>
          <w:rStyle w:val="HideTWBExt"/>
        </w:rPr>
        <w:t>&lt;Date&gt;</w:t>
      </w:r>
      <w:r>
        <w:rPr>
          <w:rStyle w:val="HideTWBInt"/>
        </w:rPr>
        <w:t>{10/02/2026}</w:t>
      </w:r>
      <w:r>
        <w:t>10.2.2026</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1</w:t>
      </w:r>
      <w:r>
        <w:t xml:space="preserve"> - </w:t>
      </w:r>
      <w:r>
        <w:t>16</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Jean-Marc Germain</w:t>
      </w:r>
      <w:r>
        <w:rPr>
          <w:rStyle w:val="HideTWBExt"/>
        </w:rPr>
        <w:t>&lt;/Rapporteur&gt;</w:t>
      </w:r>
    </w:p>
    <w:p>
      <w:pPr>
        <w:pStyle w:val="CoverNormal24a"/>
      </w:pPr>
      <w:r>
        <w:rPr>
          <w:rStyle w:val="HideTWBExt"/>
        </w:rPr>
        <w:t>&lt;DocRefPE&gt;</w:t>
      </w:r>
      <w:r>
        <w:t>(PE782.416v01-00)</w:t>
      </w:r>
      <w:r>
        <w:rPr>
          <w:rStyle w:val="HideTWBExt"/>
        </w:rPr>
        <w:t>&lt;/DocRefPE&gt;</w:t>
      </w:r>
    </w:p>
    <w:p>
      <w:pPr>
        <w:pStyle w:val="CoverNormal"/>
      </w:pPr>
      <w:r>
        <w:rPr>
          <w:rStyle w:val="HideTWBExt"/>
        </w:rPr>
        <w:t>&lt;Titre&gt;</w:t>
      </w:r>
      <w:r>
        <w:t>Mobilizarea Fondului european de ajustare la globalizare pentru lucrătorii disponibilizați în urma unei cereri din partea Belgiei - EGF/2025/004 BE/Tupperware</w:t>
      </w:r>
      <w:r>
        <w:rPr>
          <w:rStyle w:val="HideTWBExt"/>
        </w:rPr>
        <w:t>&lt;/Titre&gt;</w:t>
      </w:r>
    </w:p>
    <w:p>
      <w:pPr>
        <w:pStyle w:val="CoverNormal24a"/>
      </w:pPr>
      <w:r>
        <w:rPr>
          <w:rStyle w:val="HideTWBExt"/>
        </w:rPr>
        <w:t>&lt;DocRef&gt;</w:t>
      </w:r>
      <w:r>
        <w:t>(2026/0004(BUD))</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având în vedere Pilonul european al drepturilor sociale,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întrucât Tupperware a declarat falimentul la 17 februarie 2025; întrucât, în Belgia, falimentele sunt în creștere din 2022;</w:t>
            </w:r>
          </w:p>
        </w:tc>
        <w:tc>
          <w:tcPr>
            <w:tcW w:w="4876" w:type="dxa"/>
            <w:tcBorders>
              <w:top w:val="nil"/>
              <w:left w:val="nil"/>
              <w:bottom w:val="nil"/>
              <w:right w:val="nil"/>
            </w:tcBorders>
          </w:tcPr>
          <w:p>
            <w:pPr>
              <w:pStyle w:val="Normal6a"/>
            </w:pPr>
            <w:r>
              <w:t>D.</w:t>
            </w:r>
            <w:r>
              <w:tab/>
            </w:r>
            <w:r>
              <w:t>întrucât Tupperware a declarat falimentul la 17 februarie 2025; întrucât, în Belgia, falimentele sunt în creștere din 2022</w:t>
            </w:r>
            <w:r>
              <w:rPr>
                <w:b/>
                <w:i/>
              </w:rPr>
              <w:t>, afectând în special sectorul industrial, în contextul stagnării economice și al costurilor de producție ridicate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închiderea fabricii Tupperware din Belgia ilustrează riscurile legate de dependența față de centrele decizionale strategice situate în afara Uniunii Europene, slăbind structura industrială locală;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constată că Tupperware este situat în Aalst, în provincia Flandra de Est, unde doar una din două persoane are un loc de muncă, comparativ cu două din trei, în medie, în regiunea Flandra, deja înainte de falimentul Tupperware;</w:t>
            </w:r>
          </w:p>
        </w:tc>
        <w:tc>
          <w:tcPr>
            <w:tcW w:w="4876" w:type="dxa"/>
            <w:tcBorders>
              <w:top w:val="nil"/>
              <w:left w:val="nil"/>
              <w:bottom w:val="nil"/>
              <w:right w:val="nil"/>
            </w:tcBorders>
          </w:tcPr>
          <w:p>
            <w:pPr>
              <w:pStyle w:val="Normal6a"/>
            </w:pPr>
            <w:r>
              <w:t>4.</w:t>
            </w:r>
            <w:r>
              <w:tab/>
            </w:r>
            <w:r>
              <w:t xml:space="preserve">constată că Tupperware este situat în Aalst, în provincia Flandra de Est, unde doar una din două persoane are un loc de muncă, comparativ cu două din trei, în medie, în regiunea Flandra, deja înainte de falimentul Tupperware; </w:t>
            </w:r>
            <w:r>
              <w:rPr>
                <w:b/>
                <w:i/>
              </w:rPr>
              <w:t>regretă că aceste disponibilizări vor agrava și mai mult situația;</w:t>
            </w:r>
            <w:r>
              <w:t xml:space="preserve"> </w:t>
            </w:r>
            <w:r>
              <w:rPr>
                <w:b/>
                <w:i/>
              </w:rPr>
              <w:t>subliniază că sunt necesare acțiuni rapide pentru a preveni declinul regional structural;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consideră că acest caz evidențiază consecințele dependenței continue a Europei de actori din țări terțe în ceea ce privește tehnologiile-cheie și proprietatea intelectuală;</w:t>
            </w:r>
            <w:r>
              <w:t xml:space="preserve"> </w:t>
            </w:r>
            <w:r>
              <w:rPr>
                <w:b/>
                <w:i/>
              </w:rPr>
              <w:t>subliniază că mobilizarea FEG reflectă necesitatea de a aborda impactul social al unor astfel de dependențe strategice, reafirmând, în același timp, că reducerea acestor dependențe rămâne o prioritate;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reamintește că, la nivel european, competitivitatea industrială este grav afectată de creșterea costurilor energiei și de inflația în materie de reglementare;</w:t>
            </w:r>
            <w:r>
              <w:t xml:space="preserve"> </w:t>
            </w:r>
            <w:r>
              <w:rPr>
                <w:b/>
                <w:i/>
              </w:rPr>
              <w:t>avertizează că, fără o revizuire radicală a mecanismelor de stabilire a prețurilor la energie și fără o simplificare drastică, alte închideri similare sunt inevitabile;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salută o inițiativă a grupului de antreprenori europeni care vizează revitalizarea mărcii în Germania, Franța, Belgia, Italia și Polonia;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subliniază că, în Flandra, riscul de șomaj este de peste două ori mai mare pentru persoanele cu un nivel scăzut de educație; constată că o treime din lucrătorii disponibilizați nu au mai mult de un nivel de învățământ secundar inferior; invită autoritățile belgiene să ofere sprijin specific adaptat acestor profiluri pentru a-i ajuta pe lucrători să-și depășească deficiențele și să-și găsească noi locuri de muncă</w:t>
            </w:r>
            <w:r>
              <w:rPr>
                <w:b/>
                <w:i/>
              </w:rPr>
              <w:t>, luând, în același timp, măsuri pentru a reduce falimentele și a aborda disparitățile sociale care conduc la excluziunea forței de muncă</w:t>
            </w:r>
            <w:r>
              <w:t>;</w:t>
            </w:r>
          </w:p>
        </w:tc>
        <w:tc>
          <w:tcPr>
            <w:tcW w:w="4876" w:type="dxa"/>
            <w:tcBorders>
              <w:top w:val="nil"/>
              <w:left w:val="nil"/>
              <w:bottom w:val="nil"/>
              <w:right w:val="nil"/>
            </w:tcBorders>
          </w:tcPr>
          <w:p>
            <w:pPr>
              <w:pStyle w:val="Normal6a"/>
            </w:pPr>
            <w:r>
              <w:t>6.</w:t>
            </w:r>
            <w:r>
              <w:tab/>
            </w:r>
            <w:r>
              <w:t>subliniază că, în Flandra, riscul de șomaj este de peste două ori mai mare pentru persoanele cu un nivel scăzut de educație; constată că o treime din lucrătorii disponibilizați nu au mai mult de un nivel de învățământ secundar inferior; invită autoritățile belgiene să ofere sprijin specific adaptat acestor profiluri pentru a-i ajuta pe lucrători să-și depășească deficiențele și să-și găsească noi locuri de muncă;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reamintește că serviciile personalizate care urmează să fie furnizate lucrătorilor, stabilite de comun acord cu sindicatele, experții și partenerii sociali, constau în următoarele măsuri: sesiuni de informare pentru reintegrarea pe piața muncii, servicii de plasare pe piața muncii a personalului disponibilizat, inclusiv formare în domeniul TIC; asistență pentru găsirea unui loc de muncă prin orientare și ajutor pentru căutarea unui loc de muncă, formare și recalificare, târguri de locuri de muncă, servicii de recrutare activă și corelarea cererii și a ofertei de locuri de muncă; subliniază importanța promovării unor locuri de muncă de înaltă calitate, orientate spre viitor, pentru a se asigura reziliența economică și socială pe termen lung;</w:t>
            </w:r>
          </w:p>
        </w:tc>
        <w:tc>
          <w:tcPr>
            <w:tcW w:w="4876" w:type="dxa"/>
            <w:tcBorders>
              <w:top w:val="nil"/>
              <w:left w:val="nil"/>
              <w:bottom w:val="nil"/>
              <w:right w:val="nil"/>
            </w:tcBorders>
          </w:tcPr>
          <w:p>
            <w:pPr>
              <w:pStyle w:val="Normal6a"/>
            </w:pPr>
            <w:r>
              <w:t>7.</w:t>
            </w:r>
            <w:r>
              <w:tab/>
            </w:r>
            <w:r>
              <w:t xml:space="preserve">reamintește că serviciile personalizate care urmează să fie furnizate lucrătorilor, stabilite de comun acord cu sindicatele, experții și partenerii sociali, constau în următoarele măsuri: sesiuni de informare pentru reintegrarea pe piața muncii, servicii de plasare pe piața muncii a personalului disponibilizat, inclusiv formare în domeniul TIC; asistență pentru găsirea unui loc de muncă prin orientare și ajutor pentru căutarea unui loc de muncă, formare și recalificare, târguri de locuri de muncă, servicii de recrutare activă și corelarea cererii și a ofertei de locuri de muncă; subliniază importanța promovării unor locuri de muncă de înaltă calitate, orientate spre viitor, pentru a se asigura reziliența economică și socială pe termen lung; </w:t>
            </w:r>
            <w:r>
              <w:rPr>
                <w:b/>
                <w:i/>
              </w:rPr>
              <w:t>invită autoritățile belgiene să stabilească un dialog cu noii reprezentanți europeni ai Tupperware pentru a analiza posibilitățile de reintegrare a lucrătorilor disponibilizați în activitățile lor economice;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reamintește că serviciile personalizate care urmează să fie furnizate lucrătorilor, stabilite de comun acord cu sindicatele, experții și partenerii sociali, constau în următoarele măsuri: sesiuni de informare pentru reintegrarea pe piața muncii, servicii de plasare pe piața muncii a personalului disponibilizat, inclusiv formare în domeniul TIC; asistență pentru găsirea unui loc de muncă prin orientare și ajutor pentru căutarea unui loc de muncă, formare și recalificare, târguri de locuri de muncă, servicii de recrutare activă și corelarea cererii și a ofertei de locuri de muncă; subliniază importanța promovării unor locuri de muncă de înaltă calitate</w:t>
            </w:r>
            <w:r>
              <w:rPr>
                <w:b/>
                <w:i/>
              </w:rPr>
              <w:t>, orientate spre viitor</w:t>
            </w:r>
            <w:r>
              <w:t xml:space="preserve">, pentru a se asigura </w:t>
            </w:r>
            <w:r>
              <w:rPr>
                <w:b/>
                <w:i/>
              </w:rPr>
              <w:t>reziliența</w:t>
            </w:r>
            <w:r>
              <w:t xml:space="preserve"> economică </w:t>
            </w:r>
            <w:r>
              <w:rPr>
                <w:b/>
                <w:i/>
              </w:rPr>
              <w:t>și socială</w:t>
            </w:r>
            <w:r>
              <w:t xml:space="preserve"> pe termen lung;</w:t>
            </w:r>
          </w:p>
        </w:tc>
        <w:tc>
          <w:tcPr>
            <w:tcW w:w="4876" w:type="dxa"/>
            <w:tcBorders>
              <w:top w:val="nil"/>
              <w:left w:val="nil"/>
              <w:bottom w:val="nil"/>
              <w:right w:val="nil"/>
            </w:tcBorders>
          </w:tcPr>
          <w:p>
            <w:pPr>
              <w:pStyle w:val="Normal6a"/>
            </w:pPr>
            <w:r>
              <w:t>7.</w:t>
            </w:r>
            <w:r>
              <w:tab/>
            </w:r>
            <w:r>
              <w:t xml:space="preserve">reamintește că serviciile personalizate care urmează să fie furnizate lucrătorilor, stabilite de comun acord cu sindicatele, experții și partenerii sociali, constau în următoarele măsuri: sesiuni de informare pentru reintegrarea pe piața muncii, servicii de plasare pe piața muncii a personalului disponibilizat, inclusiv formare în domeniul TIC; asistență pentru găsirea unui loc de muncă prin orientare și ajutor pentru căutarea unui loc de muncă, formare și recalificare, târguri de locuri de muncă, servicii de recrutare activă și corelarea cererii și a ofertei de locuri de muncă; subliniază importanța promovării unor locuri de muncă de înaltă calitate </w:t>
            </w:r>
            <w:r>
              <w:rPr>
                <w:b/>
                <w:i/>
              </w:rPr>
              <w:t>și de durată în sectorul industrial</w:t>
            </w:r>
            <w:r>
              <w:t xml:space="preserve">, pentru a se asigura </w:t>
            </w:r>
            <w:r>
              <w:rPr>
                <w:b/>
                <w:i/>
              </w:rPr>
              <w:t>creșterea</w:t>
            </w:r>
            <w:r>
              <w:t xml:space="preserve"> economică pe termen lung;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subliniază că calificările și competențele lucrătorilor disponibilizați rămân esențiale pentru o economie europeană adaptată exigențelor viitorului; </w:t>
            </w:r>
            <w:r>
              <w:rPr>
                <w:b/>
                <w:i/>
              </w:rPr>
              <w:t>consideră, prin urmare, că mobilizarea FEG trebuie integrată într-un răspuns mai amplu în materie de politici, la toate nivelurile politice, pentru a garanta că lucrătorii afectați au acces la oportunități adecvate, în conformitate cu calificările și competențele lor;</w:t>
            </w:r>
            <w:r>
              <w:t xml:space="preserve"> reamintește</w:t>
            </w:r>
            <w:r>
              <w:rPr>
                <w:b/>
                <w:i/>
              </w:rPr>
              <w:t>, de asemenea, că FEG reprezintă un instrument de solidaritate și de tranziție justă și că sarcina principală a Uniunii trebuie să fie,</w:t>
            </w:r>
            <w:r>
              <w:t xml:space="preserve"> în primul rând</w:t>
            </w:r>
            <w:r>
              <w:rPr>
                <w:b/>
                <w:i/>
              </w:rPr>
              <w:t>, prevenirea unor astfel de închideri</w:t>
            </w:r>
            <w:r>
              <w:t>;</w:t>
            </w:r>
          </w:p>
        </w:tc>
        <w:tc>
          <w:tcPr>
            <w:tcW w:w="4876" w:type="dxa"/>
            <w:tcBorders>
              <w:top w:val="nil"/>
              <w:left w:val="nil"/>
              <w:bottom w:val="nil"/>
              <w:right w:val="nil"/>
            </w:tcBorders>
          </w:tcPr>
          <w:p>
            <w:pPr>
              <w:pStyle w:val="Normal6a"/>
            </w:pPr>
            <w:r>
              <w:t>8.</w:t>
            </w:r>
            <w:r>
              <w:tab/>
            </w:r>
            <w:r>
              <w:t xml:space="preserve">subliniază că calificările și competențele lucrătorilor disponibilizați rămân esențiale pentru o economie europeană adaptată exigențelor viitorului; reamintește </w:t>
            </w:r>
            <w:r>
              <w:rPr>
                <w:b/>
                <w:i/>
              </w:rPr>
              <w:t>că prevenirea închiderii întreprinderilor și protejarea locurilor de muncă din industrie rămân</w:t>
            </w:r>
            <w:r>
              <w:t xml:space="preserve"> în primul rând </w:t>
            </w:r>
            <w:r>
              <w:rPr>
                <w:b/>
                <w:i/>
              </w:rPr>
              <w:t>o responsabilitate națională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subliniază că calificările și competențele lucrătorilor disponibilizați rămân esențiale pentru o economie europeană adaptată exigențelor viitorului; consideră, prin urmare, că mobilizarea FEG trebuie integrată într-un răspuns mai amplu în materie de politici, la toate nivelurile politice, pentru a garanta că lucrătorii afectați au acces la oportunități adecvate, în conformitate cu calificările și competențele lor; reamintește</w:t>
            </w:r>
            <w:r>
              <w:rPr>
                <w:b/>
                <w:i/>
              </w:rPr>
              <w:t>, de asemenea,</w:t>
            </w:r>
            <w:r>
              <w:t xml:space="preserve"> că </w:t>
            </w:r>
            <w:r>
              <w:rPr>
                <w:b/>
                <w:i/>
              </w:rPr>
              <w:t>FEG reprezintă un instrument de solidaritate și de tranziție justă și că sarcina principală a Uniunii trebuie să fie, în primul rând, prevenirea unor astfel de închideri</w:t>
            </w:r>
            <w:r>
              <w:t>;</w:t>
            </w:r>
          </w:p>
        </w:tc>
        <w:tc>
          <w:tcPr>
            <w:tcW w:w="4876" w:type="dxa"/>
            <w:tcBorders>
              <w:top w:val="nil"/>
              <w:left w:val="nil"/>
              <w:bottom w:val="nil"/>
              <w:right w:val="nil"/>
            </w:tcBorders>
          </w:tcPr>
          <w:p>
            <w:pPr>
              <w:pStyle w:val="Normal6a"/>
            </w:pPr>
            <w:r>
              <w:t>8.</w:t>
            </w:r>
            <w:r>
              <w:tab/>
            </w:r>
            <w:r>
              <w:t>subliniază că calificările și competențele lucrătorilor disponibilizați rămân esențiale pentru o economie europeană adaptată exigențelor viitorului; consideră, prin urmare, că mobilizarea FEG trebuie integrată într-un răspuns mai amplu în materie de politici, la toate nivelurile politice, pentru a garanta că lucrătorii afectați au acces la oportunități adecvate, în conformitate cu calificările și competențele lor; reamintește că</w:t>
            </w:r>
            <w:r>
              <w:rPr>
                <w:b/>
                <w:i/>
              </w:rPr>
              <w:t>, în conformitate cu obiectivele stabilite în Busola pentru competitivitate, deși FEG oferă sprijinul necesar lucrătorilor afectați, o politică industrială mai puternică și o economie mai robustă și mai rezilientă sunt esențiale pentru a reduce concedierile la scară largă și pentru a proteja baza de locuri de muncă din industria europeană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subliniază că calificările și competențele lucrătorilor disponibilizați rămân esențiale pentru o economie europeană </w:t>
            </w:r>
            <w:r>
              <w:rPr>
                <w:b/>
                <w:i/>
              </w:rPr>
              <w:t>adaptată exigențelor viitorului</w:t>
            </w:r>
            <w:r>
              <w:t xml:space="preserve">; consideră, prin urmare, că mobilizarea FEG trebuie integrată într-un răspuns mai amplu în materie de politici, la toate nivelurile politice, pentru a garanta că lucrătorii afectați au acces la oportunități adecvate, în conformitate cu calificările și competențele lor; reamintește, de asemenea, că FEG reprezintă un instrument de solidaritate </w:t>
            </w:r>
            <w:r>
              <w:rPr>
                <w:b/>
                <w:i/>
              </w:rPr>
              <w:t>și de tranziție justă</w:t>
            </w:r>
            <w:r>
              <w:t xml:space="preserve"> și că sarcina principală a Uniunii trebuie să fie, în primul rând, prevenirea unor astfel de închideri;</w:t>
            </w:r>
          </w:p>
        </w:tc>
        <w:tc>
          <w:tcPr>
            <w:tcW w:w="4876" w:type="dxa"/>
            <w:tcBorders>
              <w:top w:val="nil"/>
              <w:left w:val="nil"/>
              <w:bottom w:val="nil"/>
              <w:right w:val="nil"/>
            </w:tcBorders>
          </w:tcPr>
          <w:p>
            <w:pPr>
              <w:pStyle w:val="Normal6a"/>
            </w:pPr>
            <w:r>
              <w:t>8.</w:t>
            </w:r>
            <w:r>
              <w:tab/>
            </w:r>
            <w:r>
              <w:t xml:space="preserve">subliniază că calificările și competențele lucrătorilor disponibilizați rămân esențiale pentru o economie europeană </w:t>
            </w:r>
            <w:r>
              <w:rPr>
                <w:b/>
                <w:i/>
              </w:rPr>
              <w:t>productivă</w:t>
            </w:r>
            <w:r>
              <w:t xml:space="preserve">; consideră, prin urmare, că mobilizarea FEG trebuie integrată într-un răspuns mai amplu în materie de politici, la toate nivelurile politice, pentru a garanta că lucrătorii afectați au acces la oportunități adecvate, în conformitate cu calificările și competențele lor; reamintește, de asemenea, că FEG reprezintă un instrument de solidaritate </w:t>
            </w:r>
            <w:r>
              <w:rPr>
                <w:b/>
                <w:i/>
              </w:rPr>
              <w:t>în caz de urgență</w:t>
            </w:r>
            <w:r>
              <w:t xml:space="preserve"> și că sarcina principală a Uniunii </w:t>
            </w:r>
            <w:r>
              <w:rPr>
                <w:b/>
                <w:i/>
              </w:rPr>
              <w:t>Europene</w:t>
            </w:r>
            <w:r>
              <w:t xml:space="preserve"> trebuie să fie, în primul rând, prevenirea unor astfel de închideri</w:t>
            </w:r>
            <w:r>
              <w:rPr>
                <w:b/>
                <w:i/>
              </w:rPr>
              <w:t>, prin apărarea producției industriale pe teritoriul european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consideră că FEG, deși este indispensabil pentru sprijinirea lucrătorilor pe termen scurt, constituie o măsură curativă care nu poate compensa consecințele structurale ale unei politici comerciale a Uniunii Europene care este prea deschisă și nu-și protejează piața sa internă;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solicită evaluări finale aprofundate ale măsurilor aplicate, inclusiv informații clare care să precizeze cum au fost utilizate fondurile și dacă acestea au fost cheltuite în conformitate cu planurile aprobate;</w:t>
            </w:r>
          </w:p>
        </w:tc>
        <w:tc>
          <w:tcPr>
            <w:tcW w:w="4876" w:type="dxa"/>
            <w:tcBorders>
              <w:top w:val="nil"/>
              <w:left w:val="nil"/>
              <w:bottom w:val="nil"/>
              <w:right w:val="nil"/>
            </w:tcBorders>
          </w:tcPr>
          <w:p>
            <w:pPr>
              <w:pStyle w:val="Normal6a"/>
            </w:pPr>
            <w:r>
              <w:t>10.</w:t>
            </w:r>
            <w:r>
              <w:tab/>
            </w:r>
            <w:r>
              <w:t xml:space="preserve">solicită evaluări finale aprofundate ale măsurilor aplicate, inclusiv informații clare care să precizeze cum au fost utilizate fondurile și dacă acestea au fost cheltuite în conformitate cu planurile aprobate; </w:t>
            </w:r>
            <w:r>
              <w:rPr>
                <w:b/>
                <w:i/>
              </w:rPr>
              <w:t>subliniază că astfel de evaluări ar trebui să se bazeze pe obiective clar definite și pe rezultate măsurabile, permițând o evaluare a rezultatelor obținute pentru lucrătorii în cauză;</w:t>
            </w:r>
            <w:r>
              <w:t xml:space="preserve"> </w:t>
            </w:r>
            <w:r>
              <w:rPr>
                <w:b/>
                <w:i/>
              </w:rPr>
              <w:t>subliniază importanța asigurării unor intervenții mai rapide și mai eficace și reamintește, în acest context, necesitatea de a analiza modalități de asigurare a sustenabilității FEG sau a programului care îi va succeda, în cadrul următorului cadru financiar multianual 2028-2034;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solicită evaluări finale aprofundate ale măsurilor aplicate, inclusiv informații clare care să precizeze cum au fost utilizate fondurile și dacă acestea au fost cheltuite în conformitate cu planurile aprobate;</w:t>
            </w:r>
          </w:p>
        </w:tc>
        <w:tc>
          <w:tcPr>
            <w:tcW w:w="4876" w:type="dxa"/>
            <w:tcBorders>
              <w:top w:val="nil"/>
              <w:left w:val="nil"/>
              <w:bottom w:val="nil"/>
              <w:right w:val="nil"/>
            </w:tcBorders>
          </w:tcPr>
          <w:p>
            <w:pPr>
              <w:pStyle w:val="Normal6a"/>
            </w:pPr>
            <w:r>
              <w:t>10.</w:t>
            </w:r>
            <w:r>
              <w:tab/>
            </w:r>
            <w:r>
              <w:t>solicită evaluări finale aprofundate ale măsurilor aplicate, inclusiv informații clare care să precizeze cum au fost utilizate fondurile și dacă acestea au fost cheltuite în conformitate cu planurile aprobate</w:t>
            </w:r>
            <w:r>
              <w:rPr>
                <w:b/>
                <w:i/>
              </w:rPr>
              <w:t>, precum și o evaluare a ratei reale de reintegrare a beneficiarilor în locuri de muncă stabile și raportul cost-eficacitate al măsurilor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784.155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w:t>
    </w:r>
    <w:r>
      <w:fldChar w:fldCharType="end"/>
    </w:r>
    <w:r>
      <w:t>/</w:t>
    </w:r>
    <w:r>
      <w:fldChar w:fldCharType="begin"/>
    </w:r>
    <w:r>
      <w:instrText xml:space="preserve"> NUMPAGES </w:instrText>
    </w:r>
    <w:r>
      <w:fldChar w:fldCharType="separate"/>
    </w:r>
    <w:r>
      <w:t>10</w:t>
    </w:r>
    <w:r>
      <w:fldChar w:fldCharType="end"/>
    </w:r>
    <w:r>
      <w:tab/>
    </w:r>
    <w:r>
      <w:rPr>
        <w:rStyle w:val="HideTWBExt"/>
      </w:rPr>
      <w:t>&lt;PathFdR&gt;</w:t>
    </w:r>
    <w:r>
      <w:t>AM\1336304RO.docx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AM\1336304RO.docx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10</w:t>
    </w:r>
    <w:r>
      <w:fldChar w:fldCharType="end"/>
    </w:r>
    <w:r>
      <w:tab/>
    </w:r>
    <w:r>
      <w:t>PE</w:t>
    </w:r>
    <w:r>
      <w:rPr>
        <w:rStyle w:val="HideTWBExt"/>
      </w:rPr>
      <w:t>&lt;NoPE&gt;</w:t>
    </w:r>
    <w:r>
      <w:t>784.155</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AM\1336304RO.docx</w:t>
    </w:r>
    <w:r>
      <w:rPr>
        <w:rStyle w:val="HideTWBExt"/>
      </w:rPr>
      <w:t>&lt;/PathFdR&gt;</w:t>
    </w:r>
    <w:r>
      <w:tab/>
    </w:r>
    <w:r>
      <w:tab/>
    </w:r>
    <w:r>
      <w:t>PE</w:t>
    </w:r>
    <w:r>
      <w:rPr>
        <w:rStyle w:val="HideTWBExt"/>
      </w:rPr>
      <w:t>&lt;NoPE&gt;</w:t>
    </w:r>
    <w:r>
      <w:t>784.155</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1971</Words>
  <Characters>11942</Characters>
  <Application>Microsoft Office Word</Application>
  <DocSecurity>0</DocSecurity>
  <Lines>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1336304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389594</vt:lpwstr>
  </property>
  <property fmtid="{D5CDD505-2E9C-101B-9397-08002B2CF9AE}" pid="7" name="dmxml.render.traceId">
    <vt:lpwstr>699d735a861da2595c3ffc278c6a5058</vt:lpwstr>
  </property>
  <property fmtid="{D5CDD505-2E9C-101B-9397-08002B2CF9AE}" pid="8" name="FooterPath">
    <vt:lpwstr>AM\1336304RO.docx</vt:lpwstr>
  </property>
  <property fmtid="{D5CDD505-2E9C-101B-9397-08002B2CF9AE}" pid="9" name="PE Number">
    <vt:lpwstr>784.155</vt:lpwstr>
  </property>
  <property fmtid="{D5CDD505-2E9C-101B-9397-08002B2CF9AE}" pid="10" name="UID">
    <vt:lpwstr>eu.europa.europarl-DIN1-2026-0000025636_02.00-ro-01.00_text-xml</vt:lpwstr>
  </property>
</Properties>
</file>