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Odbor za proračun</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Uporaba Evropskega sklada za prilagoditev globalizaciji za presežne delavce na podlagi vloge Belgije – EGF/2025/004 BE/Tupperware</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b/>
            </w:r>
            <w:r>
              <w:rPr>
                <w:b/>
                <w:i/>
              </w:rPr>
              <w:t>ob upoštevanju evropskega stebra socialnih pravic,</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ker je podjetje Tupperware prijavilo stečaj 17. februarja 2025; ker se v Belgiji število stečajev od leta 2022 povečuje;</w:t>
            </w:r>
          </w:p>
        </w:tc>
        <w:tc>
          <w:tcPr>
            <w:tcW w:w="4876" w:type="dxa"/>
            <w:tcBorders>
              <w:top w:val="nil"/>
              <w:left w:val="nil"/>
              <w:bottom w:val="nil"/>
              <w:right w:val="nil"/>
            </w:tcBorders>
          </w:tcPr>
          <w:p>
            <w:pPr>
              <w:pStyle w:val="Normal6a"/>
            </w:pPr>
            <w:r>
              <w:t>D.</w:t>
            </w:r>
            <w:r>
              <w:tab/>
            </w:r>
            <w:r>
              <w:t>ker je podjetje Tupperware prijavilo stečaj 17. februarja 2025; ker se v Belgiji število stečajev od leta 2022 povečuje</w:t>
            </w:r>
            <w:r>
              <w:rPr>
                <w:b/>
                <w:i/>
              </w:rPr>
              <w:t>, kar zlasti vpliva na industrijski sektor v razmerah gospodarske stagnacije in visokih proizvodnih stroškov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ker so se z zaprtjem obrata Tupperware v Belgiji pokazala tveganja, povezana z odvisnostjo od centrov strateškega odločanja zunaj Evropske unije, kar slabi lokalno industrijsko strukturo;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ugotavlja, da se je podjetje Tupperware nahajalo v Aalstu v provinci Vzhodna Flandrija, kjer je bila zaposlena le vsaka druga oseba, v primerjavi s povprečno dvema tretjinama oseb v regiji Flandrija že pred stečajem podjetja Tupperware;</w:t>
            </w:r>
          </w:p>
        </w:tc>
        <w:tc>
          <w:tcPr>
            <w:tcW w:w="4876" w:type="dxa"/>
            <w:tcBorders>
              <w:top w:val="nil"/>
              <w:left w:val="nil"/>
              <w:bottom w:val="nil"/>
              <w:right w:val="nil"/>
            </w:tcBorders>
          </w:tcPr>
          <w:p>
            <w:pPr>
              <w:pStyle w:val="Normal6a"/>
            </w:pPr>
            <w:r>
              <w:t>4.</w:t>
            </w:r>
            <w:r>
              <w:tab/>
            </w:r>
            <w:r>
              <w:t xml:space="preserve">ugotavlja, da se je podjetje Tupperware nahajalo v Aalstu v provinci Vzhodna Flandrija, kjer je bila zaposlena le vsaka druga oseba, v primerjavi s povprečno dvema tretjinama oseb v regiji Flandrija že pred stečajem podjetja Tupperware; </w:t>
            </w:r>
            <w:r>
              <w:rPr>
                <w:b/>
                <w:i/>
              </w:rPr>
              <w:t>obžaluje, da se bodo zaradi teh presežkov razmere še poslabšale;</w:t>
            </w:r>
            <w:r>
              <w:t xml:space="preserve"> </w:t>
            </w:r>
            <w:r>
              <w:rPr>
                <w:b/>
                <w:i/>
              </w:rPr>
              <w:t>poudarja, da je treba hitro ukrepati, da bi preprečili strukturno nazadovanje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meni, da ta primer opozarja na posledice trajne odvisnosti Evrope od akterjev iz tretjih držav glede ključnih tehnologij in intelektualne lastnine;</w:t>
            </w:r>
            <w:r>
              <w:t xml:space="preserve"> </w:t>
            </w:r>
            <w:r>
              <w:rPr>
                <w:b/>
                <w:i/>
              </w:rPr>
              <w:t>poudarja, da uporaba sredstev ESPG kaže na to, da je treba obravnavati socialne učinke takih strateških odvisnosti, hkrati pa ponovno potrjuje, da zmanjšanje teh odvisnosti ostaja prednostna naloga;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opozarja, da na industrijsko konkurenčnost v Evropi močno vplivajo naraščajoči stroški energije in regulativna inflacija;</w:t>
            </w:r>
            <w:r>
              <w:t xml:space="preserve"> </w:t>
            </w:r>
            <w:r>
              <w:rPr>
                <w:b/>
                <w:i/>
              </w:rPr>
              <w:t>opozarja, da so brez temeljite revizije mehanizmov določanja cen energije in korenite poenostavitve podobna zaprtja v prihodnje neizogibna;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pozdravlja pobudo skupine evropskih podjetnikov za oživitev blagovne znamke v Nemčiji, Franciji, Belgiji, Italiji in na Poljskem;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poudarja, da je v Flandriji tveganje za brezposelnost pri ljudeh z nizko stopnjo izobrazbe več kot dvakrat večje; ugotavlja, da tretjina presežnih delavcev nima več kot nižje sekundarne izobrazbe; poziva belgijske organe, naj zagotovijo posebno podporo, prilagojeno tem profilom, da bi delavcem pomagali pri premagovanju njihovih pomanjkljivosti in </w:t>
            </w:r>
            <w:r>
              <w:rPr>
                <w:b/>
                <w:i/>
              </w:rPr>
              <w:t>pri</w:t>
            </w:r>
            <w:r>
              <w:t xml:space="preserve"> iskanju nove zaposlitve</w:t>
            </w:r>
            <w:r>
              <w:rPr>
                <w:b/>
                <w:i/>
              </w:rPr>
              <w:t>, hkrati pa sprejmejo ukrepe za zmanjšanje stečajev in odpravo socialnih razlik, ki vodijo v izključitev delovne sile</w:t>
            </w:r>
            <w:r>
              <w:t>;</w:t>
            </w:r>
          </w:p>
        </w:tc>
        <w:tc>
          <w:tcPr>
            <w:tcW w:w="4876" w:type="dxa"/>
            <w:tcBorders>
              <w:top w:val="nil"/>
              <w:left w:val="nil"/>
              <w:bottom w:val="nil"/>
              <w:right w:val="nil"/>
            </w:tcBorders>
          </w:tcPr>
          <w:p>
            <w:pPr>
              <w:pStyle w:val="Normal6a"/>
            </w:pPr>
            <w:r>
              <w:t>6.</w:t>
            </w:r>
            <w:r>
              <w:tab/>
            </w:r>
            <w:r>
              <w:t>poudarja, da je v Flandriji tveganje za brezposelnost pri ljudeh z nizko stopnjo izobrazbe več kot dvakrat večje; ugotavlja, da tretjina presežnih delavcev nima več kot nižje sekundarne izobrazbe; poziva belgijske organe, naj zagotovijo posebno podporo, prilagojeno tem profilom, da bi delavcem pomagali pri premagovanju njihovih pomanjkljivosti in iskanju nove zaposlitve;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opozarja, da v dogovoru s sindikati, strokovnjaki in socialnimi partnerji prilagojene storitve, ki bodo zagotovljene delavcem, vključujejo naslednje ukrepe: informativne dogodke za ponovno vključitev na trg dela, storitve iskanja nadomestne zaposlitve, vključno z usposabljanjem na področju IKT; pomoč pri iskanju zaposlitve z usmerjanjem in pomočjo pri iskanju zaposlitve, usposabljanje in preusposabljanje, karierni sejem, iskanje delovnih mest ter povezovanje ponudbe delovnih mest in povpraševanja po njih; poudarja pomen spodbujanja visokokakovostnih, v prihodnost usmerjenih delovnih mest, da se zagotovi dolgoročna gospodarska in socialna odpornost;</w:t>
            </w:r>
          </w:p>
        </w:tc>
        <w:tc>
          <w:tcPr>
            <w:tcW w:w="4876" w:type="dxa"/>
            <w:tcBorders>
              <w:top w:val="nil"/>
              <w:left w:val="nil"/>
              <w:bottom w:val="nil"/>
              <w:right w:val="nil"/>
            </w:tcBorders>
          </w:tcPr>
          <w:p>
            <w:pPr>
              <w:pStyle w:val="Normal6a"/>
            </w:pPr>
            <w:r>
              <w:t>7.</w:t>
            </w:r>
            <w:r>
              <w:tab/>
            </w:r>
            <w:r>
              <w:t xml:space="preserve">opozarja, da v dogovoru s sindikati, strokovnjaki in socialnimi partnerji prilagojene storitve, ki bodo zagotovljene delavcem, vključujejo naslednje ukrepe: informativne dogodke za ponovno vključitev na trg dela, storitve iskanja nadomestne zaposlitve, vključno z usposabljanjem na področju IKT; pomoč pri iskanju zaposlitve z usmerjanjem in pomočjo pri iskanju zaposlitve, usposabljanje in preusposabljanje, karierni sejem, iskanje delovnih mest ter povezovanje ponudbe delovnih mest in povpraševanja po njih; poudarja pomen spodbujanja visokokakovostnih, v prihodnost usmerjenih delovnih mest, da se zagotovi dolgoročna gospodarska in socialna odpornost; </w:t>
            </w:r>
            <w:r>
              <w:rPr>
                <w:b/>
                <w:i/>
              </w:rPr>
              <w:t>poziva belgijske oblasti, naj vzpostavijo dialog z novimi evropskimi predstavniki podjetja Tupperware, da bi preučili možnosti za ponovno vključitev presežnih delavcev v njihove gospodarske dejavnosti;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opozarja, da v dogovoru s sindikati, strokovnjaki in socialnimi partnerji prilagojene storitve, ki bodo zagotovljene delavcem, vključujejo naslednje ukrepe: informativne dogodke za ponovno vključitev na trg dela, storitve iskanja nadomestne zaposlitve, vključno z usposabljanjem na področju IKT; pomoč pri iskanju zaposlitve z usmerjanjem in pomočjo pri iskanju zaposlitve, usposabljanje in preusposabljanje, karierni sejem, iskanje delovnih mest ter povezovanje ponudbe delovnih mest in povpraševanja po njih; poudarja pomen spodbujanja visokokakovostnih</w:t>
            </w:r>
            <w:r>
              <w:rPr>
                <w:b/>
                <w:i/>
              </w:rPr>
              <w:t>, v prihodnost usmerjenih</w:t>
            </w:r>
            <w:r>
              <w:t xml:space="preserve"> delovnih mest, da se zagotovi dolgoročna gospodarska </w:t>
            </w:r>
            <w:r>
              <w:rPr>
                <w:b/>
                <w:i/>
              </w:rPr>
              <w:t>in socialna odpornost</w:t>
            </w:r>
            <w:r>
              <w:t>;</w:t>
            </w:r>
          </w:p>
        </w:tc>
        <w:tc>
          <w:tcPr>
            <w:tcW w:w="4876" w:type="dxa"/>
            <w:tcBorders>
              <w:top w:val="nil"/>
              <w:left w:val="nil"/>
              <w:bottom w:val="nil"/>
              <w:right w:val="nil"/>
            </w:tcBorders>
          </w:tcPr>
          <w:p>
            <w:pPr>
              <w:pStyle w:val="Normal6a"/>
            </w:pPr>
            <w:r>
              <w:t>7.</w:t>
            </w:r>
            <w:r>
              <w:tab/>
            </w:r>
            <w:r>
              <w:t xml:space="preserve">opozarja, da v dogovoru s sindikati, strokovnjaki in socialnimi partnerji prilagojene storitve, ki bodo zagotovljene delavcem, vključujejo naslednje ukrepe: informativne dogodke za ponovno vključitev na trg dela, storitve iskanja nadomestne zaposlitve, vključno z usposabljanjem na področju IKT; pomoč pri iskanju zaposlitve z usmerjanjem in pomočjo pri iskanju zaposlitve, usposabljanje in preusposabljanje, karierni sejem, iskanje delovnih mest ter povezovanje ponudbe delovnih mest in povpraševanja po njih; poudarja pomen spodbujanja visokokakovostnih </w:t>
            </w:r>
            <w:r>
              <w:rPr>
                <w:b/>
                <w:i/>
              </w:rPr>
              <w:t>in trajnih industrijskih</w:t>
            </w:r>
            <w:r>
              <w:t xml:space="preserve"> delovnih mest, da se zagotovi dolgoročna gospodarska </w:t>
            </w:r>
            <w:r>
              <w:rPr>
                <w:b/>
                <w:i/>
              </w:rPr>
              <w:t>rast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poudarja, da so kvalifikacije ter znanja in spretnosti odpuščenih delavcev še vedno ključnega pomena za evropsko gospodarstvo, ki bo kos izzivom prihodnosti; </w:t>
            </w:r>
            <w:r>
              <w:rPr>
                <w:b/>
                <w:i/>
              </w:rPr>
              <w:t>zato meni, da je treba mobilizacijo sredstev ESPG vključiti v širši politični odziv na vse političnih ravneh, da bi prizadetim delavcem zagotovili ustrezne priložnosti v skladu z njihovimi kvalifikacijami ter znanji in spretnostmi;</w:t>
            </w:r>
            <w:r>
              <w:t xml:space="preserve"> opozarja </w:t>
            </w:r>
            <w:r>
              <w:rPr>
                <w:b/>
                <w:i/>
              </w:rPr>
              <w:t>tudi, da je ESPG instrument solidarnosti in pravičnega prehoda ter da mora biti glavna naloga Unije</w:t>
            </w:r>
            <w:r>
              <w:t xml:space="preserve"> predvsem </w:t>
            </w:r>
            <w:r>
              <w:rPr>
                <w:b/>
                <w:i/>
              </w:rPr>
              <w:t>preprečiti takšna zapiranja</w:t>
            </w:r>
            <w:r>
              <w:t>;</w:t>
            </w:r>
          </w:p>
        </w:tc>
        <w:tc>
          <w:tcPr>
            <w:tcW w:w="4876" w:type="dxa"/>
            <w:tcBorders>
              <w:top w:val="nil"/>
              <w:left w:val="nil"/>
              <w:bottom w:val="nil"/>
              <w:right w:val="nil"/>
            </w:tcBorders>
          </w:tcPr>
          <w:p>
            <w:pPr>
              <w:pStyle w:val="Normal6a"/>
            </w:pPr>
            <w:r>
              <w:t>8.</w:t>
            </w:r>
            <w:r>
              <w:tab/>
            </w:r>
            <w:r>
              <w:t>poudarja, da so kvalifikacije ter znanja in spretnosti odpuščenih delavcev še vedno ključnega pomena za evropsko gospodarstvo, ki bo kos izzivom prihodnosti; opozarja</w:t>
            </w:r>
            <w:r>
              <w:rPr>
                <w:b/>
                <w:i/>
              </w:rPr>
              <w:t>, da preprečevanje zapiranja podjetij in ohranjanje delovnih mest v industriji ostajata</w:t>
            </w:r>
            <w:r>
              <w:t xml:space="preserve"> predvsem </w:t>
            </w:r>
            <w:r>
              <w:rPr>
                <w:b/>
                <w:i/>
              </w:rPr>
              <w:t>v nacionalni pristojnosti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poudarja, da so kvalifikacije ter znanja in spretnosti odpuščenih delavcev še vedno ključnega pomena za evropsko gospodarstvo, ki bo kos izzivom prihodnosti; zato meni, da je treba mobilizacijo sredstev ESPG vključiti v širši politični odziv na vse političnih ravneh, da bi prizadetim delavcem zagotovili ustrezne priložnosti v skladu z njihovimi kvalifikacijami ter znanji in spretnostmi; opozarja </w:t>
            </w:r>
            <w:r>
              <w:rPr>
                <w:b/>
                <w:i/>
              </w:rPr>
              <w:t>tudi, da je ESPG instrument solidarnosti in pravičnega prehoda ter da mora biti glavna naloga Unije predvsem preprečiti takšna zapiranja</w:t>
            </w:r>
            <w:r>
              <w:t>;</w:t>
            </w:r>
          </w:p>
        </w:tc>
        <w:tc>
          <w:tcPr>
            <w:tcW w:w="4876" w:type="dxa"/>
            <w:tcBorders>
              <w:top w:val="nil"/>
              <w:left w:val="nil"/>
              <w:bottom w:val="nil"/>
              <w:right w:val="nil"/>
            </w:tcBorders>
          </w:tcPr>
          <w:p>
            <w:pPr>
              <w:pStyle w:val="Normal6a"/>
            </w:pPr>
            <w:r>
              <w:t>8.</w:t>
            </w:r>
            <w:r>
              <w:tab/>
            </w:r>
            <w:r>
              <w:t>poudarja, da so kvalifikacije ter znanja in spretnosti odpuščenih delavcev še vedno ključnega pomena za evropsko gospodarstvo, ki bo kos izzivom prihodnosti; zato meni, da je treba mobilizacijo sredstev ESPG vključiti v širši politični odziv na vse političnih ravneh, da bi prizadetim delavcem zagotovili ustrezne priložnosti v skladu z njihovimi kvalifikacijami ter znanji in spretnostmi; opozarja</w:t>
            </w:r>
            <w:r>
              <w:rPr>
                <w:b/>
                <w:i/>
              </w:rPr>
              <w:t>, da ESPG v skladu s cilji iz kompasa za konkurenčnost sicer zagotavlja potrebno podporo prizadetim delavcem, vendar sta za zmanjšanje obsežnih odpuščanj in zaščito evropske industrijske zaposlitvene baze bistvena močnejša industrijska politika ter trdnejše in odpornejše gospodarstvo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poudarja, da so kvalifikacije ter znanja in spretnosti odpuščenih delavcev še vedno ključnega pomena za evropsko gospodarstvo</w:t>
            </w:r>
            <w:r>
              <w:rPr>
                <w:b/>
                <w:i/>
              </w:rPr>
              <w:t>, ki bo kos izzivom prihodnosti</w:t>
            </w:r>
            <w:r>
              <w:t xml:space="preserve">; zato meni, da je treba mobilizacijo sredstev ESPG vključiti v širši politični odziv na vse političnih ravneh, da bi prizadetim delavcem zagotovili ustrezne priložnosti v skladu z njihovimi kvalifikacijami ter znanji in spretnostmi; opozarja tudi, da je ESPG instrument solidarnosti </w:t>
            </w:r>
            <w:r>
              <w:rPr>
                <w:b/>
                <w:i/>
              </w:rPr>
              <w:t>in pravičnega prehoda</w:t>
            </w:r>
            <w:r>
              <w:t xml:space="preserve"> ter da mora biti glavna naloga Unije predvsem preprečiti takšna zapiranja;</w:t>
            </w:r>
          </w:p>
        </w:tc>
        <w:tc>
          <w:tcPr>
            <w:tcW w:w="4876" w:type="dxa"/>
            <w:tcBorders>
              <w:top w:val="nil"/>
              <w:left w:val="nil"/>
              <w:bottom w:val="nil"/>
              <w:right w:val="nil"/>
            </w:tcBorders>
          </w:tcPr>
          <w:p>
            <w:pPr>
              <w:pStyle w:val="Normal6a"/>
            </w:pPr>
            <w:r>
              <w:t>8.</w:t>
            </w:r>
            <w:r>
              <w:tab/>
            </w:r>
            <w:r>
              <w:t xml:space="preserve">poudarja, da so kvalifikacije ter znanja in spretnosti odpuščenih delavcev še vedno ključnega pomena za </w:t>
            </w:r>
            <w:r>
              <w:rPr>
                <w:b/>
                <w:i/>
              </w:rPr>
              <w:t>produktivno</w:t>
            </w:r>
            <w:r>
              <w:t xml:space="preserve"> evropsko gospodarstvo; zato meni, da je treba mobilizacijo sredstev ESPG vključiti v širši politični odziv na vse političnih ravneh, da bi prizadetim delavcem zagotovili ustrezne priložnosti v skladu z njihovimi kvalifikacijami ter znanji in spretnostmi; opozarja tudi, da je ESPG instrument </w:t>
            </w:r>
            <w:r>
              <w:rPr>
                <w:b/>
                <w:i/>
              </w:rPr>
              <w:t>nujne</w:t>
            </w:r>
            <w:r>
              <w:t xml:space="preserve"> solidarnosti ter da mora biti glavna naloga </w:t>
            </w:r>
            <w:r>
              <w:rPr>
                <w:b/>
                <w:i/>
              </w:rPr>
              <w:t>Evropske</w:t>
            </w:r>
            <w:r>
              <w:t xml:space="preserve"> unije predvsem preprečiti takšna zapiranja </w:t>
            </w:r>
            <w:r>
              <w:rPr>
                <w:b/>
                <w:i/>
              </w:rPr>
              <w:t>z zaščito industrijske proizvodnje na evropskih tleh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meni, da je Evropski sklad za prilagoditev globalizaciji, ki je sicer nepogrešljiv za takojšnjo podporo delavcem, kurativen ukrep, ki ne more nadomestiti strukturnih posledic preveč odprte trgovinske politike Evropske unije, ki ne ščiti svojega notranjega trga;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poziva k temeljiti končni oceni izvedenih ukrepov, vključno z jasnimi informacijami o tem, kako so bila sredstva porabljena in ali so bila porabljena v skladu z odobrenimi načrti;</w:t>
            </w:r>
          </w:p>
        </w:tc>
        <w:tc>
          <w:tcPr>
            <w:tcW w:w="4876" w:type="dxa"/>
            <w:tcBorders>
              <w:top w:val="nil"/>
              <w:left w:val="nil"/>
              <w:bottom w:val="nil"/>
              <w:right w:val="nil"/>
            </w:tcBorders>
          </w:tcPr>
          <w:p>
            <w:pPr>
              <w:pStyle w:val="Normal6a"/>
            </w:pPr>
            <w:r>
              <w:t>10.</w:t>
            </w:r>
            <w:r>
              <w:tab/>
            </w:r>
            <w:r>
              <w:t xml:space="preserve">poziva k temeljiti končni oceni izvedenih ukrepov, vključno z jasnimi informacijami o tem, kako so bila sredstva porabljena in ali so bila porabljena v skladu z odobrenimi načrti; </w:t>
            </w:r>
            <w:r>
              <w:rPr>
                <w:b/>
                <w:i/>
              </w:rPr>
              <w:t>poudarja, da bi morale te ocene temeljiti na jasno opredeljenih ciljih in merljivih rezultatih, kar bi omogočilo oceno rezultatov, doseženih za zadevne delavce;</w:t>
            </w:r>
            <w:r>
              <w:t xml:space="preserve"> </w:t>
            </w:r>
            <w:r>
              <w:rPr>
                <w:b/>
                <w:i/>
              </w:rPr>
              <w:t>poudarja, kako pomembno je zagotoviti hitrejše in učinkovitejše posredovanje, in v zvezi s tem opozarja, da je v okviru naslednjega večletnega finančnega okvira 2028–2034 treba preučiti načine za zagotovitev trajnosti ESPG ali programa, ki ga bo nasledil;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poziva k temeljiti končni oceni izvedenih ukrepov, vključno z jasnimi informacijami o tem, kako so bila sredstva porabljena in ali so bila porabljena v skladu z odobrenimi načrti;</w:t>
            </w:r>
          </w:p>
        </w:tc>
        <w:tc>
          <w:tcPr>
            <w:tcW w:w="4876" w:type="dxa"/>
            <w:tcBorders>
              <w:top w:val="nil"/>
              <w:left w:val="nil"/>
              <w:bottom w:val="nil"/>
              <w:right w:val="nil"/>
            </w:tcBorders>
          </w:tcPr>
          <w:p>
            <w:pPr>
              <w:pStyle w:val="Normal6a"/>
            </w:pPr>
            <w:r>
              <w:t>10.</w:t>
            </w:r>
            <w:r>
              <w:tab/>
            </w:r>
            <w:r>
              <w:t>poziva k temeljiti končni oceni izvedenih ukrepov, vključno z jasnimi informacijami o tem, kako so bila sredstva porabljena in ali so bila porabljena v skladu z odobrenimi načrti</w:t>
            </w:r>
            <w:r>
              <w:rPr>
                <w:b/>
                <w:i/>
              </w:rPr>
              <w:t>, ter oceno dejanske stopnje ponovnega vključevanja upravičencev v stabilne zaposlitve ter stroškovne učinkovitosti ukrepov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AM\1336304SL.docx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AM\1336304SL.docx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AM\1336304SL.docx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1736</Words>
  <Characters>10922</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388809</vt:lpwstr>
  </property>
  <property fmtid="{D5CDD505-2E9C-101B-9397-08002B2CF9AE}" pid="7" name="dmxml.render.traceId">
    <vt:lpwstr>699c4f90a87a6ae3dab557361ccaaa99</vt:lpwstr>
  </property>
  <property fmtid="{D5CDD505-2E9C-101B-9397-08002B2CF9AE}" pid="8" name="FooterPath">
    <vt:lpwstr>AM\1336304SL.docx</vt:lpwstr>
  </property>
  <property fmtid="{D5CDD505-2E9C-101B-9397-08002B2CF9AE}" pid="9" name="PE Number">
    <vt:lpwstr>784.155</vt:lpwstr>
  </property>
  <property fmtid="{D5CDD505-2E9C-101B-9397-08002B2CF9AE}" pid="10" name="UID">
    <vt:lpwstr>eu.europa.europarl-DIN1-2026-0000025636_02.00-sl-01.00_text-xml</vt:lpwstr>
  </property>
</Properties>
</file>