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Budgetutskottet</w:t>
      </w:r>
      <w:r>
        <w:rPr>
          <w:rStyle w:val="HideTWBExt"/>
        </w:rPr>
        <w:t>&lt;/Commission&gt;</w:t>
      </w:r>
    </w:p>
    <w:p>
      <w:pPr>
        <w:pStyle w:val="LineBottom"/>
      </w:pPr>
      <w:r>
        <w:t xml:space="preserve"> </w:t>
      </w:r>
    </w:p>
    <w:p>
      <w:pPr>
        <w:pStyle w:val="CoverReference"/>
      </w:pPr>
      <w:r>
        <w:rPr>
          <w:rStyle w:val="HideTWBExt"/>
        </w:rPr>
        <w:t>&lt;RefProc&gt;</w:t>
      </w:r>
      <w:r>
        <w:t>2026/0004</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{10/02/2026}</w:t>
      </w:r>
      <w:r>
        <w:t>10.2.2026</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16</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Jean-Marc Germain</w:t>
      </w:r>
      <w:r>
        <w:rPr>
          <w:rStyle w:val="HideTWBExt"/>
        </w:rPr>
        <w:t>&lt;/Rapporteur&gt;</w:t>
      </w:r>
    </w:p>
    <w:p>
      <w:pPr>
        <w:pStyle w:val="CoverNormal24a"/>
      </w:pPr>
      <w:r>
        <w:rPr>
          <w:rStyle w:val="HideTWBExt"/>
        </w:rPr>
        <w:t>&lt;DocRefPE&gt;</w:t>
      </w:r>
      <w:r>
        <w:t>(PE782.416v01-00)</w:t>
      </w:r>
      <w:r>
        <w:rPr>
          <w:rStyle w:val="HideTWBExt"/>
        </w:rPr>
        <w:t>&lt;/DocRefPE&gt;</w:t>
      </w:r>
    </w:p>
    <w:p>
      <w:pPr>
        <w:pStyle w:val="CoverNormal"/>
      </w:pPr>
      <w:r>
        <w:rPr>
          <w:rStyle w:val="HideTWBExt"/>
        </w:rPr>
        <w:t>&lt;Titre&gt;</w:t>
      </w:r>
      <w:r>
        <w:t>Utnyttjande av Europeiska fonden för justering för globaliseringseffekter för uppsagda arbetstagare efter en ansökan från Belgien – EGF/2025/004 BE/Tupperware</w:t>
      </w:r>
      <w:r>
        <w:rPr>
          <w:rStyle w:val="HideTWBExt"/>
        </w:rPr>
        <w:t>&lt;/Titre&gt;</w:t>
      </w:r>
    </w:p>
    <w:p>
      <w:pPr>
        <w:pStyle w:val="CoverNormal24a"/>
      </w:pPr>
      <w:r>
        <w:rPr>
          <w:rStyle w:val="HideTWBExt"/>
        </w:rPr>
        <w:t>&lt;DocRef&gt;</w:t>
      </w:r>
      <w:r>
        <w:t>(2026/0004(BUD))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med beaktande av den europeiska pelaren för sociala rättigheter,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Tupperware ansökte om konkurs den 17 februari 2025. Antalet konkurser har ökat i Belgien sedan 2022.</w:t>
            </w:r>
          </w:p>
        </w:tc>
        <w:tc>
          <w:tcPr>
            <w:tcW w:w="4876" w:type="dxa"/>
            <w:tcBorders>
              <w:top w:val="nil"/>
              <w:left w:val="nil"/>
              <w:bottom w:val="nil"/>
              <w:right w:val="nil"/>
            </w:tcBorders>
          </w:tcPr>
          <w:p>
            <w:pPr>
              <w:pStyle w:val="Normal6a"/>
            </w:pPr>
            <w:r>
              <w:t>D.</w:t>
            </w:r>
            <w:r>
              <w:tab/>
            </w:r>
            <w:r>
              <w:t>Tupperware ansökte om konkurs den 17 februari 2025. Antalet konkurser har ökat i Belgien sedan 2022</w:t>
            </w:r>
            <w:r>
              <w:rPr>
                <w:b/>
                <w:i/>
              </w:rPr>
              <w:t>, vilket särskilt påverkar industrisektorn i ett läge med ekonomisk stagnation och höga produktionskostnader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Nedläggningen av Tupperware-anläggningen i Belgien illustrerar de risker som är förknippade med beroendet av strategiska beslutscentrum utanför Europeiska unionen, vilket försvagar den lokala industriella strukturen.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Europaparlamentet noterar att Tupperware var beläget i Aalst i provinsen Östflandern, där redan innan Tupperware gick i konkurs endast varannan person var i sysselsättning, jämfört med två av tre i regionen Flandern i genomsnitt.</w:t>
            </w:r>
          </w:p>
        </w:tc>
        <w:tc>
          <w:tcPr>
            <w:tcW w:w="4876" w:type="dxa"/>
            <w:tcBorders>
              <w:top w:val="nil"/>
              <w:left w:val="nil"/>
              <w:bottom w:val="nil"/>
              <w:right w:val="nil"/>
            </w:tcBorders>
          </w:tcPr>
          <w:p>
            <w:pPr>
              <w:pStyle w:val="Normal6a"/>
            </w:pPr>
            <w:r>
              <w:t>4.</w:t>
            </w:r>
            <w:r>
              <w:tab/>
            </w:r>
            <w:r>
              <w:t xml:space="preserve">Europaparlamentet noterar att Tupperware var beläget i Aalst i provinsen Östflandern, där redan innan Tupperware gick i konkurs endast varannan person var i sysselsättning, jämfört med två av tre i regionen Flandern i genomsnitt. </w:t>
            </w:r>
            <w:r>
              <w:rPr>
                <w:b/>
                <w:i/>
              </w:rPr>
              <w:t>Parlamentet beklagar att dessa uppsägningar ytterligare kommer att förvärra situationen.</w:t>
            </w:r>
            <w:r>
              <w:t xml:space="preserve"> </w:t>
            </w:r>
            <w:r>
              <w:rPr>
                <w:b/>
                <w:i/>
              </w:rPr>
              <w:t>Parlamentet betonar att det krävs snabba åtgärder för att förhindra strukturell regional nedgång.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anser att detta ärende belyser konsekvenserna av Europas fortsatta beroende av aktörer från tredjeländer när det gäller viktig teknik och immateriella rättigheter.</w:t>
            </w:r>
            <w:r>
              <w:t xml:space="preserve"> </w:t>
            </w:r>
            <w:r>
              <w:rPr>
                <w:b/>
                <w:i/>
              </w:rPr>
              <w:t>Parlamentet understryker att utnyttjandet av EGF återspeglar behovet av att hantera de sociala konsekvenserna av sådana strategiska beroenden, samtidigt som det står fast vid att en minskning av dessa beroenden förblir en prioritering.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påminner om att den industriella konkurrenskraften i Europa allvarligt påverkas av kraftigt stigande energikostnader och regelinflation.</w:t>
            </w:r>
            <w:r>
              <w:t xml:space="preserve"> </w:t>
            </w:r>
            <w:r>
              <w:rPr>
                <w:b/>
                <w:i/>
              </w:rPr>
              <w:t>Parlamentet varnar för att andra liknande nedläggningar är oundvikliga utan en radikal översyn av mekanismerna för fastställande av energipriser och en förenklingschock.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välkomnar det initiativ från en grupp av europeiska företagare som syftar till att återuppliva varumärket i Tyskland, Frankrike, Belgien, Italien och Polen.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betonar att risken för arbetslöshet i Flandern är mer än dubbelt så hög för personer med låg utbildningsnivå. Parlamentet konstaterar att en tredjedel av de uppsagda arbetstagarna endast har grundskoleutbildning. Parlamentet uppmanar de belgiska myndigheterna att tillhandahålla stöd som är skräddarsytt för denna grupp för att hjälpa arbetstagarna att övervinna sina begränsningar och hitta nya jobb</w:t>
            </w:r>
            <w:r>
              <w:rPr>
                <w:b/>
                <w:i/>
              </w:rPr>
              <w:t>, samtidigt som åtgärder vidtas för att minska konkurser och ta itu med sociala skillnader som leder till utestängning av arbetskraft</w:t>
            </w:r>
            <w:r>
              <w:t>.</w:t>
            </w:r>
          </w:p>
        </w:tc>
        <w:tc>
          <w:tcPr>
            <w:tcW w:w="4876" w:type="dxa"/>
            <w:tcBorders>
              <w:top w:val="nil"/>
              <w:left w:val="nil"/>
              <w:bottom w:val="nil"/>
              <w:right w:val="nil"/>
            </w:tcBorders>
          </w:tcPr>
          <w:p>
            <w:pPr>
              <w:pStyle w:val="Normal6a"/>
            </w:pPr>
            <w:r>
              <w:t>6.</w:t>
            </w:r>
            <w:r>
              <w:tab/>
            </w:r>
            <w:r>
              <w:t>Europaparlamentet betonar att risken för arbetslöshet i Flandern är mer än dubbelt så hög för personer med låg utbildningsnivå. Parlamentet konstaterar att en tredjedel av de uppsagda arbetstagarna endast har grundskoleutbildning. Parlamentet uppmanar de belgiska myndigheterna att tillhandahålla stöd som är skräddarsytt för denna grupp för att hjälpa arbetstagarna att övervinna sina begränsningar och hitta nya jobb.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påminner om att de individanpassade tjänster som ska tillhandahållas arbetstagarna i samförstånd med fackföreningar, experter och arbetsmarknadens parter består av följande åtgärder: informationsmöten för återinträde på arbetsmarknaden, omställningstjänster, inbegripet IKT-utbildning, stöd med att hitta arbete genom vägledning och stöd i arbetssökandet, utbildning och omskolning, jobbmässa samt kartläggning av tjänster och jobbmatchning. Parlamentet betonar vikten av att främja framtidsorienterade arbetstillfällen av hög kvalitet för att säkerställa långsiktig ekonomisk och social resiliens.</w:t>
            </w:r>
          </w:p>
        </w:tc>
        <w:tc>
          <w:tcPr>
            <w:tcW w:w="4876" w:type="dxa"/>
            <w:tcBorders>
              <w:top w:val="nil"/>
              <w:left w:val="nil"/>
              <w:bottom w:val="nil"/>
              <w:right w:val="nil"/>
            </w:tcBorders>
          </w:tcPr>
          <w:p>
            <w:pPr>
              <w:pStyle w:val="Normal6a"/>
            </w:pPr>
            <w:r>
              <w:t>7.</w:t>
            </w:r>
            <w:r>
              <w:tab/>
            </w:r>
            <w:r>
              <w:t xml:space="preserve">Europaparlamentet påminner om att de individanpassade tjänster som ska tillhandahållas arbetstagarna i samförstånd med fackföreningar, experter och arbetsmarknadens parter består av följande åtgärder: informationsmöten för återinträde på arbetsmarknaden, omställningstjänster, inbegripet IKT-utbildning, stöd med att hitta arbete genom vägledning och stöd i arbetssökandet, utbildning och omskolning, jobbmässa samt kartläggning av tjänster och jobbmatchning. Parlamentet betonar vikten av att främja framtidsorienterade arbetstillfällen av hög kvalitet för att säkerställa långsiktig ekonomisk och social resiliens. </w:t>
            </w:r>
            <w:r>
              <w:rPr>
                <w:b/>
                <w:i/>
              </w:rPr>
              <w:t>Parlamentet uppmanar de belgiska myndigheterna att inleda en dialog med de nya europeiska företrädarna för Tupperware för att undersöka möjligheterna att återintegrera uppsagda arbetstagare i deras ekonomiska verksamhet.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påminner om att de individanpassade tjänster som ska tillhandahållas arbetstagarna i samförstånd med fackföreningar, experter och arbetsmarknadens parter består av följande åtgärder: informationsmöten för återinträde på arbetsmarknaden, omställningstjänster, inbegripet IKT-utbildning, stöd med att hitta arbete genom vägledning och stöd i arbetssökandet, utbildning och omskolning, jobbmässa samt kartläggning av tjänster och jobbmatchning. Parlamentet betonar vikten av att främja </w:t>
            </w:r>
            <w:r>
              <w:rPr>
                <w:b/>
                <w:i/>
              </w:rPr>
              <w:t>framtidsorienterade</w:t>
            </w:r>
            <w:r>
              <w:t xml:space="preserve"> arbetstillfällen av hög kvalitet för att säkerställa långsiktig ekonomisk </w:t>
            </w:r>
            <w:r>
              <w:rPr>
                <w:b/>
                <w:i/>
              </w:rPr>
              <w:t>och social resiliens</w:t>
            </w:r>
            <w:r>
              <w:t>.</w:t>
            </w:r>
          </w:p>
        </w:tc>
        <w:tc>
          <w:tcPr>
            <w:tcW w:w="4876" w:type="dxa"/>
            <w:tcBorders>
              <w:top w:val="nil"/>
              <w:left w:val="nil"/>
              <w:bottom w:val="nil"/>
              <w:right w:val="nil"/>
            </w:tcBorders>
          </w:tcPr>
          <w:p>
            <w:pPr>
              <w:pStyle w:val="Normal6a"/>
            </w:pPr>
            <w:r>
              <w:t>7.</w:t>
            </w:r>
            <w:r>
              <w:tab/>
            </w:r>
            <w:r>
              <w:t xml:space="preserve">Europaparlamentet påminner om att de individanpassade tjänster som ska tillhandahållas arbetstagarna i samförstånd med fackföreningar, experter och arbetsmarknadens parter består av följande åtgärder: informationsmöten för återinträde på arbetsmarknaden, omställningstjänster, inbegripet IKT-utbildning, stöd med att hitta arbete genom vägledning och stöd i arbetssökandet, utbildning och omskolning, jobbmässa samt kartläggning av tjänster och jobbmatchning. Parlamentet betonar vikten av att främja </w:t>
            </w:r>
            <w:r>
              <w:rPr>
                <w:b/>
                <w:i/>
              </w:rPr>
              <w:t>varaktiga</w:t>
            </w:r>
            <w:r>
              <w:t xml:space="preserve"> arbetstillfällen av hög kvalitet </w:t>
            </w:r>
            <w:r>
              <w:rPr>
                <w:b/>
                <w:i/>
              </w:rPr>
              <w:t>inom industrin</w:t>
            </w:r>
            <w:r>
              <w:t xml:space="preserve"> för att säkerställa långsiktig ekonomisk </w:t>
            </w:r>
            <w:r>
              <w:rPr>
                <w:b/>
                <w:i/>
              </w:rPr>
              <w:t>tillväxt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understryker att de uppsagda arbetstagarnas kvalifikationer och färdigheter fortfarande är avgörande för en framtidssäkrad europeisk ekonomi. Parlamentet </w:t>
            </w:r>
            <w:r>
              <w:rPr>
                <w:b/>
                <w:i/>
              </w:rPr>
              <w:t>anser därför att utnyttjandet av fonden måste ingå i en bredare politisk insats på alla politiska nivåer för att säkerställa att de berörda arbetstagarna hittar lämpliga möjligheter i linje med sina kvalifikationer och färdigheter.</w:t>
            </w:r>
            <w:r>
              <w:t xml:space="preserve"> </w:t>
            </w:r>
            <w:r>
              <w:rPr>
                <w:b/>
                <w:i/>
              </w:rPr>
              <w:t>Parlamentet</w:t>
            </w:r>
            <w:r>
              <w:t xml:space="preserve"> påminner </w:t>
            </w:r>
            <w:r>
              <w:rPr>
                <w:b/>
                <w:i/>
              </w:rPr>
              <w:t>vidare</w:t>
            </w:r>
            <w:r>
              <w:t xml:space="preserve"> om att </w:t>
            </w:r>
            <w:r>
              <w:rPr>
                <w:b/>
                <w:i/>
              </w:rPr>
              <w:t>fonden</w:t>
            </w:r>
            <w:r>
              <w:t xml:space="preserve"> är ett </w:t>
            </w:r>
            <w:r>
              <w:rPr>
                <w:b/>
                <w:i/>
              </w:rPr>
              <w:t>instrument för solidaritet och rättvis omställning och att unionens främsta uppgift måste vara</w:t>
            </w:r>
            <w:r>
              <w:t xml:space="preserve"> att förhindra </w:t>
            </w:r>
            <w:r>
              <w:rPr>
                <w:b/>
                <w:i/>
              </w:rPr>
              <w:t>sådana nedläggningar</w:t>
            </w:r>
            <w:r>
              <w:t>.</w:t>
            </w:r>
          </w:p>
        </w:tc>
        <w:tc>
          <w:tcPr>
            <w:tcW w:w="4876" w:type="dxa"/>
            <w:tcBorders>
              <w:top w:val="nil"/>
              <w:left w:val="nil"/>
              <w:bottom w:val="nil"/>
              <w:right w:val="nil"/>
            </w:tcBorders>
          </w:tcPr>
          <w:p>
            <w:pPr>
              <w:pStyle w:val="Normal6a"/>
            </w:pPr>
            <w:r>
              <w:t>8.</w:t>
            </w:r>
            <w:r>
              <w:tab/>
            </w:r>
            <w:r>
              <w:t xml:space="preserve">Europaparlamentet understryker att de uppsagda arbetstagarnas kvalifikationer och färdigheter fortfarande är avgörande för en framtidssäkrad europeisk ekonomi. Parlamentet påminner om att </w:t>
            </w:r>
            <w:r>
              <w:rPr>
                <w:b/>
                <w:i/>
              </w:rPr>
              <w:t>det i första hand</w:t>
            </w:r>
            <w:r>
              <w:t xml:space="preserve"> är ett </w:t>
            </w:r>
            <w:r>
              <w:rPr>
                <w:b/>
                <w:i/>
              </w:rPr>
              <w:t>nationellt ansvar</w:t>
            </w:r>
            <w:r>
              <w:t xml:space="preserve"> att förhindra </w:t>
            </w:r>
            <w:r>
              <w:rPr>
                <w:b/>
                <w:i/>
              </w:rPr>
              <w:t>företagsnedläggningar och skydda sysselsättningen inom industrin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understryker att de uppsagda arbetstagarnas kvalifikationer och färdigheter fortfarande är avgörande för en framtidssäkrad europeisk ekonomi. Parlamentet anser därför att utnyttjandet av fonden måste ingå i en bredare politisk insats på alla politiska nivåer för att säkerställa att de berörda arbetstagarna hittar lämpliga möjligheter i linje med sina kvalifikationer och färdigheter. Parlamentet påminner </w:t>
            </w:r>
            <w:r>
              <w:rPr>
                <w:b/>
                <w:i/>
              </w:rPr>
              <w:t>vidare</w:t>
            </w:r>
            <w:r>
              <w:t xml:space="preserve"> om att </w:t>
            </w:r>
            <w:r>
              <w:rPr>
                <w:b/>
                <w:i/>
              </w:rPr>
              <w:t>fonden är ett instrument för solidaritet och rättvis omställning och att unionens främsta uppgift måste vara att förhindra sådana nedläggningar</w:t>
            </w:r>
            <w:r>
              <w:t>.</w:t>
            </w:r>
          </w:p>
        </w:tc>
        <w:tc>
          <w:tcPr>
            <w:tcW w:w="4876" w:type="dxa"/>
            <w:tcBorders>
              <w:top w:val="nil"/>
              <w:left w:val="nil"/>
              <w:bottom w:val="nil"/>
              <w:right w:val="nil"/>
            </w:tcBorders>
          </w:tcPr>
          <w:p>
            <w:pPr>
              <w:pStyle w:val="Normal6a"/>
            </w:pPr>
            <w:r>
              <w:t>8.</w:t>
            </w:r>
            <w:r>
              <w:tab/>
            </w:r>
            <w:r>
              <w:t xml:space="preserve">Europaparlamentet understryker att de uppsagda arbetstagarnas kvalifikationer och färdigheter fortfarande är avgörande för en framtidssäkrad europeisk ekonomi. Parlamentet anser därför att utnyttjandet av fonden måste ingå i en bredare politisk insats på alla politiska nivåer för att säkerställa att de berörda arbetstagarna hittar lämpliga möjligheter i linje med sina kvalifikationer och färdigheter. Parlamentet påminner om att </w:t>
            </w:r>
            <w:r>
              <w:rPr>
                <w:b/>
                <w:i/>
              </w:rPr>
              <w:t>EGF ger nödvändigt stöd till drabbade arbetstagare, men att en kraftfullare industripolitik och en mer robust och motståndskraftig ekonomi, i linje med de mål som fastställs i konkurrenskraftskompassen, är avgörande för att minska storskaliga uppsägningar och skydda den europeiska industriella sysselsättningsbasen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understryker att de uppsagda arbetstagarnas kvalifikationer och färdigheter fortfarande är avgörande för en </w:t>
            </w:r>
            <w:r>
              <w:rPr>
                <w:b/>
                <w:i/>
              </w:rPr>
              <w:t>framtidssäkrad</w:t>
            </w:r>
            <w:r>
              <w:t xml:space="preserve"> europeisk ekonomi. Parlamentet anser därför att utnyttjandet av fonden måste ingå i en bredare politisk insats på alla politiska nivåer för att säkerställa att de berörda arbetstagarna hittar lämpliga möjligheter i linje med sina kvalifikationer och färdigheter. Parlamentet påminner vidare om att fonden är ett instrument för solidaritet och </w:t>
            </w:r>
            <w:r>
              <w:rPr>
                <w:b/>
                <w:i/>
              </w:rPr>
              <w:t>rättvis omställning och</w:t>
            </w:r>
            <w:r>
              <w:t xml:space="preserve"> att unionens främsta uppgift måste vara att förhindra sådana nedläggningar.</w:t>
            </w:r>
          </w:p>
        </w:tc>
        <w:tc>
          <w:tcPr>
            <w:tcW w:w="4876" w:type="dxa"/>
            <w:tcBorders>
              <w:top w:val="nil"/>
              <w:left w:val="nil"/>
              <w:bottom w:val="nil"/>
              <w:right w:val="nil"/>
            </w:tcBorders>
          </w:tcPr>
          <w:p>
            <w:pPr>
              <w:pStyle w:val="Normal6a"/>
            </w:pPr>
            <w:r>
              <w:t>8.</w:t>
            </w:r>
            <w:r>
              <w:tab/>
            </w:r>
            <w:r>
              <w:t xml:space="preserve">Europaparlamentet understryker att de uppsagda arbetstagarnas kvalifikationer och färdigheter fortfarande är avgörande för en </w:t>
            </w:r>
            <w:r>
              <w:rPr>
                <w:b/>
                <w:i/>
              </w:rPr>
              <w:t>produktiv</w:t>
            </w:r>
            <w:r>
              <w:t xml:space="preserve"> europeisk ekonomi. Parlamentet anser därför att utnyttjandet av fonden måste ingå i en bredare politisk insats på alla politiska nivåer för att säkerställa att de berörda arbetstagarna hittar lämpliga möjligheter i linje med sina kvalifikationer och färdigheter. Parlamentet påminner vidare om att fonden är ett instrument för </w:t>
            </w:r>
            <w:r>
              <w:rPr>
                <w:b/>
                <w:i/>
              </w:rPr>
              <w:t>akut</w:t>
            </w:r>
            <w:r>
              <w:t xml:space="preserve"> solidaritet och att </w:t>
            </w:r>
            <w:r>
              <w:rPr>
                <w:b/>
                <w:i/>
              </w:rPr>
              <w:t>Europeiska</w:t>
            </w:r>
            <w:r>
              <w:t xml:space="preserve"> unionens främsta uppgift måste vara att förhindra sådana nedläggningar </w:t>
            </w:r>
            <w:r>
              <w:rPr>
                <w:b/>
                <w:i/>
              </w:rPr>
              <w:t>genom att försvara industriproduktionen på europeisk mark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anser att EGF visserligen är oumbärlig för att stödja arbetstagare på kort sikt, men att den utgör en avhjälpande åtgärd som inte kan kompensera för de strukturella konsekvenserna av en handelspolitik från EU:s sida som är alltför öppen och inte i tillräcklig grad skyddar den inre marknaden.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efterlyser noggranna slutliga utvärderingar av de åtgärder som genomförts, inbegripet tydlig information om hur medlen har använts och huruvida de använts i enlighet med de godkända planerna.</w:t>
            </w:r>
          </w:p>
        </w:tc>
        <w:tc>
          <w:tcPr>
            <w:tcW w:w="4876" w:type="dxa"/>
            <w:tcBorders>
              <w:top w:val="nil"/>
              <w:left w:val="nil"/>
              <w:bottom w:val="nil"/>
              <w:right w:val="nil"/>
            </w:tcBorders>
          </w:tcPr>
          <w:p>
            <w:pPr>
              <w:pStyle w:val="Normal6a"/>
            </w:pPr>
            <w:r>
              <w:t>10.</w:t>
            </w:r>
            <w:r>
              <w:tab/>
            </w:r>
            <w:r>
              <w:t xml:space="preserve">Europaparlamentet efterlyser noggranna slutliga utvärderingar av de åtgärder som genomförts, inbegripet tydlig information om hur medlen har använts och huruvida de använts i enlighet med de godkända planerna. </w:t>
            </w:r>
            <w:r>
              <w:rPr>
                <w:b/>
                <w:i/>
              </w:rPr>
              <w:t>Parlamentet betonar att sådana utvärderingar bör grunda sig på tydligt fastställda mål och mätbara resultat för att möjliggöra en bedömning av de resultat som uppnåtts för de berörda arbetstagarna.</w:t>
            </w:r>
            <w:r>
              <w:t xml:space="preserve"> </w:t>
            </w:r>
            <w:r>
              <w:rPr>
                <w:b/>
                <w:i/>
              </w:rPr>
              <w:t>Parlamentet understryker vikten av att säkerställa snabbare och effektivare insatser och påminner i detta sammanhang om behovet av att undersöka olika sätt att säkerställa hållbarheten för EGF eller dess efterföljande program inom ramen för nästa fleråriga budgetram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efterlyser noggranna slutliga utvärderingar av de åtgärder som genomförts, inbegripet tydlig information om hur medlen har använts och huruvida de använts i enlighet med de godkända planerna.</w:t>
            </w:r>
          </w:p>
        </w:tc>
        <w:tc>
          <w:tcPr>
            <w:tcW w:w="4876" w:type="dxa"/>
            <w:tcBorders>
              <w:top w:val="nil"/>
              <w:left w:val="nil"/>
              <w:bottom w:val="nil"/>
              <w:right w:val="nil"/>
            </w:tcBorders>
          </w:tcPr>
          <w:p>
            <w:pPr>
              <w:pStyle w:val="Normal6a"/>
            </w:pPr>
            <w:r>
              <w:t>10.</w:t>
            </w:r>
            <w:r>
              <w:tab/>
            </w:r>
            <w:r>
              <w:t>Europaparlamentet efterlyser noggranna slutliga utvärderingar av de åtgärder som genomförts, inbegripet tydlig information om hur medlen har använts och huruvida de använts i enlighet med de godkända planerna</w:t>
            </w:r>
            <w:r>
              <w:rPr>
                <w:b/>
                <w:i/>
              </w:rPr>
              <w:t>, inklusive en bedömning av andelen stödmottagare som faktiskt återintegrerats i varaktig sysselsättning och åtgärdernas kostnadseffektivitet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AM\1336304SV.docx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AM\1336304SV.docx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AM\1336304SV.docx</w:t>
    </w:r>
    <w:r>
      <w:rPr>
        <w:rStyle w:val="HideTWBExt"/>
      </w:rPr>
      <w:t>&lt;/PathFdR&gt;</w:t>
    </w:r>
    <w:r>
      <w:tab/>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1745</Words>
  <Characters>11678</Characters>
  <Application>Microsoft Office Word</Application>
  <DocSecurity>0</DocSecurity>
  <Lines>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1336304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386651</vt:lpwstr>
  </property>
  <property fmtid="{D5CDD505-2E9C-101B-9397-08002B2CF9AE}" pid="7" name="dmxml.render.traceId">
    <vt:lpwstr>69972cb6d7e37d2011ac7908981c4e99</vt:lpwstr>
  </property>
  <property fmtid="{D5CDD505-2E9C-101B-9397-08002B2CF9AE}" pid="8" name="FooterPath">
    <vt:lpwstr>AM\1336304SV.docx</vt:lpwstr>
  </property>
  <property fmtid="{D5CDD505-2E9C-101B-9397-08002B2CF9AE}" pid="9" name="PE Number">
    <vt:lpwstr>784.155</vt:lpwstr>
  </property>
  <property fmtid="{D5CDD505-2E9C-101B-9397-08002B2CF9AE}" pid="10" name="UID">
    <vt:lpwstr>eu.europa.europarl-DIN1-2026-0000025636_02.00-sv-01.00_text-xml</vt:lpwstr>
  </property>
</Properties>
</file>