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{BUDG}</w:t>
      </w:r>
      <w:r>
        <w:t>Committee on Budgets</w:t>
      </w:r>
      <w:r>
        <w:rPr>
          <w:rStyle w:val="HideTWBExt"/>
        </w:rPr>
        <w:t>&lt;/Commission&gt;</w:t>
      </w:r>
    </w:p>
    <w:p>
      <w:pPr>
        <w:pStyle w:val="LineBottom"/>
      </w:pPr>
      <w:r>
        <w:t xml:space="preserve"> </w:t>
      </w:r>
    </w:p>
    <w:p>
      <w:pPr>
        <w:pStyle w:val="CoverReference"/>
      </w:pPr>
      <w:r>
        <w:rPr>
          <w:rStyle w:val="HideTWBExt"/>
        </w:rPr>
        <w:t>&lt;RefProc&gt;</w:t>
      </w:r>
      <w:r>
        <w:t>2025/0571R</w:t>
      </w:r>
      <w:r>
        <w:rPr>
          <w:rStyle w:val="HideTWBExt"/>
        </w:rPr>
        <w:t>&lt;/RefProc&gt;</w:t>
      </w:r>
      <w:r>
        <w:rPr>
          <w:rStyle w:val="HideTWBExt"/>
        </w:rPr>
        <w:t>&lt;RefTypeProc&gt;</w:t>
      </w:r>
      <w:r>
        <w:t>(APP)</w:t>
      </w:r>
      <w:r>
        <w:rPr>
          <w:rStyle w:val="HideTWBExt"/>
        </w:rPr>
        <w:t>&lt;/RefTypeProc&gt;</w:t>
      </w:r>
    </w:p>
    <w:p>
      <w:pPr>
        <w:pStyle w:val="CoverDate"/>
      </w:pPr>
      <w:r>
        <w:rPr>
          <w:rStyle w:val="HideTWBExt"/>
        </w:rPr>
        <w:t>&lt;Date&gt;</w:t>
      </w:r>
      <w:r>
        <w:rPr>
          <w:rStyle w:val="HideTWBInt"/>
        </w:rPr>
        <w:t>{02/02/2026}</w:t>
      </w:r>
      <w:r>
        <w:t>2.2.2026</w:t>
      </w:r>
      <w:r>
        <w:rPr>
          <w:rStyle w:val="HideTWBExt"/>
        </w:rPr>
        <w:t>&lt;/Date&gt;</w:t>
      </w:r>
    </w:p>
    <w:p>
      <w:pPr>
        <w:pStyle w:val="CoverDocType"/>
      </w:pPr>
      <w:r>
        <w:rPr>
          <w:rStyle w:val="HideTWBExt"/>
        </w:rPr>
        <w:t>&lt;TypeAM&gt;</w:t>
      </w:r>
      <w:r>
        <w:t>AMENDMENTS</w:t>
      </w:r>
      <w:r>
        <w:rPr>
          <w:rStyle w:val="HideTWBExt"/>
        </w:rPr>
        <w:t>&lt;/TypeAM&gt;</w:t>
      </w:r>
    </w:p>
    <w:p>
      <w:pPr>
        <w:pStyle w:val="CoverDocType24a"/>
      </w:pPr>
      <w:r>
        <w:rPr>
          <w:rStyle w:val="HideTWBExt"/>
        </w:rPr>
        <w:t>&lt;RangeAM&gt;</w:t>
      </w:r>
      <w:r>
        <w:t>1</w:t>
      </w:r>
      <w:r>
        <w:t xml:space="preserve"> - </w:t>
      </w:r>
      <w:r>
        <w:t>292</w:t>
      </w:r>
      <w:r>
        <w:rPr>
          <w:rStyle w:val="HideTWBExt"/>
        </w:rPr>
        <w:t>&lt;/RangeAM&gt;</w:t>
      </w:r>
    </w:p>
    <w:p>
      <w:pPr>
        <w:pStyle w:val="CoverBold"/>
      </w:pPr>
      <w:r>
        <w:rPr>
          <w:rStyle w:val="HideTWBExt"/>
        </w:rPr>
        <w:t>&lt;TitreType&gt;</w:t>
      </w:r>
      <w:r>
        <w:t>Draft report</w:t>
      </w:r>
      <w:r>
        <w:rPr>
          <w:rStyle w:val="HideTWBExt"/>
        </w:rPr>
        <w:t>&lt;/TitreType&gt;</w:t>
      </w:r>
    </w:p>
    <w:p>
      <w:pPr>
        <w:pStyle w:val="CoverBold"/>
      </w:pPr>
      <w:r>
        <w:rPr>
          <w:rStyle w:val="HideTWBExt"/>
        </w:rPr>
        <w:t>&lt;Rapporteur&gt;</w:t>
      </w:r>
      <w:r>
        <w:t>Siegfried Mureşan, Carla Tavares</w:t>
      </w:r>
      <w:r>
        <w:rPr>
          <w:rStyle w:val="HideTWBExt"/>
        </w:rPr>
        <w:t>&lt;/Rapporteur&gt;</w:t>
      </w:r>
    </w:p>
    <w:p>
      <w:pPr>
        <w:pStyle w:val="CoverNormal24a"/>
      </w:pPr>
      <w:r>
        <w:rPr>
          <w:rStyle w:val="HideTWBExt"/>
        </w:rPr>
        <w:t>&lt;DocRefPE&gt;</w:t>
      </w:r>
      <w:r>
        <w:t>(PE779.351v01-00)</w:t>
      </w:r>
      <w:r>
        <w:rPr>
          <w:rStyle w:val="HideTWBExt"/>
        </w:rPr>
        <w:t>&lt;/DocRefPE&gt;</w:t>
      </w:r>
    </w:p>
    <w:p>
      <w:pPr>
        <w:pStyle w:val="CoverNormal"/>
      </w:pPr>
      <w:r>
        <w:rPr>
          <w:rStyle w:val="HideTWBExt"/>
        </w:rPr>
        <w:t>&lt;Titre&gt;</w:t>
      </w:r>
      <w:r>
        <w:t>Interim report on the proposal for the multiannual financial framework for 2028-2034</w:t>
      </w:r>
      <w:r>
        <w:rPr>
          <w:rStyle w:val="HideTWBExt"/>
        </w:rPr>
        <w:t>&lt;/Titre&gt;</w:t>
      </w:r>
    </w:p>
    <w:p>
      <w:pPr>
        <w:pStyle w:val="CoverNormal24a"/>
      </w:pPr>
      <w:r>
        <w:rPr>
          <w:rStyle w:val="HideTWBExt"/>
        </w:rPr>
        <w:t>&lt;DocRef&gt;</w:t>
      </w:r>
      <w:r>
        <w:t>(2025/0571R(APP))</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Anouk Van Brug, Katri Kulmuni, Moritz Körner, Joachim Streit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having regard to Articles 311, 312 and 323 of the Treaty on the Functioning of the European Union (TFEU),</w:t>
            </w:r>
          </w:p>
        </w:tc>
        <w:tc>
          <w:tcPr>
            <w:tcW w:w="4876" w:type="dxa"/>
            <w:tcBorders>
              <w:top w:val="nil"/>
              <w:left w:val="nil"/>
              <w:bottom w:val="nil"/>
              <w:right w:val="nil"/>
            </w:tcBorders>
          </w:tcPr>
          <w:p>
            <w:pPr>
              <w:pStyle w:val="Normal6a"/>
            </w:pPr>
            <w:r>
              <w:t>–</w:t>
            </w:r>
            <w:r>
              <w:tab/>
            </w:r>
            <w:r>
              <w:t xml:space="preserve">having regard to Articles </w:t>
            </w:r>
            <w:r>
              <w:rPr>
                <w:b/>
                <w:i/>
              </w:rPr>
              <w:t>285, 287,</w:t>
            </w:r>
            <w:r>
              <w:t xml:space="preserve"> 311, 312 and 323 of the Treaty on the Functioning of the European Union (TFEU),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having regard to Articles </w:t>
            </w:r>
            <w:r>
              <w:rPr>
                <w:b/>
                <w:i/>
              </w:rPr>
              <w:t>311, 312 and 323</w:t>
            </w:r>
            <w:r>
              <w:t xml:space="preserve"> of the Treaty on the Functioning of the European Union (TFEU),</w:t>
            </w:r>
          </w:p>
        </w:tc>
        <w:tc>
          <w:tcPr>
            <w:tcW w:w="4876" w:type="dxa"/>
            <w:tcBorders>
              <w:top w:val="nil"/>
              <w:left w:val="nil"/>
              <w:bottom w:val="nil"/>
              <w:right w:val="nil"/>
            </w:tcBorders>
          </w:tcPr>
          <w:p>
            <w:pPr>
              <w:pStyle w:val="Normal6a"/>
            </w:pPr>
            <w:r>
              <w:t>–</w:t>
            </w:r>
            <w:r>
              <w:tab/>
            </w:r>
            <w:r>
              <w:t xml:space="preserve">having regard to Articles </w:t>
            </w:r>
            <w:r>
              <w:rPr>
                <w:b/>
                <w:i/>
              </w:rPr>
              <w:t>8, 311, 312, 323 and 349</w:t>
            </w:r>
            <w:r>
              <w:t xml:space="preserve"> of the Treaty on the Functioning of the European Union (TFEU),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having regard to Articles 311, 312 </w:t>
            </w:r>
            <w:r>
              <w:rPr>
                <w:b/>
                <w:i/>
              </w:rPr>
              <w:t>and 323</w:t>
            </w:r>
            <w:r>
              <w:t xml:space="preserve"> of the Treaty on the Functioning of the European Union (TFEU),</w:t>
            </w:r>
          </w:p>
        </w:tc>
        <w:tc>
          <w:tcPr>
            <w:tcW w:w="4876" w:type="dxa"/>
            <w:tcBorders>
              <w:top w:val="nil"/>
              <w:left w:val="nil"/>
              <w:bottom w:val="nil"/>
              <w:right w:val="nil"/>
            </w:tcBorders>
          </w:tcPr>
          <w:p>
            <w:pPr>
              <w:pStyle w:val="Normal6a"/>
            </w:pPr>
            <w:r>
              <w:rPr>
                <w:b/>
                <w:i/>
              </w:rPr>
              <w:t>–</w:t>
            </w:r>
            <w:r>
              <w:tab/>
            </w:r>
            <w:r>
              <w:t>having regard to Articles 311, 312</w:t>
            </w:r>
            <w:r>
              <w:rPr>
                <w:b/>
                <w:i/>
              </w:rPr>
              <w:t>, 323 and 349</w:t>
            </w:r>
            <w:r>
              <w:t xml:space="preserve"> of the Treaty on the Functioning of the European Union (TFEU),</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Isabelle Le Callenec,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having regard to Articles 311, 312 </w:t>
            </w:r>
            <w:r>
              <w:rPr>
                <w:b/>
                <w:i/>
              </w:rPr>
              <w:t>and 323</w:t>
            </w:r>
            <w:r>
              <w:t xml:space="preserve"> of the Treaty on the Functioning of the European Union (TFEU),</w:t>
            </w:r>
          </w:p>
        </w:tc>
        <w:tc>
          <w:tcPr>
            <w:tcW w:w="4876" w:type="dxa"/>
            <w:tcBorders>
              <w:top w:val="nil"/>
              <w:left w:val="nil"/>
              <w:bottom w:val="nil"/>
              <w:right w:val="nil"/>
            </w:tcBorders>
          </w:tcPr>
          <w:p>
            <w:pPr>
              <w:pStyle w:val="Normal6a"/>
            </w:pPr>
            <w:r>
              <w:rPr>
                <w:b/>
                <w:i/>
              </w:rPr>
              <w:t>–</w:t>
            </w:r>
            <w:r>
              <w:tab/>
            </w:r>
            <w:r>
              <w:t>having regard to Articles 311, 312</w:t>
            </w:r>
            <w:r>
              <w:rPr>
                <w:b/>
                <w:i/>
              </w:rPr>
              <w:t>, 323 and 349</w:t>
            </w:r>
            <w:r>
              <w:t xml:space="preserve"> of the Treaty on the Functioning of the European Union (TFEU),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Regulation (EU, Euratom) 2024/2509 of the European Parliament and of the Council of 23 September 2024 on the financial rules applicable to the general budget of the Union (recast)[1] (the Financial Regulation), [1] OJ L, 2024/2509, 26.9.2024, p. 1, ELI: http://data.europa.eu/eli/reg/2024/2509/oj.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report of 10 April 2024 by Enrico Letta entitled ‘Much More than a Market’ (the Letta report),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Regulation (EU, Euratom) 2020/2092 of the European Parliament and of the Council of 16 December 2020 on a general regime of conditionality for the protection of the Union budget[1] (the Rule of Law Conditionality Regulation) [1] OJ L 433 I, 22.12.2020, p. 1, ELI: http://data.europa.eu/eli/reg/2020/2092/oj.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Commission communication of 11 December 2019 entitled ‘The European Green Deal’ (COM(2019)0640);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5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Agreement adopted at the 15th Conference of the Parties to the Convention on Biological Diversity (COP 15) in Montreal on 19 December 2022 (Kunming-Montreal Global Biodiversity Framework);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5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Agreement adopted at the 21st Conference of the Parties to the UNFCCC (COP 21) in Paris on 12 December 2015 (the Paris Agreement);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5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United Nations Sustainable Development Goals;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5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its resolution of 10 September 2025 on the role of cohesion policy investment in resolving the current housing crisis;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5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report of April 2024 by Enrico Letta entitled ‘Much more than a market’ (the Letta report);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Regulation (EU) No</w:t>
            </w:r>
            <w:r>
              <w:t xml:space="preserve"> </w:t>
            </w:r>
            <w:r>
              <w:rPr>
                <w:b/>
                <w:i/>
              </w:rPr>
              <w:t>228/2013 of the European Parliament and of the Council of 13 March 2013 laying down specific measures for agriculture in the outermost regions of the Union and repealing Council Regulation (EC) No</w:t>
            </w:r>
            <w:r>
              <w:t xml:space="preserve"> </w:t>
            </w:r>
            <w:r>
              <w:rPr>
                <w:b/>
                <w:i/>
              </w:rPr>
              <w:t>247/2006,</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report of 17 April 2024 by Enrico Letta entitled ‘Much more than a market – speed, security, solidarity: empowering the Single Market to deliver a sustainable future and prosperity for all EU Citizens’ (the Letta report),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report of April 2024 by Enrico Letta entitled “Much more than a market - Speed, Security, Solidarity - Empowering the Single Market to deliver a sustainable future and prosperity for all EU Citizens (the Letta report)”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Agreement adopted at the 15th Conference of the Parties to the Convention on Biological Diversity (COP 15) in Montreal on 19 December 2022 (Kunming-Montreal Global Biodiversity Framework),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2025 United States National Security Strategy, published on 5 December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Andrzej Halicki,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regards to the UN Convention on the Rights of Persons with Disabilities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European Commission communication of 3 May 2022 on a renewed strategy for the outermost regions, entitled ‘Putting people first, securing sustainable and inclusive growth, unlocking the potential of the EU’s outermost regions’,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Resolution of the European Committee of the Regions on the proposal for the Multiannual Financial Framework (MFF) 2028-2034, adopted at the CoR plenary session on 15 October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Agreement adopted at the 21st Conference of the Parties to the UNFCCC (COP 21) in Paris on 12 December 2015 (the Paris Agreement),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Commission communication of 12 November 2025 entitled "A Culture Compass for Europe" (COM(2025)0785),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6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Opinion of the European Committee of the Regions on the Multiannual Financial Framework (MFF) post 2027, including own resources package of 4 March 2026</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[OJ C 0, 0.0.0000, p. 0. / Not yet published in the Official Journal].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6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European Parliament resolution of 13 June 2023 on the assessment of the new Commission communication on outermost regions,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6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United Nations Sustainable Development Goals,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6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findings of the European Commission’s 2024 evaluation study on EU support schemes for agriculture in the outermost regions (POSEI), which confirm the effectiveness and relevance of this programme for food security, for territorial, social and economic cohesion, and for maintaining agricultural activity in particularly vulnerable insular and outermost regions,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Joachim Streit, Anouk Van Brug,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whereas, pursuant to Article 311 TFEU, the Union </w:t>
            </w:r>
            <w:r>
              <w:rPr>
                <w:b/>
                <w:i/>
              </w:rPr>
              <w:t>must</w:t>
            </w:r>
            <w:r>
              <w:t xml:space="preserve"> provide itself with the necessary means to attain its objectives </w:t>
            </w:r>
            <w:r>
              <w:rPr>
                <w:b/>
                <w:i/>
              </w:rPr>
              <w:t>and carry through its policies</w:t>
            </w:r>
            <w:r>
              <w:t>;</w:t>
            </w:r>
          </w:p>
        </w:tc>
        <w:tc>
          <w:tcPr>
            <w:tcW w:w="4876" w:type="dxa"/>
            <w:tcBorders>
              <w:top w:val="nil"/>
              <w:left w:val="nil"/>
              <w:bottom w:val="nil"/>
              <w:right w:val="nil"/>
            </w:tcBorders>
          </w:tcPr>
          <w:p>
            <w:pPr>
              <w:pStyle w:val="Normal6a"/>
            </w:pPr>
            <w:r>
              <w:t>A.</w:t>
            </w:r>
            <w:r>
              <w:tab/>
            </w:r>
            <w:r>
              <w:t xml:space="preserve">whereas, pursuant to Article 311 TFEU, the Union </w:t>
            </w:r>
            <w:r>
              <w:rPr>
                <w:b/>
                <w:i/>
              </w:rPr>
              <w:t>shall</w:t>
            </w:r>
            <w:r>
              <w:t xml:space="preserve"> provide itself with the necessary means to attain its objectives</w:t>
            </w:r>
            <w:r>
              <w:rPr>
                <w:b/>
                <w:i/>
              </w:rPr>
              <w:t>, within the limits of the Treaties and respecting the principle of budgetary sovereignty of the Member States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Alexander Jungbluth, Stanisław Tyszka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whereas, pursuant to Article 311 TFEU, the Union must provide itself with the necessary means </w:t>
            </w:r>
            <w:r>
              <w:rPr>
                <w:b/>
                <w:i/>
              </w:rPr>
              <w:t>to attain its objectives and carry through its policies</w:t>
            </w:r>
            <w:r>
              <w:t>;</w:t>
            </w:r>
          </w:p>
        </w:tc>
        <w:tc>
          <w:tcPr>
            <w:tcW w:w="4876" w:type="dxa"/>
            <w:tcBorders>
              <w:top w:val="nil"/>
              <w:left w:val="nil"/>
              <w:bottom w:val="nil"/>
              <w:right w:val="nil"/>
            </w:tcBorders>
          </w:tcPr>
          <w:p>
            <w:pPr>
              <w:pStyle w:val="Normal6a"/>
            </w:pPr>
            <w:r>
              <w:t>A.</w:t>
            </w:r>
            <w:r>
              <w:tab/>
            </w:r>
            <w:r>
              <w:t>whereas, pursuant to Article 311 TFEU, the Union must provide itself with the necessary means</w:t>
            </w:r>
            <w:r>
              <w:rPr>
                <w:b/>
                <w:i/>
              </w:rPr>
              <w:t>, while fully respecting the budgetary autonomy of the Member States and the principles of subsidiarity and proportionality</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whereas, pursuant to </w:t>
            </w:r>
            <w:r>
              <w:rPr>
                <w:b/>
                <w:i/>
              </w:rPr>
              <w:t>Article 311</w:t>
            </w:r>
            <w:r>
              <w:t xml:space="preserve"> TFEU, the Union must provide itself with the necessary means to attain its objectives and carry through its policies;</w:t>
            </w:r>
          </w:p>
        </w:tc>
        <w:tc>
          <w:tcPr>
            <w:tcW w:w="4876" w:type="dxa"/>
            <w:tcBorders>
              <w:top w:val="nil"/>
              <w:left w:val="nil"/>
              <w:bottom w:val="nil"/>
              <w:right w:val="nil"/>
            </w:tcBorders>
          </w:tcPr>
          <w:p>
            <w:pPr>
              <w:pStyle w:val="Normal6a"/>
            </w:pPr>
            <w:r>
              <w:t>A.</w:t>
            </w:r>
            <w:r>
              <w:tab/>
            </w:r>
            <w:r>
              <w:t xml:space="preserve">whereas, pursuant to </w:t>
            </w:r>
            <w:r>
              <w:rPr>
                <w:b/>
                <w:i/>
              </w:rPr>
              <w:t>Articles 311 and 349</w:t>
            </w:r>
            <w:r>
              <w:t xml:space="preserve"> TFEU, the Union must provide itself with the necessary means to attain its objectives and carry through its policies;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whereas the Common Agricultural Policy is a fundamental policy of the European project and food and agricultural production plays a strategic role in the new geopolitical context, being central to European security, defence and sovereignty;</w:t>
            </w:r>
            <w:r>
              <w:t xml:space="preserve"> </w:t>
            </w:r>
            <w:r>
              <w:rPr>
                <w:b/>
                <w:i/>
              </w:rPr>
              <w:t>whereas the ability to secure domestic food supply, reduce reliance on imports of sensitive products and ensure the continuity of agri-food value chains is fundamental to the European Union’s resilience to external crises, armed or tariff conflicts, instability in global markets and extreme climate events;</w:t>
            </w:r>
            <w:r>
              <w:t xml:space="preserve"> </w:t>
            </w:r>
            <w:r>
              <w:rPr>
                <w:b/>
                <w:i/>
              </w:rPr>
              <w:t>whereas European farming should be recognised not only as an economic sector, but also as a geopolitical cornerstone, a tool for social and territorial stability and a critical component of the EU’s security and defence policies;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having regard to all relevant reports of the European Court of Auditors realted to Multiannual Financial Framework,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whereas, under Article 349 of the Treaty on the Functioning of the European Union, the Union must devise and implement specific measures to support the outermost regions, and these measures must be reflected in the next MFF through specific and adequate appropriations for these regions;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whereas, according to the European Court of Auditors’ Special Report 03/2026 on specific measures to support agriculture in the EU outermost regions, published in January 2026, EU support in those regions ‘contributed to maintaining the competitiveness of some traditional sectors and supported the diversification of agriculture’; whereas, however, the overall budget for the POSEI has remained unaltered since 2010, while ‘national funds topping up the EU contribution are significant, representing 121 % of the EU POSEI aid for France, 55 % for Spain and 29 % for Portugal’, which is clearly unsustainable, since it is an EU responsibility that has been taken on by Member States; whereas ‘the long-term future of these sectors is threatened by the environmental, climate change and demographic challenges in the outermost regions’; whereas, moreover, ‘in 2023 banana producers in the Canary Islands sold their bananas on average at €0.44/kg, while their costs were €0.71/kg – sales covered only 62 % of the production costs’, with similar situations occurring in other sectors, such as the dairy sector in the Azores, making the POSEI ‘an important source of income to maintain agricultural activities in those regions and, for some farmers, is equivalent to a large share of their turnover from agricultural activities’;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whereas the Common Fisheries Policy is a fundamental policy of the European project and the European Union relies around 70 % on imports of seafood products to meet its internal demand;</w:t>
            </w:r>
            <w:r>
              <w:t xml:space="preserve"> </w:t>
            </w:r>
            <w:r>
              <w:rPr>
                <w:b/>
                <w:i/>
              </w:rPr>
              <w:t>whereas the ability to secure a sustainable supply of seafood products, reduce external dependence and ensure the continuity of value chains in the fisheries sector is fundamental to the European Union’s resilience to external crises, armed or tariff conflicts, instability in global markets and extreme climate events;</w:t>
            </w:r>
            <w:r>
              <w:t xml:space="preserve"> </w:t>
            </w:r>
            <w:r>
              <w:rPr>
                <w:b/>
                <w:i/>
              </w:rPr>
              <w:t>whereas European fisheries should be recognised not only as an economic sector, but also as a geopolitical cornerstone, a tool for social and territorial stability and a critical component of the EU’s security and defence policies;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whereas the current MFF </w:t>
            </w:r>
            <w:r>
              <w:rPr>
                <w:b/>
                <w:i/>
              </w:rPr>
              <w:t>quickly</w:t>
            </w:r>
            <w:r>
              <w:t xml:space="preserve"> proved its inadequacy in responding </w:t>
            </w:r>
            <w:r>
              <w:rPr>
                <w:b/>
                <w:i/>
              </w:rPr>
              <w:t>to a series of</w:t>
            </w:r>
            <w:r>
              <w:t xml:space="preserve"> crises and new political challenges that were not anticipated at the time of its adoption</w:t>
            </w:r>
            <w:r>
              <w:rPr>
                <w:b/>
                <w:i/>
              </w:rPr>
              <w:t>;</w:t>
            </w:r>
            <w:r>
              <w:t xml:space="preserve"> </w:t>
            </w:r>
            <w:r>
              <w:rPr>
                <w:b/>
                <w:i/>
              </w:rPr>
              <w:t>whereas, for the purpose of securing the necessary funding, the MFF was pushed to its limits including an</w:t>
            </w:r>
            <w:r>
              <w:t xml:space="preserve"> unprecedented recourse to the flexibility provisions and special instruments</w:t>
            </w:r>
            <w:r>
              <w:rPr>
                <w:b/>
                <w:i/>
              </w:rPr>
              <w:t>, after exhausting the available</w:t>
            </w:r>
            <w:r>
              <w:t xml:space="preserve"> margins;</w:t>
            </w:r>
          </w:p>
        </w:tc>
        <w:tc>
          <w:tcPr>
            <w:tcW w:w="4876" w:type="dxa"/>
            <w:tcBorders>
              <w:top w:val="nil"/>
              <w:left w:val="nil"/>
              <w:bottom w:val="nil"/>
              <w:right w:val="nil"/>
            </w:tcBorders>
          </w:tcPr>
          <w:p>
            <w:pPr>
              <w:pStyle w:val="Normal6a"/>
            </w:pPr>
            <w:r>
              <w:t>B.</w:t>
            </w:r>
            <w:r>
              <w:tab/>
            </w:r>
            <w:r>
              <w:t xml:space="preserve">whereas </w:t>
            </w:r>
            <w:r>
              <w:rPr>
                <w:b/>
                <w:i/>
              </w:rPr>
              <w:t>while</w:t>
            </w:r>
            <w:r>
              <w:t xml:space="preserve"> the current MFF </w:t>
            </w:r>
            <w:r>
              <w:rPr>
                <w:b/>
                <w:i/>
              </w:rPr>
              <w:t>has</w:t>
            </w:r>
            <w:r>
              <w:t xml:space="preserve"> proved its inadequacy in </w:t>
            </w:r>
            <w:r>
              <w:rPr>
                <w:b/>
                <w:i/>
              </w:rPr>
              <w:t>terms of</w:t>
            </w:r>
            <w:r>
              <w:t xml:space="preserve"> responding </w:t>
            </w:r>
            <w:r>
              <w:rPr>
                <w:b/>
                <w:i/>
              </w:rPr>
              <w:t>appropriately to certain</w:t>
            </w:r>
            <w:r>
              <w:t xml:space="preserve"> crises and new political challenges that were not anticipated at the time of its adoption</w:t>
            </w:r>
            <w:r>
              <w:rPr>
                <w:b/>
                <w:i/>
              </w:rPr>
              <w:t>, the</w:t>
            </w:r>
            <w:r>
              <w:t xml:space="preserve"> unprecedented recourse to the flexibility provisions and special instruments </w:t>
            </w:r>
            <w:r>
              <w:rPr>
                <w:b/>
                <w:i/>
              </w:rPr>
              <w:t>has revealed serious shortcomings as regards design, transparency and evaluation;</w:t>
            </w:r>
            <w:r>
              <w:t xml:space="preserve"> </w:t>
            </w:r>
            <w:r>
              <w:rPr>
                <w:b/>
                <w:i/>
              </w:rPr>
              <w:t>whereas the European Court of Auditors stressed, in its Special Report 18/2025, that the Commission had failed to carry out an ex ante or retrospective evaluation of the functioning of  the</w:t>
            </w:r>
            <w:r>
              <w:t xml:space="preserve"> margins</w:t>
            </w:r>
            <w:r>
              <w:rPr>
                <w:b/>
                <w:i/>
              </w:rPr>
              <w:t>, the Flexibility Instrument or the Emergency Aid Reserve, making it impossible to gauge the real effectiveness of these tools or to draw lessons from them for the future</w:t>
            </w:r>
            <w:r>
              <w:t xml:space="preserve">; </w:t>
            </w:r>
            <w:r>
              <w:rPr>
                <w:b/>
                <w:i/>
              </w:rPr>
              <w:t>whereas this failure to carry out evaluations runs counter to the principles of effective risk management and evidence-based policymaking;</w:t>
            </w:r>
            <w:r>
              <w:t xml:space="preserve"> </w:t>
            </w:r>
            <w:r>
              <w:rPr>
                <w:b/>
                <w:i/>
              </w:rPr>
              <w:t>whereas the systematic mobilisation of flexibility tools cannot be regarded as an appropriate structural response to the inadequacies of the MFF, but instead reveals the need for a better designed and more predictable MFF that is based on clearly defined priorities;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Ruggero Razza, Roberts Zīle,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 Bogdan Rzońca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whereas the current MFF quickly proved its inadequacy in responding to a series of crises and new political challenges that were not anticipated at the time of its adoption; whereas, for the purpose of securing the necessary funding, the MFF was pushed to its limits including an unprecedented recourse to the flexibility provisions and special instruments, after exhausting the available margins;</w:t>
            </w:r>
          </w:p>
        </w:tc>
        <w:tc>
          <w:tcPr>
            <w:tcW w:w="4876" w:type="dxa"/>
            <w:tcBorders>
              <w:top w:val="nil"/>
              <w:left w:val="nil"/>
              <w:bottom w:val="nil"/>
              <w:right w:val="nil"/>
            </w:tcBorders>
          </w:tcPr>
          <w:p>
            <w:pPr>
              <w:pStyle w:val="Normal6a"/>
            </w:pPr>
            <w:r>
              <w:t>B.</w:t>
            </w:r>
            <w:r>
              <w:tab/>
            </w:r>
            <w:r>
              <w:t xml:space="preserve">whereas the current MFF quickly proved its inadequacy in responding to a series of crises and new political challenges that were not anticipated at the time of its adoption; whereas, for the purpose of securing the necessary funding, the MFF was pushed to its limits including an unprecedented recourse to the flexibility provisions and special instruments, after exhausting the available margins; </w:t>
            </w:r>
            <w:r>
              <w:rPr>
                <w:b/>
                <w:i/>
              </w:rPr>
              <w:t>whereas coupled with ideology-driven green transition policies and ever more bureaucracy, the MFF has proven woefully inadequate at addressing the competitiveness of the EU and its Member States, prompting a major downturn in economic growth and a contraction of the labour market;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whereas the current MFF quickly proved its inadequacy in responding to a series of crises and new political challenges that were not anticipated at the time of its adoption; whereas, for the purpose of securing the necessary funding, the MFF was pushed to its limits including an unprecedented recourse to the flexibility provisions and special instruments, after exhausting the available margins;</w:t>
            </w:r>
          </w:p>
        </w:tc>
        <w:tc>
          <w:tcPr>
            <w:tcW w:w="4876" w:type="dxa"/>
            <w:tcBorders>
              <w:top w:val="nil"/>
              <w:left w:val="nil"/>
              <w:bottom w:val="nil"/>
              <w:right w:val="nil"/>
            </w:tcBorders>
          </w:tcPr>
          <w:p>
            <w:pPr>
              <w:pStyle w:val="Normal6a"/>
            </w:pPr>
            <w:r>
              <w:t>B.</w:t>
            </w:r>
            <w:r>
              <w:tab/>
            </w:r>
            <w:r>
              <w:t xml:space="preserve">whereas the current MFF quickly proved its inadequacy in responding to a series of crises and new political challenges that were not anticipated at the time of its adoption; whereas, for the purpose of securing the necessary funding, the MFF was pushed to its limits including an unprecedented recourse to the flexibility provisions and special instruments, after exhausting the available margins; </w:t>
            </w:r>
            <w:r>
              <w:rPr>
                <w:b/>
                <w:i/>
              </w:rPr>
              <w:t>recalls that this led to European programmes like the cohesion policy being repeatedly called upon in the response to such emergencies, thus making it difficult for them to achieve their long-term goals;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Alexander Jungbluth, Stanisław Tyszka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whereas the current MFF quickly proved its inadequacy in responding to a series of crises and new political challenges that were not anticipated at the time of its adoption; whereas, for the purpose of securing the necessary funding, the MFF was pushed to its limits including an unprecedented recourse to the flexibility provisions and special instruments, after exhausting the available margins;</w:t>
            </w:r>
          </w:p>
        </w:tc>
        <w:tc>
          <w:tcPr>
            <w:tcW w:w="4876" w:type="dxa"/>
            <w:tcBorders>
              <w:top w:val="nil"/>
              <w:left w:val="nil"/>
              <w:bottom w:val="nil"/>
              <w:right w:val="nil"/>
            </w:tcBorders>
          </w:tcPr>
          <w:p>
            <w:pPr>
              <w:pStyle w:val="Normal6a"/>
            </w:pPr>
            <w:r>
              <w:t>B.</w:t>
            </w:r>
            <w:r>
              <w:tab/>
            </w:r>
            <w:r>
              <w:t xml:space="preserve">whereas the current MFF quickly proved its inadequacy in responding to a series of crises and new political challenges that were not anticipated at the time of its adoption; whereas, for the purpose of securing the necessary funding, the MFF was pushed to its limits including an unprecedented recourse to the flexibility provisions and special instruments, after exhausting the available margins; </w:t>
            </w:r>
            <w:r>
              <w:rPr>
                <w:b/>
                <w:i/>
              </w:rPr>
              <w:t>stresses, however, that exceptional instruments cannot justify any permanent expansion of the Union’s budgetary architecture;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Joachim Streit, Moritz Körner, Anouk Van Brug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whereas the current MFF quickly proved its inadequacy in responding to a series of crises and new political challenges that were not anticipated at the time of its adoption; whereas, for the purpose of securing the necessary funding, the MFF was pushed to its limits including an unprecedented recourse to the flexibility provisions and special instruments, after exhausting the available margins;</w:t>
            </w:r>
          </w:p>
        </w:tc>
        <w:tc>
          <w:tcPr>
            <w:tcW w:w="4876" w:type="dxa"/>
            <w:tcBorders>
              <w:top w:val="nil"/>
              <w:left w:val="nil"/>
              <w:bottom w:val="nil"/>
              <w:right w:val="nil"/>
            </w:tcBorders>
          </w:tcPr>
          <w:p>
            <w:pPr>
              <w:pStyle w:val="Normal6a"/>
            </w:pPr>
            <w:r>
              <w:t>B.</w:t>
            </w:r>
            <w:r>
              <w:tab/>
            </w:r>
            <w:r>
              <w:t xml:space="preserve">whereas the current MFF quickly proved its inadequacy in responding to a series of crises and new political challenges that were not anticipated at the time of its adoption; whereas, for the purpose of securing the necessary funding, the MFF was pushed to its limits including an unprecedented recourse to the flexibility provisions and special instruments, after exhausting the available margins; </w:t>
            </w:r>
            <w:r>
              <w:rPr>
                <w:b/>
                <w:i/>
              </w:rPr>
              <w:t>whereas such measures must remain exceptional and cannot replace sound budgetary planning;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whereas the </w:t>
            </w:r>
            <w:r>
              <w:rPr>
                <w:b/>
                <w:i/>
              </w:rPr>
              <w:t>current MFF</w:t>
            </w:r>
            <w:r>
              <w:t xml:space="preserve"> quickly proved its inadequacy in responding to a series of crises and new political challenges that were not anticipated at the time of </w:t>
            </w:r>
            <w:r>
              <w:rPr>
                <w:b/>
                <w:i/>
              </w:rPr>
              <w:t>its</w:t>
            </w:r>
            <w:r>
              <w:t xml:space="preserve"> adoption; whereas, for the purpose of securing the necessary funding, the MFF was pushed to its limits including an unprecedented recourse to the flexibility provisions and special instruments, after exhausting the available margins;</w:t>
            </w:r>
          </w:p>
        </w:tc>
        <w:tc>
          <w:tcPr>
            <w:tcW w:w="4876" w:type="dxa"/>
            <w:tcBorders>
              <w:top w:val="nil"/>
              <w:left w:val="nil"/>
              <w:bottom w:val="nil"/>
              <w:right w:val="nil"/>
            </w:tcBorders>
          </w:tcPr>
          <w:p>
            <w:pPr>
              <w:pStyle w:val="Normal6a"/>
            </w:pPr>
            <w:r>
              <w:t>B.</w:t>
            </w:r>
            <w:r>
              <w:tab/>
            </w:r>
            <w:r>
              <w:t>whereas the </w:t>
            </w:r>
            <w:r>
              <w:rPr>
                <w:b/>
                <w:i/>
              </w:rPr>
              <w:t>European Commission</w:t>
            </w:r>
            <w:r>
              <w:t> quickly proved its inadequacy in responding to a series of crises and new political challenges that were not anticipated at the time of </w:t>
            </w:r>
            <w:r>
              <w:rPr>
                <w:b/>
                <w:i/>
              </w:rPr>
              <w:t>the</w:t>
            </w:r>
            <w:r>
              <w:t> adoption</w:t>
            </w:r>
            <w:r>
              <w:rPr>
                <w:b/>
                <w:i/>
              </w:rPr>
              <w:t> of the current MFF</w:t>
            </w:r>
            <w:r>
              <w:t>; whereas, for the purpose of securing the necessary funding</w:t>
            </w:r>
            <w:r>
              <w:rPr>
                <w:b/>
                <w:i/>
              </w:rPr>
              <w:t> for correcting the failures of the European Commission</w:t>
            </w:r>
            <w:r>
              <w:t>, the MFF was pushed to its limits including an unprecedented recourse to the flexibility provisions and special instruments, after exhausting the available margins;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whereas the current MFF quickly proved its inadequacy in responding to a series of crises and new political challenges that were not anticipated at the time of its adoption; whereas, for the purpose of securing the necessary funding, the MFF was pushed to its limits including an unprecedented recourse to the flexibility provisions and special instruments, after exhausting the available margins;</w:t>
            </w:r>
          </w:p>
        </w:tc>
        <w:tc>
          <w:tcPr>
            <w:tcW w:w="4876" w:type="dxa"/>
            <w:tcBorders>
              <w:top w:val="nil"/>
              <w:left w:val="nil"/>
              <w:bottom w:val="nil"/>
              <w:right w:val="nil"/>
            </w:tcBorders>
          </w:tcPr>
          <w:p>
            <w:pPr>
              <w:pStyle w:val="Normal6a"/>
            </w:pPr>
            <w:r>
              <w:t>B.</w:t>
            </w:r>
            <w:r>
              <w:tab/>
            </w:r>
            <w:r>
              <w:t xml:space="preserve">whereas the current MFF quickly proved its inadequacy in responding to a series of crises and new political challenges that were not </w:t>
            </w:r>
            <w:r>
              <w:rPr>
                <w:b/>
                <w:i/>
              </w:rPr>
              <w:t>and could not have been</w:t>
            </w:r>
            <w:r>
              <w:t xml:space="preserve"> anticipated at the time of its adoption; whereas, for the purpose of securing the necessary funding, the MFF was pushed to its limits including an unprecedented recourse to the flexibility provisions and special instruments, after exhausting the available margins </w:t>
            </w:r>
            <w:r>
              <w:rPr>
                <w:b/>
                <w:i/>
              </w:rPr>
              <w:t>as well as several amendments on the MFF</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whereas the current MFF quickly proved its inadequacy in responding to a series of crises and new political challenges that were not anticipated at the time of its adoption; whereas, for the purpose of securing the necessary funding, the MFF was pushed to its limits including an unprecedented recourse to the flexibility provisions and special instruments, after exhausting the available margins;</w:t>
            </w:r>
          </w:p>
        </w:tc>
        <w:tc>
          <w:tcPr>
            <w:tcW w:w="4876" w:type="dxa"/>
            <w:tcBorders>
              <w:top w:val="nil"/>
              <w:left w:val="nil"/>
              <w:bottom w:val="nil"/>
              <w:right w:val="nil"/>
            </w:tcBorders>
          </w:tcPr>
          <w:p>
            <w:pPr>
              <w:pStyle w:val="Normal6a"/>
            </w:pPr>
            <w:r>
              <w:t>B.</w:t>
            </w:r>
            <w:r>
              <w:tab/>
            </w:r>
            <w:r>
              <w:t>whereas the current MFF quickly proved its inadequacy in responding to a series of crises</w:t>
            </w:r>
            <w:r>
              <w:rPr>
                <w:b/>
                <w:i/>
              </w:rPr>
              <w:t>, including inflation,</w:t>
            </w:r>
            <w:r>
              <w:t xml:space="preserve"> and new political challenges that were not anticipated at the time of its adoption; whereas, for the purpose of securing the necessary funding, the MFF was pushed to its limits including an unprecedented recourse to the flexibility provisions and special instruments, after exhausting the available margins;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terms of the response to unforeseen emergencies during the previous period, it stood out that Next Generation European recovery funds were approved to respond to the economic consequences of COVID-19 through joint debt.</w:t>
            </w:r>
            <w:r>
              <w:t xml:space="preserve"> </w:t>
            </w:r>
            <w:r>
              <w:rPr>
                <w:b/>
                <w:i/>
              </w:rPr>
              <w:t>The repayment of interest on this debt had a considerable influence on the previous Financial Framework’s annual budgets, limiting budgetary capacity to respond to the needs of the various EU programmes.</w:t>
            </w:r>
            <w:r>
              <w:t xml:space="preserve"> </w:t>
            </w:r>
            <w:r>
              <w:rPr>
                <w:b/>
                <w:i/>
              </w:rPr>
              <w:t>Recalls that repayment of Next Generation debt will begin during the Financial Framework 2028-2034, with an estimated EUR 150 billion having a significant influence on this Financial Framework and its annual budgets, in particular Pillar 1, European Social Model and Quality of Life.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whereas the MFF mid-term revision agreed in 2024 proved to be imperative due to the lack of resources that continue to undermine the current MFF to this day;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whereas the MFF mid-term revision agreed in 2024 </w:t>
            </w:r>
            <w:r>
              <w:rPr>
                <w:b/>
                <w:i/>
              </w:rPr>
              <w:t>proved to be imperative due to the</w:t>
            </w:r>
            <w:r>
              <w:t xml:space="preserve"> lack of </w:t>
            </w:r>
            <w:r>
              <w:rPr>
                <w:b/>
                <w:i/>
              </w:rPr>
              <w:t>resources that continue to undermine the current MFF to this day</w:t>
            </w:r>
            <w:r>
              <w:t>;</w:t>
            </w:r>
          </w:p>
        </w:tc>
        <w:tc>
          <w:tcPr>
            <w:tcW w:w="4876" w:type="dxa"/>
            <w:tcBorders>
              <w:top w:val="nil"/>
              <w:left w:val="nil"/>
              <w:bottom w:val="nil"/>
              <w:right w:val="nil"/>
            </w:tcBorders>
          </w:tcPr>
          <w:p>
            <w:pPr>
              <w:pStyle w:val="Normal6a"/>
            </w:pPr>
            <w:r>
              <w:t>C.</w:t>
            </w:r>
            <w:r>
              <w:tab/>
            </w:r>
            <w:r>
              <w:t>whereas the MFF mid-term revision</w:t>
            </w:r>
            <w:r>
              <w:rPr>
                <w:b/>
                <w:i/>
              </w:rPr>
              <w:t>,</w:t>
            </w:r>
            <w:r>
              <w:t xml:space="preserve"> agreed in 2024</w:t>
            </w:r>
            <w:r>
              <w:rPr>
                <w:b/>
                <w:i/>
              </w:rPr>
              <w:t>, was necessary not as an exceptional adjustment, but as the direct result of inadequacies in the original design of the MFF, which was characterised by a blatant underestimation of needs and by premature and extensive recourse to margins and special instruments, as well as by a</w:t>
            </w:r>
            <w:r>
              <w:t xml:space="preserve"> lack of </w:t>
            </w:r>
            <w:r>
              <w:rPr>
                <w:b/>
                <w:i/>
              </w:rPr>
              <w:t>appropriate mechanisms allowing sustainable solutions to major crises and by a lack of budgetary restraint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Marco Squarta, Bogdan Rzońca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whereas the MFF mid-term revision agreed in 2024 proved to be imperative due to the lack of resources that continue to undermine the current MFF to this day;</w:t>
            </w:r>
          </w:p>
        </w:tc>
        <w:tc>
          <w:tcPr>
            <w:tcW w:w="4876" w:type="dxa"/>
            <w:tcBorders>
              <w:top w:val="nil"/>
              <w:left w:val="nil"/>
              <w:bottom w:val="nil"/>
              <w:right w:val="nil"/>
            </w:tcBorders>
          </w:tcPr>
          <w:p>
            <w:pPr>
              <w:pStyle w:val="Normal6a"/>
            </w:pPr>
            <w:r>
              <w:t>C.</w:t>
            </w:r>
            <w:r>
              <w:tab/>
            </w:r>
            <w:r>
              <w:t xml:space="preserve">whereas the MFF mid-term revision agreed in 2024 proved to be imperative due to the lack of resources that continue to undermine the current MFF to this day; </w:t>
            </w:r>
            <w:r>
              <w:rPr>
                <w:b/>
                <w:i/>
              </w:rPr>
              <w:t>whereas, however, this revision has failed to achieve the desired objectives, as evidenced by the trends in economic growth and the crisis of competitiveness, a problem laid bare by the Draghi report;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whereas the MFF mid-term revision agreed in 2024 proved to be imperative due to the lack of resources that continue to undermine the current MFF to this day;</w:t>
            </w:r>
          </w:p>
        </w:tc>
        <w:tc>
          <w:tcPr>
            <w:tcW w:w="4876" w:type="dxa"/>
            <w:tcBorders>
              <w:top w:val="nil"/>
              <w:left w:val="nil"/>
              <w:bottom w:val="nil"/>
              <w:right w:val="nil"/>
            </w:tcBorders>
          </w:tcPr>
          <w:p>
            <w:pPr>
              <w:pStyle w:val="Normal6a"/>
            </w:pPr>
            <w:r>
              <w:t>C.</w:t>
            </w:r>
            <w:r>
              <w:tab/>
            </w:r>
            <w:r>
              <w:t xml:space="preserve">whereas the MFF mid-term revision agreed in 2024 proved to be imperative due to the lack of resources that continue to undermine the current MFF to this day; </w:t>
            </w:r>
            <w:r>
              <w:rPr>
                <w:b/>
                <w:i/>
              </w:rPr>
              <w:t>emphasises, however, that exceptional financing instruments cannot be placed on a permanent footing as a result of transitional measures;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whereas the MFF mid-term revision agreed in 2024 proved to be imperative due to the lack of resources </w:t>
            </w:r>
            <w:r>
              <w:rPr>
                <w:b/>
                <w:i/>
              </w:rPr>
              <w:t>that continue</w:t>
            </w:r>
            <w:r>
              <w:t xml:space="preserve"> to undermine the current MFF to this day;</w:t>
            </w:r>
          </w:p>
        </w:tc>
        <w:tc>
          <w:tcPr>
            <w:tcW w:w="4876" w:type="dxa"/>
            <w:tcBorders>
              <w:top w:val="nil"/>
              <w:left w:val="nil"/>
              <w:bottom w:val="nil"/>
              <w:right w:val="nil"/>
            </w:tcBorders>
          </w:tcPr>
          <w:p>
            <w:pPr>
              <w:pStyle w:val="Normal6a"/>
            </w:pPr>
            <w:r>
              <w:t>C.</w:t>
            </w:r>
            <w:r>
              <w:tab/>
            </w:r>
            <w:r>
              <w:t xml:space="preserve">whereas the MFF mid-term revision agreed in 2024 proved to be imperative due to the lack of resources </w:t>
            </w:r>
            <w:r>
              <w:rPr>
                <w:b/>
                <w:i/>
              </w:rPr>
              <w:t>to adequately address emerging priorities and challenges, which continues</w:t>
            </w:r>
            <w:r>
              <w:t xml:space="preserve"> to undermine the current MFF to this day;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Anouk Van Brug, Katri Kulmuni, Moritz Körner, Joachim Streit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whereas the </w:t>
            </w:r>
            <w:r>
              <w:rPr>
                <w:b/>
                <w:i/>
              </w:rPr>
              <w:t>MFF mid-term</w:t>
            </w:r>
            <w:r>
              <w:t xml:space="preserve"> revision </w:t>
            </w:r>
            <w:r>
              <w:rPr>
                <w:b/>
                <w:i/>
              </w:rPr>
              <w:t>agreed in 2024 proved to be imperative due to the lack of resources that continue to undermine</w:t>
            </w:r>
            <w:r>
              <w:t xml:space="preserve"> the current MFF </w:t>
            </w:r>
            <w:r>
              <w:rPr>
                <w:b/>
                <w:i/>
              </w:rPr>
              <w:t>to this day</w:t>
            </w:r>
            <w:r>
              <w:t>;</w:t>
            </w:r>
          </w:p>
        </w:tc>
        <w:tc>
          <w:tcPr>
            <w:tcW w:w="4876" w:type="dxa"/>
            <w:tcBorders>
              <w:top w:val="nil"/>
              <w:left w:val="nil"/>
              <w:bottom w:val="nil"/>
              <w:right w:val="nil"/>
            </w:tcBorders>
          </w:tcPr>
          <w:p>
            <w:pPr>
              <w:pStyle w:val="Normal6a"/>
            </w:pPr>
            <w:r>
              <w:t>C.</w:t>
            </w:r>
            <w:r>
              <w:tab/>
            </w:r>
            <w:r>
              <w:t xml:space="preserve">whereas the revision </w:t>
            </w:r>
            <w:r>
              <w:rPr>
                <w:b/>
                <w:i/>
              </w:rPr>
              <w:t>of</w:t>
            </w:r>
            <w:r>
              <w:t xml:space="preserve"> the current MFF </w:t>
            </w:r>
            <w:r>
              <w:rPr>
                <w:b/>
                <w:i/>
              </w:rPr>
              <w:t>took place as planned in 2024</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whereas these developments occurred in an increasingly unstable global environment marked by geopolitical tensions, economic volatility, climate-related disasters, and evolving security threats, underscoring the need for an EU budget capable of adapting to both internal and external shocks in a rapidly changing world;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whereas the establishment of the new MFF will be a critical moment for the Union, as it will provide for the possibility to endorse a common vision and decide on the future political priorities as well as the ability of the Union to deliver them;</w:t>
            </w:r>
          </w:p>
        </w:tc>
        <w:tc>
          <w:tcPr>
            <w:tcW w:w="4876" w:type="dxa"/>
            <w:tcBorders>
              <w:top w:val="nil"/>
              <w:left w:val="nil"/>
              <w:bottom w:val="nil"/>
              <w:right w:val="nil"/>
            </w:tcBorders>
          </w:tcPr>
          <w:p>
            <w:pPr>
              <w:pStyle w:val="Normal6a"/>
            </w:pPr>
            <w:r>
              <w:t>D.</w:t>
            </w:r>
            <w:r>
              <w:tab/>
            </w:r>
            <w:r>
              <w:t xml:space="preserve">whereas the establishment of the new MFF will be a critical moment for the Union, as it will provide for the possibility to endorse a common vision and decide on the future political priorities as well as the ability of the Union to deliver them; </w:t>
            </w:r>
            <w:r>
              <w:rPr>
                <w:b/>
                <w:i/>
              </w:rPr>
              <w:t>whereas these new priorities cannot be defined in a way that undermines traditional priorities or the common policies of the European Union that form the basis of its political project, which must continue to be the central focus of the Union’s action and its strategic autonomy, and therefore its security and defence;</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whereas the establishment of the new MFF will be a critical moment for the Union, as it will provide for the possibility to endorse a common vision and decide on the future political priorities as well as the ability of the Union to deliver them;</w:t>
            </w:r>
          </w:p>
        </w:tc>
        <w:tc>
          <w:tcPr>
            <w:tcW w:w="4876" w:type="dxa"/>
            <w:tcBorders>
              <w:top w:val="nil"/>
              <w:left w:val="nil"/>
              <w:bottom w:val="nil"/>
              <w:right w:val="nil"/>
            </w:tcBorders>
          </w:tcPr>
          <w:p>
            <w:pPr>
              <w:pStyle w:val="Normal6a"/>
            </w:pPr>
            <w:r>
              <w:t>D.</w:t>
            </w:r>
            <w:r>
              <w:tab/>
            </w:r>
            <w:r>
              <w:t xml:space="preserve">whereas the establishment of the new MFF will be a critical moment for the Union, as it will provide for the possibility to endorse a common vision and decide on the future political priorities as well as the ability of the Union to deliver them; </w:t>
            </w:r>
            <w:r>
              <w:rPr>
                <w:b/>
                <w:i/>
              </w:rPr>
              <w:t>whereas, moreover, the EU’s weak standing as a global player is illustrated by the geopolitical context and the state of economic relations between G7 and BRICS countries, which has had clear repercussions on economic growth and the labour market;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Alexander Jungbluth, Stanisław Tyszka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whereas the establishment of the new MFF will be a critical moment for the Union, as it will provide for the possibility to endorse a common vision and decide on the future political priorities as well as the ability of the Union to deliver them;</w:t>
            </w:r>
          </w:p>
        </w:tc>
        <w:tc>
          <w:tcPr>
            <w:tcW w:w="4876" w:type="dxa"/>
            <w:tcBorders>
              <w:top w:val="nil"/>
              <w:left w:val="nil"/>
              <w:bottom w:val="nil"/>
              <w:right w:val="nil"/>
            </w:tcBorders>
          </w:tcPr>
          <w:p>
            <w:pPr>
              <w:pStyle w:val="Normal6a"/>
            </w:pPr>
            <w:r>
              <w:t>D.</w:t>
            </w:r>
            <w:r>
              <w:tab/>
            </w:r>
            <w:r>
              <w:t xml:space="preserve">whereas the establishment of the new MFF will be a critical moment for the Union, as it will provide for the possibility to endorse a common vision and decide on the future political priorities as well as the ability of the Union to deliver them; </w:t>
            </w:r>
            <w:r>
              <w:rPr>
                <w:b/>
                <w:i/>
              </w:rPr>
              <w:t>stresses that this vision can only be achieved on the basis of a clear political mandate from the Member States and effective parliamentary oversight;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whereas the establishment of the new MFF will be a critical moment for the Union, as it will provide for the possibility to endorse a common vision and decide on the future political </w:t>
            </w:r>
            <w:r>
              <w:rPr>
                <w:b/>
                <w:i/>
              </w:rPr>
              <w:t>priorities</w:t>
            </w:r>
            <w:r>
              <w:t xml:space="preserve"> as well as the ability of the Union to deliver them;</w:t>
            </w:r>
          </w:p>
        </w:tc>
        <w:tc>
          <w:tcPr>
            <w:tcW w:w="4876" w:type="dxa"/>
            <w:tcBorders>
              <w:top w:val="nil"/>
              <w:left w:val="nil"/>
              <w:bottom w:val="nil"/>
              <w:right w:val="nil"/>
            </w:tcBorders>
          </w:tcPr>
          <w:p>
            <w:pPr>
              <w:pStyle w:val="Normal6a"/>
            </w:pPr>
            <w:r>
              <w:t>D.</w:t>
            </w:r>
            <w:r>
              <w:tab/>
            </w:r>
            <w:r>
              <w:t xml:space="preserve">whereas the establishment of the new MFF will be a critical moment for the Union, as it will provide for the possibility to </w:t>
            </w:r>
            <w:r>
              <w:rPr>
                <w:b/>
                <w:i/>
              </w:rPr>
              <w:t>balance the safeguarding of the Union traditional priorities and ensure proper funding of the new political priorities and to</w:t>
            </w:r>
            <w:r>
              <w:t xml:space="preserve"> endorse a common vision and decide on the future political </w:t>
            </w:r>
            <w:r>
              <w:rPr>
                <w:b/>
                <w:i/>
              </w:rPr>
              <w:t>objectives</w:t>
            </w:r>
            <w:r>
              <w:t xml:space="preserve"> as well as the ability of the Union to deliver them;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whereas the former Commissioner entrusted with negotiating the anti-corruption framework for the rule of law reports is currently under investigation for money laundering and other corruption-related offences; whereas the non-governmental organisations (NGOs) taking part in the Commission’s annual rule of law report procedures were directly funded by the Commission and governments outside the EU; whereas the objectivity and impartiality of these reports are highly questionable;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whereas the Union is founded on the values of respect for human dignity, freedom, democracy, equality, the rule of law and respect for human rights, including the rights of persons belonging to minorities; whereas breaches of those values undermine the cohesion of the Union, erode the rights of Union citizens and weaken mutual trust among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whereas the Commission estimates the additional investment needed to achieve climate neutrality by 2050 at 1.5 % of GDP per year compared to the decade 2011-2020 and that, while the EU budget alone cannot cover the gap, it must remain a vital contributor, using an approach that safeguards economic competitiveness and fiscal responsibility;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Whereas the next MFF must guarantee that the EU Budget continues to be an investment tool and remains central in responding to our citizens needs and aspirations, in accomplishing the European enterprises, particularly SMEs, expectations and protects the interests of EU taxpayers;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Céline Imart, Isabelle Le Callennec, Christophe Gomart, Nadine Morano,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whereas the new MFF must establish food sovereignty a strategic priority in a context of growing geopolitical instability;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w:t>
            </w:r>
            <w:r>
              <w:tab/>
            </w:r>
            <w:r>
              <w:rPr>
                <w:b/>
                <w:i/>
              </w:rPr>
              <w:t>whereas the former Vice-President of the European Commission resigned from her rectorship at the College of Europe as a consequence of recent reports concerning an investigation into suspected fraud related to EU-funded training activities for diplomats, including allegations that may involve procurement fraud, corruption, conflicts of interest, and breaches of professional secrecy, constituting a serious loss of credibility regarding the application of the rule of law by the EU institutions, bodies, offices and agencies;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w:t>
            </w:r>
            <w:r>
              <w:tab/>
            </w:r>
            <w:r>
              <w:rPr>
                <w:b/>
                <w:i/>
              </w:rPr>
              <w:t>whereas the health and economic costs of the triple crisis of climate change, biodiversity loss, and pollution are growing and impacting vulnerable groups hardest, making it urgent to invest in climate resilience, and pollution prevention to protect people’s health; whereas it is in particular essential to incentivise the Union’s and Member States’ investments to climate and environment objectives, across all EU programmes;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c.</w:t>
            </w:r>
            <w:r>
              <w:tab/>
            </w:r>
            <w:r>
              <w:rPr>
                <w:b/>
                <w:i/>
              </w:rPr>
              <w:t>whereas the Commission assesses the application of the rule of law by the Member States only, and not by the EU institutions, bodies, offices and agencies themselves; whereas there are plenty of alleged breaches of the rule of law by the EU institutions, not least by the Commission, that require proper scrutiny;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d.</w:t>
            </w:r>
            <w:r>
              <w:tab/>
            </w:r>
            <w:r>
              <w:rPr>
                <w:b/>
                <w:i/>
              </w:rPr>
              <w:t>whereas the Commission President affirmed in a speech on 17 January 2024 that funds for Hungary had been suspended for political reasons regarding LGBTIQ ideology, academic freedom and asylum policy</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Speech by President von der Leyen at the European Parliament plenary on the conclusions of the European Council meeting of 14-15 December 2023 and preparation of the special European Council meeting of 1 February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e.</w:t>
            </w:r>
            <w:r>
              <w:tab/>
            </w:r>
            <w:r>
              <w:rPr>
                <w:b/>
                <w:i/>
              </w:rPr>
              <w:t>Whereas the ECA’s special report No 03/2024 concluded that the Commission did not systematically assess and document the impact on the EU’s financial interests for all member states in which it identified challenges to the rule of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Michalis Hadjipantela, Georgios Aftias,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Whereas, pursuant to Protocol No 10 on Cyprus, the application of the EU acquis is suspended in those areas of the Republic of Cyprus in which the Government of the Republic of Cyprus does not exercise effective control; whereas this exceptional situation has, for decades, prevented lawful owners of agricultural land from accessing, using and enjoying their property and from deriving income therefrom; whereas the right to property is protected under Article 17 of the Charter of Fundamental Rights of the European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whereas Europe faces a deteriorating security environment, including the return of high-intensity warfare in its neighbourhood and increasing hybrid threats; whereas the Union’s response requires not only higher spending but also faster industrial ramp-up, stronger supply chains, secure connectivity, resilience of critical infrastructure, and reinforced civil preparedness and protection;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whereas the Commission later committed to amendments to its initial proposal, in this way aiming to respond to Parliament’s requirements in relation to governance, the role of regional authorities, the role of the European Parliament and the petition to reverse cuts to essential programmes like the CAP;</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Whereas gender equality is a core value of the Union enshrined in Article 2 of the Treaty on European Union; whereas Article 8 of the Treaty on the Functioning of the European Union states that ‘in all its activities, the Union shall aim to eliminate inequalities and to promote equality’ establishing the principle of gender mainstreaming;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whereas the European Union’s budget has a redistributive function as one of its main principles and it must therefore ensure that the Member States that have benefited most from the single market, the single currency and common policies throughout the integration process contribute more to the budget;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Ruggero Razza, Roberts Zīle,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 Bogdan Rzońca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whereas sectoral programmes must be implemented in complete compliance with the principles of conferral, subsidiarity and proportionality enshrined in the TEU and TFEU;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 Bogdan Rzońca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whereas the Union is facing up to increasingly extreme demographic challenges, including an ageing population, birth and fertility rates that are consistently below the replacement level, territorial imbalances and labour shortages;</w:t>
            </w:r>
            <w:r>
              <w:t xml:space="preserve"> </w:t>
            </w:r>
            <w:r>
              <w:rPr>
                <w:b/>
                <w:i/>
              </w:rPr>
              <w:t>whereas these trends have a direct impact on competitiveness, economic, social and territorial cohesion, and the long-term viability of welfare systems and public finances;</w:t>
            </w:r>
            <w:r>
              <w:t xml:space="preserve"> </w:t>
            </w:r>
            <w:r>
              <w:rPr>
                <w:b/>
                <w:i/>
              </w:rPr>
              <w:t>whereas increased migration alone will not address demographic challenges and may exacerbate territorial imbalances, increase the pressure on public services and foment social upheaval, as well as create social segregation and the formation of parallel societies that undermine the cohesiveness and safety of communities;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recalls that families are the main pillar bearing the burden of social expenditure in the Union, in particular those with children and dependants in their care;</w:t>
            </w:r>
            <w:r>
              <w:t xml:space="preserve"> </w:t>
            </w:r>
            <w:r>
              <w:rPr>
                <w:b/>
                <w:i/>
              </w:rPr>
              <w:t>notes, at the same time, that it is also families who have endured the consequences of the successive economic crises that we have suffered over the last 15 years;</w:t>
            </w:r>
            <w:r>
              <w:t xml:space="preserve"> </w:t>
            </w:r>
            <w:r>
              <w:rPr>
                <w:b/>
                <w:i/>
              </w:rPr>
              <w:t>stresses, for all these reasons, that they must be the subject of special attention in the relevant aspects of the EU budget and of the priorities of the European Pillar of Social Rights;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whereas, according to the working document ‘The Redistributive Function of the EU Budget’1a, the EU budget currently has a limited redistributive impact, and rebates and other compensation mechanisms affecting the contributions of some Member States further reduce the redistributive impact of the EU budget;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whereas effective convergence in economic and social progress between Member States requires a strengthening of the redistributive function of the EU’s multiannual budget and a significant increase in that budget;</w:t>
            </w:r>
            <w:r>
              <w:t xml:space="preserve"> </w:t>
            </w:r>
            <w:r>
              <w:rPr>
                <w:b/>
                <w:i/>
              </w:rPr>
              <w:t>whereas the amount corresponding to 2 % of the gross national income of Member States constitutes the appropriate benchmark for the pursuit of those objectives and for promoting the full use of resources and productive capacities and the development potential of each country, through public investment, support and modernisation of productive and strategic sectors, investment, modernisation and improvement of the quality of public services, creation of jobs with rights and promotion of full employment, actions to eradicate poverty, social exclusion and inequalities, the preservation and recovery of ecosystems, the mitigation of and adaptation to climate change, and the building of external relationships based on solidarity, cooperation, mutual respect and peace;</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Ed.</w:t>
            </w:r>
            <w:r>
              <w:tab/>
            </w:r>
            <w:r>
              <w:rPr>
                <w:b/>
                <w:i/>
              </w:rPr>
              <w:t>whereas in 2024, 93.3 million people in the EU (21.0 % of the population) were at risk of poverty or social exclusion;</w:t>
            </w:r>
            <w:r>
              <w:t xml:space="preserve"> </w:t>
            </w:r>
            <w:r>
              <w:rPr>
                <w:b/>
                <w:i/>
              </w:rPr>
              <w:t>whereas the eradication of poverty requires a coordinated and holistic approach and integrated policies that work in concert to achieve social cohesion and prevent inequalities from worsening;</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Ee.</w:t>
            </w:r>
            <w:r>
              <w:tab/>
            </w:r>
            <w:r>
              <w:rPr>
                <w:b/>
                <w:i/>
              </w:rPr>
              <w:t>whereas child poverty is one of the most serious manifestations of poverty;</w:t>
            </w:r>
            <w:r>
              <w:t xml:space="preserve"> </w:t>
            </w:r>
            <w:r>
              <w:rPr>
                <w:b/>
                <w:i/>
              </w:rPr>
              <w:t>whereas indicators reflecting the percentage of children at risk of poverty have increased from 23.6 % in 2019 to 24.2 % in 2024 and, based on the current trajectory, the EU will not meet its target of reducing the number of children in poverty by at least five million by 2030;</w:t>
            </w:r>
            <w:r>
              <w:t xml:space="preserve"> </w:t>
            </w:r>
            <w:r>
              <w:rPr>
                <w:b/>
                <w:i/>
              </w:rPr>
              <w:t>whereas, on 14 June 2021, the Commission’s Recommendation to establish a European Child Guarantee was adopted by the Council.</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Ef.</w:t>
            </w:r>
            <w:r>
              <w:tab/>
            </w:r>
            <w:r>
              <w:rPr>
                <w:b/>
                <w:i/>
              </w:rPr>
              <w:t>whereas access to decent and affordable housing is a fundamental right, and deprivation of that right results in constraints on a wide range of other rights;</w:t>
            </w:r>
            <w:r>
              <w:t xml:space="preserve"> </w:t>
            </w:r>
            <w:r>
              <w:rPr>
                <w:b/>
                <w:i/>
              </w:rPr>
              <w:t>whereas between 2010 and 2024, rents increased by 25 %, house prices increased by 53 %, and inflation increased by 39 % in the EU;</w:t>
            </w:r>
            <w:r>
              <w:t xml:space="preserve"> </w:t>
            </w:r>
            <w:r>
              <w:rPr>
                <w:b/>
                <w:i/>
              </w:rPr>
              <w:t>whereas in 2024 housing costs represented, on average, 19 % of monthly disposable income in the EU, and this figure rises to 37 % for people earning less than 60 % of median disposable income;</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Eg.</w:t>
            </w:r>
            <w:r>
              <w:tab/>
            </w:r>
            <w:r>
              <w:rPr>
                <w:b/>
                <w:i/>
              </w:rPr>
              <w:t>whereas high-quality, accessible public services are essential to achieving high levels of social protection and cohesion;</w:t>
            </w:r>
            <w:r>
              <w:t xml:space="preserve"> </w:t>
            </w:r>
            <w:r>
              <w:rPr>
                <w:b/>
                <w:i/>
              </w:rPr>
              <w:t>whereas the provision of high-quality public services is hampered by a number of factors, including persistent problems related to service continuity, increased demand and insufficient resources;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h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Eh.</w:t>
            </w:r>
            <w:r>
              <w:tab/>
            </w:r>
            <w:r>
              <w:rPr>
                <w:b/>
                <w:i/>
              </w:rPr>
              <w:t>whereas the outermost regions, because of their insularity, small size, difficult topography and climate, and their economic dependence on specific industries and products, face major constraints on their development;</w:t>
            </w:r>
            <w:r>
              <w:t xml:space="preserve"> </w:t>
            </w:r>
            <w:r>
              <w:rPr>
                <w:b/>
                <w:i/>
              </w:rPr>
              <w:t>whereas inequality is one of the biggest social problems in the outermost regions, which face disproportionate levels of poverty and unemployment and high school dropout rates;</w:t>
            </w:r>
            <w:r>
              <w:t xml:space="preserve"> </w:t>
            </w:r>
            <w:r>
              <w:rPr>
                <w:b/>
                <w:i/>
              </w:rPr>
              <w:t>whereas gross domestic product in the outermost regions is significantly below EU and Member State averages (60 % of the average across the EU-27);</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Reminds that it is a core democratic right of a Parliament to allocate available resources across political priorities; reiterates that this right is enshrined in the Treaties;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Calls for the 2028-2034 MFF to be set at 1.27 % of EU gross national income (GNI), excluding NextGenerationEU (NGEU) repayments, to ensure the Union’s capacity to achieve its political priorities and strategic objectives, as well as respond to emerging needs; considers that NGEU debt servicing, representing an additional 0.11 % of GNI, should be treated separately from funding for EU programmes within the future MFF architecture so as to ensure that available resources for these programmes remain unaffected, bringing the total to 1.38 % of EU GNI; stresses that this level is the absolute minimum to enable the Union to address major challenges, including the return of large-scale warfare in the Union’s immediate neighbourhood, a highly challenging economic and social backdrop, a competitiveness gap and the worsening climate and biodiversity crises;</w:t>
            </w:r>
          </w:p>
        </w:tc>
        <w:tc>
          <w:tcPr>
            <w:tcW w:w="4876" w:type="dxa"/>
            <w:tcBorders>
              <w:top w:val="nil"/>
              <w:left w:val="nil"/>
              <w:bottom w:val="nil"/>
              <w:right w:val="nil"/>
            </w:tcBorders>
          </w:tcPr>
          <w:p>
            <w:pPr>
              <w:pStyle w:val="Normal6a"/>
            </w:pPr>
            <w:r>
              <w:t>1.</w:t>
            </w:r>
            <w:r>
              <w:tab/>
            </w:r>
            <w:r>
              <w:t>Calls for the 2028-2034 MFF to be set at 1.27 % of EU gross national income (GNI), excluding NextGenerationEU (NGEU) repayments, to ensure the Union’s capacity to achieve its political priorities and strategic objectives, as well as respond to emerging needs; considers that NGEU debt servicing, representing an additional 0.11 % of GNI, should be treated separately from funding for EU programmes within the future MFF architecture so as to ensure that available resources for these programmes remain unaffected, bringing the total to 1.38 % of EU GNI; stresses that this level is the absolute minimum to enable the Union to address major challenges, including the return of large-scale warfare in the Union’s immediate neighbourhood, a highly challenging economic and social backdrop, a competitiveness gap and the worsening climate and biodiversity crises;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 ) Calls for the 2028-2034 MFF to be more flexible and to provide to the European Union Member States with the capacity to request increased European Union funding when necessary, while also the 2028-2034 MFF will provide direct funding opportunities for regions, remote areas, and islands to tackle major challenges they may face such as housing, demographic, migration, energy, and natural disaster related crises. To this end, allocated funding should be clearly presented in advance to Member States and to relevant entities, such entities as municipalities and regional units, to be fully aware of the financial resources available to them.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 With regards to demographic crisis, European funding should be allocated proportionately, based on the specific needs of each Member State, regional unit and municipality.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Calls for the 2028-2034 MFF </w:t>
            </w:r>
            <w:r>
              <w:rPr>
                <w:b/>
                <w:i/>
              </w:rPr>
              <w:t>to be set at 1.27 % of EU gross national income (GNI)</w:t>
            </w:r>
            <w:r>
              <w:t xml:space="preserve">, excluding NextGenerationEU (NGEU) repayments, to </w:t>
            </w:r>
            <w:r>
              <w:rPr>
                <w:b/>
                <w:i/>
              </w:rPr>
              <w:t>ensure the Union’s capacity to achieve its political priorities and strategic objectives, as well as respond to emerging needs;</w:t>
            </w:r>
            <w:r>
              <w:t xml:space="preserve"> </w:t>
            </w:r>
            <w:r>
              <w:rPr>
                <w:b/>
                <w:i/>
              </w:rPr>
              <w:t>considers that NGEU debt servicing, representing an additional 0.11 % of GNI, should be treated separately from funding for EU programmes within the future MFF architecture so as</w:t>
            </w:r>
            <w:r>
              <w:t xml:space="preserve"> to ensure that </w:t>
            </w:r>
            <w:r>
              <w:rPr>
                <w:b/>
                <w:i/>
              </w:rPr>
              <w:t>available resources for these programmes remain unaffected, bringing the total to 1.38 % of EU GNI;</w:t>
            </w:r>
            <w:r>
              <w:t xml:space="preserve"> </w:t>
            </w:r>
            <w:r>
              <w:rPr>
                <w:b/>
                <w:i/>
              </w:rPr>
              <w:t>stresses that this level is the absolute minimum to enable the Union to address major challenges, including the return of large-scale warfare in the Union’s immediate neighbourhood, a highly challenging economic and social backdrop, a competitiveness gap and the worsening climate and biodiversity crises</w:t>
            </w:r>
            <w:r>
              <w:t>;</w:t>
            </w:r>
          </w:p>
        </w:tc>
        <w:tc>
          <w:tcPr>
            <w:tcW w:w="4876" w:type="dxa"/>
            <w:tcBorders>
              <w:top w:val="nil"/>
              <w:left w:val="nil"/>
              <w:bottom w:val="nil"/>
              <w:right w:val="nil"/>
            </w:tcBorders>
          </w:tcPr>
          <w:p>
            <w:pPr>
              <w:pStyle w:val="Normal6a"/>
            </w:pPr>
            <w:r>
              <w:t>1.</w:t>
            </w:r>
            <w:r>
              <w:tab/>
            </w:r>
            <w:r>
              <w:t xml:space="preserve">Calls for the 2028-2034 MFF, excluding NextGenerationEU (NGEU) repayments, to </w:t>
            </w:r>
            <w:r>
              <w:rPr>
                <w:b/>
                <w:i/>
              </w:rPr>
              <w:t>be implemented with strict budgetary discipline and without any automatic increase in the own resources ceilings,</w:t>
            </w:r>
            <w:r>
              <w:t xml:space="preserve"> to ensure that </w:t>
            </w:r>
            <w:r>
              <w:rPr>
                <w:b/>
                <w:i/>
              </w:rPr>
              <w:t>additional spending is carried out only if it will deliver clear European added value and does not place any permanent burden on the national budgets</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Stanisław Tyszka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Calls for the </w:t>
            </w:r>
            <w:r>
              <w:rPr>
                <w:b/>
                <w:i/>
              </w:rPr>
              <w:t>2028-2034 MFF to be set at 1.27 % of EU gross national income (GNI), excluding</w:t>
            </w:r>
            <w:r>
              <w:t xml:space="preserve"> NextGenerationEU (NGEU) repayments</w:t>
            </w:r>
            <w:r>
              <w:rPr>
                <w:b/>
                <w:i/>
              </w:rPr>
              <w:t>,</w:t>
            </w:r>
            <w:r>
              <w:t xml:space="preserve"> to ensure the </w:t>
            </w:r>
            <w:r>
              <w:rPr>
                <w:b/>
                <w:i/>
              </w:rPr>
              <w:t>Union’s capacity to achieve its political priorities and strategic objectives, as well as respond to emerging needs;</w:t>
            </w:r>
            <w:r>
              <w:t xml:space="preserve"> </w:t>
            </w:r>
            <w:r>
              <w:rPr>
                <w:b/>
                <w:i/>
              </w:rPr>
              <w:t>considers that NGEU debt servicing, representing an additional 0.11 % of GNI, should be treated separately from funding for EU programmes within the future MFF architecture so as to ensure that available resources for these programmes remain unaffected, bringing the total to 1.38 % of EU GNI</w:t>
            </w:r>
            <w:r>
              <w:t xml:space="preserve">; </w:t>
            </w:r>
            <w:r>
              <w:rPr>
                <w:b/>
                <w:i/>
              </w:rPr>
              <w:t>stresses that this level is the absolute minimum to enable the Union to address major challenges, including the return of large-scale warfare in the Union’s immediate neighbourhood, a highly challenging economic and social backdrop, a competitiveness gap and the worsening climate and biodiversity crises;</w:t>
            </w:r>
          </w:p>
        </w:tc>
        <w:tc>
          <w:tcPr>
            <w:tcW w:w="4876" w:type="dxa"/>
            <w:tcBorders>
              <w:top w:val="nil"/>
              <w:left w:val="nil"/>
              <w:bottom w:val="nil"/>
              <w:right w:val="nil"/>
            </w:tcBorders>
          </w:tcPr>
          <w:p>
            <w:pPr>
              <w:pStyle w:val="Normal6a"/>
            </w:pPr>
            <w:r>
              <w:t>1.</w:t>
            </w:r>
            <w:r>
              <w:tab/>
            </w:r>
            <w:r>
              <w:t xml:space="preserve">Calls for the NextGenerationEU (NGEU) repayments to </w:t>
            </w:r>
            <w:r>
              <w:rPr>
                <w:b/>
                <w:i/>
              </w:rPr>
              <w:t>be integrated into the general budget in order to enhance oversight of spending and</w:t>
            </w:r>
            <w:r>
              <w:t xml:space="preserve"> ensure the </w:t>
            </w:r>
            <w:r>
              <w:rPr>
                <w:b/>
                <w:i/>
              </w:rPr>
              <w:t>coherence and uniformity of the budget</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Calls for the 2028-2034 MFF to be set at 1.27 % of EU gross national income (GNI), excluding NextGenerationEU (NGEU) repayments, to ensure the Union’s capacity to achieve its political priorities and strategic objectives, as well as respond to emerging needs; considers that NGEU debt servicing, representing an additional 0.11 % of GNI, should be treated separately from funding for EU programmes within the future MFF architecture so as to ensure that available resources for these programmes remain unaffected, bringing the total to 1.38 % of EU GNI; stresses that this level is the absolute minimum to enable the Union to address major challenges, including the return of large-scale warfare in the Union’s immediate neighbourhood, a highly challenging economic and social backdrop, a competitiveness gap and the worsening climate and biodiversity crises;</w:t>
            </w:r>
          </w:p>
        </w:tc>
        <w:tc>
          <w:tcPr>
            <w:tcW w:w="4876" w:type="dxa"/>
            <w:tcBorders>
              <w:top w:val="nil"/>
              <w:left w:val="nil"/>
              <w:bottom w:val="nil"/>
              <w:right w:val="nil"/>
            </w:tcBorders>
          </w:tcPr>
          <w:p>
            <w:pPr>
              <w:pStyle w:val="Normal6a"/>
            </w:pPr>
            <w:r>
              <w:t>1.</w:t>
            </w:r>
            <w:r>
              <w:tab/>
            </w:r>
            <w:r>
              <w:t xml:space="preserve">Calls for the 2028-2034 MFF to be set at 1.27 % of EU gross national income (GNI), excluding NextGenerationEU (NGEU) repayments, to ensure the Union’s capacity to achieve its political priorities and strategic objectives, as well as respond to emerging needs; considers that NGEU debt servicing, representing an additional 0.11 % of GNI, should be treated separately from funding for EU programmes within the future MFF architecture so as to ensure that available resources for these programmes remain unaffected, bringing the total to 1.38 % of EU GNI; stresses that this level is the absolute minimum to enable the Union to address major challenges, including the return of large-scale warfare in the Union’s immediate neighbourhood, a highly challenging economic and social backdrop, a competitiveness gap and the worsening climate and biodiversity crises; </w:t>
            </w:r>
            <w:r>
              <w:rPr>
                <w:b/>
                <w:i/>
              </w:rPr>
              <w:t>recalls that the COVID-19 pandemic had an enormous economic impact on Europe and underlines the need to strengthen global health security through adequate external action funding to prevent and mitigate future cross-border health threats;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Calls for the 2028-2034 MFF to be set at 1.27 % of EU gross national income (GNI), excluding NextGenerationEU (NGEU) repayments, to ensure the </w:t>
            </w:r>
            <w:r>
              <w:rPr>
                <w:b/>
                <w:i/>
              </w:rPr>
              <w:t>Union’s capacity to achieve its political priorities and strategic objectives, as well as respond to emerging needs</w:t>
            </w:r>
            <w:r>
              <w:t xml:space="preserve">; considers that NGEU debt servicing, representing an additional 0.11 % of GNI, should be treated separately from funding for EU programmes within the future MFF architecture so as to ensure that available resources for </w:t>
            </w:r>
            <w:r>
              <w:rPr>
                <w:b/>
                <w:i/>
              </w:rPr>
              <w:t>these</w:t>
            </w:r>
            <w:r>
              <w:t xml:space="preserve"> programmes </w:t>
            </w:r>
            <w:r>
              <w:rPr>
                <w:b/>
                <w:i/>
              </w:rPr>
              <w:t>remain unaffected</w:t>
            </w:r>
            <w:r>
              <w:t xml:space="preserve">, bringing the total to 1.38 % of EU GNI; </w:t>
            </w:r>
            <w:r>
              <w:rPr>
                <w:b/>
                <w:i/>
              </w:rPr>
              <w:t>stresses that this level is the absolute minimum to enable the Union to address major challenges, including the return of large-scale warfare in the Union’s immediate neighbourhood, a highly challenging economic and social backdrop, a competitiveness gap and the worsening climate and biodiversity crises;</w:t>
            </w:r>
          </w:p>
        </w:tc>
        <w:tc>
          <w:tcPr>
            <w:tcW w:w="4876" w:type="dxa"/>
            <w:tcBorders>
              <w:top w:val="nil"/>
              <w:left w:val="nil"/>
              <w:bottom w:val="nil"/>
              <w:right w:val="nil"/>
            </w:tcBorders>
          </w:tcPr>
          <w:p>
            <w:pPr>
              <w:pStyle w:val="Normal6a"/>
            </w:pPr>
            <w:r>
              <w:t>1.</w:t>
            </w:r>
            <w:r>
              <w:tab/>
            </w:r>
            <w:r>
              <w:t xml:space="preserve">Calls for the 2028-2034 MFF to be set at 1.27 % of EU gross national income (GNI), excluding NextGenerationEU (NGEU) repayments, to ensure the </w:t>
            </w:r>
            <w:r>
              <w:rPr>
                <w:b/>
                <w:i/>
              </w:rPr>
              <w:t>compensatory nature of the EU budget, contributing in particular to the promotion of economic, social and territorial cohesion</w:t>
            </w:r>
            <w:r>
              <w:t xml:space="preserve">; considers that NGEU debt servicing, representing an additional 0.11 % of GNI, should be treated separately from funding for EU programmes within the future MFF architecture so as to ensure that available resources for programmes </w:t>
            </w:r>
            <w:r>
              <w:rPr>
                <w:b/>
                <w:i/>
              </w:rPr>
              <w:t>aimed at achieving those objectives, in particular those intended to foster economic, social and territorial cohesion, are not reduced</w:t>
            </w:r>
            <w:r>
              <w:t>, bringing the total to 1.38 % of EU GNI;</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Calls for</w:t>
            </w:r>
            <w:r>
              <w:t xml:space="preserve"> the 2028-2034 MFF </w:t>
            </w:r>
            <w:r>
              <w:rPr>
                <w:b/>
                <w:i/>
              </w:rPr>
              <w:t>to be set</w:t>
            </w:r>
            <w:r>
              <w:t xml:space="preserve"> at 1.27 % of EU gross national income (GNI), excluding NextGenerationEU (NGEU) repayments</w:t>
            </w:r>
            <w:r>
              <w:rPr>
                <w:b/>
                <w:i/>
              </w:rPr>
              <w:t>, to ensure the Union’s capacity to achieve its political priorities and strategic objectives, as well as respond to emerging needs</w:t>
            </w:r>
            <w:r>
              <w:t xml:space="preserve">; considers that NGEU debt servicing, representing an additional 0.11 % of GNI, should be treated </w:t>
            </w:r>
            <w:r>
              <w:rPr>
                <w:b/>
                <w:i/>
              </w:rPr>
              <w:t>separately from funding for EU programmes</w:t>
            </w:r>
            <w:r>
              <w:t xml:space="preserve"> within the future MFF architecture </w:t>
            </w:r>
            <w:r>
              <w:rPr>
                <w:b/>
                <w:i/>
              </w:rPr>
              <w:t>so as to ensure that available resources for these programmes remain unaffected, bringing the total to 1.38 % of EU GNI</w:t>
            </w:r>
            <w:r>
              <w:t xml:space="preserve">; stresses that </w:t>
            </w:r>
            <w:r>
              <w:rPr>
                <w:b/>
                <w:i/>
              </w:rPr>
              <w:t>this</w:t>
            </w:r>
            <w:r>
              <w:t xml:space="preserve"> level </w:t>
            </w:r>
            <w:r>
              <w:rPr>
                <w:b/>
                <w:i/>
              </w:rPr>
              <w:t>is the absolute minimum to enable the Union to address major challenges, including the return of large-scale warfare in the Union’s immediate neighbourhood,</w:t>
            </w:r>
            <w:r>
              <w:t xml:space="preserve"> a highly challenging economic and social backdrop, a competitiveness gap and </w:t>
            </w:r>
            <w:r>
              <w:rPr>
                <w:b/>
                <w:i/>
              </w:rPr>
              <w:t>the worsening climate and biodiversity crises</w:t>
            </w:r>
            <w:r>
              <w:t>;</w:t>
            </w:r>
          </w:p>
        </w:tc>
        <w:tc>
          <w:tcPr>
            <w:tcW w:w="4876" w:type="dxa"/>
            <w:tcBorders>
              <w:top w:val="nil"/>
              <w:left w:val="nil"/>
              <w:bottom w:val="nil"/>
              <w:right w:val="nil"/>
            </w:tcBorders>
          </w:tcPr>
          <w:p>
            <w:pPr>
              <w:pStyle w:val="Normal6a"/>
            </w:pPr>
            <w:r>
              <w:t>1.</w:t>
            </w:r>
            <w:r>
              <w:tab/>
            </w:r>
            <w:r>
              <w:rPr>
                <w:b/>
                <w:i/>
              </w:rPr>
              <w:t>Is deeply concerned that the European Parliament wishes to set</w:t>
            </w:r>
            <w:r>
              <w:t xml:space="preserve"> the 2028-2034 MFF at 1.27 % of EU gross national income (GNI), excluding NextGenerationEU (NGEU) repayments; considers that NGEU debt servicing, representing an additional 0.11 % of GNI, should be treated </w:t>
            </w:r>
            <w:r>
              <w:rPr>
                <w:b/>
                <w:i/>
              </w:rPr>
              <w:t>as a priority</w:t>
            </w:r>
            <w:r>
              <w:t xml:space="preserve"> within the future MFF architecture; stresses that </w:t>
            </w:r>
            <w:r>
              <w:rPr>
                <w:b/>
                <w:i/>
              </w:rPr>
              <w:t>the desired MFF</w:t>
            </w:r>
            <w:r>
              <w:t xml:space="preserve"> level </w:t>
            </w:r>
            <w:r>
              <w:rPr>
                <w:b/>
                <w:i/>
              </w:rPr>
              <w:t>of 1.27 % of GNI is completely irresponsible vis-à-vis the Member States and their citizens, who are currently suffering from an economic recession, in particular due to</w:t>
            </w:r>
            <w:r>
              <w:t xml:space="preserve"> a highly challenging economic and social backdrop, a competitiveness gap and </w:t>
            </w:r>
            <w:r>
              <w:rPr>
                <w:b/>
                <w:i/>
              </w:rPr>
              <w:t>a general deterioration in the cost of living, a housing crisis and a huge rise in mobility and energy costs</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Anouk Van Brug, Moritz Körner, Joachim Streit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Calls for the 2028-2034 MFF to </w:t>
            </w:r>
            <w:r>
              <w:rPr>
                <w:b/>
                <w:i/>
              </w:rPr>
              <w:t>be set at 1.27</w:t>
            </w:r>
            <w:r>
              <w:t xml:space="preserve"> % of EU gross national income (GNI)</w:t>
            </w:r>
            <w:r>
              <w:rPr>
                <w:b/>
                <w:i/>
              </w:rPr>
              <w:t>, excluding NextGenerationEU (NGEU) repayments</w:t>
            </w:r>
            <w:r>
              <w:t xml:space="preserve">, to ensure the Union’s capacity to achieve its political priorities and strategic objectives, as well as respond to emerging needs; </w:t>
            </w:r>
            <w:r>
              <w:rPr>
                <w:b/>
                <w:i/>
              </w:rPr>
              <w:t>considers that NGEU debt servicing, representing an additional 0.11 % of GNI, should be treated separately from funding for EU programmes within the future MFF architecture so as to ensure that available resources for these programmes remain unaffected, bringing the total to 1.38 % of EU GNI;</w:t>
            </w:r>
            <w:r>
              <w:t xml:space="preserve"> stresses that this level is the </w:t>
            </w:r>
            <w:r>
              <w:rPr>
                <w:b/>
                <w:i/>
              </w:rPr>
              <w:t>absolute minimum</w:t>
            </w:r>
            <w:r>
              <w:t xml:space="preserve"> to enable the Union to address major challenges, including the return of large-scale warfare in the Union’s immediate neighbourhood, a highly challenging economic and social backdrop, a competitiveness gap and the worsening climate and biodiversity crises;</w:t>
            </w:r>
          </w:p>
        </w:tc>
        <w:tc>
          <w:tcPr>
            <w:tcW w:w="4876" w:type="dxa"/>
            <w:tcBorders>
              <w:top w:val="nil"/>
              <w:left w:val="nil"/>
              <w:bottom w:val="nil"/>
              <w:right w:val="nil"/>
            </w:tcBorders>
          </w:tcPr>
          <w:p>
            <w:pPr>
              <w:pStyle w:val="Normal6a"/>
            </w:pPr>
            <w:r>
              <w:t>1.</w:t>
            </w:r>
            <w:r>
              <w:tab/>
            </w:r>
            <w:r>
              <w:t xml:space="preserve">Calls for the 2028-2034 MFF to </w:t>
            </w:r>
            <w:r>
              <w:rPr>
                <w:b/>
                <w:i/>
              </w:rPr>
              <w:t>remain at 1</w:t>
            </w:r>
            <w:r>
              <w:t xml:space="preserve"> % of EU gross national income (GNI), to ensure the Union’s capacity to achieve its political priorities and strategic objectives </w:t>
            </w:r>
            <w:r>
              <w:rPr>
                <w:b/>
                <w:i/>
              </w:rPr>
              <w:t>in an efficient manner</w:t>
            </w:r>
            <w:r>
              <w:t xml:space="preserve">, as well as respond to emerging needs; stresses that this level is the </w:t>
            </w:r>
            <w:r>
              <w:rPr>
                <w:b/>
                <w:i/>
              </w:rPr>
              <w:t>level</w:t>
            </w:r>
            <w:r>
              <w:t xml:space="preserve"> to enable the Union to address major challenges, including the return of large-scale warfare in the Union’s immediate neighbourhood, a highly challenging economic and social backdrop, a competitiveness gap and the worsening climate and biodiversity crises; </w:t>
            </w:r>
            <w:r>
              <w:rPr>
                <w:b/>
                <w:i/>
              </w:rPr>
              <w:t>considers that a fundamental reprioritisation of MFF expenditure is needed as new, urgent priorities have arisen; stresses that the EU must adapt rather than continuously increase the tax burden on citizens and companies which undermine citizens trust in the EU to respond to changing circumstances; reiterates the need to implement budgetary discipline and improve the functioning of the annual budgetary procedure and cooperation between the institutions on budgetary matters as well as to ensure sound financial management;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Isabel Benjumea Benjumea, Elena Nevado del Campo,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Calls for the 2028-2034 MFF to be set at 1.27 % of EU gross national income (GNI), excluding NextGenerationEU (NGEU) repayments, to ensure the Union’s capacity to achieve its political priorities and strategic objectives, as well as respond to emerging needs; considers that NGEU debt servicing, representing an additional 0.11 % of GNI, should be treated separately from funding for EU programmes within the future MFF architecture so as to ensure that available resources for these programmes remain unaffected, bringing the total to 1.38 % of EU GNI; stresses that this level is the absolute minimum to enable the Union to address major challenges, including the return of large-scale warfare in the Union’s immediate neighbourhood, a highly challenging economic and social backdrop, a competitiveness gap and the </w:t>
            </w:r>
            <w:r>
              <w:rPr>
                <w:b/>
                <w:i/>
              </w:rPr>
              <w:t>worsening climate and biodiversity crises</w:t>
            </w:r>
            <w:r>
              <w:t>;</w:t>
            </w:r>
          </w:p>
        </w:tc>
        <w:tc>
          <w:tcPr>
            <w:tcW w:w="4876" w:type="dxa"/>
            <w:tcBorders>
              <w:top w:val="nil"/>
              <w:left w:val="nil"/>
              <w:bottom w:val="nil"/>
              <w:right w:val="nil"/>
            </w:tcBorders>
          </w:tcPr>
          <w:p>
            <w:pPr>
              <w:pStyle w:val="Normal6a"/>
            </w:pPr>
            <w:r>
              <w:t>1.</w:t>
            </w:r>
            <w:r>
              <w:tab/>
            </w:r>
            <w:r>
              <w:t>Calls for the 2028-2034 MFF to be set at 1.27 % of EU gross national income (GNI), excluding NextGenerationEU (NGEU) repayments, to ensure the Union’s capacity to achieve its political priorities and strategic objectives, as well as respond to emerging needs; considers that NGEU debt servicing, representing an additional 0.11 % of GNI, should be treated separately from funding for EU programmes within the future MFF architecture so as to ensure that available resources for these programmes remain unaffected, bringing the total to 1.38 % of EU GNI; stresses that this level is the absolute minimum to enable the Union to address major challenges, including the return of large-scale warfare in the Union’s immediate neighbourhood, a highly challenging economic and social backdrop, a competitiveness gap</w:t>
            </w:r>
            <w:r>
              <w:rPr>
                <w:b/>
                <w:i/>
              </w:rPr>
              <w:t>;</w:t>
            </w:r>
            <w:r>
              <w:t xml:space="preserve"> </w:t>
            </w:r>
            <w:r>
              <w:rPr>
                <w:b/>
                <w:i/>
              </w:rPr>
              <w:t>stresses that, alongside these new challenges, the Union should still address persistent structural problems, such as the lack of alignment within the Member States and regions, threats to European food security</w:t>
            </w:r>
            <w:r>
              <w:t xml:space="preserve"> and the </w:t>
            </w:r>
            <w:r>
              <w:rPr>
                <w:b/>
                <w:i/>
              </w:rPr>
              <w:t>demographic challenge</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Calls for the 2028-2034 </w:t>
            </w:r>
            <w:r>
              <w:rPr>
                <w:b/>
                <w:i/>
              </w:rPr>
              <w:t>MFF</w:t>
            </w:r>
            <w:r>
              <w:t xml:space="preserve"> to be </w:t>
            </w:r>
            <w:r>
              <w:rPr>
                <w:b/>
                <w:i/>
              </w:rPr>
              <w:t>set at 1.27 % of EU gross national income (GNI), excluding</w:t>
            </w:r>
            <w:r>
              <w:t xml:space="preserve"> NextGenerationEU (NGEU) </w:t>
            </w:r>
            <w:r>
              <w:rPr>
                <w:b/>
                <w:i/>
              </w:rPr>
              <w:t>repayments</w:t>
            </w:r>
            <w:r>
              <w:t xml:space="preserve">, to ensure the </w:t>
            </w:r>
            <w:r>
              <w:rPr>
                <w:b/>
                <w:i/>
              </w:rPr>
              <w:t>Union’s capacity to achieve its political priorities and strategic objectives, as well as respond to emerging needs;</w:t>
            </w:r>
            <w:r>
              <w:t xml:space="preserve"> </w:t>
            </w:r>
            <w:r>
              <w:rPr>
                <w:b/>
                <w:i/>
              </w:rPr>
              <w:t>considers that NGEU</w:t>
            </w:r>
            <w:r>
              <w:t xml:space="preserve"> debt servicing</w:t>
            </w:r>
            <w:r>
              <w:rPr>
                <w:b/>
                <w:i/>
              </w:rPr>
              <w:t>, representing an additional 0.11 % of GNI,</w:t>
            </w:r>
            <w:r>
              <w:t xml:space="preserve"> should </w:t>
            </w:r>
            <w:r>
              <w:rPr>
                <w:b/>
                <w:i/>
              </w:rPr>
              <w:t>be treated separately from funding for EU programmes within the future MFF architecture so as to ensure that available resources for these programmes remain unaffected, bringing the total to 1.38 % of EU GNI;</w:t>
            </w:r>
            <w:r>
              <w:t xml:space="preserve"> </w:t>
            </w:r>
            <w:r>
              <w:rPr>
                <w:b/>
                <w:i/>
              </w:rPr>
              <w:t>stresses that this level is the absolute minimum to enable the Union to address major challenges</w:t>
            </w:r>
            <w:r>
              <w:t xml:space="preserve">, including the </w:t>
            </w:r>
            <w:r>
              <w:rPr>
                <w:b/>
                <w:i/>
              </w:rPr>
              <w:t>return of large-scale warfare in</w:t>
            </w:r>
            <w:r>
              <w:t xml:space="preserve"> the Union’s </w:t>
            </w:r>
            <w:r>
              <w:rPr>
                <w:b/>
                <w:i/>
              </w:rPr>
              <w:t>immediate neighbourhood, a highly challenging economic and social backdrop, a competitiveness gap and the worsening climate and biodiversity crises</w:t>
            </w:r>
            <w:r>
              <w:t>;</w:t>
            </w:r>
          </w:p>
        </w:tc>
        <w:tc>
          <w:tcPr>
            <w:tcW w:w="4876" w:type="dxa"/>
            <w:tcBorders>
              <w:top w:val="nil"/>
              <w:left w:val="nil"/>
              <w:bottom w:val="nil"/>
              <w:right w:val="nil"/>
            </w:tcBorders>
          </w:tcPr>
          <w:p>
            <w:pPr>
              <w:pStyle w:val="Normal6a"/>
            </w:pPr>
            <w:r>
              <w:t>1.</w:t>
            </w:r>
            <w:r>
              <w:tab/>
            </w:r>
            <w:r>
              <w:t xml:space="preserve">Calls for the 2028-2034 </w:t>
            </w:r>
            <w:r>
              <w:rPr>
                <w:b/>
                <w:i/>
              </w:rPr>
              <w:t>Multiannual Financial Framework (MFF)</w:t>
            </w:r>
            <w:r>
              <w:t xml:space="preserve"> to be </w:t>
            </w:r>
            <w:r>
              <w:rPr>
                <w:b/>
                <w:i/>
              </w:rPr>
              <w:t>adopted in strict compliance with budgetary discipline, including with regard to  repayments linked to the</w:t>
            </w:r>
            <w:r>
              <w:t xml:space="preserve"> NextGenerationEU (NGEU) </w:t>
            </w:r>
            <w:r>
              <w:rPr>
                <w:b/>
                <w:i/>
              </w:rPr>
              <w:t>package</w:t>
            </w:r>
            <w:r>
              <w:t xml:space="preserve">, to ensure the </w:t>
            </w:r>
            <w:r>
              <w:rPr>
                <w:b/>
                <w:i/>
              </w:rPr>
              <w:t>sustainability of European public finances;</w:t>
            </w:r>
            <w:r>
              <w:t xml:space="preserve"> </w:t>
            </w:r>
            <w:r>
              <w:rPr>
                <w:b/>
                <w:i/>
              </w:rPr>
              <w:t>emphasises that the long-term coverage of costs linked to</w:t>
            </w:r>
            <w:r>
              <w:t xml:space="preserve"> debt servicing should </w:t>
            </w:r>
            <w:r>
              <w:rPr>
                <w:b/>
                <w:i/>
              </w:rPr>
              <w:t>not under any circumstances be used to justify an increase in the Union’s budget, but must instead rely first and foremost on focused cost-saving initiatives</w:t>
            </w:r>
            <w:r>
              <w:t xml:space="preserve">, including the </w:t>
            </w:r>
            <w:r>
              <w:rPr>
                <w:b/>
                <w:i/>
              </w:rPr>
              <w:t>reduction, rationalisation or elimination of measures and areas of expenditure that are detrimental or that do not fall within</w:t>
            </w:r>
            <w:r>
              <w:t xml:space="preserve"> the Union’s </w:t>
            </w:r>
            <w:r>
              <w:rPr>
                <w:b/>
                <w:i/>
              </w:rPr>
              <w:t>sphere of competence, in accordance with the principle of subsidiarity, with a view to attaining sufficient budgetary margins to discharge these financial obligations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Jens Geier, 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Calls for the 2028-2034 MFF to be set at 1.27 % of EU gross national income (GNI), excluding NextGenerationEU (NGEU) repayments, to ensure the Union’s capacity to achieve its political priorities and strategic objectives, as well as respond to emerging needs; considers that NGEU debt servicing, representing an additional 0.11 % of GNI, should be treated separately from funding for EU programmes within the future MFF architecture so as to ensure that available resources for these programmes remain unaffected, bringing the total to 1.38 % of EU GNI; stresses that this level is the absolute minimum to enable the Union to address major challenges, including the return of large-scale warfare in the Union’s immediate neighbourhood, a highly challenging economic and social backdrop, a competitiveness gap and the worsening climate and biodiversity crises;</w:t>
            </w:r>
          </w:p>
        </w:tc>
        <w:tc>
          <w:tcPr>
            <w:tcW w:w="4876" w:type="dxa"/>
            <w:tcBorders>
              <w:top w:val="nil"/>
              <w:left w:val="nil"/>
              <w:bottom w:val="nil"/>
              <w:right w:val="nil"/>
            </w:tcBorders>
          </w:tcPr>
          <w:p>
            <w:pPr>
              <w:pStyle w:val="Normal6a"/>
            </w:pPr>
            <w:r>
              <w:t>1.</w:t>
            </w:r>
            <w:r>
              <w:tab/>
            </w:r>
            <w:r>
              <w:t xml:space="preserve">Calls for the 2028-2034 MFF to be set at 1.27 % of EU gross national income (GNI), excluding NextGenerationEU (NGEU) repayments, to ensure the Union’s capacity to achieve its political priorities and strategic objectives, as well as respond to emerging needs; considers that NGEU debt servicing, representing an additional 0.11 % of GNI, should be treated separately from funding for EU programmes within the future MFF architecture so as to ensure that available resources for these programmes remain unaffected, bringing the total to 1.38 % of EU GNI; stresses that this level is the absolute minimum to enable the Union to address major challenges, including the return of large-scale warfare in the Union’s immediate neighbourhood, a highly challenging economic and social backdrop, a competitiveness gap and the worsening climate and biodiversity crises; </w:t>
            </w:r>
            <w:r>
              <w:rPr>
                <w:b/>
                <w:i/>
              </w:rPr>
              <w:t>warns that any lower amount would, given the inflation development and new tasks for the Union budget, equate to a real stagnation or even regression of the operational budget;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Calls for the 2028-2034 MFF to be set at 1.27 % of EU gross national income (GNI), excluding NextGenerationEU (NGEU) repayments, to ensure the Union’s capacity to achieve its political priorities and strategic objectives, as well as respond to emerging needs; considers that NGEU debt servicing, representing an additional 0.11 % of GNI, should be treated separately from funding for EU programmes within the future MFF architecture so as to ensure that available resources for these programmes remain unaffected, bringing the total to 1.38 % of EU GNI; stresses that this level is the absolute minimum to enable the Union to address major challenges, including the return of large-scale warfare in the Union’s immediate neighbourhood, a highly challenging economic and social backdrop, a competitiveness gap and the worsening climate and biodiversity crises;</w:t>
            </w:r>
          </w:p>
        </w:tc>
        <w:tc>
          <w:tcPr>
            <w:tcW w:w="4876" w:type="dxa"/>
            <w:tcBorders>
              <w:top w:val="nil"/>
              <w:left w:val="nil"/>
              <w:bottom w:val="nil"/>
              <w:right w:val="nil"/>
            </w:tcBorders>
          </w:tcPr>
          <w:p>
            <w:pPr>
              <w:pStyle w:val="Normal6a"/>
            </w:pPr>
            <w:r>
              <w:t>1.</w:t>
            </w:r>
            <w:r>
              <w:tab/>
            </w:r>
            <w:r>
              <w:t xml:space="preserve">Calls for the 2028-2034 MFF to be set at 1.27 % of EU gross national income (GNI), excluding NextGenerationEU (NGEU) repayments, to ensure the Union’s capacity to achieve its political priorities and strategic objectives, as well as respond to emerging needs; </w:t>
            </w:r>
            <w:r>
              <w:rPr>
                <w:b/>
                <w:i/>
              </w:rPr>
              <w:t>highlights that any repayment related to the Recovery and Resilience Facility should be excluded from the EU budget</w:t>
            </w:r>
            <w:r>
              <w:t xml:space="preserve"> considers that NGEU debt servicing, representing an additional 0.11 % of GNI, should be treated separately from funding for EU programmes within the future MFF architecture so as to ensure that available resources for these programmes remain unaffected, bringing the total to 1.38 % of EU GNI; stresses that this level is the absolute minimum to enable the Union to address major challenges, including the return of large-scale warfare in the Union’s immediate neighbourhood, a highly challenging economic and social backdrop, a competitiveness gap and the worsening climate and biodiversity crises;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Calls for the 2028-2034 MFF to be set at 1.27 % of EU gross national income (GNI), excluding NextGenerationEU (NGEU) repayments, to ensure the Union’s capacity to achieve its political priorities and strategic objectives, as well as respond to emerging needs; considers that NGEU debt servicing, representing an additional 0.11 % of GNI, should be treated separately from funding for EU programmes within the future MFF architecture so as to ensure that available resources for these programmes remain unaffected, bringing the total to 1.38 % of EU GNI; stresses that this level is the absolute minimum to enable the Union to address major challenges, including the return of large-scale warfare in the Union’s immediate neighbourhood, a highly challenging economic and social backdrop, a competitiveness gap and the worsening climate and biodiversity crises;</w:t>
            </w:r>
          </w:p>
        </w:tc>
        <w:tc>
          <w:tcPr>
            <w:tcW w:w="4876" w:type="dxa"/>
            <w:tcBorders>
              <w:top w:val="nil"/>
              <w:left w:val="nil"/>
              <w:bottom w:val="nil"/>
              <w:right w:val="nil"/>
            </w:tcBorders>
          </w:tcPr>
          <w:p>
            <w:pPr>
              <w:pStyle w:val="Normal6a"/>
            </w:pPr>
            <w:r>
              <w:t>1.</w:t>
            </w:r>
            <w:r>
              <w:tab/>
            </w:r>
            <w:r>
              <w:t>Calls for the 2028-2034 MFF to be set at 1.27 % of EU gross national income (GNI), excluding NextGenerationEU (NGEU) repayments, to ensure the Union’s capacity to achieve its political priorities and strategic objectives, as well as respond to emerging needs; considers that NGEU debt servicing, representing an additional 0.11 % of GNI, should be treated separately from funding for EU programmes within the future MFF architecture so as to ensure that available resources for these programmes remain unaffected, bringing the total to 1.38 % of EU GNI; stresses that this level is the absolute minimum to enable the Union to address major challenges, including the return of large-scale warfare in the Union’s immediate neighbourhood, a highly challenging economic and social backdrop, a competitiveness gap</w:t>
            </w:r>
            <w:r>
              <w:rPr>
                <w:b/>
                <w:i/>
              </w:rPr>
              <w:t>, the promotion of territorial, economic and social cohesion of the Union,</w:t>
            </w:r>
            <w:r>
              <w:t xml:space="preserve"> and the worsening climate and biodiversity crises;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Ruggero Razza, Roberts Zīle,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Marco Squarta, Bogdan Rzońca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Calls for the 2028-2034 MFF to be set at 1.27 % of EU gross national income (GNI), excluding NextGenerationEU (NGEU) repayments, to ensure the Union’s capacity to achieve its political priorities and strategic objectives, as well as respond to emerging needs; considers that NGEU debt servicing, representing an additional 0.11 % of GNI, should be treated separately from funding for EU programmes within the future MFF architecture so as to ensure that available resources for these programmes remain unaffected, bringing the total to 1.38 % of EU GNI; stresses that this level is the absolute minimum to enable the Union to address major challenges, including the return of large-scale warfare in the Union’s immediate neighbourhood, a highly challenging economic and social backdrop, </w:t>
            </w:r>
            <w:r>
              <w:rPr>
                <w:b/>
                <w:i/>
              </w:rPr>
              <w:t>a</w:t>
            </w:r>
            <w:r>
              <w:t xml:space="preserve"> competitiveness gap </w:t>
            </w:r>
            <w:r>
              <w:rPr>
                <w:b/>
                <w:i/>
              </w:rPr>
              <w:t>and the worsening climate and biodiversity crises</w:t>
            </w:r>
            <w:r>
              <w:t>;</w:t>
            </w:r>
          </w:p>
        </w:tc>
        <w:tc>
          <w:tcPr>
            <w:tcW w:w="4876" w:type="dxa"/>
            <w:tcBorders>
              <w:top w:val="nil"/>
              <w:left w:val="nil"/>
              <w:bottom w:val="nil"/>
              <w:right w:val="nil"/>
            </w:tcBorders>
          </w:tcPr>
          <w:p>
            <w:pPr>
              <w:pStyle w:val="Normal6a"/>
            </w:pPr>
            <w:r>
              <w:t>1.</w:t>
            </w:r>
            <w:r>
              <w:tab/>
            </w:r>
            <w:r>
              <w:t xml:space="preserve">Calls for the 2028-2034 MFF to be set at 1.27 % of EU gross national income (GNI), excluding NextGenerationEU (NGEU) repayments, to ensure the Union’s capacity to achieve its political priorities and strategic objectives, as well as respond to emerging needs; considers that NGEU debt servicing, representing an additional 0.11 % of GNI, should be treated separately from funding for EU programmes within the future MFF architecture so as to ensure that available resources for these programmes remain unaffected, bringing the total to 1.38 % of EU GNI; stresses that this level is the absolute minimum to enable the Union to address major challenges, including the return of large-scale warfare in the Union’s immediate neighbourhood, a highly challenging economic and social backdrop, </w:t>
            </w:r>
            <w:r>
              <w:rPr>
                <w:b/>
                <w:i/>
              </w:rPr>
              <w:t>challenges related to public health and food security, and a persistent</w:t>
            </w:r>
            <w:r>
              <w:t xml:space="preserve"> competitiveness gap;</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Calls for the 2028-2034 MFF to be set at </w:t>
            </w:r>
            <w:r>
              <w:rPr>
                <w:b/>
                <w:i/>
              </w:rPr>
              <w:t>1.27</w:t>
            </w:r>
            <w:r>
              <w:t xml:space="preserve"> % of EU gross national income (GNI), excluding NextGenerationEU (NGEU) repayments, to ensure the Union’s capacity to achieve its political priorities and strategic objectives, as well as respond to emerging needs; considers that NGEU debt servicing, representing an additional 0.11 % of GNI, should be treated separately from funding for EU programmes within the future MFF architecture so as to ensure that available resources for these programmes remain unaffected, bringing the total to </w:t>
            </w:r>
            <w:r>
              <w:rPr>
                <w:b/>
                <w:i/>
              </w:rPr>
              <w:t>1.38</w:t>
            </w:r>
            <w:r>
              <w:t xml:space="preserve"> % of EU GNI; stresses that this level is the absolute minimum to enable the Union to address major challenges, including the return of large-scale warfare in the Union’s immediate neighbourhood, a highly challenging economic and social backdrop, a competitiveness gap and the worsening climate and biodiversity crises;</w:t>
            </w:r>
          </w:p>
        </w:tc>
        <w:tc>
          <w:tcPr>
            <w:tcW w:w="4876" w:type="dxa"/>
            <w:tcBorders>
              <w:top w:val="nil"/>
              <w:left w:val="nil"/>
              <w:bottom w:val="nil"/>
              <w:right w:val="nil"/>
            </w:tcBorders>
          </w:tcPr>
          <w:p>
            <w:pPr>
              <w:pStyle w:val="Normal6a"/>
            </w:pPr>
            <w:r>
              <w:t>1.</w:t>
            </w:r>
            <w:r>
              <w:tab/>
            </w:r>
            <w:r>
              <w:t xml:space="preserve">Calls for the 2028-2034 MFF to be set at </w:t>
            </w:r>
            <w:r>
              <w:rPr>
                <w:b/>
                <w:i/>
              </w:rPr>
              <w:t>1.39</w:t>
            </w:r>
            <w:r>
              <w:t xml:space="preserve"> % of EU gross national income (GNI), excluding NextGenerationEU (NGEU) repayments, to ensure the Union’s capacity to achieve its political priorities and strategic objectives, as well as respond to emerging needs; considers that NGEU debt servicing, representing an additional 0.11 % of GNI, should be treated separately from funding for EU programmes within the future MFF architecture so as to ensure that available resources for these programmes remain unaffected, bringing the total to </w:t>
            </w:r>
            <w:r>
              <w:rPr>
                <w:b/>
                <w:i/>
              </w:rPr>
              <w:t>1.5</w:t>
            </w:r>
            <w:r>
              <w:t xml:space="preserve"> % of EU GNI; stresses that this level is the absolute minimum to enable the Union to address major challenges, including the return of large-scale warfare in the Union’s immediate neighbourhood, a highly challenging economic and social backdrop, a competitiveness gap and the worsening climate and biodiversity crises;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Nils Ušakovs, Vytenis Povilas Andriukaitis, Mārtiņš Staķis, Roberts Zīle, Sandra Kalniete, Ivars Ijabs, 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Recognizes, that EU Member States and regions bordering Russia and Belarus countries face manifold economic, social and resilience challenges, which are much more pronounced than in the rest of the EU; Russia’s war of aggression against Ukraine has negatively affected their economic growth and attractiveness, foreign trade and investment dynamics; The national spending in these countries that otherwise would be used to foster socio-economic convergence had to be redirected to national-level security and resilience measures, such as civil protection and preparedness, defence and preservation of critical infrastructure; These national level critical investments strengthen security and resilience of the whole EU; Therefore, the new MFF should provide targeted support for socio-economic convergence of these countries that was overshadowed by other EU common pressing and immediate priorities and investment needs.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Roberts Zīle, Bogdan Rzońca, Aurelijus Veryga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Recognizes, that EU Member States and regions bordering aggressor countries face manifold economic, social and resilience challenges, which are much more pronounced than in the rest of the EU. Russia’s war of aggression against Ukraine has negatively affected their economic growth and attractiveness, foreign trade and investment dynamics. The national spending in these countries that otherwise would be used to foster socio-economic convergence had to be redirected to national-level security and resilience measures, such as civil protection and preparedness, defence and preservation of critical infrastructure. These national level critical investments strengthen security and resilience of the whole EU. Therefore, the new MFF should provide targeted support for socio-economic convergence of these countries that was overshadowed by other EU common pressing and immediate priorities and investment needs.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Victor Negrescu, Vytenis Povilas Andriukaitis, Christophe Clergeau, Estelle Ceulemans, Nicolás González Casares, Romana Jerković, Alessandra Moretti, Tiemo Wölken, Kristian Vigenin, Nikos Papandreou, Raffaele Topo, Marta Temido, Pierre Jouvet,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Calls for the prioritisation of EU dedicated funding for health across all policies, with a minimum allocation of EUR 90 billion in the 2028–2034 Multiannual Financial Framework (MFF);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Victor Negrescu, Vytenis Povilas Andriukaitis, Christophe Clergeau, Estelle Ceulemans, Nicolás González Casares, Romana Jerković, Alessandra Moretti, Tiemo Wölken, Kristian Vigenin, Nikos Papandreou, Raffaele Topo, Marta Temido, Pierre Jouvet,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w:t>
            </w:r>
            <w:r>
              <w:tab/>
            </w:r>
            <w:r>
              <w:rPr>
                <w:b/>
                <w:i/>
              </w:rPr>
              <w:t>Underlines that dedicated allocations for health should be foreseen in all relevant programmes;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Victor Negrescu, Vytenis Povilas Andriukaitis, Christophe Clergeau, Estelle Ceulemans, Nicolás González Casares, Romana Jerković, Alessandra Moretti, Tiemo Wölken, Kristian Vigenin, Nikos Papandreou, Raffaele Topo, Marta Temido, Pierre Jouvet,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c.</w:t>
            </w:r>
            <w:r>
              <w:tab/>
            </w:r>
            <w:r>
              <w:rPr>
                <w:b/>
                <w:i/>
              </w:rPr>
              <w:t>Calls to allocate adequate funding to promote greater interconnection and interoperability between existing national and European healthcare programmes and systems, including through the financing of relevant pilot projects, thus creating effectively functioning pan-European research and innovation ecosystems;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Victor Negrescu, Nela Riehl, Brigitte van den Berg, Dragoş Benea, Vasile Dîncu, Gabriela Firea, Maria Grapini, Hannes Heide, Romana Jerković, Claudiu Manda, Ştefan Muşoiu, Cynthia Ní Mhurchú, Sabrina Repp, Marcos Ros Sempere, Katarína Roth Neveďalová, Lukas Sieper, Cecilia Strada, Bruno Tobback, Marko Vešligaj, 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d.</w:t>
            </w:r>
            <w:r>
              <w:tab/>
            </w:r>
            <w:r>
              <w:rPr>
                <w:b/>
                <w:i/>
              </w:rPr>
              <w:t>Calls for the prioritisation of EU funding for education, skills, and lifelong learning, with a minimum allocation of 20% of the 2028–2034 Multiannual Financial Framework (MFF), reflecting the strong economic and social returns of investment in education and training across the Union; recalls that, in the context of Mario Draghi’s report on the future of European competitiveness, investment in skills and human capital is identified as a strategic condition for productivity, resilience and growth, and underlines, on this basis, the call for a fivefold increase of the Erasmus+ programme; underlines that a recent EPRS analysis based on European Commission data shows that education- and skills-related funding in the current MFF amounts to 148 billion EUR across EU programmes (12% of all budget); and calls for clear recommendations to allocate adequate funding for education and skills within the National Reform and Investment Plans and the European Competitiveness Fund, by amending the relevant regulations to explicitly allow support for education- and skills-related investments;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e.</w:t>
            </w:r>
            <w:r>
              <w:tab/>
            </w:r>
            <w:r>
              <w:rPr>
                <w:b/>
                <w:i/>
              </w:rPr>
              <w:t>Expresses concern about the lack of empowerments for delegated or implementing acts for the adoption of annual work programmes, which allows the Commission to decide alone and mobilize non-programmed funds without ex ante scrutiny by Parliament; insists that annual work programmes involving policy choices must be adopted through delegated or implementing acts, thereby preserving Parliament’s and the Council’s scrutiny rights;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f.</w:t>
            </w:r>
            <w:r>
              <w:tab/>
            </w:r>
            <w:r>
              <w:rPr>
                <w:b/>
                <w:i/>
              </w:rPr>
              <w:t>Calls on the Commission to ensure that the 2028–2034 MFF provides dedicated, earmarked funding for youth that is predictable and protected from dilution within broader spending envelopes; insists, in particular, that Member States with a NEET rate above the Union average should be required to dedicate at least 12.5% of the relevant allocations under the National and Regional Partnership Plans to measures supporting young people, in line with the current ESF+ ring-fencing approach for Member States facing higher-than-average NEET rates, including Youth Guarantee-type actions, quality employment pathways, apprenticeships and traineeships, outreach to inactive NEETs, and tailored support for disadvantaged and underrepresented groups;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g.</w:t>
            </w:r>
            <w:r>
              <w:tab/>
            </w:r>
            <w:r>
              <w:rPr>
                <w:b/>
                <w:i/>
              </w:rPr>
              <w:t>Calls on the Commission to provide dedicated and traceable funding for children’s policies in the 2028–2034 MFF and to introduce a robust expenditure tracking methodology for child-related investments within the new performance and expenditure-tracking framework; recalls the objectives of the European Child Guarantee and calls for its effective implementation to be supported by adequate, predictable and clearly identifiable funding; urges that NRPPs should include clearly earmarked allocations for measures tackling child poverty and exclusion, improving access to essential services, and ensuring inclusive education and care;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h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h.</w:t>
            </w:r>
            <w:r>
              <w:tab/>
            </w:r>
            <w:r>
              <w:rPr>
                <w:b/>
                <w:i/>
              </w:rPr>
              <w:t>Underlines that Union spending should actively advance equality and inclusion, ensuring that no one is left behind; calls, in particular, for the systematic integration of the rights of persons with disabilities throughout the budget, in line with the EU Strategy for the Rights of Persons with Disabilities and the Union’s obligations under the UN Convention on the Rights of Persons with Disabilities; emphasises that this is essential to guarantee accessibility, equal opportunities and full participation as horizontal principles, and to strengthen the Union’s social cohesion and solidarity; stresses that EU funding should not exclude or disadvantage persons with disabilities and calls for including this provision in the new MFF’s performance and expenditure framework;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Underscores that the next MFF must focus on financing European public goods with discernible added value compared to national spending;</w:t>
            </w:r>
            <w:r>
              <w:t xml:space="preserve"> </w:t>
            </w:r>
            <w:r>
              <w:rPr>
                <w:b/>
                <w:i/>
              </w:rPr>
              <w:t>rejects any move towards an ‘à la carte’ Europe where differentiated participation undermines the unity and coherence of EU policies and programmes;</w:t>
            </w:r>
            <w:r>
              <w:t xml:space="preserve"> </w:t>
            </w:r>
            <w:r>
              <w:rPr>
                <w:b/>
                <w:i/>
              </w:rPr>
              <w:t>warns that such an approach would fragment the single market, create unfair competitive advantages, and erode the principle of solidarity that underpins European integration;</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Underscores that the next MFF must focus on financing European public goods with discernible added value compared to national spending; rejects any move towards an ‘à la carte’ Europe where differentiated participation undermines the unity and coherence of EU policies and programmes; warns that such an approach would fragment the single market, create unfair competitive advantages, and erode the principle of solidarity that underpins European integration;</w:t>
            </w:r>
          </w:p>
        </w:tc>
        <w:tc>
          <w:tcPr>
            <w:tcW w:w="4876" w:type="dxa"/>
            <w:tcBorders>
              <w:top w:val="nil"/>
              <w:left w:val="nil"/>
              <w:bottom w:val="nil"/>
              <w:right w:val="nil"/>
            </w:tcBorders>
          </w:tcPr>
          <w:p>
            <w:pPr>
              <w:pStyle w:val="Normal6a"/>
            </w:pPr>
            <w:r>
              <w:t>2.</w:t>
            </w:r>
            <w:r>
              <w:tab/>
            </w:r>
            <w:r>
              <w:t xml:space="preserve">Underscores that the next MFF must focus on financing European public goods with discernible added value compared to national spending; rejects any move towards an ‘à la carte’ Europe where differentiated participation undermines the unity and coherence of EU policies and programmes; </w:t>
            </w:r>
            <w:r>
              <w:rPr>
                <w:b/>
                <w:i/>
              </w:rPr>
              <w:t>recalls on this point that, under Article 349 TFEU, the Union is required to implement European policies and programmes for the outermost regions and therefore stresses the need for continued and targeted support for these regions in the next MFF at EU level, including through a reinforced programme of options specifically related to geographical isolation and insularity (POSEI);</w:t>
            </w:r>
            <w:r>
              <w:t xml:space="preserve"> warns that such an approach would fragment the single market, create unfair competitive advantages, and erode the principle of solidarity that underpins European integration;</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 Bogdan Rzońca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Underscores that the next MFF must focus on financing European public goods with discernible added value compared to national spending; rejects any move towards an ‘à la carte’ Europe where differentiated participation undermines the unity and coherence of EU policies and programmes; warns that such an approach would fragment the single market, create unfair competitive advantages, and erode the principle of solidarity that underpins European integration;</w:t>
            </w:r>
          </w:p>
        </w:tc>
        <w:tc>
          <w:tcPr>
            <w:tcW w:w="4876" w:type="dxa"/>
            <w:tcBorders>
              <w:top w:val="nil"/>
              <w:left w:val="nil"/>
              <w:bottom w:val="nil"/>
              <w:right w:val="nil"/>
            </w:tcBorders>
          </w:tcPr>
          <w:p>
            <w:pPr>
              <w:pStyle w:val="Normal6a"/>
            </w:pPr>
            <w:r>
              <w:t>2.</w:t>
            </w:r>
            <w:r>
              <w:tab/>
            </w:r>
            <w:r>
              <w:t>Underscores that the next MFF must focus on financing European public goods with discernible added value compared to national spending</w:t>
            </w:r>
            <w:r>
              <w:rPr>
                <w:b/>
                <w:i/>
              </w:rPr>
              <w:t>;</w:t>
            </w:r>
            <w:r>
              <w:t xml:space="preserve"> </w:t>
            </w:r>
            <w:r>
              <w:rPr>
                <w:b/>
                <w:i/>
              </w:rPr>
              <w:t>deems it a matter of priority to foster research and innovation, address the competitiveness of small, medium-sized and large enterprises, promote vocational training, support young people and safeguard the health and prosperity of local areas;</w:t>
            </w:r>
            <w:r>
              <w:t xml:space="preserve"> </w:t>
            </w:r>
            <w:r>
              <w:rPr>
                <w:b/>
                <w:i/>
              </w:rPr>
              <w:t>further underscores the need to tackle the consequences of demographic trends, including declining fertility rates, an ageing population and labour shortages</w:t>
            </w:r>
            <w:r>
              <w:t>; rejects any move towards an ‘à la carte’ Europe where differentiated participation undermines the unity and coherence of EU policies and programmes; warns that such an approach would fragment the single market, create unfair competitive advantages, and erode the principle of solidarity that underpins European integration;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Isabel Benjumea Benjumea, Gabriel Mato, Paulo Do Nascimento Cabral, Sérgio Gonçalves, Juan Fernando López Aguilar, Marie-Luce Brasier-Clain, Rody Tolassy, André Rodrigues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Underscores that the next MFF must focus on financing European public goods with discernible added value compared to national spending; rejects any move towards an ‘à la carte’ Europe where differentiated participation undermines the unity and coherence of EU policies and programmes; warns that such an approach would fragment the single market, create unfair competitive advantages, and erode the principle of solidarity that underpins European integration;</w:t>
            </w:r>
          </w:p>
        </w:tc>
        <w:tc>
          <w:tcPr>
            <w:tcW w:w="4876" w:type="dxa"/>
            <w:tcBorders>
              <w:top w:val="nil"/>
              <w:left w:val="nil"/>
              <w:bottom w:val="nil"/>
              <w:right w:val="nil"/>
            </w:tcBorders>
          </w:tcPr>
          <w:p>
            <w:pPr>
              <w:pStyle w:val="Normal6a"/>
            </w:pPr>
            <w:r>
              <w:t>2.</w:t>
            </w:r>
            <w:r>
              <w:tab/>
            </w:r>
            <w:r>
              <w:t xml:space="preserve">Underscores that the next MFF must focus on financing European public goods with discernible added value compared to national spending; rejects any move towards an ‘à la carte’ Europe where differentiated participation undermines the unity and coherence of EU policies and programmes; </w:t>
            </w:r>
            <w:r>
              <w:rPr>
                <w:b/>
                <w:i/>
              </w:rPr>
              <w:t>in this respect recalls that, under Article 349 TFEU, the Union is required to put in place European policies and programmes for the outermost regions and stresses, therefore, the need for continued, targeted support for these regions in the next MFF at EU level, including via a reinforced programme of options specifically relating to remoteness and insularity (POSEI);</w:t>
            </w:r>
            <w:r>
              <w:t xml:space="preserve"> warns that such an approach would fragment the single market, create unfair competitive advantages, and erode the principle of solidarity that underpins European integration;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Underscores that the next MFF must focus on financing European public goods with discernible added value compared to national spending; rejects any move towards an ‘à la carte’ Europe where differentiated participation undermines the unity and coherence of EU policies and programmes; warns that such an approach would fragment the single market, create unfair competitive advantages, and erode the principle of solidarity that underpins European integration;</w:t>
            </w:r>
          </w:p>
        </w:tc>
        <w:tc>
          <w:tcPr>
            <w:tcW w:w="4876" w:type="dxa"/>
            <w:tcBorders>
              <w:top w:val="nil"/>
              <w:left w:val="nil"/>
              <w:bottom w:val="nil"/>
              <w:right w:val="nil"/>
            </w:tcBorders>
          </w:tcPr>
          <w:p>
            <w:pPr>
              <w:pStyle w:val="Normal6a"/>
            </w:pPr>
            <w:r>
              <w:t>2.</w:t>
            </w:r>
            <w:r>
              <w:tab/>
            </w:r>
            <w:r>
              <w:t>Underscores that the next MFF must focus on financing European public goods with discernible added value compared to national spending</w:t>
            </w:r>
            <w:r>
              <w:rPr>
                <w:b/>
                <w:i/>
              </w:rPr>
              <w:t>; emphasises that spending will have to address major challenges, such as the return of large-scale warfare in the Union’s immediate neighbourhood, a highly challenging economic and social backdrop, a competitiveness gap and the worsening triple planetary crisis of climate change, biodiversity loss and pollution</w:t>
            </w:r>
            <w:r>
              <w:t xml:space="preserve">; rejects any move towards an ‘à la carte’ Europe where differentiated participation undermines the unity and coherence of EU policies and programmes; warns that such an approach would fragment the single market, </w:t>
            </w:r>
            <w:r>
              <w:rPr>
                <w:b/>
                <w:i/>
              </w:rPr>
              <w:t>hinder the implementation of Union policies,</w:t>
            </w:r>
            <w:r>
              <w:t xml:space="preserve"> create unfair competitive advantages, and erode the principle of solidarity that underpins European integration;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Fabienne Keller,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Underscores that the next MFF must focus on financing European public goods with discernible added value compared to national spending; rejects any move towards an ‘à la carte’ Europe where differentiated participation undermines the unity and coherence of EU policies and programmes; warns that such an approach would fragment the single market, create unfair competitive advantages, and erode the principle of solidarity that underpins European integration;</w:t>
            </w:r>
          </w:p>
        </w:tc>
        <w:tc>
          <w:tcPr>
            <w:tcW w:w="4876" w:type="dxa"/>
            <w:tcBorders>
              <w:top w:val="nil"/>
              <w:left w:val="nil"/>
              <w:bottom w:val="nil"/>
              <w:right w:val="nil"/>
            </w:tcBorders>
          </w:tcPr>
          <w:p>
            <w:pPr>
              <w:pStyle w:val="Normal6a"/>
            </w:pPr>
            <w:r>
              <w:t>2.</w:t>
            </w:r>
            <w:r>
              <w:tab/>
            </w:r>
            <w:r>
              <w:t xml:space="preserve">Underscores that the next MFF must focus on financing European public goods with discernible added value compared to national spending; </w:t>
            </w:r>
            <w:r>
              <w:rPr>
                <w:b/>
                <w:i/>
              </w:rPr>
              <w:t>including cross-border infrastructure, security and preparedness and EU-wide research and skills, thereby reducing fragmentation,</w:t>
            </w:r>
            <w:r>
              <w:t xml:space="preserve"> rejects any move towards an ‘à la carte’ Europe where differentiated participation undermines the unity and coherence of EU policies and programmes; </w:t>
            </w:r>
            <w:r>
              <w:rPr>
                <w:b/>
                <w:i/>
              </w:rPr>
              <w:t>stresses the need for continued, targeted support for outermost regions, including via a reinforced programme of options specifically relating to remoteness and insularity (POSEI);</w:t>
            </w:r>
            <w:r>
              <w:t xml:space="preserve"> warns that such an </w:t>
            </w:r>
            <w:r>
              <w:rPr>
                <w:b/>
                <w:i/>
              </w:rPr>
              <w:t>“à la carte”</w:t>
            </w:r>
            <w:r>
              <w:t xml:space="preserve"> approach would fragment the single market, create unfair competitive advantages, and erode the principle of solidarity that underpins European integration;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Underscores that the next MFF must focus on financing European public goods </w:t>
            </w:r>
            <w:r>
              <w:rPr>
                <w:b/>
                <w:i/>
              </w:rPr>
              <w:t>with discernible</w:t>
            </w:r>
            <w:r>
              <w:t xml:space="preserve"> added value compared to national spending; </w:t>
            </w:r>
            <w:r>
              <w:rPr>
                <w:b/>
                <w:i/>
              </w:rPr>
              <w:t>rejects any move towards an ‘à la carte’ Europe where differentiated participation undermines the unity and coherence of EU policies and programmes;</w:t>
            </w:r>
            <w:r>
              <w:t xml:space="preserve"> </w:t>
            </w:r>
            <w:r>
              <w:rPr>
                <w:b/>
                <w:i/>
              </w:rPr>
              <w:t>warns that such an approach would fragment</w:t>
            </w:r>
            <w:r>
              <w:t xml:space="preserve"> the single market</w:t>
            </w:r>
            <w:r>
              <w:rPr>
                <w:b/>
                <w:i/>
              </w:rPr>
              <w:t>, create</w:t>
            </w:r>
            <w:r>
              <w:t xml:space="preserve"> unfair competitive advantages</w:t>
            </w:r>
            <w:r>
              <w:rPr>
                <w:b/>
                <w:i/>
              </w:rPr>
              <w:t>, and erode the principle of solidarity that underpins European integration</w:t>
            </w:r>
            <w:r>
              <w:t>;</w:t>
            </w:r>
          </w:p>
        </w:tc>
        <w:tc>
          <w:tcPr>
            <w:tcW w:w="4876" w:type="dxa"/>
            <w:tcBorders>
              <w:top w:val="nil"/>
              <w:left w:val="nil"/>
              <w:bottom w:val="nil"/>
              <w:right w:val="nil"/>
            </w:tcBorders>
          </w:tcPr>
          <w:p>
            <w:pPr>
              <w:pStyle w:val="Normal6a"/>
            </w:pPr>
            <w:r>
              <w:t>2.</w:t>
            </w:r>
            <w:r>
              <w:tab/>
            </w:r>
            <w:r>
              <w:t>Underscores that the next MFF must focus on financing European public goods</w:t>
            </w:r>
            <w:r>
              <w:rPr>
                <w:b/>
                <w:i/>
              </w:rPr>
              <w:t>, exclusively in areas where, based on the principle of subsidiarity, there is actual</w:t>
            </w:r>
            <w:r>
              <w:t xml:space="preserve"> added value compared to national spending; </w:t>
            </w:r>
            <w:r>
              <w:rPr>
                <w:b/>
                <w:i/>
              </w:rPr>
              <w:t>stresses the importance of</w:t>
            </w:r>
            <w:r>
              <w:t xml:space="preserve"> the single market </w:t>
            </w:r>
            <w:r>
              <w:rPr>
                <w:b/>
                <w:i/>
              </w:rPr>
              <w:t>and of combating</w:t>
            </w:r>
            <w:r>
              <w:t xml:space="preserve"> unfair competitive advantages;</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Underscores that the next MFF must focus on financing European public goods with discernible added value </w:t>
            </w:r>
            <w:r>
              <w:rPr>
                <w:b/>
                <w:i/>
              </w:rPr>
              <w:t>compared to national spending</w:t>
            </w:r>
            <w:r>
              <w:t>; rejects any move towards an ‘à la carte’ Europe where differentiated participation undermines the unity and coherence of EU policies and programmes; warns that such an approach would fragment the single market, create unfair competitive advantages, and erode the principle of solidarity that underpins European integration;</w:t>
            </w:r>
          </w:p>
        </w:tc>
        <w:tc>
          <w:tcPr>
            <w:tcW w:w="4876" w:type="dxa"/>
            <w:tcBorders>
              <w:top w:val="nil"/>
              <w:left w:val="nil"/>
              <w:bottom w:val="nil"/>
              <w:right w:val="nil"/>
            </w:tcBorders>
          </w:tcPr>
          <w:p>
            <w:pPr>
              <w:pStyle w:val="Normal6a"/>
            </w:pPr>
            <w:r>
              <w:t>2.</w:t>
            </w:r>
            <w:r>
              <w:tab/>
            </w:r>
            <w:r>
              <w:t xml:space="preserve">Underscores that the next MFF must focus on financing European public goods with discernible added </w:t>
            </w:r>
            <w:r>
              <w:rPr>
                <w:b/>
                <w:i/>
              </w:rPr>
              <w:t>European</w:t>
            </w:r>
            <w:r>
              <w:t xml:space="preserve"> value</w:t>
            </w:r>
            <w:r>
              <w:rPr>
                <w:b/>
                <w:i/>
              </w:rPr>
              <w:t>, such as collective security and defence, preparedness, cross-border mobility, skills development, cultural and creative cooperation, media pluralism as well as cultural diversity</w:t>
            </w:r>
            <w:r>
              <w:t xml:space="preserve">; rejects any move towards an ‘à la carte’ Europe where differentiated participation undermines the unity and coherence of EU policies and programmes; warns that such an approach would fragment the single market, create unfair competitive advantages, </w:t>
            </w:r>
            <w:r>
              <w:rPr>
                <w:b/>
                <w:i/>
              </w:rPr>
              <w:t>increase internal disparities between Member-States and regions</w:t>
            </w:r>
            <w:r>
              <w:t xml:space="preserve"> and erode the principle of solidarity that underpins European integration;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Underscores that the next MFF must focus on financing European public goods with discernible added value compared to national spending; rejects any move towards an ‘à la carte’ Europe </w:t>
            </w:r>
            <w:r>
              <w:rPr>
                <w:b/>
                <w:i/>
              </w:rPr>
              <w:t>where differentiated participation</w:t>
            </w:r>
            <w:r>
              <w:t xml:space="preserve"> undermines </w:t>
            </w:r>
            <w:r>
              <w:rPr>
                <w:b/>
                <w:i/>
              </w:rPr>
              <w:t>the unity and coherence of EU policies and programmes;</w:t>
            </w:r>
            <w:r>
              <w:t xml:space="preserve"> </w:t>
            </w:r>
            <w:r>
              <w:rPr>
                <w:b/>
                <w:i/>
              </w:rPr>
              <w:t>warns that such an approach would fragment</w:t>
            </w:r>
            <w:r>
              <w:t xml:space="preserve"> the single market, </w:t>
            </w:r>
            <w:r>
              <w:rPr>
                <w:b/>
                <w:i/>
              </w:rPr>
              <w:t>create unfair competitive advantages, and erode the principle of solidarity that underpins European</w:t>
            </w:r>
            <w:r>
              <w:t xml:space="preserve"> integration;</w:t>
            </w:r>
          </w:p>
        </w:tc>
        <w:tc>
          <w:tcPr>
            <w:tcW w:w="4876" w:type="dxa"/>
            <w:tcBorders>
              <w:top w:val="nil"/>
              <w:left w:val="nil"/>
              <w:bottom w:val="nil"/>
              <w:right w:val="nil"/>
            </w:tcBorders>
          </w:tcPr>
          <w:p>
            <w:pPr>
              <w:pStyle w:val="Normal6a"/>
            </w:pPr>
            <w:r>
              <w:t>2.</w:t>
            </w:r>
            <w:r>
              <w:tab/>
            </w:r>
            <w:r>
              <w:t xml:space="preserve">Underscores that the next MFF must focus on financing European public goods with discernible added value compared to national spending; rejects any move towards an ‘à la carte’ Europe </w:t>
            </w:r>
            <w:r>
              <w:rPr>
                <w:b/>
                <w:i/>
              </w:rPr>
              <w:t>that</w:t>
            </w:r>
            <w:r>
              <w:t xml:space="preserve"> undermines the single market, </w:t>
            </w:r>
            <w:r>
              <w:rPr>
                <w:b/>
                <w:i/>
              </w:rPr>
              <w:t>but stresses that differentiated</w:t>
            </w:r>
            <w:r>
              <w:t xml:space="preserve"> integration </w:t>
            </w:r>
            <w:r>
              <w:rPr>
                <w:b/>
                <w:i/>
              </w:rPr>
              <w:t>models and flexible forms of participation in accordance with the Treaties could constitute a legitimate instrument of European cooperation</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Stanisław Tyszka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Underscores that the next MFF must focus on financing European public goods with discernible added value compared to national spending</w:t>
            </w:r>
            <w:r>
              <w:rPr>
                <w:b/>
                <w:i/>
              </w:rPr>
              <w:t>;</w:t>
            </w:r>
            <w:r>
              <w:t xml:space="preserve"> </w:t>
            </w:r>
            <w:r>
              <w:rPr>
                <w:b/>
                <w:i/>
              </w:rPr>
              <w:t>rejects any move towards</w:t>
            </w:r>
            <w:r>
              <w:t xml:space="preserve"> an ‘à la carte’ Europe where differentiated participation </w:t>
            </w:r>
            <w:r>
              <w:rPr>
                <w:b/>
                <w:i/>
              </w:rPr>
              <w:t>undermines the unity and coherence of EU</w:t>
            </w:r>
            <w:r>
              <w:t xml:space="preserve"> policies </w:t>
            </w:r>
            <w:r>
              <w:rPr>
                <w:b/>
                <w:i/>
              </w:rPr>
              <w:t>and programmes;</w:t>
            </w:r>
            <w:r>
              <w:t xml:space="preserve"> </w:t>
            </w:r>
            <w:r>
              <w:rPr>
                <w:b/>
                <w:i/>
              </w:rPr>
              <w:t>warns that such an approach would fragment the single market, create unfair competitive advantages, and erode the principle of solidarity that underpins European integration</w:t>
            </w:r>
            <w:r>
              <w:t>;</w:t>
            </w:r>
          </w:p>
        </w:tc>
        <w:tc>
          <w:tcPr>
            <w:tcW w:w="4876" w:type="dxa"/>
            <w:tcBorders>
              <w:top w:val="nil"/>
              <w:left w:val="nil"/>
              <w:bottom w:val="nil"/>
              <w:right w:val="nil"/>
            </w:tcBorders>
          </w:tcPr>
          <w:p>
            <w:pPr>
              <w:pStyle w:val="Normal6a"/>
            </w:pPr>
            <w:r>
              <w:t>2.</w:t>
            </w:r>
            <w:r>
              <w:tab/>
            </w:r>
            <w:r>
              <w:t xml:space="preserve">Underscores that the next MFF must focus on financing European public goods with discernible added value compared to national spending </w:t>
            </w:r>
            <w:r>
              <w:rPr>
                <w:b/>
                <w:i/>
              </w:rPr>
              <w:t>while abiding by the principles of subsidiarity and proportionality;</w:t>
            </w:r>
            <w:r>
              <w:t xml:space="preserve"> </w:t>
            </w:r>
            <w:r>
              <w:rPr>
                <w:b/>
                <w:i/>
              </w:rPr>
              <w:t>supports the idea of</w:t>
            </w:r>
            <w:r>
              <w:t xml:space="preserve"> an ‘à la carte’ Europe where differentiated participation </w:t>
            </w:r>
            <w:r>
              <w:rPr>
                <w:b/>
                <w:i/>
              </w:rPr>
              <w:t>leaves Member States free to choose the</w:t>
            </w:r>
            <w:r>
              <w:t xml:space="preserve"> policies </w:t>
            </w:r>
            <w:r>
              <w:rPr>
                <w:b/>
                <w:i/>
              </w:rPr>
              <w:t>in which they wish to participate</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Joachim Streit,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Underscores that the next MFF </w:t>
            </w:r>
            <w:r>
              <w:rPr>
                <w:b/>
                <w:i/>
              </w:rPr>
              <w:t>must</w:t>
            </w:r>
            <w:r>
              <w:t xml:space="preserve"> focus on </w:t>
            </w:r>
            <w:r>
              <w:rPr>
                <w:b/>
                <w:i/>
              </w:rPr>
              <w:t>financing European public goods with discernible</w:t>
            </w:r>
            <w:r>
              <w:t xml:space="preserve"> added value compared to national </w:t>
            </w:r>
            <w:r>
              <w:rPr>
                <w:b/>
                <w:i/>
              </w:rPr>
              <w:t>spending</w:t>
            </w:r>
            <w:r>
              <w:t>; rejects any move towards an ‘à la carte’ Europe where differentiated participation undermines the unity and coherence of EU policies and programmes; warns that such an approach would fragment the single market, create unfair competitive advantages, and erode the principle of solidarity that underpins European integration;</w:t>
            </w:r>
          </w:p>
        </w:tc>
        <w:tc>
          <w:tcPr>
            <w:tcW w:w="4876" w:type="dxa"/>
            <w:tcBorders>
              <w:top w:val="nil"/>
              <w:left w:val="nil"/>
              <w:bottom w:val="nil"/>
              <w:right w:val="nil"/>
            </w:tcBorders>
          </w:tcPr>
          <w:p>
            <w:pPr>
              <w:pStyle w:val="Normal6a"/>
            </w:pPr>
            <w:r>
              <w:t>2.</w:t>
            </w:r>
            <w:r>
              <w:tab/>
            </w:r>
            <w:r>
              <w:t xml:space="preserve">Underscores that the next MFF </w:t>
            </w:r>
            <w:r>
              <w:rPr>
                <w:b/>
                <w:i/>
              </w:rPr>
              <w:t>should</w:t>
            </w:r>
            <w:r>
              <w:t xml:space="preserve"> focus on </w:t>
            </w:r>
            <w:r>
              <w:rPr>
                <w:b/>
                <w:i/>
              </w:rPr>
              <w:t>areas where Union action provides clear</w:t>
            </w:r>
            <w:r>
              <w:t xml:space="preserve"> added value compared to national </w:t>
            </w:r>
            <w:r>
              <w:rPr>
                <w:b/>
                <w:i/>
              </w:rPr>
              <w:t>action, in full respect of the principle of subsidiarity</w:t>
            </w:r>
            <w:r>
              <w:t>; rejects any move towards an ‘à la carte’ Europe where differentiated participation undermines the unity and coherence of EU policies and programmes; warns that such an approach would fragment the single market, create unfair competitive advantages, and erode the principle of solidarity that underpins European integration;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Underscores that</w:t>
            </w:r>
            <w:r>
              <w:t xml:space="preserve"> the </w:t>
            </w:r>
            <w:r>
              <w:rPr>
                <w:b/>
                <w:i/>
              </w:rPr>
              <w:t>next MFF must focus on</w:t>
            </w:r>
            <w:r>
              <w:t xml:space="preserve"> financing </w:t>
            </w:r>
            <w:r>
              <w:rPr>
                <w:b/>
                <w:i/>
              </w:rPr>
              <w:t>European public goods with discernible added value compared to national spending; rejects any move towards an ‘à la carte’ Europe where differentiated participation</w:t>
            </w:r>
            <w:r>
              <w:t xml:space="preserve"> undermines the unity and coherence of EU policies and programmes; warns that such an approach would fragment the single market, create unfair competitive advantages, and erode the principle of solidarity that underpins European integration;</w:t>
            </w:r>
          </w:p>
        </w:tc>
        <w:tc>
          <w:tcPr>
            <w:tcW w:w="4876" w:type="dxa"/>
            <w:tcBorders>
              <w:top w:val="nil"/>
              <w:left w:val="nil"/>
              <w:bottom w:val="nil"/>
              <w:right w:val="nil"/>
            </w:tcBorders>
          </w:tcPr>
          <w:p>
            <w:pPr>
              <w:pStyle w:val="Normal6a"/>
            </w:pPr>
            <w:r>
              <w:t>2.</w:t>
            </w:r>
            <w:r>
              <w:tab/>
            </w:r>
            <w:r>
              <w:rPr>
                <w:b/>
                <w:i/>
              </w:rPr>
              <w:t>Stresses that while demanding Member States to patrticipate in joint borrowing programmes like NGEU or</w:t>
            </w:r>
            <w:r>
              <w:t xml:space="preserve"> the financing </w:t>
            </w:r>
            <w:r>
              <w:rPr>
                <w:b/>
                <w:i/>
              </w:rPr>
              <w:t>of Ukraine and at the same time withholding Member States’ RRF and cohesion support for political-ideological reasons, it</w:t>
            </w:r>
            <w:r>
              <w:t xml:space="preserve"> undermines the unity and coherence of EU policies and programmes; warns that such an approach would fragment the single market, create unfair competitive advantages, and erode the principle of solidarity that underpins European integration;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Underscores that the next MFF must focus on financing European public goods with discernible added value compared to national spending;</w:t>
            </w:r>
            <w:r>
              <w:t xml:space="preserve"> </w:t>
            </w:r>
            <w:r>
              <w:rPr>
                <w:b/>
                <w:i/>
              </w:rPr>
              <w:t>rejects any move towards an ‘à la carte’ Europe where differentiated participation undermines the unity and coherence of EU policies and programmes;</w:t>
            </w:r>
            <w:r>
              <w:t xml:space="preserve"> </w:t>
            </w:r>
            <w:r>
              <w:rPr>
                <w:b/>
                <w:i/>
              </w:rPr>
              <w:t>warns that such an approach would fragment the single market, create unfair competitive advantages and erode the principle of solidarity that underpins European integration, losing the European character of essential Union programmes and the overall strategic vision in favour of the interests of the national governments of the Member States;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Aurelijus Veryga, Roberts Zīle, Tobiasz Bocheński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Recognises the economic, social and security challenges at the Eastern border regions of the EU caused by their neighborhood with aggressors posing a persistent direct military threat and brought by direct and indirect consequences of Russia’s war of aggression against Ukraine and emphasizes the importance of the relevant MFF programmes, in particular in Heading I and Heading II, to offer a comprehensive financial support to the Eastern border regions of the EU with the aim to enhance their defense, preparedness, resilience and security capabilities as well as address challenges in their economic, social and territorial convergence and development.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Andrzej Halicki,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Recognises the economic, social and security challenges at the Eastern border regions of the EU caused by their neighborhood with aggressors posing a persistent direct military threat and brought by direct and indirect consequences of Russia’s war of aggression against Ukraine and emphasizes the importance of the relevant MFF programmes, in particular in Heading I and Heading II, to offer a comprehensive financial support to the Eastern border regions of the EU with the aim to enhance their defense, preparedness, resilience and security capabilities as well as address challenges in their economic, social and territorial convergence and development.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Ruggero Razza, Paolo Inselvini, Romana Tomc, Miriam Lexmann, Vasile Dîncu, Tomislav Sokol, Gabriella Gerzsenyi,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Marco Squarta, Marion Maréchal, 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Calls on the Commission, when devising the overall architecture of the MFF and its various programmes, to integrate a holistic, well-coordinated approach to population change, paying particular attention to disadvantaged regions and areas facing demographic obstacles, such as rural and peripheral areas, sparsely populated regions, and island, mountain and cross-border areas; calls on the Commission, where necessary, to provide for integrated approaches in national and regional plans and allocation criteria that take account of population shortcomings and support demographic recovery;</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Stresses the importance of safeguarding the progress achieved so far in key areas of EU policy, including gender equality and women’s and girls’ rights; emphasises the need to ensure that the post-2027 MFF does not lead to backtracking on the progress made; Highlights the ongoing backlash against gender equality and women’s rights and the importance of EU funding matching the EU’s values, including for supporting civil society organisations promoting women’s rights and gender equality, both within the EU and in its externals actions;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2a.</w:t>
            </w:r>
            <w:r>
              <w:t xml:space="preserve"> </w:t>
            </w:r>
            <w:r>
              <w:rPr>
                <w:b/>
                <w:i/>
              </w:rPr>
              <w:t>Stresses that, given the specific, permanent constraints recognised in Article 349 TFEU, the co-financing rates applicable to the outermost regions should be maintained at their current level, with a minimum of 85 % and up to 100 % in the case of POSEI, among others;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Points out that 137 million Europeans, or around 30 % of the population, live in rural areas, which account for 83 % of the European Union’s territory, but that most of these areas are experiencing a sharp decline in population, particularly among young people and women.</w:t>
            </w:r>
            <w:r>
              <w:t xml:space="preserve"> </w:t>
            </w:r>
            <w:r>
              <w:rPr>
                <w:b/>
                <w:i/>
              </w:rPr>
              <w:t>This reality reinforces the need for the next MFF to effectively address the challenges leading to this depopulation, namely the ageing population, insufficient connectivity and transport, the existence of ‘white areas’ without communications coverage, limited access to education and healthcare, and the lack of basic infrastructure and investment.</w:t>
            </w:r>
            <w:r>
              <w:t xml:space="preserve"> </w:t>
            </w:r>
            <w:r>
              <w:rPr>
                <w:b/>
                <w:i/>
              </w:rPr>
              <w:t>These factors, which are more pronounced in the outermost regions, make it difficult for the population to settle there, which is why it is essential to guarantee and strengthen the funding of policies that ensure the right to remain in these territories;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Argues that the evaluation of projects and the allocation of funds under the MFF should contribute to an approach that ensures balanced regional distribution, guaranteeing that investments reach all territories, promoting cohesion and leaving no one behind;</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Opposes</w:t>
            </w:r>
            <w:r>
              <w:t xml:space="preserve"> the merging of different policies in one plan per Member State, </w:t>
            </w:r>
            <w:r>
              <w:rPr>
                <w:b/>
                <w:i/>
              </w:rPr>
              <w:t>which</w:t>
            </w:r>
            <w:r>
              <w:t xml:space="preserve"> generates significant uncertainty regarding funding predictability for final beneficiaries; warns that the significant reduction in funding in Heading 1 threatens to undermine EU policies enshrined in the Treaties and the Union’s objectives of strengthening its economic, social and territorial cohesion, safeguarding social rights and ensuring food security and a fair standard of living for farmers and fishers;</w:t>
            </w:r>
          </w:p>
        </w:tc>
        <w:tc>
          <w:tcPr>
            <w:tcW w:w="4876" w:type="dxa"/>
            <w:tcBorders>
              <w:top w:val="nil"/>
              <w:left w:val="nil"/>
              <w:bottom w:val="nil"/>
              <w:right w:val="nil"/>
            </w:tcBorders>
          </w:tcPr>
          <w:p>
            <w:pPr>
              <w:pStyle w:val="Normal6a"/>
            </w:pPr>
            <w:r>
              <w:t>3.</w:t>
            </w:r>
            <w:r>
              <w:tab/>
            </w:r>
            <w:r>
              <w:rPr>
                <w:b/>
                <w:i/>
              </w:rPr>
              <w:t>Recalls the strong opposition expressed by several political groups to the Commission proposal on the National and Regional Partnership Plans (NRPPs), in line with the strong reservations expressed in its resolution of 7 May 2025; is particularly concerned that</w:t>
            </w:r>
            <w:r>
              <w:t xml:space="preserve"> the merging of different policies</w:t>
            </w:r>
            <w:r>
              <w:rPr>
                <w:b/>
                <w:i/>
              </w:rPr>
              <w:t>, like agriculture, fisheries and cohesion,</w:t>
            </w:r>
            <w:r>
              <w:t xml:space="preserve"> in one plan per Member State, </w:t>
            </w:r>
            <w:r>
              <w:rPr>
                <w:b/>
                <w:i/>
              </w:rPr>
              <w:t>entails the risk of renationalisation of those flagship Union policies, weakens the role of regions and</w:t>
            </w:r>
            <w:r>
              <w:t xml:space="preserve"> generates significant uncertainty regarding funding predictability for final beneficiaries; </w:t>
            </w:r>
            <w:r>
              <w:rPr>
                <w:b/>
                <w:i/>
              </w:rPr>
              <w:t>acknowledges the modifications proposed by President von der Leyen in its letter of 9 November 2025, and expresses its readiness to amend this proposal under the ordinary legislative procedure;</w:t>
            </w:r>
            <w:r>
              <w:t xml:space="preserve"> warns</w:t>
            </w:r>
            <w:r>
              <w:rPr>
                <w:b/>
                <w:i/>
              </w:rPr>
              <w:t>, moreover,</w:t>
            </w:r>
            <w:r>
              <w:t xml:space="preserve"> that the significant reduction in funding in Heading 1</w:t>
            </w:r>
            <w:r>
              <w:rPr>
                <w:b/>
                <w:i/>
              </w:rPr>
              <w:t>, together with the very high level of unallocated amounts within NRPPs,</w:t>
            </w:r>
            <w:r>
              <w:t xml:space="preserve"> threatens to undermine EU policies enshrined in the Treaties and the Union’s objectives of strengthening its economic, social and territorial cohesion, safeguarding social rights and ensuring food security and a fair standard of living for farmers and fishers;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Isabel Benjumea Benjumea, Elena Nevado del Campo,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Opposes the merging of different policies in one plan per Member State, which generates significant uncertainty regarding funding predictability for final beneficiaries; warns that the significant reduction in funding in Heading 1 threatens to undermine EU policies enshrined in the Treaties and the Union’s objectives of strengthening its economic, social and territorial cohesion, safeguarding social rights and ensuring food security and a fair standard of living for farmers and fishers;</w:t>
            </w:r>
          </w:p>
        </w:tc>
        <w:tc>
          <w:tcPr>
            <w:tcW w:w="4876" w:type="dxa"/>
            <w:tcBorders>
              <w:top w:val="nil"/>
              <w:left w:val="nil"/>
              <w:bottom w:val="nil"/>
              <w:right w:val="nil"/>
            </w:tcBorders>
          </w:tcPr>
          <w:p>
            <w:pPr>
              <w:pStyle w:val="Normal6a"/>
            </w:pPr>
            <w:r>
              <w:t>3.</w:t>
            </w:r>
            <w:r>
              <w:tab/>
            </w:r>
            <w:r>
              <w:t>Opposes the merging of different policies in one plan per Member State, which generates significant uncertainty regarding funding predictability for final beneficiaries; warns that the significant reduction in funding in Heading 1 threatens to undermine EU policies enshrined in the Treaties and the Union’s objectives of strengthening its economic, social and territorial cohesion, safeguarding social rights and ensuring food security and a fair standard of living for farmers and fishers</w:t>
            </w:r>
            <w:r>
              <w:rPr>
                <w:b/>
                <w:i/>
              </w:rPr>
              <w:t>, as well as support for the implementation of the common fisheries policy and the promotion of sustainable fishing</w:t>
            </w:r>
            <w:r>
              <w:t xml:space="preserve">; </w:t>
            </w:r>
            <w:r>
              <w:rPr>
                <w:b/>
                <w:i/>
              </w:rPr>
              <w:t>takes the view that a single national plan per Member State threatens the continuation of these treaty policies;</w:t>
            </w:r>
            <w:r>
              <w:t xml:space="preserve"> </w:t>
            </w:r>
            <w:r>
              <w:rPr>
                <w:b/>
                <w:i/>
              </w:rPr>
              <w:t>asserts that this national plans approach should not form the basis for spending on shared management after 2027, considering the governance, management and accountability shortcomings identified in previous performance-based instruments;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Nina Carberry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Opposes the merging of different policies in one plan per Member State, which generates significant uncertainty regarding funding predictability for final beneficiaries; warns that the significant reduction in funding in Heading 1 threatens to undermine EU policies enshrined in the Treaties and the Union’s objectives of strengthening its economic, social and territorial cohesion, safeguarding social rights and ensuring food security and a fair standard of living for farmers and fishers;</w:t>
            </w:r>
          </w:p>
        </w:tc>
        <w:tc>
          <w:tcPr>
            <w:tcW w:w="4876" w:type="dxa"/>
            <w:tcBorders>
              <w:top w:val="nil"/>
              <w:left w:val="nil"/>
              <w:bottom w:val="nil"/>
              <w:right w:val="nil"/>
            </w:tcBorders>
          </w:tcPr>
          <w:p>
            <w:pPr>
              <w:pStyle w:val="Normal6a"/>
            </w:pPr>
            <w:r>
              <w:t>3.</w:t>
            </w:r>
            <w:r>
              <w:tab/>
            </w:r>
            <w:r>
              <w:t>Opposes the merging of different policies in one plan per Member State, which generates significant uncertainty regarding funding predictability for final beneficiaries</w:t>
            </w:r>
            <w:r>
              <w:rPr>
                <w:b/>
                <w:i/>
              </w:rPr>
              <w:t>; stresses, in particular, that the Common Agricultural Policy must remain a distinct and autonomous programme in the Union budget, reflecting its Treaty basis and its common nature; rejects any approach that would de facto nationalise CAP delivery through a single envelope, thereby undermining the level playing field among farmers and Member States and threatening the integrity and functioning of the Single Market</w:t>
            </w:r>
            <w:r>
              <w:t>; warns that the significant reduction in funding in Heading 1 threatens to undermine EU policies enshrined in the Treaties and the Union’s objectives of strengthening its economic, social and territorial cohesion, safeguarding social rights and ensuring food security and a fair standard of living for farmers and fishers;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Fabienne Keller,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Opposes the merging of different policies in one plan per Member State, which generates significant uncertainty regarding funding predictability for final beneficiaries; warns that the significant reduction in funding in Heading 1 threatens to undermine EU policies enshrined in the Treaties and the Union’s objectives of strengthening its economic, social and territorial cohesion, safeguarding social rights and ensuring food security and a fair standard of living for farmers and fishers;</w:t>
            </w:r>
          </w:p>
        </w:tc>
        <w:tc>
          <w:tcPr>
            <w:tcW w:w="4876" w:type="dxa"/>
            <w:tcBorders>
              <w:top w:val="nil"/>
              <w:left w:val="nil"/>
              <w:bottom w:val="nil"/>
              <w:right w:val="nil"/>
            </w:tcBorders>
          </w:tcPr>
          <w:p>
            <w:pPr>
              <w:pStyle w:val="Normal6a"/>
            </w:pPr>
            <w:r>
              <w:t>3.</w:t>
            </w:r>
            <w:r>
              <w:tab/>
            </w:r>
            <w:r>
              <w:t xml:space="preserve">Opposes the merging of different policies in one plan per Member State, which generates significant uncertainty regarding funding predictability for final beneficiaries; warns that the significant reduction in funding in Heading 1 threatens to undermine EU policies enshrined in the Treaties and the Union’s objectives of strengthening its economic, social and territorial cohesion, safeguarding social rights and ensuring food security and a fair standard of living for farmers and fishers; </w:t>
            </w:r>
            <w:r>
              <w:rPr>
                <w:b/>
                <w:i/>
              </w:rPr>
              <w:t>Insists that shared-management spending must be designed, implemented and monitored in line with the partnership principle and fully involve regional and local authorities and relevant stakeholders, while fully safeguarding Parliament’s roles as legislator, budgetary and discharge authority;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Opposes</w:t>
            </w:r>
            <w:r>
              <w:t xml:space="preserve"> the merging of different policies in one plan per Member State</w:t>
            </w:r>
            <w:r>
              <w:rPr>
                <w:b/>
                <w:i/>
              </w:rPr>
              <w:t>, which generates</w:t>
            </w:r>
            <w:r>
              <w:t xml:space="preserve"> significant uncertainty regarding funding predictability for final beneficiaries; warns that the significant reduction in funding in Heading 1 </w:t>
            </w:r>
            <w:r>
              <w:rPr>
                <w:b/>
                <w:i/>
              </w:rPr>
              <w:t>threatens to undermine</w:t>
            </w:r>
            <w:r>
              <w:t xml:space="preserve"> EU policies enshrined in the Treaties and the Union’s objectives of strengthening its economic, social and territorial cohesion, safeguarding social rights and ensuring food security and a fair standard of living for farmers and fishers;</w:t>
            </w:r>
          </w:p>
        </w:tc>
        <w:tc>
          <w:tcPr>
            <w:tcW w:w="4876" w:type="dxa"/>
            <w:tcBorders>
              <w:top w:val="nil"/>
              <w:left w:val="nil"/>
              <w:bottom w:val="nil"/>
              <w:right w:val="nil"/>
            </w:tcBorders>
          </w:tcPr>
          <w:p>
            <w:pPr>
              <w:pStyle w:val="Normal6a"/>
            </w:pPr>
            <w:r>
              <w:t>3.</w:t>
            </w:r>
            <w:r>
              <w:tab/>
            </w:r>
            <w:r>
              <w:rPr>
                <w:b/>
                <w:i/>
              </w:rPr>
              <w:t>3. Is of the opinion that</w:t>
            </w:r>
            <w:r>
              <w:t xml:space="preserve"> the merging of different policies in one plan per Member State </w:t>
            </w:r>
            <w:r>
              <w:rPr>
                <w:b/>
                <w:i/>
              </w:rPr>
              <w:t>has the potential to generate</w:t>
            </w:r>
            <w:r>
              <w:t xml:space="preserve"> significant uncertainty regarding funding predictability for final beneficiaries; warns that the significant reduction </w:t>
            </w:r>
            <w:r>
              <w:rPr>
                <w:b/>
                <w:i/>
              </w:rPr>
              <w:t>of the share</w:t>
            </w:r>
            <w:r>
              <w:t xml:space="preserve"> in funding in Heading 1 </w:t>
            </w:r>
            <w:r>
              <w:rPr>
                <w:b/>
                <w:i/>
              </w:rPr>
              <w:t>takes away from the impact</w:t>
            </w:r>
            <w:r>
              <w:t xml:space="preserve"> EU policies enshrined in the Treaties and the Union’s objectives of strengthening its economic, social and territorial cohesion, </w:t>
            </w:r>
            <w:r>
              <w:rPr>
                <w:b/>
                <w:i/>
              </w:rPr>
              <w:t>environmental sustainability,</w:t>
            </w:r>
            <w:r>
              <w:t xml:space="preserve"> safeguarding social rights and ensuring food security</w:t>
            </w:r>
            <w:r>
              <w:rPr>
                <w:b/>
                <w:i/>
              </w:rPr>
              <w:t>, a healthy and livable environment</w:t>
            </w:r>
            <w:r>
              <w:t xml:space="preserve"> and a fair standard of living for farmers and fishers </w:t>
            </w:r>
            <w:r>
              <w:rPr>
                <w:b/>
                <w:i/>
              </w:rPr>
              <w:t>to ensure we have a future-proof EU budget focusing on European public goods</w:t>
            </w:r>
            <w:r>
              <w:t xml:space="preserve">; </w:t>
            </w:r>
            <w:r>
              <w:rPr>
                <w:b/>
                <w:i/>
              </w:rPr>
              <w:t>insist on the full involvement of regional and local authorities in the entire programing cycle;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Ruggero Razza, Roberts Zīle,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 Bogdan Rzońca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Opposes the merging of different policies in one plan per Member State, which generates significant uncertainty regarding funding predictability for final beneficiaries; warns that the significant reduction in funding in Heading 1 threatens to undermine EU policies enshrined in the Treaties and the Union’s objectives of strengthening its economic, social and territorial cohesion, safeguarding social rights and ensuring food security and a fair standard of living for farmers and fishers;</w:t>
            </w:r>
          </w:p>
        </w:tc>
        <w:tc>
          <w:tcPr>
            <w:tcW w:w="4876" w:type="dxa"/>
            <w:tcBorders>
              <w:top w:val="nil"/>
              <w:left w:val="nil"/>
              <w:bottom w:val="nil"/>
              <w:right w:val="nil"/>
            </w:tcBorders>
          </w:tcPr>
          <w:p>
            <w:pPr>
              <w:pStyle w:val="Normal6a"/>
            </w:pPr>
            <w:r>
              <w:t>3.</w:t>
            </w:r>
            <w:r>
              <w:tab/>
            </w:r>
            <w:r>
              <w:t xml:space="preserve">Opposes the merging of different policies in one plan per Member State, which generates significant uncertainty regarding funding predictability for final beneficiaries; warns that the significant reduction in funding in Heading 1 threatens to undermine EU policies enshrined in the Treaties and the Union’s objectives of strengthening its economic, social and territorial cohesion, safeguarding social rights and ensuring food security and a fair standard of living for farmers and fishers; </w:t>
            </w:r>
            <w:r>
              <w:rPr>
                <w:b/>
                <w:i/>
              </w:rPr>
              <w:t>reaffirms that cohesion policy should remain a pillar of the Union that serves to reduce territorial disparities and promote harmonious development;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Jens Geier, 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Opposes the merging of different policies in one plan per Member State, which generates significant uncertainty regarding funding predictability for final beneficiaries; warns that the significant reduction in funding in Heading 1 threatens to undermine EU policies enshrined in the Treaties and the Union’s objectives of strengthening its economic, social and territorial cohesion, safeguarding social rights and ensuring food security and a fair standard of living for farmers and fishers;</w:t>
            </w:r>
          </w:p>
        </w:tc>
        <w:tc>
          <w:tcPr>
            <w:tcW w:w="4876" w:type="dxa"/>
            <w:tcBorders>
              <w:top w:val="nil"/>
              <w:left w:val="nil"/>
              <w:bottom w:val="nil"/>
              <w:right w:val="nil"/>
            </w:tcBorders>
          </w:tcPr>
          <w:p>
            <w:pPr>
              <w:pStyle w:val="Normal6a"/>
            </w:pPr>
            <w:r>
              <w:t>3.</w:t>
            </w:r>
            <w:r>
              <w:tab/>
            </w:r>
            <w:r>
              <w:t>Opposes the merging of different policies in one plan per Member State, which generates significant uncertainty regarding funding predictability for final beneficiaries</w:t>
            </w:r>
            <w:r>
              <w:rPr>
                <w:b/>
                <w:i/>
              </w:rPr>
              <w:t>; stresses that a centralisation creates a disconnect between EU funding and local realities and weakens the democratic ownership of EU policies</w:t>
            </w:r>
            <w:r>
              <w:t>; warns that the significant reduction in funding in Heading 1 threatens to undermine EU policies enshrined in the Treaties and the Union’s objectives of strengthening its economic, social and territorial cohesion, safeguarding social rights and ensuring food security and a fair standard of living for farmers and fishers;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Roberts Zīle, Aurelijus Veryga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Opposes the merging of different policies in one plan per Member State, which generates significant uncertainty regarding funding predictability for final beneficiaries;</w:t>
            </w:r>
            <w:r>
              <w:t xml:space="preserve"> warns that the significant reduction in funding in Heading 1 threatens to undermine EU policies enshrined in the Treaties and the Union’s objectives of strengthening its economic, social and territorial cohesion, safeguarding social rights and ensuring food security and a fair standard of living for farmers and fishers;</w:t>
            </w:r>
          </w:p>
        </w:tc>
        <w:tc>
          <w:tcPr>
            <w:tcW w:w="4876" w:type="dxa"/>
            <w:tcBorders>
              <w:top w:val="nil"/>
              <w:left w:val="nil"/>
              <w:bottom w:val="nil"/>
              <w:right w:val="nil"/>
            </w:tcBorders>
          </w:tcPr>
          <w:p>
            <w:pPr>
              <w:pStyle w:val="Normal6a"/>
            </w:pPr>
            <w:r>
              <w:t>3.</w:t>
            </w:r>
            <w:r>
              <w:tab/>
            </w:r>
            <w:r>
              <w:t>Warns that the significant reduction in funding in Heading 1 threatens to undermine EU policies enshrined in the Treaties and the Union’s objectives of strengthening its economic, social and territorial cohesion, safeguarding social rights and ensuring food security and a fair standard of living for farmers and fishers;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Jana Nagyová, Klara Dostalova, Ondřej Knotek, Jaroslava Pokorná Jermanová, Jaroslav Bžoch, Jaroslav Knot,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Opposes the merging of different policies in one plan per Member State, which generates significant uncertainty regarding funding predictability for final beneficiaries; warns that the significant reduction in funding in Heading 1 threatens to undermine EU policies enshrined in the Treaties and the Union’s objectives of strengthening its economic, social and territorial cohesion, safeguarding social rights and ensuring food security and a fair standard of living for farmers and fishers;</w:t>
            </w:r>
          </w:p>
        </w:tc>
        <w:tc>
          <w:tcPr>
            <w:tcW w:w="4876" w:type="dxa"/>
            <w:tcBorders>
              <w:top w:val="nil"/>
              <w:left w:val="nil"/>
              <w:bottom w:val="nil"/>
              <w:right w:val="nil"/>
            </w:tcBorders>
          </w:tcPr>
          <w:p>
            <w:pPr>
              <w:pStyle w:val="Normal6a"/>
            </w:pPr>
            <w:r>
              <w:t>3.</w:t>
            </w:r>
            <w:r>
              <w:tab/>
            </w:r>
            <w:r>
              <w:t>Opposes the merging of different policies in one plan per Member State, which generates significant uncertainty regarding funding predictability for final beneficiaries</w:t>
            </w:r>
            <w:r>
              <w:rPr>
                <w:b/>
                <w:i/>
              </w:rPr>
              <w:t>; stresses that the future MFF must guarantee stable cohesion envelopes for regions to uphold convergence and the right to stay</w:t>
            </w:r>
            <w:r>
              <w:t>; warns that the significant reduction in funding in Heading 1 threatens to undermine EU policies enshrined in the Treaties and the Union’s objectives of strengthening its economic, social and territorial cohesion, safeguarding social rights and ensuring food security and a fair standard of living for farmers and fishers;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Stine Bosse, Fabienne Keller,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Opposes the merging of different policies in one plan per Member State, which generates significant uncertainty regarding funding predictability for final beneficiaries; warns that the significant reduction in funding in Heading 1 threatens to undermine EU policies enshrined in the Treaties and the Union’s objectives of strengthening its economic, social and territorial cohesion, safeguarding social rights and ensuring food security and a fair standard of living for farmers and fishers;</w:t>
            </w:r>
          </w:p>
        </w:tc>
        <w:tc>
          <w:tcPr>
            <w:tcW w:w="4876" w:type="dxa"/>
            <w:tcBorders>
              <w:top w:val="nil"/>
              <w:left w:val="nil"/>
              <w:bottom w:val="nil"/>
              <w:right w:val="nil"/>
            </w:tcBorders>
          </w:tcPr>
          <w:p>
            <w:pPr>
              <w:pStyle w:val="Normal6a"/>
            </w:pPr>
            <w:r>
              <w:t>3.</w:t>
            </w:r>
            <w:r>
              <w:tab/>
            </w:r>
            <w:r>
              <w:t>Opposes the merging of different policies in one plan per Member State, which generates significant uncertainty regarding funding predictability for final beneficiaries; warns that the significant reduction in funding in Heading 1 threatens to undermine EU policies enshrined in the Treaties and the Union’s objectives of strengthening its economic, social and territorial cohesion, safeguarding social rights and ensuring food security</w:t>
            </w:r>
            <w:r>
              <w:rPr>
                <w:b/>
                <w:i/>
              </w:rPr>
              <w:t>, achieving climate neutrality</w:t>
            </w:r>
            <w:r>
              <w:t xml:space="preserve"> and a fair standard of living for farmers and fishers;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Anouk Van Brug, Katri Kulmuni, Moritz Körner, Joachim Streit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Opposes the</w:t>
            </w:r>
            <w:r>
              <w:t xml:space="preserve"> merging </w:t>
            </w:r>
            <w:r>
              <w:rPr>
                <w:b/>
                <w:i/>
              </w:rPr>
              <w:t>of</w:t>
            </w:r>
            <w:r>
              <w:t xml:space="preserve"> different policies in one plan per Member State, which generates </w:t>
            </w:r>
            <w:r>
              <w:rPr>
                <w:b/>
                <w:i/>
              </w:rPr>
              <w:t>significant</w:t>
            </w:r>
            <w:r>
              <w:t xml:space="preserve"> uncertainty regarding funding predictability for final beneficiaries; </w:t>
            </w:r>
            <w:r>
              <w:rPr>
                <w:b/>
                <w:i/>
              </w:rPr>
              <w:t>warns</w:t>
            </w:r>
            <w:r>
              <w:t xml:space="preserve"> that the </w:t>
            </w:r>
            <w:r>
              <w:rPr>
                <w:b/>
                <w:i/>
              </w:rPr>
              <w:t>significant</w:t>
            </w:r>
            <w:r>
              <w:t xml:space="preserve"> reduction in funding in Heading 1 </w:t>
            </w:r>
            <w:r>
              <w:rPr>
                <w:b/>
                <w:i/>
              </w:rPr>
              <w:t>threatens to</w:t>
            </w:r>
            <w:r>
              <w:t xml:space="preserve"> undermine EU policies enshrined in the Treaties and the Union’s objectives of strengthening its economic, social and territorial cohesion, safeguarding social rights and ensuring food security and a fair standard of living for farmers and fishers;</w:t>
            </w:r>
          </w:p>
        </w:tc>
        <w:tc>
          <w:tcPr>
            <w:tcW w:w="4876" w:type="dxa"/>
            <w:tcBorders>
              <w:top w:val="nil"/>
              <w:left w:val="nil"/>
              <w:bottom w:val="nil"/>
              <w:right w:val="nil"/>
            </w:tcBorders>
          </w:tcPr>
          <w:p>
            <w:pPr>
              <w:pStyle w:val="Normal6a"/>
            </w:pPr>
            <w:r>
              <w:t>3.</w:t>
            </w:r>
            <w:r>
              <w:tab/>
            </w:r>
            <w:r>
              <w:rPr>
                <w:b/>
                <w:i/>
              </w:rPr>
              <w:t>Acknowledges the concern of</w:t>
            </w:r>
            <w:r>
              <w:t xml:space="preserve"> merging different policies in one plan per Member State, which generates uncertainty regarding funding predictability for final beneficiaries; </w:t>
            </w:r>
            <w:r>
              <w:rPr>
                <w:b/>
                <w:i/>
              </w:rPr>
              <w:t>notes</w:t>
            </w:r>
            <w:r>
              <w:t xml:space="preserve"> that the reduction in funding in Heading 1 </w:t>
            </w:r>
            <w:r>
              <w:rPr>
                <w:b/>
                <w:i/>
              </w:rPr>
              <w:t>could</w:t>
            </w:r>
            <w:r>
              <w:t xml:space="preserve"> undermine EU policies enshrined in the Treaties and the Union’s objectives of strengthening its economic, social and territorial cohesion, safeguarding social rights and ensuring food security and a fair standard of living for farmers and fishers;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Opposes centralised governance, emphasising the importance of ensuring multi-level governance, shared management and the effective involvement of regional and local authorities in the design, implementation, execution and management of cohesion policies, based on a bottom-up approach and decentralised programming, founded on the principle of partnership and in full compliance with the principle of subsidiarity;</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considers it an error to delegate the final decision on allocating resources for the various Pillar 1 European programmes to national governments of the Member States, because it undermines the European character and strategic capacity of these programmes and forces distinctly different programmes to compete for the same resources;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Reiterates that the territorial impact assessment of any EU legislation should be strengthened, while the territorial aspects of sectoral policies should be reinforced; insists that promoting cohesion should also be seen as a way of fostering solidarity and mutual support among Member States and their regions;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Isabel Benjumea Benjumea, Gabriel Mato, Francisco José Millán Mon, 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Opposes the merging of different policies in one plan per Member State, which generates significant uncertainty regarding funding predictability for final beneficiaries;</w:t>
            </w:r>
            <w:r>
              <w:t xml:space="preserve"> </w:t>
            </w:r>
            <w:r>
              <w:rPr>
                <w:b/>
                <w:i/>
              </w:rPr>
              <w:t>warns that the significant reduction in funding in Heading 1 threatens to undermine EU policies enshrined in the Treaties and the Union’s objectives of strengthening its economic, social and territorial cohesion, safeguarding social rights and ensuring food security and a fair standard of living for farmers and fishers, as well as support for the implementation of the common fisheries policy and the promotion of sustainable fishing;</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w:t>
            </w:r>
            <w:r>
              <w:tab/>
            </w:r>
            <w:r>
              <w:rPr>
                <w:b/>
                <w:i/>
              </w:rPr>
              <w:t>Emphasises that food security and food sovereignty are vital components of strategic autonomy and that the next MFF must continue to support the Union’s farming and fisheries sectors, including small and young farmers and fishers, and help the sectors produce food in an effective, competitive and sustainable way; highlights the crucial role of the common agricultural policy (CAP) in increasing productivity through technical progress, ensuring a fair standard of living for farmers and guaranteeing food security; calls for the maintenance of the two pillar structure of the CAP and for independent and adequate funding for the CAP in the next MFF;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3b.</w:t>
            </w:r>
            <w:r>
              <w:t xml:space="preserve"> </w:t>
            </w:r>
            <w:r>
              <w:rPr>
                <w:b/>
                <w:i/>
              </w:rPr>
              <w:t>Stresses the need to ensure a strategy of synergies and complementarity between cohesion policy funds and the Competitiveness Fund, avoiding any overlap or competition between instruments that could undermine the stability and predictability of funding.</w:t>
            </w:r>
            <w:r>
              <w:t xml:space="preserve"> </w:t>
            </w:r>
            <w:r>
              <w:rPr>
                <w:b/>
                <w:i/>
              </w:rPr>
              <w:t>This approach reinforces the idea that cohesion is not simply a ‘support’ policy, but a condition underpinning effective European competitiveness and a priority across all territories.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c.</w:t>
            </w:r>
            <w:r>
              <w:tab/>
            </w:r>
            <w:r>
              <w:rPr>
                <w:b/>
                <w:i/>
              </w:rPr>
              <w:t>Recalls that social, economic and territorial cohesion is a cornerstone of European integration and is vital in binding the Union together and deepening the single market; underlines that a modernised cohesion policy must follow a decentralised, place-based, multilevel governance approach and be built around the shared management and partnership principle, fully involving local and regional authorities; emphasizes that making the allocation of EU funds dependent on indirectly related circumstances can undermine the objectives and effectiveness of cohesion policy;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Welcomes</w:t>
            </w:r>
            <w:r>
              <w:t xml:space="preserve"> the substantial increase proposed responding to Parliament’s long-standing calls for greater investment in research, strategic autonomy, the clean transition, defence, technological sovereignty and economic resilience; stresses, however, that the consolidation of programmes in the Competitiveness Fund reduces transparency and limits Parliament’s ability to ensure appropriate funding for specific policy objectives; insists that, even where programme mergers occur, budget lines must remain sufficiently detailed to enable meaningful parliamentary oversight and maintain the visibility of funding for individual priorities;</w:t>
            </w:r>
          </w:p>
        </w:tc>
        <w:tc>
          <w:tcPr>
            <w:tcW w:w="4876" w:type="dxa"/>
            <w:tcBorders>
              <w:top w:val="nil"/>
              <w:left w:val="nil"/>
              <w:bottom w:val="nil"/>
              <w:right w:val="nil"/>
            </w:tcBorders>
          </w:tcPr>
          <w:p>
            <w:pPr>
              <w:pStyle w:val="Normal6a"/>
            </w:pPr>
            <w:r>
              <w:t>4.</w:t>
            </w:r>
            <w:r>
              <w:tab/>
            </w:r>
            <w:r>
              <w:rPr>
                <w:b/>
                <w:i/>
              </w:rPr>
              <w:t>Strongly supports</w:t>
            </w:r>
            <w:r>
              <w:t xml:space="preserve"> the substantial increase proposed </w:t>
            </w:r>
            <w:r>
              <w:rPr>
                <w:b/>
                <w:i/>
              </w:rPr>
              <w:t>for competitiveness spending</w:t>
            </w:r>
            <w:r>
              <w:t xml:space="preserve"> responding to </w:t>
            </w:r>
            <w:r>
              <w:rPr>
                <w:b/>
                <w:i/>
              </w:rPr>
              <w:t>the changing geopolitical and economic reality; underlines that this increase is fully in line with the</w:t>
            </w:r>
            <w:r>
              <w:t xml:space="preserve"> Parliament’s long-standing calls for greater investment in research, strategic autonomy, the clean transition, defence, technological sovereignty and economic resilience; </w:t>
            </w:r>
            <w:r>
              <w:rPr>
                <w:b/>
                <w:i/>
              </w:rPr>
              <w:t>reminds in this regard that the innovation gap is one of the causes of the Union’s slowing productivity growth and that therefore increased investments in research and innovation are the only way to enhance our competitiveness and return to sustainable growth in Europe;</w:t>
            </w:r>
            <w:r>
              <w:t xml:space="preserve"> stresses, however, that the </w:t>
            </w:r>
            <w:r>
              <w:rPr>
                <w:b/>
                <w:i/>
              </w:rPr>
              <w:t>simplistic</w:t>
            </w:r>
            <w:r>
              <w:t xml:space="preserve"> consolidation of programmes in the Competitiveness Fund </w:t>
            </w:r>
            <w:r>
              <w:rPr>
                <w:b/>
                <w:i/>
              </w:rPr>
              <w:t>as proposed by the Commission is not providing the Union with an effective competitiveness spending vehicle; deplores that the unlimited flexibility proposed by the Commission, including the lack of detailed budget breakdowns, offers neither the predictability our industry needs nor the agility we need to respond to a fast changing world; underlines furthermore that the consolidation of funds and “flexibility-by-design" approach</w:t>
            </w:r>
            <w:r>
              <w:t xml:space="preserve"> reduces transparency and limits Parliament’s ability to ensure appropriate funding for specific policy objectives; insists that, even where programme mergers occur, budget lines must remain sufficiently detailed to enable meaningful </w:t>
            </w:r>
            <w:r>
              <w:rPr>
                <w:b/>
                <w:i/>
              </w:rPr>
              <w:t>priority setting by the Parliament as co-legislator, to ensure effective</w:t>
            </w:r>
            <w:r>
              <w:t xml:space="preserve"> parliamentary oversight and </w:t>
            </w:r>
            <w:r>
              <w:rPr>
                <w:b/>
                <w:i/>
              </w:rPr>
              <w:t>to</w:t>
            </w:r>
            <w:r>
              <w:t xml:space="preserve"> maintain the visibility of funding for individual priorities; </w:t>
            </w:r>
            <w:r>
              <w:rPr>
                <w:b/>
                <w:i/>
              </w:rPr>
              <w:t>concludes therefore that spending programmes require a set of legislative guardrails beyond the most basic instrument to enable effective policy steer and budgetary control, as well as to avoid overloading the annual budgetary procedure;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Fabienne Keller,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Welcomes the substantial increase proposed responding to Parliament’s long-standing calls for greater investment in </w:t>
            </w:r>
            <w:r>
              <w:rPr>
                <w:b/>
                <w:i/>
              </w:rPr>
              <w:t>research,</w:t>
            </w:r>
            <w:r>
              <w:t xml:space="preserve"> strategic autonomy, the clean transition, defence, technological sovereignty and economic resilience; stresses, however, that the consolidation of programmes in the Competitiveness Fund reduces transparency and limits Parliament’s ability to ensure appropriate funding for specific policy objectives; insists that, even where programme mergers occur, budget lines must remain sufficiently detailed to enable meaningful parliamentary oversight and maintain the visibility of funding for individual priorities;</w:t>
            </w:r>
          </w:p>
        </w:tc>
        <w:tc>
          <w:tcPr>
            <w:tcW w:w="4876" w:type="dxa"/>
            <w:tcBorders>
              <w:top w:val="nil"/>
              <w:left w:val="nil"/>
              <w:bottom w:val="nil"/>
              <w:right w:val="nil"/>
            </w:tcBorders>
          </w:tcPr>
          <w:p>
            <w:pPr>
              <w:pStyle w:val="Normal6a"/>
            </w:pPr>
            <w:r>
              <w:t>4.</w:t>
            </w:r>
            <w:r>
              <w:tab/>
            </w:r>
            <w:r>
              <w:t>Welcomes the substantial increase proposed responding to Parliament’s long-standing calls for greater investment in strategic autonomy, the clean transition</w:t>
            </w:r>
            <w:r>
              <w:rPr>
                <w:b/>
                <w:i/>
              </w:rPr>
              <w:t>, research, education, equality</w:t>
            </w:r>
            <w:r>
              <w:t>, defence, technological sovereignty and economic resilience</w:t>
            </w:r>
            <w:r>
              <w:rPr>
                <w:b/>
                <w:i/>
              </w:rPr>
              <w:t>; insists on the importance of a European preference as a precondition for benefiting of European financial support, in particular in defence and strategic domains</w:t>
            </w:r>
            <w:r>
              <w:t xml:space="preserve">; stresses, however, that the consolidation of programmes in the Competitiveness Fund reduces transparency and limits Parliament’s ability to ensure appropriate funding for specific policy objectives; insists that, even where programme mergers occur, budget lines must remain sufficiently detailed to enable meaningful parliamentary oversight and maintain the visibility of funding for individual priorities; </w:t>
            </w:r>
            <w:r>
              <w:rPr>
                <w:b/>
                <w:i/>
              </w:rPr>
              <w:t>Recalls that competitiveness is a cross-cutting challenge; stresses that a Competitiveness Fund should not be designed at the expense of existing successful programmes, but act as an add-on with clear European added value and a toolbox of grants and de-risking instruments;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Welcomes the substantial</w:t>
            </w:r>
            <w:r>
              <w:t xml:space="preserve"> increase proposed responding to Parliament’s long-standing calls for greater investment in research, strategic autonomy, the clean transition, defence, technological sovereignty and economic resilience; stresses, however, that the consolidation of programmes in the Competitiveness Fund reduces transparency and limits Parliament’s ability to ensure appropriate funding for specific policy objectives; insists that, even where programme mergers occur, budget lines must remain sufficiently detailed to enable meaningful parliamentary oversight and maintain the visibility of funding for </w:t>
            </w:r>
            <w:r>
              <w:rPr>
                <w:b/>
                <w:i/>
              </w:rPr>
              <w:t>individual</w:t>
            </w:r>
            <w:r>
              <w:t xml:space="preserve"> priorities;</w:t>
            </w:r>
          </w:p>
        </w:tc>
        <w:tc>
          <w:tcPr>
            <w:tcW w:w="4876" w:type="dxa"/>
            <w:tcBorders>
              <w:top w:val="nil"/>
              <w:left w:val="nil"/>
              <w:bottom w:val="nil"/>
              <w:right w:val="nil"/>
            </w:tcBorders>
          </w:tcPr>
          <w:p>
            <w:pPr>
              <w:pStyle w:val="Normal6a"/>
            </w:pPr>
            <w:r>
              <w:t>4.</w:t>
            </w:r>
            <w:r>
              <w:tab/>
            </w:r>
            <w:r>
              <w:rPr>
                <w:b/>
                <w:i/>
              </w:rPr>
              <w:t>Notes the</w:t>
            </w:r>
            <w:r>
              <w:t xml:space="preserve"> increase proposed responding to Parliament’s long-standing calls for greater investment in </w:t>
            </w:r>
            <w:r>
              <w:rPr>
                <w:b/>
                <w:i/>
              </w:rPr>
              <w:t>the clean industrial deal and the circular economy,</w:t>
            </w:r>
            <w:r>
              <w:t xml:space="preserve"> research, strategic autonomy, the clean transition, defence, technological sovereignty and economic resilience </w:t>
            </w:r>
            <w:r>
              <w:rPr>
                <w:b/>
                <w:i/>
              </w:rPr>
              <w:t>which are a step in the right direction to contribute to social environmental and economic sustainability and resilience, but not commensurate with the investment needs</w:t>
            </w:r>
            <w:r>
              <w:t xml:space="preserve">; stresses, however, that the consolidation of programmes in the Competitiveness Fund reduces transparency and limits Parliament’s ability to ensure appropriate funding for specific policy objectives </w:t>
            </w:r>
            <w:r>
              <w:rPr>
                <w:b/>
                <w:i/>
              </w:rPr>
              <w:t>and the distribution between policy objectives</w:t>
            </w:r>
            <w:r>
              <w:t xml:space="preserve">; insists that, even where programme mergers occur, budget lines must remain sufficiently detailed to enable meaningful parliamentary oversight and maintain the </w:t>
            </w:r>
            <w:r>
              <w:rPr>
                <w:b/>
                <w:i/>
              </w:rPr>
              <w:t>predictability, coherence and</w:t>
            </w:r>
            <w:r>
              <w:t xml:space="preserve"> visibility of funding for </w:t>
            </w:r>
            <w:r>
              <w:rPr>
                <w:b/>
                <w:i/>
              </w:rPr>
              <w:t>specific</w:t>
            </w:r>
            <w:r>
              <w:t xml:space="preserve"> priorities </w:t>
            </w:r>
            <w:r>
              <w:rPr>
                <w:b/>
                <w:i/>
              </w:rPr>
              <w:t>as identified in the regulation also as regards to the use of the InvestEU tool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Stine Bosse, Fabienne Keller,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Welcomes the substantial increase proposed responding to Parliament’s long-standing calls for greater investment in research, strategic autonomy, the clean transition, defence, technological sovereignty and economic resilience; stresses, however, that the consolidation of programmes in the Competitiveness Fund reduces transparency and limits Parliament’s ability to ensure appropriate funding for specific policy objectives; insists that, even where programme mergers occur, budget lines must remain sufficiently detailed </w:t>
            </w:r>
            <w:r>
              <w:rPr>
                <w:b/>
                <w:i/>
              </w:rPr>
              <w:t>to enable</w:t>
            </w:r>
            <w:r>
              <w:t xml:space="preserve"> meaningful parliamentary oversight and maintain the visibility of funding for individual priorities;</w:t>
            </w:r>
          </w:p>
        </w:tc>
        <w:tc>
          <w:tcPr>
            <w:tcW w:w="4876" w:type="dxa"/>
            <w:tcBorders>
              <w:top w:val="nil"/>
              <w:left w:val="nil"/>
              <w:bottom w:val="nil"/>
              <w:right w:val="nil"/>
            </w:tcBorders>
          </w:tcPr>
          <w:p>
            <w:pPr>
              <w:pStyle w:val="Normal6a"/>
            </w:pPr>
            <w:r>
              <w:t>4.</w:t>
            </w:r>
            <w:r>
              <w:tab/>
            </w:r>
            <w:r>
              <w:t>Welcomes the substantial increase proposed responding to Parliament’s long-standing calls for greater investment in research, strategic autonomy, the clean transition</w:t>
            </w:r>
            <w:r>
              <w:rPr>
                <w:b/>
                <w:i/>
              </w:rPr>
              <w:t>, environmental sustainability, public health</w:t>
            </w:r>
            <w:r>
              <w:t xml:space="preserve">, defence, technological sovereignty and economic resilience; stresses, however, that the consolidation of programmes in the Competitiveness Fund reduces transparency and limits Parliament’s ability to ensure appropriate funding for specific policy objectives; insists that, even where programme mergers occur, </w:t>
            </w:r>
            <w:r>
              <w:rPr>
                <w:b/>
                <w:i/>
              </w:rPr>
              <w:t>implementing procedures and</w:t>
            </w:r>
            <w:r>
              <w:t xml:space="preserve"> budget lines must remain sufficiently detailed </w:t>
            </w:r>
            <w:r>
              <w:rPr>
                <w:b/>
                <w:i/>
              </w:rPr>
              <w:t>and enabling of</w:t>
            </w:r>
            <w:r>
              <w:t xml:space="preserve"> meaningful parliamentary oversight and maintain the visibility of funding for individual priorities; </w:t>
            </w:r>
            <w:r>
              <w:rPr>
                <w:b/>
                <w:i/>
              </w:rPr>
              <w:t>regrets the reduction of the minimum amount of Union support delivered through the ECF InvestEU Instrument and insists that a reduced guarantee amount risks undermining the Instrument’s capacity to mobilise private capital and support strategic investments.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Welcomes the substantial increase proposed responding to Parliament’s long-standing calls for greater investment in research, strategic autonomy, the clean transition, defence, technological sovereignty and economic resilience; stresses, however, that the consolidation of programmes in the Competitiveness Fund reduces transparency and limits Parliament’s ability to ensure appropriate funding for specific policy objectives; insists that, even where programme mergers occur, budget lines must remain sufficiently detailed to enable meaningful parliamentary oversight and maintain the visibility of funding for individual priorities;</w:t>
            </w:r>
          </w:p>
        </w:tc>
        <w:tc>
          <w:tcPr>
            <w:tcW w:w="4876" w:type="dxa"/>
            <w:tcBorders>
              <w:top w:val="nil"/>
              <w:left w:val="nil"/>
              <w:bottom w:val="nil"/>
              <w:right w:val="nil"/>
            </w:tcBorders>
          </w:tcPr>
          <w:p>
            <w:pPr>
              <w:pStyle w:val="Normal6a"/>
            </w:pPr>
            <w:r>
              <w:t>4.</w:t>
            </w:r>
            <w:r>
              <w:tab/>
            </w:r>
            <w:r>
              <w:t xml:space="preserve">Welcomes the substantial increase proposed responding to Parliament’s long-standing calls for greater investment in research, strategic autonomy, the clean transition, defence, technological sovereignty and economic resilience; stresses, however, that the consolidation of programmes in the Competitiveness Fund reduces transparency and limits Parliament’s ability to ensure appropriate funding for specific policy objectives; insists that, even where programme mergers occur, budget lines must remain sufficiently detailed to enable meaningful parliamentary oversight and maintain the visibility of funding for individual priorities; </w:t>
            </w:r>
            <w:r>
              <w:rPr>
                <w:b/>
                <w:i/>
              </w:rPr>
              <w:t>emphasises, in this regard, the example of the Just Transition Fund, which was merged despite the fact that it provides key support to Member States that have identified territories expected to be the most negatively impacted by the transition towards climate neutrality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Welcomes the substantial increase proposed responding to Parliament’s long-standing calls for greater investment in research, strategic autonomy, the clean transition, defence, technological sovereignty and economic resilience; stresses, however, that the consolidation of programmes in the Competitiveness Fund reduces transparency and limits Parliament’s ability to ensure appropriate funding for specific policy objectives; insists that, even where programme mergers occur, budget lines must remain sufficiently detailed to enable meaningful parliamentary oversight and maintain the visibility of funding for individual priorities;</w:t>
            </w:r>
          </w:p>
        </w:tc>
        <w:tc>
          <w:tcPr>
            <w:tcW w:w="4876" w:type="dxa"/>
            <w:tcBorders>
              <w:top w:val="nil"/>
              <w:left w:val="nil"/>
              <w:bottom w:val="nil"/>
              <w:right w:val="nil"/>
            </w:tcBorders>
          </w:tcPr>
          <w:p>
            <w:pPr>
              <w:pStyle w:val="Normal6a"/>
            </w:pPr>
            <w:r>
              <w:t>4.</w:t>
            </w:r>
            <w:r>
              <w:tab/>
            </w:r>
            <w:r>
              <w:t xml:space="preserve">Welcomes the substantial increase proposed responding to Parliament’s long-standing calls for greater investment in research, strategic autonomy, the clean transition, defence, technological sovereignty and economic resilience; stresses, however, that the consolidation of programmes in the Competitiveness Fund reduces transparency and limits Parliament’s ability to ensure appropriate funding for specific policy objectives; insists that, even where programme mergers occur, budget lines must remain sufficiently detailed to enable meaningful parliamentary oversight and maintain the visibility of funding for individual priorities; </w:t>
            </w:r>
            <w:r>
              <w:rPr>
                <w:b/>
                <w:i/>
              </w:rPr>
              <w:t>considers that efforts should be made to promote the spread of excellence across Member States that are lagging behind, while duly taking into account the need for a balanced geographical distribution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Welcomes the substantial increase proposed responding to Parliament’s long-standing calls for greater investment in research, strategic autonomy, the clean transition, defence, technological sovereignty and economic resilience; stresses, however, that the consolidation of programmes in the Competitiveness Fund reduces transparency and limits Parliament’s ability to ensure appropriate funding for specific policy objectives; insists that, even where programme mergers occur, budget lines must remain sufficiently detailed to enable meaningful parliamentary oversight and maintain the visibility of funding for individual priorities;</w:t>
            </w:r>
          </w:p>
        </w:tc>
        <w:tc>
          <w:tcPr>
            <w:tcW w:w="4876" w:type="dxa"/>
            <w:tcBorders>
              <w:top w:val="nil"/>
              <w:left w:val="nil"/>
              <w:bottom w:val="nil"/>
              <w:right w:val="nil"/>
            </w:tcBorders>
          </w:tcPr>
          <w:p>
            <w:pPr>
              <w:pStyle w:val="Normal6a"/>
            </w:pPr>
            <w:r>
              <w:t>4.</w:t>
            </w:r>
            <w:r>
              <w:tab/>
            </w:r>
            <w:r>
              <w:t xml:space="preserve">Welcomes the substantial increase proposed responding to Parliament’s long-standing calls for greater investment in research, strategic autonomy, the clean transition, defence </w:t>
            </w:r>
            <w:r>
              <w:rPr>
                <w:b/>
                <w:i/>
              </w:rPr>
              <w:t>and security, managing migration</w:t>
            </w:r>
            <w:r>
              <w:t>, technological sovereignty and economic resilience; stresses, however, that the consolidation of programmes in the Competitiveness Fund reduces transparency and limits Parliament’s ability to ensure appropriate funding for specific policy objectives; insists that, even where programme mergers occur, budget lines must remain sufficiently detailed to enable meaningful parliamentary oversight and maintain the visibility of funding for individual priorities;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Nils Ušakovs, Mārtiņš Staķis, Roberts Zīle, Sandra Kalniete, Ivars Ijabs, 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Welcomes the substantial increase proposed responding to Parliament’s long-standing calls for greater investment in research, strategic autonomy, the clean transition, defence, technological sovereignty and economic resilience; stresses, however, that the consolidation of programmes in the Competitiveness Fund reduces transparency and limits Parliament’s ability to ensure appropriate funding for specific policy objectives; insists that, even where programme mergers occur, budget lines must remain sufficiently detailed to enable meaningful parliamentary oversight and maintain the visibility of funding for individual priorities;</w:t>
            </w:r>
          </w:p>
        </w:tc>
        <w:tc>
          <w:tcPr>
            <w:tcW w:w="4876" w:type="dxa"/>
            <w:tcBorders>
              <w:top w:val="nil"/>
              <w:left w:val="nil"/>
              <w:bottom w:val="nil"/>
              <w:right w:val="nil"/>
            </w:tcBorders>
          </w:tcPr>
          <w:p>
            <w:pPr>
              <w:pStyle w:val="Normal6a"/>
            </w:pPr>
            <w:r>
              <w:t>4.</w:t>
            </w:r>
            <w:r>
              <w:tab/>
            </w:r>
            <w:r>
              <w:t xml:space="preserve">Welcomes the substantial increase proposed responding to Parliament’s long-standing calls for greater investment in research, </w:t>
            </w:r>
            <w:r>
              <w:rPr>
                <w:b/>
                <w:i/>
              </w:rPr>
              <w:t>innovations,</w:t>
            </w:r>
            <w:r>
              <w:t xml:space="preserve"> strategic autonomy, the clean transition, defence</w:t>
            </w:r>
            <w:r>
              <w:rPr>
                <w:b/>
                <w:i/>
              </w:rPr>
              <w:t>, dual use</w:t>
            </w:r>
            <w:r>
              <w:t>, technological sovereignty and economic resilience; stresses, however, that the consolidation of programmes in the Competitiveness Fund reduces transparency and limits Parliament’s ability to ensure appropriate funding for specific policy objectives; insists that, even where programme mergers occur, budget lines must remain sufficiently detailed to enable meaningful parliamentary oversight and maintain the visibility of funding for individual priorities;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Roberts Zīle, Bogdan Rzońca, Aurelijus Veryga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Welcomes the substantial increase proposed responding to Parliament’s long-standing calls for greater investment in research, strategic autonomy, the clean transition, defence, technological sovereignty and economic resilience; stresses, however, that the consolidation of programmes in the Competitiveness Fund reduces transparency and limits Parliament’s ability to ensure appropriate funding for specific policy objectives; insists that, even where programme mergers occur, budget lines must remain sufficiently detailed to enable meaningful parliamentary oversight and maintain the visibility of funding for individual priorities;</w:t>
            </w:r>
          </w:p>
        </w:tc>
        <w:tc>
          <w:tcPr>
            <w:tcW w:w="4876" w:type="dxa"/>
            <w:tcBorders>
              <w:top w:val="nil"/>
              <w:left w:val="nil"/>
              <w:bottom w:val="nil"/>
              <w:right w:val="nil"/>
            </w:tcBorders>
          </w:tcPr>
          <w:p>
            <w:pPr>
              <w:pStyle w:val="Normal6a"/>
            </w:pPr>
            <w:r>
              <w:t>4.</w:t>
            </w:r>
            <w:r>
              <w:tab/>
            </w:r>
            <w:r>
              <w:t xml:space="preserve">Welcomes the substantial increase proposed responding to Parliament’s long-standing calls for greater investment in research, </w:t>
            </w:r>
            <w:r>
              <w:rPr>
                <w:b/>
                <w:i/>
              </w:rPr>
              <w:t>innovations,</w:t>
            </w:r>
            <w:r>
              <w:t xml:space="preserve"> strategic autonomy, the clean transition, defence</w:t>
            </w:r>
            <w:r>
              <w:rPr>
                <w:b/>
                <w:i/>
              </w:rPr>
              <w:t>, dual use</w:t>
            </w:r>
            <w:r>
              <w:t>, technological sovereignty and economic resilience; stresses, however, that the consolidation of programmes in the Competitiveness Fund reduces transparency and limits Parliament’s ability to ensure appropriate funding for specific policy objectives; insists that, even where programme mergers occur, budget lines must remain sufficiently detailed to enable meaningful parliamentary oversight and maintain the visibility of funding for individual priorities;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Andrzej Halicki,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Welcomes the substantial increase proposed responding to Parliament’s long-standing calls for greater investment in research, strategic autonomy, the clean transition, defence, technological sovereignty and economic resilience; stresses, however, that the consolidation of programmes in the Competitiveness Fund reduces transparency and limits Parliament’s ability to ensure appropriate funding for specific policy objectives; insists that, even where programme mergers occur, budget lines must remain sufficiently detailed to enable meaningful parliamentary oversight and maintain the visibility of funding for individual priorities;</w:t>
            </w:r>
          </w:p>
        </w:tc>
        <w:tc>
          <w:tcPr>
            <w:tcW w:w="4876" w:type="dxa"/>
            <w:tcBorders>
              <w:top w:val="nil"/>
              <w:left w:val="nil"/>
              <w:bottom w:val="nil"/>
              <w:right w:val="nil"/>
            </w:tcBorders>
          </w:tcPr>
          <w:p>
            <w:pPr>
              <w:pStyle w:val="Normal6a"/>
            </w:pPr>
            <w:r>
              <w:t>4.</w:t>
            </w:r>
            <w:r>
              <w:tab/>
            </w:r>
            <w:r>
              <w:t>Welcomes the substantial increase proposed responding to Parliament’s long-standing calls for greater investment in research, strategic autonomy, the clean transition</w:t>
            </w:r>
            <w:r>
              <w:rPr>
                <w:b/>
                <w:i/>
              </w:rPr>
              <w:t>, social inclusion</w:t>
            </w:r>
            <w:r>
              <w:t>, defence, technological sovereignty and economic resilience; stresses, however, that the consolidation of programmes in the Competitiveness Fund reduces transparency and limits Parliament’s ability to ensure appropriate funding for specific policy objectives; insists that, even where programme mergers occur, budget lines must remain sufficiently detailed to enable meaningful parliamentary oversight and maintain the visibility of funding for individual priorities;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Anouk Van Brug, Katri Kulmuni, Moritz Körner, Joachim Streit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Welcomes the substantial increase proposed responding to Parliament’s long-standing calls for greater investment</w:t>
            </w:r>
            <w:r>
              <w:t xml:space="preserve"> in research, strategic autonomy, the clean transition, defence, technological sovereignty and economic resilience; stresses, however, that the consolidation of programmes in the Competitiveness Fund reduces transparency and limits Parliament’s ability to ensure appropriate funding for specific policy objectives; insists that, even where programme mergers occur, budget lines must remain sufficiently detailed to enable meaningful parliamentary oversight </w:t>
            </w:r>
            <w:r>
              <w:rPr>
                <w:b/>
                <w:i/>
              </w:rPr>
              <w:t>and</w:t>
            </w:r>
            <w:r>
              <w:t xml:space="preserve"> maintain the visibility of funding for individual priorities;</w:t>
            </w:r>
          </w:p>
        </w:tc>
        <w:tc>
          <w:tcPr>
            <w:tcW w:w="4876" w:type="dxa"/>
            <w:tcBorders>
              <w:top w:val="nil"/>
              <w:left w:val="nil"/>
              <w:bottom w:val="nil"/>
              <w:right w:val="nil"/>
            </w:tcBorders>
          </w:tcPr>
          <w:p>
            <w:pPr>
              <w:pStyle w:val="Normal6a"/>
            </w:pPr>
            <w:r>
              <w:t>4.</w:t>
            </w:r>
            <w:r>
              <w:tab/>
            </w:r>
            <w:r>
              <w:rPr>
                <w:b/>
                <w:i/>
              </w:rPr>
              <w:t>Considers that the EU budget should be equipped to invest primarily</w:t>
            </w:r>
            <w:r>
              <w:t xml:space="preserve"> in research, strategic autonomy, the clean transition, defence</w:t>
            </w:r>
            <w:r>
              <w:rPr>
                <w:b/>
                <w:i/>
              </w:rPr>
              <w:t>, security</w:t>
            </w:r>
            <w:r>
              <w:t>, technological sovereignty and economic resilience; stresses, however, that the consolidation of programmes in the Competitiveness Fund reduces transparency and limits Parliament’s ability to ensure appropriate funding for specific policy objectives; insists that, even where programme mergers occur, budget lines must remain sufficiently detailed to enable meaningful parliamentary oversight</w:t>
            </w:r>
            <w:r>
              <w:rPr>
                <w:b/>
                <w:i/>
              </w:rPr>
              <w:t>,</w:t>
            </w:r>
            <w:r>
              <w:t xml:space="preserve"> maintain the visibility of funding for individual priorities </w:t>
            </w:r>
            <w:r>
              <w:rPr>
                <w:b/>
                <w:i/>
              </w:rPr>
              <w:t>and avoid double financing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Welcomes the substantial increase proposed responding to Parliament’s long-standing calls for greater investment in research, strategic autonomy, the clean transition, defence</w:t>
            </w:r>
            <w:r>
              <w:rPr>
                <w:b/>
                <w:i/>
              </w:rPr>
              <w:t>, technological sovereignty and economic resilience</w:t>
            </w:r>
            <w:r>
              <w:t>; stresses, however, that the consolidation of programmes in the Competitiveness Fund reduces transparency and limits Parliament’s ability to ensure appropriate funding for specific policy objectives; insists that, even where programme mergers occur, budget lines must remain sufficiently detailed to enable meaningful parliamentary oversight and maintain the visibility of funding for individual priorities;</w:t>
            </w:r>
          </w:p>
        </w:tc>
        <w:tc>
          <w:tcPr>
            <w:tcW w:w="4876" w:type="dxa"/>
            <w:tcBorders>
              <w:top w:val="nil"/>
              <w:left w:val="nil"/>
              <w:bottom w:val="nil"/>
              <w:right w:val="nil"/>
            </w:tcBorders>
          </w:tcPr>
          <w:p>
            <w:pPr>
              <w:pStyle w:val="Normal6a"/>
            </w:pPr>
            <w:r>
              <w:t>4.</w:t>
            </w:r>
            <w:r>
              <w:tab/>
            </w:r>
            <w:r>
              <w:t xml:space="preserve">Welcomes the substantial increase proposed responding to Parliament’s long-standing calls for greater investment in research, </w:t>
            </w:r>
            <w:r>
              <w:rPr>
                <w:b/>
                <w:i/>
              </w:rPr>
              <w:t>innovation,</w:t>
            </w:r>
            <w:r>
              <w:t xml:space="preserve"> strategic autonomy, the clean </w:t>
            </w:r>
            <w:r>
              <w:rPr>
                <w:b/>
                <w:i/>
              </w:rPr>
              <w:t>and digital</w:t>
            </w:r>
            <w:r>
              <w:t xml:space="preserve"> transition, defence </w:t>
            </w:r>
            <w:r>
              <w:rPr>
                <w:b/>
                <w:i/>
              </w:rPr>
              <w:t>and security</w:t>
            </w:r>
            <w:r>
              <w:t>; stresses, however, that the consolidation of programmes in the Competitiveness Fund reduces transparency and limits Parliament’s ability to ensure appropriate funding for specific policy objectives; insists that, even where programme mergers occur, budget lines must remain sufficiently detailed to enable meaningful parliamentary oversight and maintain the visibility of funding for individual priorities;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Ruggero Razza, Roberts Zīle,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 subparagraph 1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Stresses, however, that the fact that programmes such as Horizon Europe, Erasmus+ and EU4Health have been combined with the Competitiveness Fund illustrates the conspicuous lack of additional funding to address the competitiveness of the EU;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Stresses the importance of promoting energy autonomy for isolated regions, particularly the outermost regions, given that their energy systems are isolated and not connected to the main grids.</w:t>
            </w:r>
            <w:r>
              <w:t xml:space="preserve"> </w:t>
            </w:r>
            <w:r>
              <w:rPr>
                <w:b/>
                <w:i/>
              </w:rPr>
              <w:t>considers that this situation leads to higher energy generation and supply costs and makes these territories particularly vulnerable to external shocks and supply failures. Therefore, strengthening of local energy generation from renewable sources, investment in storage solutions and modernisation of networks are essential in increasing energy resilience, strengthening regional competitiveness, promoting economic, social and territorial cohesion and increasing the attractiveness of these territories, creating favourable conditions for investment, job creation and population settlement;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Regrets that the economic policy pursued in Brussels is condemning Europe to defeat in the face of its global economic competitors; notes that sustainability is important, but the way it is pushed in the form of the so-called Green Deal by the European Commission is ruining Europe; recalls that the result of this policy is that Europeans pay three times as much for electricity and five times as much for natural gas as their American competitors, which makes it impossible for European companies to maintain their global competitiveness; requests a completely new energy policy, in which energy sanctions must be lifted, negative discrimination against nuclear energy must be abolished and energy transport routes that have been artificially closed must be reopened;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Expresses concern that the absence of a dedicated health programme established on the basis of EU4Health, complete with its own structure and funding, serves to undermine the prominence and predictability of funding for public health risks;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Stresses that the Union must have the means to underpin a genuine European security and defence efforts, including through a clear roadmap to finance common European defence and security expenditures through the EU budget, while ensuring efficiency of EU spending;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Calls for the creation of a POSEI-Transport scheme to support transport in the outermost regions, based on the model of the POSEI programme for agriculture, in order to offset the abnormally high transport costs resulting from structural characteristics, which directly affect the cost of living, trade between regions and the competitiveness of businesses;</w:t>
            </w:r>
            <w:r>
              <w:t xml:space="preserve"> </w:t>
            </w:r>
            <w:r>
              <w:rPr>
                <w:b/>
                <w:i/>
              </w:rPr>
              <w:t>stresses that this specific mechanism, outside the scope of cohesion policy funds, would contribute to reducing transport costs, ensuring mobility and connectivity, and guaranteeing equitable access to the single market and, consequently, increasing the competitiveness of these regions and of the European Union as a whole, without sacrificing these populations, which already have the highest living costs in the EU;</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Ruggero Razza, Carlo Fidanza,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Calls for the cost of NGEU debt repayments stipulated in the current proposal to be reduced by 50 % in order to recover resources and allocate them to new political priorities in the next MFF;</w:t>
            </w:r>
            <w:r>
              <w:t xml:space="preserve"> </w:t>
            </w:r>
            <w:r>
              <w:rPr>
                <w:b/>
                <w:i/>
              </w:rPr>
              <w:t>calls on the Commission to put forward the requisite technical proposals to that end, ensuring that they are financially viable;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w:t>
            </w:r>
            <w:r>
              <w:tab/>
            </w:r>
            <w:r>
              <w:rPr>
                <w:b/>
                <w:i/>
              </w:rPr>
              <w:t>Notes with concern recent revelations in the ‘green lobby scandal’ on the use of EU funds by the Commission to interfere with the EU legislative branch in seeking support for the European Green Deal; calls, in this regard, for a thorough investigation of the case, and for the recovery of all the taxpayers’ money that was unduly spent;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Stresses that the outermost regions are strategic assets for the European Union, given their geographical location in the Atlantic, the Caribbean Sea and the Indian Ocean, generating significant added value for the Union, particularly in the economic and defence fields;</w:t>
            </w:r>
            <w:r>
              <w:t xml:space="preserve"> </w:t>
            </w:r>
            <w:r>
              <w:rPr>
                <w:b/>
                <w:i/>
              </w:rPr>
              <w:t>considers, therefore, that support for these regions, in accordance with Article 349 TFEU, is essential in order to strengthen cohesion, ensure fair competition in the single market and increase the competitiveness of the outermost regions and the European Union;</w:t>
            </w:r>
            <w:r>
              <w:t xml:space="preserve"> </w:t>
            </w:r>
            <w:r>
              <w:rPr>
                <w:b/>
                <w:i/>
              </w:rPr>
              <w:t>considers that the situation in Greenland should serve as a warning against creating gaps in European action in these territories (outermost regions, border regions, rural areas) that could be exploited by foreign powers, leaving the European Union without the instruments and tools necessary to ensure their development;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Ruggero Razza, Carlo Fidanza,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Calls on the Commission to uphold the principles of transparency, sound financial management and sincere interinstitutional cooperation and further revise the Financial Regulation with a view to ensuring that no funding disbursed by the Commission or its executive agencies is spent on lobbying or advocacy activities aimed at the general public or representatives of the EU institutions in an attempt to influence their decision-making processes;</w:t>
            </w:r>
            <w:r>
              <w:t xml:space="preserve"> </w:t>
            </w:r>
            <w:r>
              <w:rPr>
                <w:b/>
                <w:i/>
              </w:rPr>
              <w:t>further urges the Commission to systematically include a provision in framework agreements and financial agreements explicitly prohibiting the use – be it direct or indirect – of EU funds for such purposes, including making it possible to recover funding and exclude from funding beneficiaries in breach of their obligations;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4d.</w:t>
            </w:r>
            <w:r>
              <w:tab/>
            </w:r>
            <w:r>
              <w:rPr>
                <w:b/>
                <w:i/>
              </w:rPr>
              <w:t>Regrets that the Just Transition Fund is no longer maintained as a separate instrument in the MFF proposal, despite the impact of transformations and the closure of industrial activities in certain regions in the context of climate transition objectives, and calls for its inclusion with adequate financial resources for the post-2027 programming period, ensuring that cohesion policy continues to promote a just transition, leaving no territory or person behind;</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4e.</w:t>
            </w:r>
            <w:r>
              <w:tab/>
            </w:r>
            <w:r>
              <w:rPr>
                <w:b/>
                <w:i/>
              </w:rPr>
              <w:t>Stresses that cohesion policy investments play a key role in strengthening resilience to current and future crises, as well as in promoting innovation and increasing competitiveness, emphasising that, without these investments, GDP growth would have been lower;</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Welcomes the reinforcement of the Neighbourhood, Development and International Cooperation Instrument (NDICI) – Global Europe as it demonstrates the Union’s commitment to strengthening its role as a global actor in an increasingly complex geopolitical environment;</w:t>
            </w:r>
            <w:r>
              <w:t xml:space="preserve"> </w:t>
            </w:r>
            <w:r>
              <w:rPr>
                <w:b/>
                <w:i/>
              </w:rPr>
              <w:t>expresses concern, however, that this level of funding remains insufficient given the scale of global challenges including the United States’ retreat from its role as a global guarantor of peace and security, enlargement and development needs, humanitarian crises, and the need to support Ukraine and other partners;</w:t>
            </w:r>
            <w:r>
              <w:t xml:space="preserve"> </w:t>
            </w:r>
            <w:r>
              <w:rPr>
                <w:b/>
                <w:i/>
              </w:rPr>
              <w:t>opposes the weakened parliamentary oversight and involvement, as well as the reduced funding visibility for specific priorities inherent in the design of Global Europe as proposed by the Commission;</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Stanisław Tyszka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Welcomes the reinforcement of the Neighbourhood, Development and International Cooperation Instrument (NDICI) – Global Europe as it demonstrates the Union’s commitment to strengthening its role as a global actor in an increasingly complex geopolitical environment;</w:t>
            </w:r>
            <w:r>
              <w:t xml:space="preserve"> </w:t>
            </w:r>
            <w:r>
              <w:rPr>
                <w:b/>
                <w:i/>
              </w:rPr>
              <w:t>expresses concern, however, that this level of funding remains insufficient given the scale of global challenges including the United States’ retreat from its role as a global guarantor of peace and security, enlargement and development needs, humanitarian crises, and the need to support Ukraine and other partners;</w:t>
            </w:r>
            <w:r>
              <w:t xml:space="preserve"> </w:t>
            </w:r>
            <w:r>
              <w:rPr>
                <w:b/>
                <w:i/>
              </w:rPr>
              <w:t>opposes the weakened parliamentary oversight and involvement, as well as the reduced funding visibility for specific priorities inherent in the design of Global Europe as proposed by the Commission;</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Welcomes the reinforcement of the Neighbourhood, Development and International Cooperation Instrument (NDICI) – Global Europe </w:t>
            </w:r>
            <w:r>
              <w:rPr>
                <w:b/>
                <w:i/>
              </w:rPr>
              <w:t>as it demonstrates</w:t>
            </w:r>
            <w:r>
              <w:t xml:space="preserve"> the Union’s </w:t>
            </w:r>
            <w:r>
              <w:rPr>
                <w:b/>
                <w:i/>
              </w:rPr>
              <w:t>commitment to strengthening its role as a global actor in an increasingly complex geopolitical environment</w:t>
            </w:r>
            <w:r>
              <w:t xml:space="preserve">; </w:t>
            </w:r>
            <w:r>
              <w:rPr>
                <w:b/>
                <w:i/>
              </w:rPr>
              <w:t>expresses concern, however, that this level of funding remains insufficient given the scale of global challenges including the United States’ retreat from its role as a global guarantor of peace and security, enlargement and development needs, humanitarian crises, and the need to support Ukraine and other partners;</w:t>
            </w:r>
            <w:r>
              <w:t xml:space="preserve"> </w:t>
            </w:r>
            <w:r>
              <w:rPr>
                <w:b/>
                <w:i/>
              </w:rPr>
              <w:t>opposes the weakened parliamentary oversight and involvement, as well as the reduced funding visibility for specific priorities inherent in the design of Global Europe as proposed by the Commission;</w:t>
            </w:r>
          </w:p>
        </w:tc>
        <w:tc>
          <w:tcPr>
            <w:tcW w:w="4876" w:type="dxa"/>
            <w:tcBorders>
              <w:top w:val="nil"/>
              <w:left w:val="nil"/>
              <w:bottom w:val="nil"/>
              <w:right w:val="nil"/>
            </w:tcBorders>
          </w:tcPr>
          <w:p>
            <w:pPr>
              <w:pStyle w:val="Normal6a"/>
            </w:pPr>
            <w:r>
              <w:t>5.</w:t>
            </w:r>
            <w:r>
              <w:tab/>
            </w:r>
            <w:r>
              <w:t xml:space="preserve">Welcomes the reinforcement of the Neighbourhood, Development and International Cooperation Instrument (NDICI) – Global Europe </w:t>
            </w:r>
            <w:r>
              <w:rPr>
                <w:b/>
                <w:i/>
              </w:rPr>
              <w:t>without prejudging any expansion of</w:t>
            </w:r>
            <w:r>
              <w:t xml:space="preserve"> the Union’s </w:t>
            </w:r>
            <w:r>
              <w:rPr>
                <w:b/>
                <w:i/>
              </w:rPr>
              <w:t>political or financial competencies</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Welcomes the</w:t>
            </w:r>
            <w:r>
              <w:t xml:space="preserve"> reinforcement of the Neighbourhood, Development and International Cooperation Instrument (NDICI) – Global Europe </w:t>
            </w:r>
            <w:r>
              <w:rPr>
                <w:b/>
                <w:i/>
              </w:rPr>
              <w:t>as it demonstrates</w:t>
            </w:r>
            <w:r>
              <w:t xml:space="preserve"> the Union’s </w:t>
            </w:r>
            <w:r>
              <w:rPr>
                <w:b/>
                <w:i/>
              </w:rPr>
              <w:t>commitment to strengthening its role as a global actor in an increasingly complex geopolitical environment;</w:t>
            </w:r>
            <w:r>
              <w:t xml:space="preserve"> </w:t>
            </w:r>
            <w:r>
              <w:rPr>
                <w:b/>
                <w:i/>
              </w:rPr>
              <w:t>expresses concern, however, that this level of funding remains insufficient given the scale of global challenges including the United States’ retreat from its role as a global guarantor of peace and security, enlargement and</w:t>
            </w:r>
            <w:r>
              <w:t xml:space="preserve"> development </w:t>
            </w:r>
            <w:r>
              <w:rPr>
                <w:b/>
                <w:i/>
              </w:rPr>
              <w:t>needs</w:t>
            </w:r>
            <w:r>
              <w:t xml:space="preserve">, humanitarian </w:t>
            </w:r>
            <w:r>
              <w:rPr>
                <w:b/>
                <w:i/>
              </w:rPr>
              <w:t>crises, and the need to support Ukraine and other partners;</w:t>
            </w:r>
            <w:r>
              <w:t xml:space="preserve"> </w:t>
            </w:r>
            <w:r>
              <w:rPr>
                <w:b/>
                <w:i/>
              </w:rPr>
              <w:t>opposes the weakened</w:t>
            </w:r>
            <w:r>
              <w:t xml:space="preserve"> parliamentary oversight </w:t>
            </w:r>
            <w:r>
              <w:rPr>
                <w:b/>
                <w:i/>
              </w:rPr>
              <w:t>and involvement, as well as the reduced funding visibility for specific priorities inherent in the design of Global Europe as</w:t>
            </w:r>
            <w:r>
              <w:t xml:space="preserve"> proposed by the Commission;</w:t>
            </w:r>
          </w:p>
        </w:tc>
        <w:tc>
          <w:tcPr>
            <w:tcW w:w="4876" w:type="dxa"/>
            <w:tcBorders>
              <w:top w:val="nil"/>
              <w:left w:val="nil"/>
              <w:bottom w:val="nil"/>
              <w:right w:val="nil"/>
            </w:tcBorders>
          </w:tcPr>
          <w:p>
            <w:pPr>
              <w:pStyle w:val="Normal6a"/>
            </w:pPr>
            <w:r>
              <w:t>5.</w:t>
            </w:r>
            <w:r>
              <w:tab/>
            </w:r>
            <w:r>
              <w:rPr>
                <w:b/>
                <w:i/>
              </w:rPr>
              <w:t>Objects to any</w:t>
            </w:r>
            <w:r>
              <w:t xml:space="preserve"> reinforcement of the Neighbourhood, Development and International Cooperation Instrument (NDICI) – Global Europe</w:t>
            </w:r>
            <w:r>
              <w:rPr>
                <w:b/>
                <w:i/>
              </w:rPr>
              <w:t>;</w:t>
            </w:r>
            <w:r>
              <w:t xml:space="preserve"> </w:t>
            </w:r>
            <w:r>
              <w:rPr>
                <w:b/>
                <w:i/>
              </w:rPr>
              <w:t>believes that the merging of policies with fundamentally different goals, legal bases and approaches is detrimental to the clarity, effectiveness and democratic oversight of</w:t>
            </w:r>
            <w:r>
              <w:t xml:space="preserve"> the Union’s </w:t>
            </w:r>
            <w:r>
              <w:rPr>
                <w:b/>
                <w:i/>
              </w:rPr>
              <w:t>spending;</w:t>
            </w:r>
            <w:r>
              <w:t xml:space="preserve"> </w:t>
            </w:r>
            <w:r>
              <w:rPr>
                <w:b/>
                <w:i/>
              </w:rPr>
              <w:t xml:space="preserve">underlines the fact that an architecture based on separate envelopes for  </w:t>
            </w:r>
            <w:r>
              <w:t xml:space="preserve">development </w:t>
            </w:r>
            <w:r>
              <w:rPr>
                <w:b/>
                <w:i/>
              </w:rPr>
              <w:t>aid</w:t>
            </w:r>
            <w:r>
              <w:t xml:space="preserve">, humanitarian </w:t>
            </w:r>
            <w:r>
              <w:rPr>
                <w:b/>
                <w:i/>
              </w:rPr>
              <w:t>aid and crisis management allows more transparent budgetary surveillance, improved evaluation of results and effective</w:t>
            </w:r>
            <w:r>
              <w:t xml:space="preserve"> parliamentary oversight</w:t>
            </w:r>
            <w:r>
              <w:rPr>
                <w:b/>
                <w:i/>
              </w:rPr>
              <w:t>;</w:t>
            </w:r>
            <w:r>
              <w:t xml:space="preserve"> </w:t>
            </w:r>
            <w:r>
              <w:rPr>
                <w:b/>
                <w:i/>
              </w:rPr>
              <w:t>rejects the significant increase in foreign policy appropriations</w:t>
            </w:r>
            <w:r>
              <w:t xml:space="preserve"> proposed by the Commission</w:t>
            </w:r>
            <w:r>
              <w:rPr>
                <w:b/>
                <w:i/>
              </w:rPr>
              <w:t>, which is neither adequately justified nor accompanied by appropriate guarantees in terms of effectiveness and accountability</w:t>
            </w:r>
            <w:r>
              <w:t xml:space="preserve">; </w:t>
            </w:r>
            <w:r>
              <w:rPr>
                <w:b/>
                <w:i/>
              </w:rPr>
              <w:t>believes that the Union’s development aid remains ineffective given the lack of measurable results and that it must be made strictly conditional, in particular upon effective cooperation by recipient countries in the area of migration;</w:t>
            </w:r>
            <w:r>
              <w:t xml:space="preserve"> </w:t>
            </w:r>
            <w:r>
              <w:rPr>
                <w:b/>
                <w:i/>
              </w:rPr>
              <w:t>stresses that continued enlargement runs counter to the social and economic interests of the Member States and risks increasing internal imbalances within the Union;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Welcomes the reinforcement of the Neighbourhood, Development and International Cooperation Instrument (NDICI) – Global Europe as it demonstrates the Union’s commitment to strengthening its role as a global actor in an increasingly complex geopolitical environment; expresses concern, however, that this level of funding remains insufficient given the scale of global challenges including the United States’ retreat from its role as a global guarantor of peace and security, enlargement and development needs, humanitarian crises, and the need to support Ukraine and other partners; opposes </w:t>
            </w:r>
            <w:r>
              <w:rPr>
                <w:b/>
                <w:i/>
              </w:rPr>
              <w:t>the weakened</w:t>
            </w:r>
            <w:r>
              <w:t xml:space="preserve"> parliamentary oversight </w:t>
            </w:r>
            <w:r>
              <w:rPr>
                <w:b/>
                <w:i/>
              </w:rPr>
              <w:t>and involvement</w:t>
            </w:r>
            <w:r>
              <w:t xml:space="preserve">, as well as the reduced </w:t>
            </w:r>
            <w:r>
              <w:rPr>
                <w:b/>
                <w:i/>
              </w:rPr>
              <w:t>funding</w:t>
            </w:r>
            <w:r>
              <w:t xml:space="preserve"> visibility for specific priorities </w:t>
            </w:r>
            <w:r>
              <w:rPr>
                <w:b/>
                <w:i/>
              </w:rPr>
              <w:t>inherent in the design of Global Europe as proposed by the Commission</w:t>
            </w:r>
            <w:r>
              <w:t>;</w:t>
            </w:r>
          </w:p>
        </w:tc>
        <w:tc>
          <w:tcPr>
            <w:tcW w:w="4876" w:type="dxa"/>
            <w:tcBorders>
              <w:top w:val="nil"/>
              <w:left w:val="nil"/>
              <w:bottom w:val="nil"/>
              <w:right w:val="nil"/>
            </w:tcBorders>
          </w:tcPr>
          <w:p>
            <w:pPr>
              <w:pStyle w:val="Normal6a"/>
            </w:pPr>
            <w:r>
              <w:t>5.</w:t>
            </w:r>
            <w:r>
              <w:tab/>
            </w:r>
            <w:r>
              <w:t xml:space="preserve">Welcomes the reinforcement of the Neighbourhood, Development and International Cooperation Instrument (NDICI) – Global Europe as it demonstrates the Union’s commitment to strengthening its role as a global actor in an increasingly complex geopolitical environment; expresses concern, however, that this level of funding remains insufficient given the scale of global challenges including the United States’ retreat from its role as a global guarantor of peace and security, enlargement and development needs, </w:t>
            </w:r>
            <w:r>
              <w:rPr>
                <w:b/>
                <w:i/>
              </w:rPr>
              <w:t>funding for global gender equality initiatives,</w:t>
            </w:r>
            <w:r>
              <w:t xml:space="preserve"> humanitarian crises, and the need to support Ukraine and other partners; </w:t>
            </w:r>
            <w:r>
              <w:rPr>
                <w:b/>
                <w:i/>
              </w:rPr>
              <w:t>firmly</w:t>
            </w:r>
            <w:r>
              <w:t xml:space="preserve"> opposes </w:t>
            </w:r>
            <w:r>
              <w:rPr>
                <w:b/>
                <w:i/>
              </w:rPr>
              <w:t>any weakening of</w:t>
            </w:r>
            <w:r>
              <w:t xml:space="preserve"> parliamentary oversight, as well as the reduced visibility </w:t>
            </w:r>
            <w:r>
              <w:rPr>
                <w:b/>
                <w:i/>
              </w:rPr>
              <w:t>and predictability of funding</w:t>
            </w:r>
            <w:r>
              <w:t xml:space="preserve"> for specific </w:t>
            </w:r>
            <w:r>
              <w:rPr>
                <w:b/>
                <w:i/>
              </w:rPr>
              <w:t>policy</w:t>
            </w:r>
            <w:r>
              <w:t xml:space="preserve"> priorities</w:t>
            </w:r>
            <w:r>
              <w:rPr>
                <w:b/>
                <w:i/>
              </w:rPr>
              <w:t>;, and insists on strengthened democratic scrutiny, transparency and clear budgetary lines to ensure effective accountability and alignment with Union; stresses that the EU must step in as a replacement of relevant US funding in its strategic objectives and sectorial priorities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Isabelle Le Callenec,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Welcomes</w:t>
            </w:r>
            <w:r>
              <w:t xml:space="preserve"> the reinforcement of the Neighbourhood, Development and International Cooperation Instrument (NDICI) – Global Europe </w:t>
            </w:r>
            <w:r>
              <w:rPr>
                <w:b/>
                <w:i/>
              </w:rPr>
              <w:t>as it</w:t>
            </w:r>
            <w:r>
              <w:t xml:space="preserve"> demonstrates the Union’s commitment to strengthening its role as a global actor in an increasingly complex geopolitical environment</w:t>
            </w:r>
            <w:r>
              <w:rPr>
                <w:b/>
                <w:i/>
              </w:rPr>
              <w:t>;</w:t>
            </w:r>
            <w:r>
              <w:t xml:space="preserve"> </w:t>
            </w:r>
            <w:r>
              <w:rPr>
                <w:b/>
                <w:i/>
              </w:rPr>
              <w:t>expresses concern, however, that this level of funding remains insufficient</w:t>
            </w:r>
            <w:r>
              <w:t xml:space="preserve"> given the scale of global challenges including the United States’ retreat from its role as a global guarantor of peace and security, enlargement and development needs, humanitarian crises, and the need to support Ukraine and other partners; opposes the weakened parliamentary oversight and involvement, as well as the reduced funding visibility for specific priorities inherent in the design of Global Europe as proposed by the Commission;</w:t>
            </w:r>
          </w:p>
        </w:tc>
        <w:tc>
          <w:tcPr>
            <w:tcW w:w="4876" w:type="dxa"/>
            <w:tcBorders>
              <w:top w:val="nil"/>
              <w:left w:val="nil"/>
              <w:bottom w:val="nil"/>
              <w:right w:val="nil"/>
            </w:tcBorders>
          </w:tcPr>
          <w:p>
            <w:pPr>
              <w:pStyle w:val="Normal6a"/>
            </w:pPr>
            <w:r>
              <w:t>5.</w:t>
            </w:r>
            <w:r>
              <w:tab/>
            </w:r>
            <w:r>
              <w:rPr>
                <w:b/>
                <w:i/>
              </w:rPr>
              <w:t>Notes</w:t>
            </w:r>
            <w:r>
              <w:t xml:space="preserve"> the reinforcement of the Neighbourhood, Development and International Cooperation Instrument (NDICI) – Global Europe</w:t>
            </w:r>
            <w:r>
              <w:rPr>
                <w:b/>
                <w:i/>
              </w:rPr>
              <w:t>, which</w:t>
            </w:r>
            <w:r>
              <w:t xml:space="preserve"> demonstrates the Union’s commitment to strengthening its role as a global actor in an increasingly complex geopolitical environment </w:t>
            </w:r>
            <w:r>
              <w:rPr>
                <w:b/>
                <w:i/>
              </w:rPr>
              <w:t>and helps to strengthen the overseas countries and territories associated with the EU;</w:t>
            </w:r>
            <w:r>
              <w:t xml:space="preserve"> </w:t>
            </w:r>
            <w:r>
              <w:rPr>
                <w:b/>
                <w:i/>
              </w:rPr>
              <w:t>underlines its importance</w:t>
            </w:r>
            <w:r>
              <w:t xml:space="preserve"> given the scale of global challenges including the United States’ retreat from its role as a global guarantor of peace and security, enlargement and development needs, humanitarian crises, and the need to support Ukraine and other partners; </w:t>
            </w:r>
            <w:r>
              <w:rPr>
                <w:b/>
                <w:i/>
              </w:rPr>
              <w:t>strongly</w:t>
            </w:r>
            <w:r>
              <w:t xml:space="preserve"> opposes the weakened parliamentary oversight and involvement, as well as the reduced funding visibility for specific priorities inherent in the design of Global Europe as proposed by the Commission</w:t>
            </w:r>
            <w:r>
              <w:rPr>
                <w:b/>
                <w:i/>
              </w:rPr>
              <w:t>, and calls for increased transparency regarding the management of this instrument by the Commission vis-à-vis Parliament and the Council</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Welcomes the reinforcement of the Neighbourhood, Development and International Cooperation Instrument (NDICI) – Global Europe as it demonstrates the Union’s commitment to strengthening its role as a global actor in an increasingly complex geopolitical environment; expresses concern, however, that this level of funding remains insufficient given the scale of global challenges including the United States’ retreat from its role as a global guarantor of peace and security, enlargement and development needs, humanitarian crises, and the need to support Ukraine and other partners; opposes the weakened parliamentary oversight and involvement, as well as the reduced funding visibility for specific priorities inherent in the design of Global Europe as proposed by the Commission;</w:t>
            </w:r>
          </w:p>
        </w:tc>
        <w:tc>
          <w:tcPr>
            <w:tcW w:w="4876" w:type="dxa"/>
            <w:tcBorders>
              <w:top w:val="nil"/>
              <w:left w:val="nil"/>
              <w:bottom w:val="nil"/>
              <w:right w:val="nil"/>
            </w:tcBorders>
          </w:tcPr>
          <w:p>
            <w:pPr>
              <w:pStyle w:val="Normal6a"/>
            </w:pPr>
            <w:r>
              <w:t>5.</w:t>
            </w:r>
            <w:r>
              <w:tab/>
            </w:r>
            <w:r>
              <w:t xml:space="preserve">Welcomes the reinforcement of the Neighbourhood, Development and International Cooperation Instrument (NDICI) – Global Europe as it demonstrates the Union’s commitment to strengthening its role as a global actor in an increasingly complex geopolitical environment; expresses concern, however, that this level of funding remains insufficient given the scale of global challenges including the United States’ retreat from its role as a global guarantor of peace and security, enlargement and development needs, humanitarian crises, and the need to support Ukraine and other partners; </w:t>
            </w:r>
            <w:r>
              <w:rPr>
                <w:b/>
                <w:i/>
              </w:rPr>
              <w:t>calls for the increased flexibility of the proposed Global Europe instrument to be rebalanced with meaningful accountability and reporting mechanisms;</w:t>
            </w:r>
            <w:r>
              <w:t xml:space="preserve"> opposes the weakened parliamentary oversight and involvement, as well as the reduced funding visibility for specific priorities inherent in the design of Global Europe as proposed by the Commission;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Welcomes the reinforcement of the Neighbourhood, Development and International Cooperation Instrument (NDICI) – Global Europe as it demonstrates the Union’s commitment to strengthening its role as a global actor in an increasingly complex geopolitical environment; expresses concern, however, that this level of funding remains insufficient given the scale of global challenges including </w:t>
            </w:r>
            <w:r>
              <w:rPr>
                <w:b/>
                <w:i/>
              </w:rPr>
              <w:t>the United States’ retreat from its role as a global guarantor of peace and security</w:t>
            </w:r>
            <w:r>
              <w:t>, enlargement and development needs, humanitarian crises, and the need to support Ukraine and other partners; opposes the weakened parliamentary oversight and involvement, as well as the reduced funding visibility for specific priorities inherent in the design of Global Europe as proposed by the Commission;</w:t>
            </w:r>
          </w:p>
        </w:tc>
        <w:tc>
          <w:tcPr>
            <w:tcW w:w="4876" w:type="dxa"/>
            <w:tcBorders>
              <w:top w:val="nil"/>
              <w:left w:val="nil"/>
              <w:bottom w:val="nil"/>
              <w:right w:val="nil"/>
            </w:tcBorders>
          </w:tcPr>
          <w:p>
            <w:pPr>
              <w:pStyle w:val="Normal6a"/>
            </w:pPr>
            <w:r>
              <w:t>5.</w:t>
            </w:r>
            <w:r>
              <w:tab/>
            </w:r>
            <w:r>
              <w:t>Welcomes the reinforcement of the Neighbourhood, Development and International Cooperation Instrument (NDICI) – Global Europe as it demonstrates the Union’s commitment to strengthening its role as a global actor in an increasingly complex geopolitical environment; expresses concern, however, that this level of funding remains insufficient given the scale of global challenges</w:t>
            </w:r>
            <w:r>
              <w:rPr>
                <w:b/>
                <w:i/>
              </w:rPr>
              <w:t>,</w:t>
            </w:r>
            <w:r>
              <w:t xml:space="preserve"> including </w:t>
            </w:r>
            <w:r>
              <w:rPr>
                <w:b/>
                <w:i/>
              </w:rPr>
              <w:t>with regard to how the EU should position itself in the broader Mediterranean region and the kind of relations it should pursue with Africa, countries to its immediate east, and economic powers in Asia</w:t>
            </w:r>
            <w:r>
              <w:t>, enlargement and development needs, humanitarian crises, and the need to support Ukraine and other partners; opposes the weakened parliamentary oversight and involvement, as well as the reduced funding visibility for specific priorities inherent in the design of Global Europe as proposed by the Commission;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Welcomes the reinforcement of the Neighbourhood, Development and International Cooperation Instrument (NDICI) – Global Europe as it demonstrates the Union’s commitment to strengthening its role as a global actor in an increasingly complex geopolitical environment; expresses concern, however, that this level of funding remains insufficient given the scale of global challenges including the United States’ retreat from its role as a global guarantor of peace and security, enlargement and development needs, humanitarian crises, and the need to support Ukraine and other partners; opposes the weakened parliamentary oversight and involvement, as well as the reduced funding visibility for specific priorities inherent in the design of Global Europe as proposed by the Commission;</w:t>
            </w:r>
          </w:p>
        </w:tc>
        <w:tc>
          <w:tcPr>
            <w:tcW w:w="4876" w:type="dxa"/>
            <w:tcBorders>
              <w:top w:val="nil"/>
              <w:left w:val="nil"/>
              <w:bottom w:val="nil"/>
              <w:right w:val="nil"/>
            </w:tcBorders>
          </w:tcPr>
          <w:p>
            <w:pPr>
              <w:pStyle w:val="Normal6a"/>
            </w:pPr>
            <w:r>
              <w:t>5.</w:t>
            </w:r>
            <w:r>
              <w:tab/>
            </w:r>
            <w:r>
              <w:t>Welcomes the reinforcement of the Neighbourhood, Development and International Cooperation Instrument (NDICI) – Global Europe as it demonstrates the Union’s commitment to strengthening its role as a global actor in an increasingly complex geopolitical environment; expresses concern, however, that this level of funding remains insufficient given the scale of global challenges including the United States’ retreat from its role as a global guarantor of peace and security, enlargement and development needs, humanitarian crises, and the need to support Ukraine and other partners; opposes the weakened parliamentary oversight and involvement, as well as the reduced funding visibility for specific priorities</w:t>
            </w:r>
            <w:r>
              <w:rPr>
                <w:b/>
                <w:i/>
              </w:rPr>
              <w:t>, lack of targets and minimum funding levels for strategic regions and global investments</w:t>
            </w:r>
            <w:r>
              <w:t xml:space="preserve"> inherent in the design of Global Europe as proposed by the Commission;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Joachim Streit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Welcomes</w:t>
            </w:r>
            <w:r>
              <w:t xml:space="preserve"> the reinforcement of the Neighbourhood, Development and International Cooperation Instrument (NDICI) – Global Europe </w:t>
            </w:r>
            <w:r>
              <w:rPr>
                <w:b/>
                <w:i/>
              </w:rPr>
              <w:t>as it demonstrates the Union’s commitment to strengthening its role as a global actor in an increasingly complex geopolitical environment; expresses concern, however, that this level of funding remains insufficient given the scale of global challenges</w:t>
            </w:r>
            <w:r>
              <w:t xml:space="preserve"> including </w:t>
            </w:r>
            <w:r>
              <w:rPr>
                <w:b/>
                <w:i/>
              </w:rPr>
              <w:t>the United States’ retreat from its role as a global guarantor of peace and security, enlargement and development needs, humanitarian crises, and the need to</w:t>
            </w:r>
            <w:r>
              <w:t xml:space="preserve"> support Ukraine and other partners; opposes the weakened parliamentary oversight and involvement, as well as the reduced funding visibility for specific priorities inherent in the design of Global Europe as proposed by the Commission;</w:t>
            </w:r>
          </w:p>
        </w:tc>
        <w:tc>
          <w:tcPr>
            <w:tcW w:w="4876" w:type="dxa"/>
            <w:tcBorders>
              <w:top w:val="nil"/>
              <w:left w:val="nil"/>
              <w:bottom w:val="nil"/>
              <w:right w:val="nil"/>
            </w:tcBorders>
          </w:tcPr>
          <w:p>
            <w:pPr>
              <w:pStyle w:val="Normal6a"/>
            </w:pPr>
            <w:r>
              <w:t>5.</w:t>
            </w:r>
            <w:r>
              <w:tab/>
            </w:r>
            <w:r>
              <w:rPr>
                <w:b/>
                <w:i/>
              </w:rPr>
              <w:t>Takes note of</w:t>
            </w:r>
            <w:r>
              <w:t xml:space="preserve"> the reinforcement of the Neighbourhood, Development and International Cooperation Instrument (NDICI) – Global Europe</w:t>
            </w:r>
            <w:r>
              <w:rPr>
                <w:b/>
                <w:i/>
              </w:rPr>
              <w:t>; stresses the importance of clear priorities, accountability and effective delivery of external action spending,</w:t>
            </w:r>
            <w:r>
              <w:t xml:space="preserve"> including </w:t>
            </w:r>
            <w:r>
              <w:rPr>
                <w:b/>
                <w:i/>
              </w:rPr>
              <w:t>targeted and transparent</w:t>
            </w:r>
            <w:r>
              <w:t xml:space="preserve"> support </w:t>
            </w:r>
            <w:r>
              <w:rPr>
                <w:b/>
                <w:i/>
              </w:rPr>
              <w:t>for</w:t>
            </w:r>
            <w:r>
              <w:t xml:space="preserve"> Ukraine and other </w:t>
            </w:r>
            <w:r>
              <w:rPr>
                <w:b/>
                <w:i/>
              </w:rPr>
              <w:t>close</w:t>
            </w:r>
            <w:r>
              <w:t xml:space="preserve"> partners</w:t>
            </w:r>
            <w:r>
              <w:rPr>
                <w:b/>
                <w:i/>
              </w:rPr>
              <w:t>; recalls that such expenditure must remain consistent with the overall ceilings of the MFF and with the principles of budgetary discipline</w:t>
            </w:r>
            <w:r>
              <w:t>; opposes the weakened parliamentary oversight and involvement, as well as the reduced funding visibility for specific priorities inherent in the design of Global Europe as proposed by the Commission;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Welcomes the reinforcement of the Neighbourhood, Development and International Cooperation Instrument (NDICI) – Global Europe as it demonstrates the Union’s commitment to strengthening its role as a global actor in an increasingly complex geopolitical environment; expresses concern, however, that this level of funding remains insufficient given the scale of global challenges including the United States’ retreat from its role as a global guarantor of peace and security, enlargement and development needs, humanitarian crises, and the need to support Ukraine and other partners; </w:t>
            </w:r>
            <w:r>
              <w:rPr>
                <w:b/>
                <w:i/>
              </w:rPr>
              <w:t>opposes the weakened</w:t>
            </w:r>
            <w:r>
              <w:t xml:space="preserve"> parliamentary oversight and involvement, as well as the </w:t>
            </w:r>
            <w:r>
              <w:rPr>
                <w:b/>
                <w:i/>
              </w:rPr>
              <w:t>reduced</w:t>
            </w:r>
            <w:r>
              <w:t xml:space="preserve"> funding visibility for specific priorities inherent in the design of Global Europe as proposed by the Commission;</w:t>
            </w:r>
          </w:p>
        </w:tc>
        <w:tc>
          <w:tcPr>
            <w:tcW w:w="4876" w:type="dxa"/>
            <w:tcBorders>
              <w:top w:val="nil"/>
              <w:left w:val="nil"/>
              <w:bottom w:val="nil"/>
              <w:right w:val="nil"/>
            </w:tcBorders>
          </w:tcPr>
          <w:p>
            <w:pPr>
              <w:pStyle w:val="Normal6a"/>
            </w:pPr>
            <w:r>
              <w:t>5.</w:t>
            </w:r>
            <w:r>
              <w:tab/>
            </w:r>
            <w:r>
              <w:t xml:space="preserve">Welcomes the reinforcement of the Neighbourhood, Development and International Cooperation Instrument (NDICI) – Global Europe as it demonstrates the Union’s commitment to strengthening its role as a global actor in an increasingly complex </w:t>
            </w:r>
            <w:r>
              <w:rPr>
                <w:b/>
                <w:i/>
              </w:rPr>
              <w:t>and unstable</w:t>
            </w:r>
            <w:r>
              <w:t xml:space="preserve"> geopolitical environment; expresses concern, however, that this level of funding remains insufficient given the scale of global challenges including the United States’ retreat from its role as a global guarantor of peace and security, enlargement and development needs, humanitarian crises, </w:t>
            </w:r>
            <w:r>
              <w:rPr>
                <w:b/>
                <w:i/>
              </w:rPr>
              <w:t>the impact of the climate and biodiversity crisis on the Global South ,</w:t>
            </w:r>
            <w:r>
              <w:t xml:space="preserve"> and the need to support Ukraine and other partners; </w:t>
            </w:r>
            <w:r>
              <w:rPr>
                <w:b/>
                <w:i/>
              </w:rPr>
              <w:t>insist on strengthening</w:t>
            </w:r>
            <w:r>
              <w:t xml:space="preserve"> parliamentary oversight and involvement, as well as the funding visibility for specific priorities inherent in the design of Global Europe as proposed by the Commission;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Welcomes the reinforcement of the Neighbourhood, Development and International Cooperation Instrument (NDICI) – Global Europe as it demonstrates the Union’s commitment to strengthening its role as a global actor in an increasingly complex geopolitical environment; expresses concern, however, that this level of funding remains insufficient given the scale of global challenges </w:t>
            </w:r>
            <w:r>
              <w:rPr>
                <w:b/>
                <w:i/>
              </w:rPr>
              <w:t>including the United States’ retreat from its role as a global guarantor of peace and security</w:t>
            </w:r>
            <w:r>
              <w:t>, enlargement and development needs, humanitarian crises, and the need to support Ukraine and other partners; opposes the weakened parliamentary oversight and involvement, as well as the reduced funding visibility for specific priorities inherent in the design of Global Europe as proposed by the Commission;</w:t>
            </w:r>
          </w:p>
        </w:tc>
        <w:tc>
          <w:tcPr>
            <w:tcW w:w="4876" w:type="dxa"/>
            <w:tcBorders>
              <w:top w:val="nil"/>
              <w:left w:val="nil"/>
              <w:bottom w:val="nil"/>
              <w:right w:val="nil"/>
            </w:tcBorders>
          </w:tcPr>
          <w:p>
            <w:pPr>
              <w:pStyle w:val="Normal6a"/>
            </w:pPr>
            <w:r>
              <w:t>5.</w:t>
            </w:r>
            <w:r>
              <w:tab/>
            </w:r>
            <w:r>
              <w:t>Welcomes the reinforcement of the Neighbourhood, Development and International Cooperation Instrument (NDICI) – Global Europe as it demonstrates the Union’s commitment to strengthening its role as a global actor in an increasingly complex geopolitical environment; expresses concern, however, that this level of funding remains insufficient given the scale of global challenges, enlargement and development needs, humanitarian crises, and the need to support Ukraine and other partners; opposes the weakened parliamentary oversight and involvement, as well as the reduced funding visibility for specific priorities inherent in the design of Global Europe as proposed by the Commission;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Welcomes the reinforcement of the Neighbourhood, Development and International Cooperation Instrument (NDICI) – Global Europe as it demonstrates the Union’s commitment to strengthening its role as a global actor in an increasingly complex geopolitical environment; expresses concern, however, that this level of funding remains insufficient given the scale of global challenges including the United States’ retreat from its role as a global guarantor of peace and security, enlargement and development needs, humanitarian crises, and the need to support Ukraine and other partners; opposes the weakened parliamentary oversight and involvement, as well as the reduced funding visibility for specific priorities inherent in the design of Global Europe as proposed by the Commission;</w:t>
            </w:r>
          </w:p>
        </w:tc>
        <w:tc>
          <w:tcPr>
            <w:tcW w:w="4876" w:type="dxa"/>
            <w:tcBorders>
              <w:top w:val="nil"/>
              <w:left w:val="nil"/>
              <w:bottom w:val="nil"/>
              <w:right w:val="nil"/>
            </w:tcBorders>
          </w:tcPr>
          <w:p>
            <w:pPr>
              <w:pStyle w:val="Normal6a"/>
            </w:pPr>
            <w:r>
              <w:t>5.</w:t>
            </w:r>
            <w:r>
              <w:tab/>
            </w:r>
            <w:r>
              <w:t xml:space="preserve">Welcomes the reinforcement of the Neighbourhood, Development and International Cooperation Instrument (NDICI) – Global Europe as it demonstrates the Union’s commitment to strengthening its role as a global actor in an increasingly complex geopolitical environment; expresses concern, however, that this level of funding remains insufficient given the scale of global challenges including the United States’ retreat from its role as a global guarantor of peace and security, enlargement and development needs, humanitarian crises, and the need to support Ukraine and other partners </w:t>
            </w:r>
            <w:r>
              <w:rPr>
                <w:b/>
                <w:i/>
              </w:rPr>
              <w:t>that respect rule of law and our European values</w:t>
            </w:r>
            <w:r>
              <w:t>; opposes the weakened parliamentary oversight and involvement, as well as the reduced funding visibility for specific priorities inherent in the design of Global Europe as proposed by the Commission;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Stine Bosse, Fabienne Keller,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Welcomes the reinforcement of the Neighbourhood, Development and International Cooperation Instrument (NDICI) – Global Europe as it demonstrates the Union’s commitment to strengthening its role as a global actor in an increasingly complex geopolitical environment; expresses concern, however, that this level of funding remains insufficient given the scale of global challenges including the United States’ retreat from its role as a global guarantor of peace and security, enlargement and development needs, humanitarian crises, and the need to support Ukraine and other partners; opposes the weakened parliamentary oversight and involvement, as well as the reduced funding visibility for specific priorities inherent in the design of Global Europe as proposed by the Commission;</w:t>
            </w:r>
          </w:p>
        </w:tc>
        <w:tc>
          <w:tcPr>
            <w:tcW w:w="4876" w:type="dxa"/>
            <w:tcBorders>
              <w:top w:val="nil"/>
              <w:left w:val="nil"/>
              <w:bottom w:val="nil"/>
              <w:right w:val="nil"/>
            </w:tcBorders>
          </w:tcPr>
          <w:p>
            <w:pPr>
              <w:pStyle w:val="Normal6a"/>
            </w:pPr>
            <w:r>
              <w:t>5.</w:t>
            </w:r>
            <w:r>
              <w:tab/>
            </w:r>
            <w:r>
              <w:t xml:space="preserve">Welcomes the reinforcement of the Neighbourhood, Development and International Cooperation Instrument (NDICI) – Global Europe as it demonstrates the Union’s commitment to strengthening its role as a global actor in an increasingly complex geopolitical environment; expresses concern, however, that this level of funding remains insufficient given the scale of global challenges including the United States’ retreat from its role as a global guarantor of peace and security, enlargement and development needs, </w:t>
            </w:r>
            <w:r>
              <w:rPr>
                <w:b/>
                <w:i/>
              </w:rPr>
              <w:t>the clean industrial transition, global health,</w:t>
            </w:r>
            <w:r>
              <w:t xml:space="preserve"> humanitarian crises, and the need to support Ukraine and other partners; opposes the weakened parliamentary oversight and involvement, as well as the reduced funding visibility for specific priorities inherent in the design of Global Europe as proposed by the Commission;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Highlights that Europe faces an increasingly complex security environment and a growing need to rely on its own capacities; underlines that security should be understood in a comprehensive manner, encompassing food and energy security, cybersecurity, defence capabilities, as well as the security of the Union’s outermost regions and overseas countries and territories;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Recalls its position that ‘simplification cannot mean more leeway for the Commission without the necessary checks and balances and must therefore be achieved with full respect for the institutional balance provided for in the Treaties’; opposes, therefore, the proposed approach that sacrifices transparency and controls under the guise of efficiency, compromising programme quality and democratic accountability, and undermining Parliament’s role as the budgetary and discharge authority; underlines Parliament’s commitment to securing the necessary transparency mechanisms to fulfil its role as the guardian of citizens’ interests, which is vital to safeguard public trust in the EU;</w:t>
            </w:r>
          </w:p>
        </w:tc>
        <w:tc>
          <w:tcPr>
            <w:tcW w:w="4876" w:type="dxa"/>
            <w:tcBorders>
              <w:top w:val="nil"/>
              <w:left w:val="nil"/>
              <w:bottom w:val="nil"/>
              <w:right w:val="nil"/>
            </w:tcBorders>
          </w:tcPr>
          <w:p>
            <w:pPr>
              <w:pStyle w:val="Normal6a"/>
            </w:pPr>
            <w:r>
              <w:t>6.</w:t>
            </w:r>
            <w:r>
              <w:tab/>
            </w:r>
            <w:r>
              <w:t xml:space="preserve">Recalls its position that ‘simplification cannot mean more leeway for the Commission without the necessary checks and balances and must therefore be achieved with full respect for the institutional balance provided for in the Treaties’; opposes, therefore, the proposed approach that sacrifices transparency and controls under the guise of efficiency, compromising programme quality and democratic accountability, and undermining Parliament’s role as the budgetary and discharge authority; underlines Parliament’s commitment to securing the necessary transparency mechanisms to fulfil its role as the guardian of citizens’ interests, which is vital to safeguard public trust in the EU; </w:t>
            </w:r>
            <w:r>
              <w:rPr>
                <w:b/>
                <w:i/>
              </w:rPr>
              <w:t>strongly insists on the right of the European Parliament to be granted full transparency and traceability of EU funds down to final beneficiaries including subcontractors; emphasises that fragmented IT and data systems across member states increase the risk of irregularities and cause severe administrative burden; strongly recalls the demand for a single, integrated and interoperable information and monitoring system; urges that the use of this new interoperable system should be a precondition for accessing Union funding in the next MFF; welcomes the Commission’s ongoing effort to develop such an interoperable system and calls for standardised and harmonised data standards, adhering to the principles of necessity, reliability and proportionality of data, as well as compliance with the GDPR and CJEU rulings;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Céline Imart, Isabelle Le Callennec, Christophe Gomart, Nadine Morano,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Recalls its position that ‘simplification cannot mean more leeway for the Commission without the necessary checks and balances and must therefore be achieved with full respect for the institutional balance provided for</w:t>
            </w:r>
            <w:r>
              <w:t xml:space="preserve"> in the </w:t>
            </w:r>
            <w:r>
              <w:rPr>
                <w:b/>
                <w:i/>
              </w:rPr>
              <w:t>Treaties’</w:t>
            </w:r>
            <w:r>
              <w:t>; opposes, therefore, the proposed approach that sacrifices transparency and controls under the guise of efficiency, compromising programme quality and democratic accountability, and undermining Parliament’s role as the budgetary and discharge authority; underlines Parliament’s commitment to securing the necessary transparency mechanisms to fulfil its role as the guardian of citizens’ interests, which is vital to safeguard public trust in the EU;</w:t>
            </w:r>
          </w:p>
        </w:tc>
        <w:tc>
          <w:tcPr>
            <w:tcW w:w="4876" w:type="dxa"/>
            <w:tcBorders>
              <w:top w:val="nil"/>
              <w:left w:val="nil"/>
              <w:bottom w:val="nil"/>
              <w:right w:val="nil"/>
            </w:tcBorders>
          </w:tcPr>
          <w:p>
            <w:pPr>
              <w:pStyle w:val="Normal6a"/>
            </w:pPr>
            <w:r>
              <w:t>6.</w:t>
            </w:r>
            <w:r>
              <w:tab/>
            </w:r>
            <w:r>
              <w:rPr>
                <w:b/>
                <w:i/>
              </w:rPr>
              <w:t>stresses, however, that the consolidation of programmes</w:t>
            </w:r>
            <w:r>
              <w:t xml:space="preserve"> in the </w:t>
            </w:r>
            <w:r>
              <w:rPr>
                <w:b/>
                <w:i/>
              </w:rPr>
              <w:t>Competitiveness Fund reduces transparency and limits Parliament’s ability to ensure appropriate funding for specific policy objectives</w:t>
            </w:r>
            <w:r>
              <w:t xml:space="preserve">; opposes, therefore, the proposed approach that sacrifices transparency and controls under the guise of efficiency, compromising programme quality and democratic accountability, and undermining Parliament’s role as the budgetary and discharge authority; underlines </w:t>
            </w:r>
            <w:r>
              <w:rPr>
                <w:b/>
                <w:i/>
              </w:rPr>
              <w:t>that the eligibility criteria for projects under the future Competitiveness Fund must support genuine agricultural innovation projects, particularly in the area of NGT development;</w:t>
            </w:r>
            <w:r>
              <w:t xml:space="preserve"> </w:t>
            </w:r>
            <w:r>
              <w:rPr>
                <w:b/>
                <w:i/>
              </w:rPr>
              <w:t>indicates that it is vital for the European Competitiveness Fund to fund European projects;</w:t>
            </w:r>
            <w:r>
              <w:t xml:space="preserve"> </w:t>
            </w:r>
            <w:r>
              <w:rPr>
                <w:b/>
                <w:i/>
              </w:rPr>
              <w:t>underlines</w:t>
            </w:r>
            <w:r>
              <w:t xml:space="preserve"> Parliament’s commitment to securing the necessary transparency mechanisms to fulfil its role as the guardian of citizens’ interests, which is vital to safeguard public trust in the EU;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Recalls its position that ‘simplification cannot mean more leeway for the Commission without the necessary checks and balances and must therefore be achieved with full respect for the institutional balance provided for in the Treaties’; opposes, therefore, the proposed approach that sacrifices transparency and controls under the guise of efficiency, compromising programme quality and democratic accountability, and undermining Parliament’s role as the budgetary and discharge authority; underlines Parliament’s commitment to securing the necessary transparency mechanisms to fulfil its role as the guardian of citizens’ interests, which is vital to safeguard public trust in the EU;</w:t>
            </w:r>
          </w:p>
        </w:tc>
        <w:tc>
          <w:tcPr>
            <w:tcW w:w="4876" w:type="dxa"/>
            <w:tcBorders>
              <w:top w:val="nil"/>
              <w:left w:val="nil"/>
              <w:bottom w:val="nil"/>
              <w:right w:val="nil"/>
            </w:tcBorders>
          </w:tcPr>
          <w:p>
            <w:pPr>
              <w:pStyle w:val="Normal6a"/>
            </w:pPr>
            <w:r>
              <w:t>6.</w:t>
            </w:r>
            <w:r>
              <w:tab/>
            </w:r>
            <w:r>
              <w:t xml:space="preserve">Recalls its position that ‘simplification cannot mean more leeway for the Commission without the necessary checks and balances and must therefore be achieved with full respect for the institutional balance provided for in the Treaties’; opposes, therefore, the proposed approach that sacrifices transparency and controls under the guise of efficiency, compromising programme quality and democratic accountability, and undermining Parliament’s role as the budgetary and discharge authority; underlines Parliament’s commitment to securing the necessary transparency mechanisms to fulfil its role as the guardian of citizens’ interests, which is vital to safeguard public trust in the EU; </w:t>
            </w:r>
            <w:r>
              <w:rPr>
                <w:b/>
                <w:i/>
              </w:rPr>
              <w:t>considers that simplification measures should be adopted to ensure that final beneficiaries have access to funds more quickly, with less bureaucracy and less dependence on intermediary and consultancy service providers;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Recalls its position that </w:t>
            </w:r>
            <w:r>
              <w:rPr>
                <w:b/>
                <w:i/>
              </w:rPr>
              <w:t>‘</w:t>
            </w:r>
            <w:r>
              <w:t>simplification cannot mean more leeway for the Commission without the necessary checks and balances and must therefore be achieved with full respect for the institutional balance provided for in the Treaties’; opposes, therefore, the proposed approach that sacrifices transparency and controls under the guise of efficiency, compromising programme quality and democratic accountability, and undermining Parliament’s role as the budgetary and discharge authority; underlines Parliament’s commitment to securing the necessary transparency mechanisms to fulfil its role as the guardian of citizens’ interests, which is vital to safeguard public trust in the EU;</w:t>
            </w:r>
          </w:p>
        </w:tc>
        <w:tc>
          <w:tcPr>
            <w:tcW w:w="4876" w:type="dxa"/>
            <w:tcBorders>
              <w:top w:val="nil"/>
              <w:left w:val="nil"/>
              <w:bottom w:val="nil"/>
              <w:right w:val="nil"/>
            </w:tcBorders>
          </w:tcPr>
          <w:p>
            <w:pPr>
              <w:pStyle w:val="Normal6a"/>
            </w:pPr>
            <w:r>
              <w:t>6.</w:t>
            </w:r>
            <w:r>
              <w:tab/>
            </w:r>
            <w:r>
              <w:t xml:space="preserve">Recalls its position that simplification cannot mean more leeway for the Commission without the necessary checks and balances and must therefore be achieved with full respect for the institutional balance provided for in the Treaties’; opposes, therefore, the proposed approach that sacrifices transparency and controls under the guise of efficiency, compromising programme quality and democratic accountability, and undermining Parliament’s role as the budgetary and discharge authority; underlines Parliament’s commitment to securing the necessary transparency mechanisms to fulfil its role as the guardian of citizens’ interests, which is vital to safeguard public trust in the EU; </w:t>
            </w:r>
            <w:r>
              <w:rPr>
                <w:b/>
                <w:i/>
              </w:rPr>
              <w:t>highlights that the ECF/Horizon Europe impact assessment did not provide any evidence that stakeholders or beneficiaries need the ‘simplification’ of less programmes and less budget lines in the basic acts;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Recalls its position that ‘simplification cannot mean more </w:t>
            </w:r>
            <w:r>
              <w:rPr>
                <w:b/>
                <w:i/>
              </w:rPr>
              <w:t>leeway</w:t>
            </w:r>
            <w:r>
              <w:t xml:space="preserve"> for the Commission without the necessary checks and balances and must therefore be achieved with full respect for the institutional balance provided for in the Treaties’; opposes, therefore, the proposed approach that sacrifices transparency and controls under the guise of efficiency, compromising programme quality and democratic accountability, and undermining Parliament’s role as the budgetary and discharge authority; underlines Parliament’s commitment to securing the necessary transparency mechanisms to fulfil its role as the guardian of citizens’ interests, which is vital to safeguard public trust in the EU;</w:t>
            </w:r>
          </w:p>
        </w:tc>
        <w:tc>
          <w:tcPr>
            <w:tcW w:w="4876" w:type="dxa"/>
            <w:tcBorders>
              <w:top w:val="nil"/>
              <w:left w:val="nil"/>
              <w:bottom w:val="nil"/>
              <w:right w:val="nil"/>
            </w:tcBorders>
          </w:tcPr>
          <w:p>
            <w:pPr>
              <w:pStyle w:val="Normal6a"/>
            </w:pPr>
            <w:r>
              <w:t>6.</w:t>
            </w:r>
            <w:r>
              <w:tab/>
            </w:r>
            <w:r>
              <w:t xml:space="preserve">Recalls its position that ‘simplification </w:t>
            </w:r>
            <w:r>
              <w:rPr>
                <w:b/>
                <w:i/>
              </w:rPr>
              <w:t>should not lead to deregulation and</w:t>
            </w:r>
            <w:r>
              <w:t xml:space="preserve"> cannot mean more </w:t>
            </w:r>
            <w:r>
              <w:rPr>
                <w:b/>
                <w:i/>
              </w:rPr>
              <w:t>discretionary power</w:t>
            </w:r>
            <w:r>
              <w:t xml:space="preserve"> for the Commission without the necessary checks and balances and must therefore be achieved with full respect for the institutional balance provided for in the Treaties’; opposes, therefore, the proposed approach that sacrifices transparency and controls under the guise of efficiency, compromising programme quality and democratic accountability, and undermining Parliament’s role as the budgetary and discharge authority; underlines Parliament’s commitment to securing the necessary </w:t>
            </w:r>
            <w:r>
              <w:rPr>
                <w:b/>
                <w:i/>
              </w:rPr>
              <w:t>governance,</w:t>
            </w:r>
            <w:r>
              <w:t xml:space="preserve"> transparency mechanisms to fulfil its role as the guardian of citizens’ interests, which is vital to safeguard public trust in the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Recalls its position that ‘simplification cannot mean more leeway for the Commission without the necessary checks and balances and must therefore be achieved with full respect for the institutional balance provided for in the Treaties’; opposes, therefore, the proposed approach that sacrifices transparency and controls under the guise of efficiency, compromising programme quality and democratic accountability, and undermining Parliament’s role as the budgetary and discharge authority; underlines Parliament’s commitment to securing the necessary transparency mechanisms to fulfil its role as the guardian of citizens’ interests, which is vital to safeguard public trust in the EU;</w:t>
            </w:r>
          </w:p>
        </w:tc>
        <w:tc>
          <w:tcPr>
            <w:tcW w:w="4876" w:type="dxa"/>
            <w:tcBorders>
              <w:top w:val="nil"/>
              <w:left w:val="nil"/>
              <w:bottom w:val="nil"/>
              <w:right w:val="nil"/>
            </w:tcBorders>
          </w:tcPr>
          <w:p>
            <w:pPr>
              <w:pStyle w:val="Normal6a"/>
            </w:pPr>
            <w:r>
              <w:t>6.</w:t>
            </w:r>
            <w:r>
              <w:tab/>
            </w:r>
            <w:r>
              <w:t>Recalls its position that ‘simplification cannot mean more leeway for the Commission without the necessary checks and balances and must therefore be achieved with full respect for the institutional balance provided for in the Treaties’; opposes, therefore, the proposed approach that sacrifices transparency and controls under the guise of efficiency, compromising programme quality and democratic accountability, and undermining Parliament’s role as the budgetary and discharge authority; underlines Parliament’s commitment to securing the necessary transparency mechanisms to fulfil its role as the guardian of citizens’ interests, which is vital to safeguard public trust in the EU</w:t>
            </w:r>
            <w:r>
              <w:rPr>
                <w:b/>
                <w:i/>
              </w:rPr>
              <w:t>, and the protection of financial interests of EU taxpayers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Recalls its position</w:t>
            </w:r>
            <w:r>
              <w:t xml:space="preserve"> that ‘simplification cannot mean more leeway for the Commission without the necessary checks and balances and must therefore be achieved with full respect for the institutional balance provided for in the Treaties’; opposes, therefore, the proposed approach that sacrifices transparency and controls under the guise of efficiency, compromising programme quality and democratic accountability, and undermining Parliament’s role as the budgetary and discharge authority; underlines Parliament’s commitment to securing the necessary transparency mechanisms to fulfil its role as the guardian of citizens’ interests, which is vital to safeguard public trust in the EU;</w:t>
            </w:r>
          </w:p>
        </w:tc>
        <w:tc>
          <w:tcPr>
            <w:tcW w:w="4876" w:type="dxa"/>
            <w:tcBorders>
              <w:top w:val="nil"/>
              <w:left w:val="nil"/>
              <w:bottom w:val="nil"/>
              <w:right w:val="nil"/>
            </w:tcBorders>
          </w:tcPr>
          <w:p>
            <w:pPr>
              <w:pStyle w:val="Normal6a"/>
            </w:pPr>
            <w:r>
              <w:t>6.</w:t>
            </w:r>
            <w:r>
              <w:tab/>
            </w:r>
            <w:r>
              <w:rPr>
                <w:b/>
                <w:i/>
              </w:rPr>
              <w:t>Recognises the need for enhanced simplification, underlines however</w:t>
            </w:r>
            <w:r>
              <w:t xml:space="preserve"> that ‘simplification cannot mean more leeway for the Commission without the necessary checks and balances and must therefore be achieved with full respect for the institutional balance provided for in the Treaties’; opposes, therefore, the proposed approach that sacrifices transparency and controls under the guise of efficiency, compromising programme quality and democratic accountability, and undermining Parliament’s role as the budgetary and discharge authority; underlines Parliament’s commitment to securing the necessary transparency mechanisms to fulfil its role as the guardian of citizens’ interests, which is vital to safeguard public trust in the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Insists that simplification must primarily target final beneficiaries; calls for harmonised, user-friendly rules, reduced reporting burdens and single-audit approaches where appropriate, while maintaining sufficiently detailed nomenclature and full access for the budgetary and discharge authorities to ensure transparency and accountability;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Recognises the need for enhanced</w:t>
            </w:r>
            <w:r>
              <w:t xml:space="preserve"> flexibility in allocating resources within </w:t>
            </w:r>
            <w:r>
              <w:rPr>
                <w:b/>
                <w:i/>
              </w:rPr>
              <w:t>certain</w:t>
            </w:r>
            <w:r>
              <w:t xml:space="preserve"> programmes, </w:t>
            </w:r>
            <w:r>
              <w:rPr>
                <w:b/>
                <w:i/>
              </w:rPr>
              <w:t>but</w:t>
            </w:r>
            <w:r>
              <w:t xml:space="preserve"> stresses that </w:t>
            </w:r>
            <w:r>
              <w:rPr>
                <w:b/>
                <w:i/>
              </w:rPr>
              <w:t>this must not compromise long-term policy objectives, funding</w:t>
            </w:r>
            <w:r>
              <w:t xml:space="preserve"> predictability </w:t>
            </w:r>
            <w:r>
              <w:rPr>
                <w:b/>
                <w:i/>
              </w:rPr>
              <w:t>or Parliament’s prerogatives</w:t>
            </w:r>
            <w:r>
              <w:t xml:space="preserve">; underscores that the allocation of </w:t>
            </w:r>
            <w:r>
              <w:rPr>
                <w:b/>
                <w:i/>
              </w:rPr>
              <w:t>funds</w:t>
            </w:r>
            <w:r>
              <w:t xml:space="preserve"> to specific policy objectives </w:t>
            </w:r>
            <w:r>
              <w:rPr>
                <w:b/>
                <w:i/>
              </w:rPr>
              <w:t>is to be decided jointly by</w:t>
            </w:r>
            <w:r>
              <w:t xml:space="preserve"> Parliament and the Council; deplores the fact that the indicative nomenclature proposed in the programme legislation </w:t>
            </w:r>
            <w:r>
              <w:rPr>
                <w:b/>
                <w:i/>
              </w:rPr>
              <w:t>is woefully</w:t>
            </w:r>
            <w:r>
              <w:t xml:space="preserve"> insufficient</w:t>
            </w:r>
            <w:r>
              <w:rPr>
                <w:b/>
                <w:i/>
              </w:rPr>
              <w:t>;</w:t>
            </w:r>
            <w:r>
              <w:t xml:space="preserve"> </w:t>
            </w:r>
            <w:r>
              <w:rPr>
                <w:b/>
                <w:i/>
              </w:rPr>
              <w:t>reiterates its call for the post-2027 MFF to include two</w:t>
            </w:r>
            <w:r>
              <w:t xml:space="preserve"> special instruments </w:t>
            </w:r>
            <w:r>
              <w:rPr>
                <w:b/>
                <w:i/>
              </w:rPr>
              <w:t>– one dedicated to ensuring solidarity</w:t>
            </w:r>
            <w:r>
              <w:t xml:space="preserve"> in the </w:t>
            </w:r>
            <w:r>
              <w:rPr>
                <w:b/>
                <w:i/>
              </w:rPr>
              <w:t>event of natural disasters and one for general-purpose crisis response</w:t>
            </w:r>
            <w:r>
              <w:t>;</w:t>
            </w:r>
          </w:p>
        </w:tc>
        <w:tc>
          <w:tcPr>
            <w:tcW w:w="4876" w:type="dxa"/>
            <w:tcBorders>
              <w:top w:val="nil"/>
              <w:left w:val="nil"/>
              <w:bottom w:val="nil"/>
              <w:right w:val="nil"/>
            </w:tcBorders>
          </w:tcPr>
          <w:p>
            <w:pPr>
              <w:pStyle w:val="Normal6a"/>
            </w:pPr>
            <w:r>
              <w:t>7.</w:t>
            </w:r>
            <w:r>
              <w:tab/>
            </w:r>
            <w:r>
              <w:rPr>
                <w:b/>
                <w:i/>
              </w:rPr>
              <w:t>Objects to an approach that involves increasing</w:t>
            </w:r>
            <w:r>
              <w:t xml:space="preserve"> flexibility in allocating resources within </w:t>
            </w:r>
            <w:r>
              <w:rPr>
                <w:b/>
                <w:i/>
              </w:rPr>
              <w:t>the Union’s</w:t>
            </w:r>
            <w:r>
              <w:t xml:space="preserve"> programmes, </w:t>
            </w:r>
            <w:r>
              <w:rPr>
                <w:b/>
                <w:i/>
              </w:rPr>
              <w:t>and</w:t>
            </w:r>
            <w:r>
              <w:t xml:space="preserve"> stresses that</w:t>
            </w:r>
            <w:r>
              <w:rPr>
                <w:b/>
                <w:i/>
              </w:rPr>
              <w:t>, far from being an appropriate structural response, an increased recourse to margins and special instruments has helped to weaken budget</w:t>
            </w:r>
            <w:r>
              <w:t xml:space="preserve"> predictability</w:t>
            </w:r>
            <w:r>
              <w:rPr>
                <w:b/>
                <w:i/>
              </w:rPr>
              <w:t>, transparency over financial decisions and oversight;</w:t>
            </w:r>
            <w:r>
              <w:t xml:space="preserve"> </w:t>
            </w:r>
            <w:r>
              <w:rPr>
                <w:b/>
                <w:i/>
              </w:rPr>
              <w:t>notes that, as found by the European Court of Auditors in its Special Report 18/2025, the Commission failed to carry out an ex ante or retrospective evaluation of the functioning of the main flexibility tools, in particular the margins, the Single Margin Instrument and the Flexibility Instrument, making it impossible to gauge their real effectiveness or to draw lessons from them for the future</w:t>
            </w:r>
            <w:r>
              <w:t xml:space="preserve">; underscores that </w:t>
            </w:r>
            <w:r>
              <w:rPr>
                <w:b/>
                <w:i/>
              </w:rPr>
              <w:t>this failure to carry out evaluations runs counter to the principles of effective risk management and evidence-based policymaking;</w:t>
            </w:r>
            <w:r>
              <w:t xml:space="preserve"> </w:t>
            </w:r>
            <w:r>
              <w:rPr>
                <w:b/>
                <w:i/>
              </w:rPr>
              <w:t>reiterates that any decisions relating to</w:t>
            </w:r>
            <w:r>
              <w:t xml:space="preserve"> the allocation of </w:t>
            </w:r>
            <w:r>
              <w:rPr>
                <w:b/>
                <w:i/>
              </w:rPr>
              <w:t>funding</w:t>
            </w:r>
            <w:r>
              <w:t xml:space="preserve"> to specific policy objectives </w:t>
            </w:r>
            <w:r>
              <w:rPr>
                <w:b/>
                <w:i/>
              </w:rPr>
              <w:t>must be adopted in their entirety by the budgetary authority, or in other words in codecision between</w:t>
            </w:r>
            <w:r>
              <w:t xml:space="preserve"> Parliament and the Council; deplores the fact that the indicative nomenclature proposed in the programme legislation </w:t>
            </w:r>
            <w:r>
              <w:rPr>
                <w:b/>
                <w:i/>
              </w:rPr>
              <w:t>remains</w:t>
            </w:r>
            <w:r>
              <w:t xml:space="preserve"> insufficient </w:t>
            </w:r>
            <w:r>
              <w:rPr>
                <w:b/>
                <w:i/>
              </w:rPr>
              <w:t>and leads to a lack of clarity over budgetary priorities;</w:t>
            </w:r>
            <w:r>
              <w:t xml:space="preserve"> </w:t>
            </w:r>
            <w:r>
              <w:rPr>
                <w:b/>
                <w:i/>
              </w:rPr>
              <w:t>objects to the introduction or strengthening of additional</w:t>
            </w:r>
            <w:r>
              <w:t xml:space="preserve"> special instruments in the </w:t>
            </w:r>
            <w:r>
              <w:rPr>
                <w:b/>
                <w:i/>
              </w:rPr>
              <w:t>post-2027 MFF, since this would risk increasing the fragmentation, complexity and opaqueness of the Union’s budgetary framework</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Recognises the need for enhanced flexibility in allocating resources within certain programmes, but stresses that this must not compromise long-term policy objectives, funding predictability or Parliament’s prerogatives; underscores that the allocation of funds to specific policy objectives is to be decided jointly by Parliament and the Council; deplores the fact that the indicative nomenclature proposed in the programme legislation is woefully insufficient; reiterates its call for the post-2027 MFF to include two special instruments – one dedicated to ensuring solidarity in the event of natural disasters and one for general-purpose crisis response;</w:t>
            </w:r>
          </w:p>
        </w:tc>
        <w:tc>
          <w:tcPr>
            <w:tcW w:w="4876" w:type="dxa"/>
            <w:tcBorders>
              <w:top w:val="nil"/>
              <w:left w:val="nil"/>
              <w:bottom w:val="nil"/>
              <w:right w:val="nil"/>
            </w:tcBorders>
          </w:tcPr>
          <w:p>
            <w:pPr>
              <w:pStyle w:val="Normal6a"/>
            </w:pPr>
            <w:r>
              <w:t>7.</w:t>
            </w:r>
            <w:r>
              <w:tab/>
            </w:r>
            <w:r>
              <w:t xml:space="preserve">Recognises the need for enhanced flexibility in allocating resources within certain programmes, but stresses that this must not compromise long-term policy objectives, funding predictability or Parliament’s prerogatives; underscores that the allocation of funds to specific policy objectives is to be decided jointly by Parliament and the Council; deplores the fact that the indicative nomenclature proposed in the programme legislation is woefully insufficient </w:t>
            </w:r>
            <w:r>
              <w:rPr>
                <w:b/>
                <w:i/>
              </w:rPr>
              <w:t>and undermines democratic scrutiny and budgetary clarity</w:t>
            </w:r>
            <w:r>
              <w:t xml:space="preserve">; reiterates its call for the post-2027 MFF to include two special instruments – one dedicated to ensuring solidarity in the event of natural disasters and one for general-purpose crisis response; </w:t>
            </w:r>
            <w:r>
              <w:rPr>
                <w:b/>
                <w:i/>
              </w:rPr>
              <w:t>and an opt-in mechanism to provide Member States with financial support to enable them to provide safe termination of pregnancies, in accordance with their domestic law, for anyone in the EU who still lacks access to safe and legal abortion, in line with the ‘My Voice, My Choice’ ECI proposal;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Recognises the need for enhanced flexibility in allocating resources within certain programmes, but stresses that this must not compromise long-term policy objectives, funding predictability or Parliament’s prerogatives; underscores that the allocation of funds to specific policy objectives is to be decided jointly by Parliament and the Council; deplores the fact that the indicative nomenclature proposed in the programme legislation is woefully insufficient; reiterates its call for the post-2027 MFF to include two special instruments – one dedicated to ensuring solidarity in the event of natural disasters and one for general-purpose crisis response;</w:t>
            </w:r>
          </w:p>
        </w:tc>
        <w:tc>
          <w:tcPr>
            <w:tcW w:w="4876" w:type="dxa"/>
            <w:tcBorders>
              <w:top w:val="nil"/>
              <w:left w:val="nil"/>
              <w:bottom w:val="nil"/>
              <w:right w:val="nil"/>
            </w:tcBorders>
          </w:tcPr>
          <w:p>
            <w:pPr>
              <w:pStyle w:val="Normal6a"/>
            </w:pPr>
            <w:r>
              <w:t>7.</w:t>
            </w:r>
            <w:r>
              <w:tab/>
            </w:r>
            <w:r>
              <w:t xml:space="preserve">Recognises the need for enhanced flexibility in allocating resources within certain programmes, but stresses that this must not compromise long-term policy objectives, funding predictability or Parliament’s prerogatives; underscores that the allocation of funds to specific policy objectives is to be decided jointly by Parliament and the Council; deplores the fact that the indicative nomenclature proposed in the programme legislation is woefully insufficient; reiterates its call for the post-2027 MFF to include two special instruments – one dedicated to ensuring solidarity in the event of natural disasters and one for general-purpose crisis response; </w:t>
            </w:r>
            <w:r>
              <w:rPr>
                <w:b/>
                <w:i/>
              </w:rPr>
              <w:t>To this end, it is necessary, the post 2027 MFF to establish a dedicated and enhanced solidarity fund, to assist Member States in addressing the repercussions of natural disasters, while also ensuring the availability of annual funding to provide additional assistance to member states in view of natural disasters.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Recognises the need for enhanced flexibility in allocating resources within certain programmes, but stresses that this must not compromise long-term policy objectives, funding predictability or Parliament’s prerogatives; underscores that the allocation of funds to specific policy objectives is to be decided jointly by Parliament and the Council; deplores the fact that the indicative nomenclature proposed in the programme legislation is woefully insufficient; reiterates its call for the post-2027 MFF to include two special instruments – one dedicated to ensuring solidarity in the event of natural disasters and one for general-purpose crisis response;</w:t>
            </w:r>
          </w:p>
        </w:tc>
        <w:tc>
          <w:tcPr>
            <w:tcW w:w="4876" w:type="dxa"/>
            <w:tcBorders>
              <w:top w:val="nil"/>
              <w:left w:val="nil"/>
              <w:bottom w:val="nil"/>
              <w:right w:val="nil"/>
            </w:tcBorders>
          </w:tcPr>
          <w:p>
            <w:pPr>
              <w:pStyle w:val="Normal6a"/>
            </w:pPr>
            <w:r>
              <w:t>7.</w:t>
            </w:r>
            <w:r>
              <w:tab/>
            </w:r>
            <w:r>
              <w:t>Recognises the need for enhanced flexibility in allocating resources within certain programmes, but stresses that this must not compromise long-term policy objectives, funding predictability</w:t>
            </w:r>
            <w:r>
              <w:rPr>
                <w:b/>
                <w:i/>
              </w:rPr>
              <w:t>, the interests and rights of final beneficiaries</w:t>
            </w:r>
            <w:r>
              <w:t xml:space="preserve"> or Parliament’s prerogatives; underscores that the allocation of funds to specific policy objectives is to be decided jointly by Parliament and the Council; deplores the fact that the indicative nomenclature proposed in the programme legislation is woefully insufficient; </w:t>
            </w:r>
            <w:r>
              <w:rPr>
                <w:b/>
                <w:i/>
              </w:rPr>
              <w:t>Stresses that budgetary nomenclature is not merely a technical issue, but a political instrument that directly shapes the level of transparency and accountability;</w:t>
            </w:r>
            <w:r>
              <w:t xml:space="preserve"> reiterates its call for the post-2027 MFF to include two special instruments – one dedicated to ensuring solidarity in the event of natural disasters and one for general-purpose crisis response;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Recognises the need for enhanced flexibility in allocating resources within certain programmes, but stresses that this must not compromise long-term policy objectives, funding predictability or Parliament’s prerogatives; underscores that the allocation of funds to specific policy objectives is to be decided jointly by Parliament and the Council; </w:t>
            </w:r>
            <w:r>
              <w:rPr>
                <w:b/>
                <w:i/>
              </w:rPr>
              <w:t>deplores the fact that the indicative nomenclature proposed in the programme legislation is woefully insufficient;</w:t>
            </w:r>
            <w:r>
              <w:t xml:space="preserve"> </w:t>
            </w:r>
            <w:r>
              <w:rPr>
                <w:b/>
                <w:i/>
              </w:rPr>
              <w:t>reiterates its call for the post-2027 MFF to include two special instruments – one dedicated to ensuring solidarity in the event of natural disasters and one for general-purpose crisis response;</w:t>
            </w:r>
          </w:p>
        </w:tc>
        <w:tc>
          <w:tcPr>
            <w:tcW w:w="4876" w:type="dxa"/>
            <w:tcBorders>
              <w:top w:val="nil"/>
              <w:left w:val="nil"/>
              <w:bottom w:val="nil"/>
              <w:right w:val="nil"/>
            </w:tcBorders>
          </w:tcPr>
          <w:p>
            <w:pPr>
              <w:pStyle w:val="Normal6a"/>
            </w:pPr>
            <w:r>
              <w:t>7.</w:t>
            </w:r>
            <w:r>
              <w:tab/>
            </w:r>
            <w:r>
              <w:t>Recognises the need for enhanced flexibility in allocating resources within certain programmes, but stresses that this must not compromise long-term policy objectives, funding predictability or Parliament’s prerogatives; underscores that the allocation of funds to specific policy objectives</w:t>
            </w:r>
            <w:r>
              <w:rPr>
                <w:b/>
                <w:i/>
              </w:rPr>
              <w:t>, which should always be supplementary, in accordance with the principle of subsidiarity,</w:t>
            </w:r>
            <w:r>
              <w:t xml:space="preserve"> is to be decided jointly by Parliament and the Council;</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Joachim Streit,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Recognises the need for </w:t>
            </w:r>
            <w:r>
              <w:rPr>
                <w:b/>
                <w:i/>
              </w:rPr>
              <w:t>enhanced</w:t>
            </w:r>
            <w:r>
              <w:t xml:space="preserve"> flexibility in allocating resources within certain programmes</w:t>
            </w:r>
            <w:r>
              <w:rPr>
                <w:b/>
                <w:i/>
              </w:rPr>
              <w:t>, but stresses that this</w:t>
            </w:r>
            <w:r>
              <w:t xml:space="preserve"> must not compromise long-term policy objectives</w:t>
            </w:r>
            <w:r>
              <w:rPr>
                <w:b/>
                <w:i/>
              </w:rPr>
              <w:t>, funding predictability</w:t>
            </w:r>
            <w:r>
              <w:t xml:space="preserve"> or Parliament’s prerogatives; </w:t>
            </w:r>
            <w:r>
              <w:rPr>
                <w:b/>
                <w:i/>
              </w:rPr>
              <w:t>underscores</w:t>
            </w:r>
            <w:r>
              <w:t xml:space="preserve"> that the allocation of funds </w:t>
            </w:r>
            <w:r>
              <w:rPr>
                <w:b/>
                <w:i/>
              </w:rPr>
              <w:t>to specific policy objectives</w:t>
            </w:r>
            <w:r>
              <w:t xml:space="preserve"> is to be decided jointly by Parliament and the Council; </w:t>
            </w:r>
            <w:r>
              <w:rPr>
                <w:b/>
                <w:i/>
              </w:rPr>
              <w:t>deplores the fact that the indicative nomenclature proposed in the programme legislation is woefully insufficient; reiterates its call for the post-2027 MFF to include two</w:t>
            </w:r>
            <w:r>
              <w:t xml:space="preserve"> special instruments </w:t>
            </w:r>
            <w:r>
              <w:rPr>
                <w:b/>
                <w:i/>
              </w:rPr>
              <w:t>– one dedicated to ensuring solidarity in the event of natural disasters and one for general-purpose crisis response</w:t>
            </w:r>
            <w:r>
              <w:t>;</w:t>
            </w:r>
          </w:p>
        </w:tc>
        <w:tc>
          <w:tcPr>
            <w:tcW w:w="4876" w:type="dxa"/>
            <w:tcBorders>
              <w:top w:val="nil"/>
              <w:left w:val="nil"/>
              <w:bottom w:val="nil"/>
              <w:right w:val="nil"/>
            </w:tcBorders>
          </w:tcPr>
          <w:p>
            <w:pPr>
              <w:pStyle w:val="Normal6a"/>
            </w:pPr>
            <w:r>
              <w:t>7.</w:t>
            </w:r>
            <w:r>
              <w:tab/>
            </w:r>
            <w:r>
              <w:t xml:space="preserve">Recognises the need for </w:t>
            </w:r>
            <w:r>
              <w:rPr>
                <w:b/>
                <w:i/>
              </w:rPr>
              <w:t>limited</w:t>
            </w:r>
            <w:r>
              <w:t xml:space="preserve"> flexibility in allocating resources within certain programmes </w:t>
            </w:r>
            <w:r>
              <w:rPr>
                <w:b/>
                <w:i/>
              </w:rPr>
              <w:t>in response to exceptional and unforeseen circumstances, while stressing that such flexibility</w:t>
            </w:r>
            <w:r>
              <w:t xml:space="preserve"> must not compromise </w:t>
            </w:r>
            <w:r>
              <w:rPr>
                <w:b/>
                <w:i/>
              </w:rPr>
              <w:t>funding predictability,</w:t>
            </w:r>
            <w:r>
              <w:t xml:space="preserve"> long-term policy objectives or Parliament’s prerogatives; </w:t>
            </w:r>
            <w:r>
              <w:rPr>
                <w:b/>
                <w:i/>
              </w:rPr>
              <w:t>recalls</w:t>
            </w:r>
            <w:r>
              <w:t xml:space="preserve"> that the allocation of funds is to be decided jointly by Parliament and the Council; </w:t>
            </w:r>
            <w:r>
              <w:rPr>
                <w:b/>
                <w:i/>
              </w:rPr>
              <w:t>underlines that any</w:t>
            </w:r>
            <w:r>
              <w:t xml:space="preserve"> special instruments </w:t>
            </w:r>
            <w:r>
              <w:rPr>
                <w:b/>
                <w:i/>
              </w:rPr>
              <w:t>must be strictly temporary, clearly circumscribed and compatible with budgetary discipline and the integrity of the MFF ceilings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Recognises the need for enhanced flexibility in allocating resources </w:t>
            </w:r>
            <w:r>
              <w:rPr>
                <w:b/>
                <w:i/>
              </w:rPr>
              <w:t>within certain programmes</w:t>
            </w:r>
            <w:r>
              <w:t xml:space="preserve">, but stresses that this must not compromise long-term policy objectives, funding predictability or Parliament’s prerogatives; underscores that the allocation of funds to specific policy objectives is to be decided jointly by Parliament and the Council; deplores the fact that the indicative nomenclature proposed in the programme legislation is woefully insufficient; reiterates its call for the post-2027 MFF to include two special instruments – one dedicated to ensuring solidarity in the event of natural disasters and one for general-purpose </w:t>
            </w:r>
            <w:r>
              <w:rPr>
                <w:b/>
                <w:i/>
              </w:rPr>
              <w:t>crisis response</w:t>
            </w:r>
            <w:r>
              <w:t>;</w:t>
            </w:r>
          </w:p>
        </w:tc>
        <w:tc>
          <w:tcPr>
            <w:tcW w:w="4876" w:type="dxa"/>
            <w:tcBorders>
              <w:top w:val="nil"/>
              <w:left w:val="nil"/>
              <w:bottom w:val="nil"/>
              <w:right w:val="nil"/>
            </w:tcBorders>
          </w:tcPr>
          <w:p>
            <w:pPr>
              <w:pStyle w:val="Normal6a"/>
            </w:pPr>
            <w:r>
              <w:t>7.</w:t>
            </w:r>
            <w:r>
              <w:tab/>
            </w:r>
            <w:r>
              <w:t xml:space="preserve">Recognises the need for enhanced flexibility in allocating resources , but stresses that this must not compromise long-term policy objectives, funding predictability </w:t>
            </w:r>
            <w:r>
              <w:rPr>
                <w:b/>
                <w:i/>
              </w:rPr>
              <w:t>and transparency</w:t>
            </w:r>
            <w:r>
              <w:t xml:space="preserve"> or Parliament’s prerogatives; underscores that the allocation of funds to specific policy objectives is to be decided jointly by Parliament and the Council </w:t>
            </w:r>
            <w:r>
              <w:rPr>
                <w:b/>
                <w:i/>
              </w:rPr>
              <w:t>in codecision</w:t>
            </w:r>
            <w:r>
              <w:t xml:space="preserve">; deplores the fact that the indicative nomenclature proposed in the programme legislation is woefully insufficient; reiterates its call for the post-2027 MFF to include two special instruments – one dedicated to ensuring solidarity in the event of natural disasters and </w:t>
            </w:r>
            <w:r>
              <w:rPr>
                <w:b/>
                <w:i/>
              </w:rPr>
              <w:t>humanitarian aid (crisis response) and</w:t>
            </w:r>
            <w:r>
              <w:t xml:space="preserve"> one for general-purpose;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Calls for the creation, within the next MFF, of a dedicated Defence Emergency Revision Clause to be activated in the event of a major defence crisis, including armed aggression against a Member-State of the Union; stresses that this revision clause must be strictly purpose-bound and time-limited, allow rapid mobilisation of additional funding to protect the European citizens and sustain critical defence and security needs. This review shall, as appropriate, be accompanied by a legislative proposal for the revision of MFF Regulation in accordance with the procedures set out in the TFEU;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Underlines the importance of the proposed Solidarity Reserve for Natural Disasters as a special instrument within the future Multiannual Financial Framework, given the increasing frequency and severity of natural and climate-related disasters affecting many Member States; stresses that a dedicated and flexible Union-level instrument is essential to ensure a timely, coordinated and effective response, strengthen European solidarity and mitigate the significant social, economic and budgetary impacts of such disasters on affected regions and national authorities;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Calls for the principle of economic, social and territorial cohesion to be defined in the MFF for 2028-2034 as a horizontal principle in the EU’s long-term budget, making the assessment of the impact on cohesion between and within Member States of all expenditure, policies or actions a requirement, with the aim of promoting effective convergence in economic and social progress;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Underlines that any flexibility to respond to unforeseen challenges should not undermine the strategic vision of cohesion policy and its traditional role as a long-term investment policy;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Stresses that the MFF architecture must ensure clear, separate budget lines for key priorities to guarantee predictability, transparency and parliamentary scrutiny;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Advocates ensuring that EU funds are tailored to the needs, priorities and development strategies of each Member State;</w:t>
            </w:r>
            <w:r>
              <w:t xml:space="preserve"> </w:t>
            </w:r>
            <w:r>
              <w:rPr>
                <w:b/>
                <w:i/>
              </w:rPr>
              <w:t>rejects, accordingly, ‘conditionality’ mechanisms or the logic of financing ‘reforms’ pre-determined by the EU, and which draw on a range of instruments and policies, with a particular focus on the allocation of funds;</w:t>
            </w:r>
            <w:r>
              <w:t xml:space="preserve"> </w:t>
            </w:r>
            <w:r>
              <w:rPr>
                <w:b/>
                <w:i/>
              </w:rPr>
              <w:t>rejects any link between the application and disbursement of funds and economic governance instruments, in particular the European Semester and its country-specific recommendations;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Alexander Jungbluth, Stanisław Tyszka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Underlines that compliance with Union values and fundamental rights is an essential prerequisite to access EU funds and believes that the protection of the Union’s financial interests depends on respect for the rule of law at national level;</w:t>
            </w:r>
            <w:r>
              <w:t xml:space="preserve"> </w:t>
            </w:r>
            <w:r>
              <w:rPr>
                <w:b/>
                <w:i/>
              </w:rPr>
              <w:t>calls for any duplication or overlaps between existing and future legislation to be avoided, in particular for the proposal on the NRPPs where such overlaps are observed, and to ensure a unified, coherent and comprehensive framework across all EU funding programmes, under the umbrella of the Rule of Law Conditionality Regulation</w:t>
            </w:r>
            <w:r>
              <w:rPr>
                <w:b/>
                <w:i/>
                <w:vertAlign w:val="superscript"/>
              </w:rPr>
              <w:t>2</w:t>
            </w:r>
            <w:r>
              <w:rPr>
                <w:b/>
                <w:i/>
              </w:rPr>
              <w:t>;</w:t>
            </w:r>
          </w:p>
        </w:tc>
        <w:tc>
          <w:tcPr>
            <w:tcW w:w="4876" w:type="dxa"/>
            <w:tcBorders>
              <w:top w:val="nil"/>
              <w:left w:val="nil"/>
              <w:bottom w:val="nil"/>
              <w:right w:val="nil"/>
            </w:tcBorders>
          </w:tcPr>
          <w:p>
            <w:pPr>
              <w:pStyle w:val="Normal6a"/>
            </w:pPr>
            <w:r>
              <w:rPr>
                <w:b/>
                <w:i/>
              </w:rPr>
              <w:t>deleted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Regulation (EU, Euratom) 2020/2092 of the European Parliament and of the Council of 16 December 2020 on a general regime of conditionality for the protection of the Union budget (OJ L 433I, 22.12.2020, p.</w:t>
            </w:r>
            <w:r>
              <w:t xml:space="preserve"> </w:t>
            </w:r>
            <w:r>
              <w:rPr>
                <w:b/>
                <w:i/>
              </w:rPr>
              <w:t>1, ELI: http://data.europa.eu/eli/reg/2020/2092/oj).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Underlines that compliance with Union values and fundamental rights is an essential prerequisite to access EU funds and believes that the protection of the Union’s financial interests depends on respect for the rule of law at national level; calls for any duplication or overlaps between existing and future legislation to be avoided, in particular for the proposal on the NRPPs where such overlaps are observed, and to ensure a unified, coherent and comprehensive framework across all EU funding programmes, under the umbrella of the Rule of Law Conditionality Regulation</w:t>
            </w:r>
            <w:r>
              <w:rPr>
                <w:b/>
                <w:i/>
                <w:vertAlign w:val="superscript"/>
              </w:rPr>
              <w:t>2</w:t>
            </w:r>
            <w:r>
              <w:rPr>
                <w:b/>
                <w:i/>
              </w:rPr>
              <w:t xml:space="preserve"> ;</w:t>
            </w:r>
          </w:p>
        </w:tc>
        <w:tc>
          <w:tcPr>
            <w:tcW w:w="4876" w:type="dxa"/>
            <w:tcBorders>
              <w:top w:val="nil"/>
              <w:left w:val="nil"/>
              <w:bottom w:val="nil"/>
              <w:right w:val="nil"/>
            </w:tcBorders>
          </w:tcPr>
          <w:p>
            <w:pPr>
              <w:pStyle w:val="Normal6a"/>
            </w:pPr>
            <w:r>
              <w:rPr>
                <w:b/>
                <w:i/>
              </w:rPr>
              <w:t>deleted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Regulation (EU, Euratom) 2020/2092 of the European Parliament and of the Council of 16 December 2020 on a general regime of conditionality for the protection of the Union budget (OJ L 433I, 22.12.2020, p. 1, ELI: http://data.europa.eu/eli/reg/2020/2092/oj).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Underlines that compliance with Union values and fundamental rights is an essential prerequisite to access EU funds and believes that the protection of the Union’s financial interests depends on respect for the rule of law at national level;</w:t>
            </w:r>
            <w:r>
              <w:t xml:space="preserve"> calls for any duplication or overlaps between existing and future legislation to be avoided, in particular for the proposal on the NRPPs where such overlaps are observed, and to ensure a unified, coherent and comprehensive framework across all EU funding programmes</w:t>
            </w:r>
            <w:r>
              <w:rPr>
                <w:b/>
                <w:i/>
              </w:rPr>
              <w:t>, under the umbrella of the Rule of Law Conditionality Regulation</w:t>
            </w:r>
            <w:r>
              <w:rPr>
                <w:b/>
                <w:i/>
                <w:vertAlign w:val="superscript"/>
              </w:rPr>
              <w:t>2</w:t>
            </w:r>
            <w:r>
              <w:t>;</w:t>
            </w:r>
          </w:p>
        </w:tc>
        <w:tc>
          <w:tcPr>
            <w:tcW w:w="4876" w:type="dxa"/>
            <w:tcBorders>
              <w:top w:val="nil"/>
              <w:left w:val="nil"/>
              <w:bottom w:val="nil"/>
              <w:right w:val="nil"/>
            </w:tcBorders>
          </w:tcPr>
          <w:p>
            <w:pPr>
              <w:pStyle w:val="Normal6a"/>
            </w:pPr>
            <w:r>
              <w:t>8.</w:t>
            </w:r>
            <w:r>
              <w:tab/>
            </w:r>
            <w:r>
              <w:t>Calls for any duplication or overlaps between existing and future legislation to be avoided, in particular for the proposal on the NRPPs where such overlaps are observed, and to ensure a unified, coherent and comprehensive framework across all EU funding programmes;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Regulation (EU, Euratom) 2020/2092 of the European Parliament and of the Council of 16 December 2020 on a general regime of conditionality for the protection of the Union budget (OJ L 433I, 22.12.2020, p.</w:t>
            </w:r>
            <w:r>
              <w:t xml:space="preserve"> </w:t>
            </w:r>
            <w:r>
              <w:rPr>
                <w:b/>
                <w:i/>
              </w:rPr>
              <w:t>1, ELI: http://data.europa.eu/eli/reg/2020/2092/oj).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Underlines that compliance with Union values and fundamental rights is an essential prerequisite to access EU funds and believes that the protection of the Union’s financial interests </w:t>
            </w:r>
            <w:r>
              <w:rPr>
                <w:b/>
                <w:i/>
              </w:rPr>
              <w:t>depends on</w:t>
            </w:r>
            <w:r>
              <w:t xml:space="preserve"> respect for the rule of law at national level; calls for any duplication or overlaps between existing and future legislation to be avoided, in particular </w:t>
            </w:r>
            <w:r>
              <w:rPr>
                <w:b/>
                <w:i/>
              </w:rPr>
              <w:t>for</w:t>
            </w:r>
            <w:r>
              <w:t xml:space="preserve"> the proposal on the NRPPs where such overlaps are observed, and to ensure a unified, coherent and comprehensive framework across all EU funding programmes, under the umbrella of the Rule of Law Conditionality Regulation</w:t>
            </w:r>
            <w:r>
              <w:rPr>
                <w:b/>
                <w:i/>
                <w:vertAlign w:val="superscript"/>
              </w:rPr>
              <w:t>2</w:t>
            </w:r>
            <w:r>
              <w:t xml:space="preserve"> </w:t>
            </w:r>
            <w:r>
              <w:rPr>
                <w:b/>
                <w:i/>
              </w:rPr>
              <w:t>;</w:t>
            </w:r>
          </w:p>
        </w:tc>
        <w:tc>
          <w:tcPr>
            <w:tcW w:w="4876" w:type="dxa"/>
            <w:tcBorders>
              <w:top w:val="nil"/>
              <w:left w:val="nil"/>
              <w:bottom w:val="nil"/>
              <w:right w:val="nil"/>
            </w:tcBorders>
          </w:tcPr>
          <w:p>
            <w:pPr>
              <w:pStyle w:val="Normal6a"/>
            </w:pPr>
            <w:r>
              <w:t>8.</w:t>
            </w:r>
            <w:r>
              <w:tab/>
            </w:r>
            <w:r>
              <w:t xml:space="preserve">Underlines that compliance with Union values and fundamental rights is an essential prerequisite to access EU funds and believes that the </w:t>
            </w:r>
            <w:r>
              <w:rPr>
                <w:b/>
                <w:i/>
              </w:rPr>
              <w:t>effective</w:t>
            </w:r>
            <w:r>
              <w:t xml:space="preserve"> protection of the Union’s financial interests </w:t>
            </w:r>
            <w:r>
              <w:rPr>
                <w:b/>
                <w:i/>
              </w:rPr>
              <w:t>is intrinsically linked to the</w:t>
            </w:r>
            <w:r>
              <w:t xml:space="preserve"> respect for the rule of law </w:t>
            </w:r>
            <w:r>
              <w:rPr>
                <w:b/>
                <w:i/>
              </w:rPr>
              <w:t>also</w:t>
            </w:r>
            <w:r>
              <w:t xml:space="preserve"> at national level; calls for any duplication or overlaps between existing and future legislation to be avoided, in particular </w:t>
            </w:r>
            <w:r>
              <w:rPr>
                <w:b/>
                <w:i/>
              </w:rPr>
              <w:t>in light of</w:t>
            </w:r>
            <w:r>
              <w:t xml:space="preserve"> the proposal on the NRPPs where such overlaps are observed, and to ensure a unified, coherent and comprehensive framework </w:t>
            </w:r>
            <w:r>
              <w:rPr>
                <w:b/>
                <w:i/>
              </w:rPr>
              <w:t>for the application of rule of law related budget protection measures</w:t>
            </w:r>
            <w:r>
              <w:t xml:space="preserve"> across all EU funding programmes, under the umbrella of the Rule of Law Conditionality Regulation</w:t>
            </w:r>
            <w:r>
              <w:rPr>
                <w:b/>
                <w:i/>
              </w:rPr>
              <w:t>[1], the Financial Regulation, and the Charter, while ensuring legal certainty, transparency, consistency of application and full parliamentary scrutiny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Regulation (EU, Euratom) 2020/2092 of the European Parliament and of the Council of 16 December 2020 on a general regime of conditionality for the protection of the Union budget (OJ L 433I, 22.12.2020, p. 1, ELI: http://data.europa.eu/eli/reg/2020/2092/oj).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Underlines that compliance with Union values and fundamental rights is an essential prerequisite to access EU funds and believes that the protection of the Union’s financial interests depends on respect for the rule of law at national level; calls for any duplication or overlaps between existing and future legislation to be avoided, in particular for the proposal on the NRPPs where such overlaps are observed, and to ensure a unified, coherent and comprehensive framework across all EU funding programmes, under the umbrella of the Rule of Law Conditionality Regulation</w:t>
            </w:r>
            <w:r>
              <w:rPr>
                <w:vertAlign w:val="superscript"/>
              </w:rPr>
              <w:t>2</w:t>
            </w:r>
            <w:r>
              <w:t xml:space="preserve"> ;</w:t>
            </w:r>
          </w:p>
        </w:tc>
        <w:tc>
          <w:tcPr>
            <w:tcW w:w="4876" w:type="dxa"/>
            <w:tcBorders>
              <w:top w:val="nil"/>
              <w:left w:val="nil"/>
              <w:bottom w:val="nil"/>
              <w:right w:val="nil"/>
            </w:tcBorders>
          </w:tcPr>
          <w:p>
            <w:pPr>
              <w:pStyle w:val="Normal6a"/>
            </w:pPr>
            <w:r>
              <w:t>8.</w:t>
            </w:r>
            <w:r>
              <w:tab/>
            </w:r>
            <w:r>
              <w:t>Underlines that compliance with Union values and fundamental rights is an essential prerequisite to access EU funds and believes that the protection of the Union’s financial interests depends on respect for the rule of law at national level; calls for any duplication or overlaps between existing and future legislation to be avoided, in particular for the proposal on the NRPPs where such overlaps are observed, and to ensure a unified, coherent and comprehensive framework across all EU funding programmes, under the umbrella of the Rule of Law Conditionality Regulation</w:t>
            </w:r>
            <w:r>
              <w:rPr>
                <w:vertAlign w:val="superscript"/>
              </w:rPr>
              <w:t>2</w:t>
            </w:r>
            <w:r>
              <w:t xml:space="preserve">; </w:t>
            </w:r>
            <w:r>
              <w:rPr>
                <w:b/>
                <w:i/>
              </w:rPr>
              <w:t>calls for binding measures that ensure that regions, municipalities and cities, are not penalised directly or indirectly for failure by national authorities to comply with the Conditionality Regulation;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Regulation (EU, Euratom) 2020/2092 of the European Parliament and of the Council of 16 December 2020 on a general regime of conditionality for the protection of the Union budget (OJ L 433I, 22.12.2020, p. 1, ELI: http://data.europa.eu/eli/reg/2020/2092/oj).</w:t>
            </w:r>
          </w:p>
        </w:tc>
        <w:tc>
          <w:tcPr>
            <w:tcW w:w="4876" w:type="dxa"/>
            <w:tcBorders>
              <w:top w:val="nil"/>
              <w:left w:val="nil"/>
              <w:bottom w:val="nil"/>
              <w:right w:val="nil"/>
            </w:tcBorders>
          </w:tcPr>
          <w:p>
            <w:pPr>
              <w:pStyle w:val="Normal6a"/>
            </w:pPr>
            <w:r>
              <w:rPr>
                <w:vertAlign w:val="superscript"/>
              </w:rPr>
              <w:t>2</w:t>
            </w:r>
            <w:r>
              <w:t xml:space="preserve"> </w:t>
            </w:r>
            <w:r>
              <w:t>Regulation (EU, Euratom) 2020/2092 of the European Parliament and of the Council of 16 December 2020 on a general regime of conditionality for the protection of the Union budget (OJ L 433I, 22.12.2020, p. 1, ELI: http://data.europa.eu/eli/reg/2020/2092/oj).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Underlines that compliance with </w:t>
            </w:r>
            <w:r>
              <w:rPr>
                <w:b/>
                <w:i/>
              </w:rPr>
              <w:t>Union values and</w:t>
            </w:r>
            <w:r>
              <w:t xml:space="preserve"> fundamental rights is an essential prerequisite to access EU funds and believes that the protection of the Union’s financial interests depends on respect for the rule of law at national level; calls for any duplication or overlaps between existing and future legislation to be avoided, in particular for the proposal on the NRPPs where such overlaps are observed, and to ensure a unified, coherent and comprehensive framework across all EU funding programmes</w:t>
            </w:r>
            <w:r>
              <w:rPr>
                <w:b/>
                <w:i/>
              </w:rPr>
              <w:t>, under the umbrella of the Rule of Law Conditionality Regulation</w:t>
            </w:r>
            <w:r>
              <w:rPr>
                <w:b/>
                <w:i/>
                <w:vertAlign w:val="superscript"/>
              </w:rPr>
              <w:t>2</w:t>
            </w:r>
            <w:r>
              <w:t>;</w:t>
            </w:r>
          </w:p>
        </w:tc>
        <w:tc>
          <w:tcPr>
            <w:tcW w:w="4876" w:type="dxa"/>
            <w:tcBorders>
              <w:top w:val="nil"/>
              <w:left w:val="nil"/>
              <w:bottom w:val="nil"/>
              <w:right w:val="nil"/>
            </w:tcBorders>
          </w:tcPr>
          <w:p>
            <w:pPr>
              <w:pStyle w:val="Normal6a"/>
            </w:pPr>
            <w:r>
              <w:t>8.</w:t>
            </w:r>
            <w:r>
              <w:tab/>
            </w:r>
            <w:r>
              <w:t xml:space="preserve">Underlines that compliance with </w:t>
            </w:r>
            <w:r>
              <w:rPr>
                <w:b/>
                <w:i/>
              </w:rPr>
              <w:t>universal</w:t>
            </w:r>
            <w:r>
              <w:t xml:space="preserve"> fundamental rights is an essential prerequisite to access EU funds and believes that the protection of the Union’s financial interests depends on respect for the </w:t>
            </w:r>
            <w:r>
              <w:rPr>
                <w:b/>
                <w:i/>
              </w:rPr>
              <w:t>clearly defined</w:t>
            </w:r>
            <w:r>
              <w:t xml:space="preserve"> rule of law at national level; calls for any duplication or overlaps between existing and future legislation to be avoided, in particular for the proposal on the NRPPs where such overlaps are observed, and to ensure a unified, coherent and comprehensive framework across all EU funding programmes;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Regulation (EU, Euratom) 2020/2092 of the European Parliament and of the Council of 16 December 2020 on a general regime of conditionality for the protection of the Union budget (OJ L 433I, 22.12.2020, p.</w:t>
            </w:r>
            <w:r>
              <w:t xml:space="preserve"> </w:t>
            </w:r>
            <w:r>
              <w:rPr>
                <w:b/>
                <w:i/>
              </w:rPr>
              <w:t>1, ELI: http://data.europa.eu/eli/reg/2020/2092/oj).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Underlines that compliance with Union values and fundamental rights is an essential prerequisite to access EU funds and believes that the protection of the Union’s financial interests </w:t>
            </w:r>
            <w:r>
              <w:rPr>
                <w:b/>
                <w:i/>
              </w:rPr>
              <w:t>depends on</w:t>
            </w:r>
            <w:r>
              <w:t xml:space="preserve"> respect for the rule of law at national level; calls for any duplication or overlaps </w:t>
            </w:r>
            <w:r>
              <w:rPr>
                <w:b/>
                <w:i/>
              </w:rPr>
              <w:t>between existing and future</w:t>
            </w:r>
            <w:r>
              <w:t xml:space="preserve"> legislation to be avoided, in particular </w:t>
            </w:r>
            <w:r>
              <w:rPr>
                <w:b/>
                <w:i/>
              </w:rPr>
              <w:t>for</w:t>
            </w:r>
            <w:r>
              <w:t xml:space="preserve"> the proposal on the NRPPs where such overlaps are observed, and to ensure a unified, coherent and comprehensive framework across all EU funding programmes</w:t>
            </w:r>
            <w:r>
              <w:rPr>
                <w:b/>
                <w:i/>
              </w:rPr>
              <w:t>, under the umbrella of the Rule of Law Conditionality Regulation</w:t>
            </w:r>
            <w:r>
              <w:rPr>
                <w:b/>
                <w:i/>
                <w:vertAlign w:val="superscript"/>
              </w:rPr>
              <w:t>2</w:t>
            </w:r>
            <w:r>
              <w:t xml:space="preserve"> ;</w:t>
            </w:r>
          </w:p>
        </w:tc>
        <w:tc>
          <w:tcPr>
            <w:tcW w:w="4876" w:type="dxa"/>
            <w:tcBorders>
              <w:top w:val="nil"/>
              <w:left w:val="nil"/>
              <w:bottom w:val="nil"/>
              <w:right w:val="nil"/>
            </w:tcBorders>
          </w:tcPr>
          <w:p>
            <w:pPr>
              <w:pStyle w:val="Normal6a"/>
            </w:pPr>
            <w:r>
              <w:t>8.</w:t>
            </w:r>
            <w:r>
              <w:tab/>
            </w:r>
            <w:r>
              <w:t xml:space="preserve">Underlines that compliance with Union values and fundamental rights is an essential prerequisite to access EU funds and believes that the protection of the Union’s financial interests </w:t>
            </w:r>
            <w:r>
              <w:rPr>
                <w:b/>
                <w:i/>
              </w:rPr>
              <w:t>is intrinsically linked to the</w:t>
            </w:r>
            <w:r>
              <w:t xml:space="preserve"> respect for the rule of law </w:t>
            </w:r>
            <w:r>
              <w:rPr>
                <w:b/>
                <w:i/>
              </w:rPr>
              <w:t>also</w:t>
            </w:r>
            <w:r>
              <w:t xml:space="preserve"> at national level; calls for any duplication or overlaps legislation to be avoided, in particular </w:t>
            </w:r>
            <w:r>
              <w:rPr>
                <w:b/>
                <w:i/>
              </w:rPr>
              <w:t>in light of</w:t>
            </w:r>
            <w:r>
              <w:t xml:space="preserve"> the proposal on the NRPPs where such overlaps are observed, and to ensure a unified, coherent and comprehensive framework across all EU funding programmes;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Regulation (EU, Euratom) 2020/2092 of the European Parliament and of the Council of 16 December 2020 on a general regime of conditionality for the protection of the Union budget (OJ L 433I, 22.12.2020, p. 1, ELI: http://data.europa.eu/eli/reg/2020/2092/oj).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Moritz Körner, Anouk Van Brug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Recalls that the Rule of Law Conditionality Regulation provides that final recipients should not be deprived of the benefits of EU funds in the event of sanctions being applied to their government; believes that, to date, this provision has not been effective; expresses concern that the suspension of EU funds could be misused by sanctioned national governments as a political weapon to disenfranchise civil society, as well as local and regional authorities; stresses the importance of applying a smart conditionality approach so that beneficiaries are not penalised because of their government’s actions; calls on the Commission to adopt additional measures ensuring that local and regional authorities, civil society, and other beneficiaries can continue to benefit from Union funding in cases of breaches of the rule of law by national governments without weakening the application of the regulation; believes that these additional measures should include reallocating de-committed funds into financing schemes directly managed by the European Commission; underlines that in order to avoid an excessive administrative burden on the Commission, the role of managing authorities should be assumed by competent regional and local authorities, by semi-independent bodies such as JASPERS or the European Investment Bank, or by independent professional fund operators with the necessary organisational capacity, selected through competitive public tenders, such as firms providing consulting and technical support for international development projects;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Céline Imart, Isabelle Le Callennec, Christophe Gomart, Nadine Morano,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Notes that the Muslim Brotherhood and the Islamic Revolutionary Guard Corps of Iran are engaged in strategies based on entryism, destabilisation and the financing of terrorism, and that they pose a serious threat to the rule of law and security and to the Union’s financial and strategic interests;</w:t>
            </w:r>
            <w:r>
              <w:t xml:space="preserve"> </w:t>
            </w:r>
            <w:r>
              <w:rPr>
                <w:b/>
                <w:i/>
              </w:rPr>
              <w:t>therefore urges the Council, given how dangerous these organisations are, to take a clear stand by including them on the EU’s terrorist list and applying to them all of the relevant restrictive measures and sanctions;</w:t>
            </w:r>
            <w:r>
              <w:t xml:space="preserve"> </w:t>
            </w:r>
            <w:r>
              <w:rPr>
                <w:b/>
                <w:i/>
              </w:rPr>
              <w:t>finally, stresses that the Union’s budget should not be used, whether directly or indirectly, to benefit entities or networks linked to these organisations, which promote ideologies that are antithetical to the fundamental values of the Union, and that the Commission must tighten up its checks in order to rule out any possibility of them obtaining European funding;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Expresses its deep concern over the Commission’s plan to make agricultural support conditional on compliance with the Rule of Law Conditionality Regulation;</w:t>
            </w:r>
            <w:r>
              <w:t xml:space="preserve"> </w:t>
            </w:r>
            <w:r>
              <w:rPr>
                <w:b/>
                <w:i/>
              </w:rPr>
              <w:t>recalls that previous approaches have revealed a lack of objectivity on the part of the Commission towards certain Member States;</w:t>
            </w:r>
            <w:r>
              <w:t xml:space="preserve"> </w:t>
            </w:r>
            <w:r>
              <w:rPr>
                <w:b/>
                <w:i/>
              </w:rPr>
              <w:t>warns that such decisions may have a direct and negative impact on farmers’ incomes in the Member States in question;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Insists that under no circumstances, beneficiaries of Union funding should use such funding for detailed lobbying activities directed towards Union institutions, as they create reputational damage and risk upsetting the institutional balance in the Union; welcomes the Commissions new approach to protect the EU budget;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Regrets the fact that the Commission assesses the application of the rule of law by the Member States only, and not by the EU institutions themselves; underlines that there are plenty of alleged breaches of the rule of law by the EU institutions, not least by the Commission, that require proper scrutiny;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Calls for the establishment of a social conditionality clause as part of the thematic enabling conditions in the proposed NRPP Regulation (COM(2025) 0558), making the allocation and disbursement of funds conditional on adequate levels of social and green investment;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w:t>
            </w:r>
            <w:r>
              <w:tab/>
            </w:r>
            <w:r>
              <w:rPr>
                <w:b/>
                <w:i/>
              </w:rPr>
              <w:t>Rejects the continuation of the current 'rule of law conditionality system', moreover the further strengthening and extending conditionalities; reminds that any initiative on reinforcing or extending conditionalities goes against simplification and competitiveness by making it more difficult and time consuming for Member States to receive funding;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Alexander Jungbluth, Stanisław Tyszka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Reiterates the need for sustainable and resilient revenue for the Union budget that should match the expenditure side;</w:t>
            </w:r>
            <w:r>
              <w:t xml:space="preserve"> </w:t>
            </w:r>
            <w:r>
              <w:rPr>
                <w:b/>
                <w:i/>
              </w:rPr>
              <w:t>welcomes the Commission’s efforts to identify new own resources, as well as to put forward certain calibrations to traditional own resources;</w:t>
            </w:r>
            <w:r>
              <w:t xml:space="preserve"> </w:t>
            </w:r>
            <w:r>
              <w:rPr>
                <w:b/>
                <w:i/>
              </w:rPr>
              <w:t>supports the broader basket approach proposed by the Commission and calls on the Council to swiftly reach an agreement on new own resources in order to provide long-term budgetary certainty;</w:t>
            </w:r>
            <w:r>
              <w:t xml:space="preserve"> </w:t>
            </w:r>
            <w:r>
              <w:rPr>
                <w:b/>
                <w:i/>
              </w:rPr>
              <w:t>considers that the revenue potential of a digital services tax should be explored as a possible solution, should other proposed own resources not gain support among Member States;</w:t>
            </w:r>
            <w:r>
              <w:t xml:space="preserve"> </w:t>
            </w:r>
            <w:r>
              <w:rPr>
                <w:b/>
                <w:i/>
              </w:rPr>
              <w:t>notes the Commission’s proposal for a novel type of crisis mechanism based on extraordinary borrowing that offers the Union the ability to respond swiftly to unexpected developments;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Reiterates the need for sustainable and resilient revenue for the Union budget that should match the expenditure side;</w:t>
            </w:r>
            <w:r>
              <w:t xml:space="preserve"> </w:t>
            </w:r>
            <w:r>
              <w:rPr>
                <w:b/>
                <w:i/>
              </w:rPr>
              <w:t>welcomes the Commission’s efforts to identify new own resources, as well as to put forward certain calibrations to traditional own resources;</w:t>
            </w:r>
            <w:r>
              <w:t xml:space="preserve"> </w:t>
            </w:r>
            <w:r>
              <w:rPr>
                <w:b/>
                <w:i/>
              </w:rPr>
              <w:t>supports the broader basket approach proposed by the Commission and calls on the Council to swiftly reach an agreement on new own resources in order to provide long-term budgetary certainty;</w:t>
            </w:r>
            <w:r>
              <w:t xml:space="preserve"> </w:t>
            </w:r>
            <w:r>
              <w:rPr>
                <w:b/>
                <w:i/>
              </w:rPr>
              <w:t>considers that the revenue potential of a digital services tax should be explored as a possible solution, should other proposed own resources not gain support among Member States;</w:t>
            </w:r>
            <w:r>
              <w:t xml:space="preserve"> </w:t>
            </w:r>
            <w:r>
              <w:rPr>
                <w:b/>
                <w:i/>
              </w:rPr>
              <w:t>notes the Commission’s proposal for a novel type of crisis mechanism based on extraordinary borrowing that offers the Union the ability to respond swiftly to unexpected developments;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Reiterates the need for sustainable and resilient revenue for the Union budget that should match the expenditure side;</w:t>
            </w:r>
            <w:r>
              <w:t xml:space="preserve"> </w:t>
            </w:r>
            <w:r>
              <w:rPr>
                <w:b/>
                <w:i/>
              </w:rPr>
              <w:t>welcomes the Commission’s efforts to identify new own resources, as well as to put forward certain calibrations to traditional own resources;</w:t>
            </w:r>
            <w:r>
              <w:t xml:space="preserve"> </w:t>
            </w:r>
            <w:r>
              <w:rPr>
                <w:b/>
                <w:i/>
              </w:rPr>
              <w:t>supports the broader basket approach proposed by the Commission and calls on the Council to swiftly reach an agreement on new own resources in order to provide long-term budgetary certainty;</w:t>
            </w:r>
            <w:r>
              <w:t xml:space="preserve"> </w:t>
            </w:r>
            <w:r>
              <w:rPr>
                <w:b/>
                <w:i/>
              </w:rPr>
              <w:t>considers that the revenue potential of a digital services tax should be explored as a possible solution, should other proposed own resources not gain support among Member States;</w:t>
            </w:r>
            <w:r>
              <w:t xml:space="preserve"> </w:t>
            </w:r>
            <w:r>
              <w:rPr>
                <w:b/>
                <w:i/>
              </w:rPr>
              <w:t>notes the Commission’s proposal for a novel type of crisis mechanism based on extraordinary borrowing that offers the Union the ability to respond swiftly to unexpected developments;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Reiterates the need for sustainable and resilient revenue for the Union budget that should match the expenditure side; welcomes the Commission’s efforts to identify new own resources, as well as to put forward certain calibrations to traditional own resources; supports the broader basket approach proposed by the Commission and calls on the Council to swiftly reach an agreement on new own resources in order to provide long-term budgetary certainty; considers that the revenue potential of a digital services tax should be explored as a possible solution, should other proposed own resources not gain support among Member States; notes the Commission’s proposal for a novel type of crisis mechanism based on extraordinary borrowing that offers the Union the ability to respond swiftly to unexpected developments;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Reiterates the need for sustainable and resilient revenue for the Union budget that should match the expenditure side; welcomes the Commission’s efforts to identify new own resources, as well as to put forward certain calibrations to traditional own resources; supports the broader basket approach proposed by the Commission and calls on the Council to swiftly reach an agreement on new own resources in order to provide long-term budgetary certainty; considers that the revenue potential of a digital services tax should be explored as a possible solution, should other proposed own resources not gain support among Member States; notes the Commission’s proposal for a novel type of crisis mechanism based on extraordinary borrowing that offers the Union the ability to respond swiftly to unexpected developments;</w:t>
            </w:r>
          </w:p>
        </w:tc>
        <w:tc>
          <w:tcPr>
            <w:tcW w:w="4876" w:type="dxa"/>
            <w:tcBorders>
              <w:top w:val="nil"/>
              <w:left w:val="nil"/>
              <w:bottom w:val="nil"/>
              <w:right w:val="nil"/>
            </w:tcBorders>
          </w:tcPr>
          <w:p>
            <w:pPr>
              <w:pStyle w:val="Normal6a"/>
            </w:pPr>
            <w:r>
              <w:t>9.</w:t>
            </w:r>
            <w:r>
              <w:tab/>
            </w:r>
            <w:r>
              <w:t xml:space="preserve">Reiterates the need for sustainable and resilient revenue for the Union budget that should match the expenditure side; welcomes the Commission’s efforts to identify new own resources, as well as to put forward certain calibrations to traditional own resources; supports the broader basket approach proposed by the Commission and calls on the Council to swiftly reach an agreement on new own resources in order to provide long-term budgetary certainty; considers that the revenue potential of a digital services tax should be explored as a possible solution, should other proposed own resources not gain support among Member States; notes the Commission’s proposal for a novel type of crisis mechanism based on extraordinary borrowing that offers the Union the ability to respond swiftly to unexpected developments; </w:t>
            </w:r>
            <w:r>
              <w:rPr>
                <w:b/>
                <w:i/>
              </w:rPr>
              <w:t>considers that the Commission’s proposed new own resources, including new European taxes on medium-sized enterprises, constitute a gross error of judgement and fly in the face of the recommendations on competitiveness by which the Commission was purportedly inspired;</w:t>
            </w:r>
            <w:r>
              <w:t xml:space="preserve"> </w:t>
            </w:r>
            <w:r>
              <w:rPr>
                <w:b/>
                <w:i/>
              </w:rPr>
              <w:t>takes the view that new MFF expenditure could be financed through safe European assets by taking on joint debt for targeted financing;</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Rasmus Nordqvist, Rasmus Andresen</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Reiterates the need for sustainable and resilient revenue for the Union budget that should match the expenditure side; welcomes the Commission’s </w:t>
            </w:r>
            <w:r>
              <w:rPr>
                <w:b/>
                <w:i/>
              </w:rPr>
              <w:t>efforts to identify</w:t>
            </w:r>
            <w:r>
              <w:t xml:space="preserve"> new own resources, as well as to </w:t>
            </w:r>
            <w:r>
              <w:rPr>
                <w:b/>
                <w:i/>
              </w:rPr>
              <w:t>put</w:t>
            </w:r>
            <w:r>
              <w:t xml:space="preserve"> forward certain calibrations to traditional own resources; supports the broader basket approach proposed by the Commission and calls on the Council to swiftly reach an agreement on new own resources in order to provide long-term budgetary certainty; considers that the revenue potential of a digital services tax should be explored as a possible solution</w:t>
            </w:r>
            <w:r>
              <w:rPr>
                <w:b/>
                <w:i/>
              </w:rPr>
              <w:t>, should other proposed own resources not gain support among Member States; notes</w:t>
            </w:r>
            <w:r>
              <w:t xml:space="preserve"> the Commission’s proposal for a novel type of crisis mechanism based on extraordinary borrowing that offers the Union the ability to respond swiftly to unexpected developments;</w:t>
            </w:r>
          </w:p>
        </w:tc>
        <w:tc>
          <w:tcPr>
            <w:tcW w:w="4876" w:type="dxa"/>
            <w:tcBorders>
              <w:top w:val="nil"/>
              <w:left w:val="nil"/>
              <w:bottom w:val="nil"/>
              <w:right w:val="nil"/>
            </w:tcBorders>
          </w:tcPr>
          <w:p>
            <w:pPr>
              <w:pStyle w:val="Normal6a"/>
            </w:pPr>
            <w:r>
              <w:t>9.</w:t>
            </w:r>
            <w:r>
              <w:tab/>
            </w:r>
            <w:r>
              <w:t xml:space="preserve">Reiterates the need for sustainable and resilient revenue for the Union budget that should match the expenditure side; </w:t>
            </w:r>
            <w:r>
              <w:rPr>
                <w:b/>
                <w:i/>
              </w:rPr>
              <w:t>reiterates its longstanding call for the introduction of new genuine own resources not only for NextGenerationEU debt repayment but also to finance the Union’s policies;</w:t>
            </w:r>
            <w:r>
              <w:t xml:space="preserve"> welcomes the Commission’s </w:t>
            </w:r>
            <w:r>
              <w:rPr>
                <w:b/>
                <w:i/>
              </w:rPr>
              <w:t>proposal from June identifying</w:t>
            </w:r>
            <w:r>
              <w:t xml:space="preserve"> new own resources, as well as to </w:t>
            </w:r>
            <w:r>
              <w:rPr>
                <w:b/>
                <w:i/>
              </w:rPr>
              <w:t>putting</w:t>
            </w:r>
            <w:r>
              <w:t xml:space="preserve"> forward certain calibrations to traditional own resources; supports the broader basket approach proposed by the Commission and calls on the Council to swiftly reach an agreement on </w:t>
            </w:r>
            <w:r>
              <w:rPr>
                <w:b/>
                <w:i/>
              </w:rPr>
              <w:t>a basket of</w:t>
            </w:r>
            <w:r>
              <w:t xml:space="preserve"> new own resources </w:t>
            </w:r>
            <w:r>
              <w:rPr>
                <w:b/>
                <w:i/>
              </w:rPr>
              <w:t>of at least 60 billion/year</w:t>
            </w:r>
            <w:r>
              <w:t xml:space="preserve"> in order to provide long-term budgetary certainty; considers that the revenue potential of a digital services tax should be explored as a possible solution </w:t>
            </w:r>
            <w:r>
              <w:rPr>
                <w:b/>
                <w:i/>
              </w:rPr>
              <w:t>to ensure a basket of the required size, as well as EU-wide a kerosene tax, an international shipping tax, a tax on crypto assets, a tax on ultra-net-high net worth individuals or gambling; furthermore, welcomes</w:t>
            </w:r>
            <w:r>
              <w:t xml:space="preserve"> the Commission’s proposal for a novel type of crisis mechanism based on extraordinary borrowing that offers the Union the ability to respond swiftly to unexpected developments;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Anouk Van Brug, Katri Kulmuni,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Reiterates the need for sustainable and resilient revenue for the Union budget that should match the expenditure side; </w:t>
            </w:r>
            <w:r>
              <w:rPr>
                <w:b/>
                <w:i/>
              </w:rPr>
              <w:t>welcomes</w:t>
            </w:r>
            <w:r>
              <w:t xml:space="preserve"> the Commission’s efforts to identify new own resources, as well as to put forward certain calibrations to traditional own resources; </w:t>
            </w:r>
            <w:r>
              <w:rPr>
                <w:b/>
                <w:i/>
              </w:rPr>
              <w:t>supports the broader basket approach proposed by the Commission and calls on the Council to swiftly reach an agreement on new own resources in order to provide long-term budgetary certainty</w:t>
            </w:r>
            <w:r>
              <w:t>; considers that the revenue potential of a digital services tax should be explored as a possible solution, should other proposed own resources not gain support among Member States; notes the Commission’s proposal for a novel type of crisis mechanism based on extraordinary borrowing that offers the Union the ability to respond swiftly to unexpected developments;</w:t>
            </w:r>
          </w:p>
        </w:tc>
        <w:tc>
          <w:tcPr>
            <w:tcW w:w="4876" w:type="dxa"/>
            <w:tcBorders>
              <w:top w:val="nil"/>
              <w:left w:val="nil"/>
              <w:bottom w:val="nil"/>
              <w:right w:val="nil"/>
            </w:tcBorders>
          </w:tcPr>
          <w:p>
            <w:pPr>
              <w:pStyle w:val="Normal6a"/>
            </w:pPr>
            <w:r>
              <w:t>9.</w:t>
            </w:r>
            <w:r>
              <w:tab/>
            </w:r>
            <w:r>
              <w:t xml:space="preserve">Reiterates the need for sustainable and resilient revenue for the Union budget that should match the expenditure side; </w:t>
            </w:r>
            <w:r>
              <w:rPr>
                <w:b/>
                <w:i/>
              </w:rPr>
              <w:t>notes</w:t>
            </w:r>
            <w:r>
              <w:t xml:space="preserve"> the Commission’s efforts to identify new own resources, as well as to put forward certain calibrations to traditional own resources;; considers that the revenue potential of a digital services tax should be explored as a possible solution, should other proposed own resources not gain support among Member States; notes the Commission’s proposal for a novel type of crisis mechanism based on extraordinary borrowing that offers the Union the ability to respond swiftly to unexpected developments; </w:t>
            </w:r>
            <w:r>
              <w:rPr>
                <w:b/>
                <w:i/>
              </w:rPr>
              <w:t>considers joint EU borrowing undesirable as it comes with volatile and unpredictable interest costs that imposes additional costs and uncertainty on taxpayers, all the while undermining fiscal discipline and economic solidity; highlights that fiscal responsibility entails that unforeseen expenses should be financed by reprioritising existing financial resources and resisting the reflex to ask for higher contributions from tax payers;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Stanisław Tyszka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Reiterates the need for sustainable and resilient revenue for the Union budget that should match the expenditure side; </w:t>
            </w:r>
            <w:r>
              <w:rPr>
                <w:b/>
                <w:i/>
              </w:rPr>
              <w:t>welcomes the Commission’s efforts to identify</w:t>
            </w:r>
            <w:r>
              <w:t xml:space="preserve"> new own resources, </w:t>
            </w:r>
            <w:r>
              <w:rPr>
                <w:b/>
                <w:i/>
              </w:rPr>
              <w:t>as well as to put forward certain calibrations to traditional own resources;</w:t>
            </w:r>
            <w:r>
              <w:t xml:space="preserve"> </w:t>
            </w:r>
            <w:r>
              <w:rPr>
                <w:b/>
                <w:i/>
              </w:rPr>
              <w:t>supports the broader basket approach proposed by the Commission and calls on the Council to swiftly reach an agreement on</w:t>
            </w:r>
            <w:r>
              <w:t xml:space="preserve"> new own resources </w:t>
            </w:r>
            <w:r>
              <w:rPr>
                <w:b/>
                <w:i/>
              </w:rPr>
              <w:t>in order to provide long-term budgetary certainty;</w:t>
            </w:r>
            <w:r>
              <w:t xml:space="preserve"> </w:t>
            </w:r>
            <w:r>
              <w:rPr>
                <w:b/>
                <w:i/>
              </w:rPr>
              <w:t>considers that the revenue potential of a digital services tax should be explored as a possible solution, should other proposed own resources not gain support among Member States;</w:t>
            </w:r>
            <w:r>
              <w:t xml:space="preserve"> </w:t>
            </w:r>
            <w:r>
              <w:rPr>
                <w:b/>
                <w:i/>
              </w:rPr>
              <w:t>notes</w:t>
            </w:r>
            <w:r>
              <w:t xml:space="preserve"> the Commission’s proposal for a novel type of crisis mechanism based on extraordinary borrowing </w:t>
            </w:r>
            <w:r>
              <w:rPr>
                <w:b/>
                <w:i/>
              </w:rPr>
              <w:t>that offers the Union the ability to respond swiftly to unexpected developments</w:t>
            </w:r>
            <w:r>
              <w:t>;</w:t>
            </w:r>
          </w:p>
        </w:tc>
        <w:tc>
          <w:tcPr>
            <w:tcW w:w="4876" w:type="dxa"/>
            <w:tcBorders>
              <w:top w:val="nil"/>
              <w:left w:val="nil"/>
              <w:bottom w:val="nil"/>
              <w:right w:val="nil"/>
            </w:tcBorders>
          </w:tcPr>
          <w:p>
            <w:pPr>
              <w:pStyle w:val="Normal6a"/>
            </w:pPr>
            <w:r>
              <w:t>9.</w:t>
            </w:r>
            <w:r>
              <w:tab/>
            </w:r>
            <w:r>
              <w:t xml:space="preserve">Reiterates the need for sustainable and resilient revenue for the Union budget that should match the expenditure side; </w:t>
            </w:r>
            <w:r>
              <w:rPr>
                <w:b/>
                <w:i/>
              </w:rPr>
              <w:t>opposes the introduction of any</w:t>
            </w:r>
            <w:r>
              <w:t xml:space="preserve"> new own resources, </w:t>
            </w:r>
            <w:r>
              <w:rPr>
                <w:b/>
                <w:i/>
              </w:rPr>
              <w:t>since this will mean that the public and businesses, which are in any case contending with the consequences of the EU’s climate policy and rising prices for everyday products, are burdened with payments for these</w:t>
            </w:r>
            <w:r>
              <w:t xml:space="preserve"> new own resources</w:t>
            </w:r>
            <w:r>
              <w:rPr>
                <w:b/>
                <w:i/>
              </w:rPr>
              <w:t>;</w:t>
            </w:r>
            <w:r>
              <w:t xml:space="preserve"> </w:t>
            </w:r>
            <w:r>
              <w:rPr>
                <w:b/>
                <w:i/>
              </w:rPr>
              <w:t>opposes</w:t>
            </w:r>
            <w:r>
              <w:t xml:space="preserve"> the Commission’s proposal for a novel type of crisis mechanism based on extraordinary borrowing</w:t>
            </w:r>
            <w:r>
              <w:rPr>
                <w:b/>
                <w:i/>
              </w:rPr>
              <w:t>;</w:t>
            </w:r>
            <w:r>
              <w:t xml:space="preserve"> </w:t>
            </w:r>
            <w:r>
              <w:rPr>
                <w:b/>
                <w:i/>
              </w:rPr>
              <w:t>calls for a wide-ranging review of spending with a view to rationalising expenditure</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Reiterates the need for sustainable and resilient revenue for the Union budget that should match the expenditure side; welcomes the Commission’s efforts to identify new own resources, as well as to put forward certain calibrations to traditional own resources; supports the broader basket approach proposed by the Commission and calls on the Council to swiftly reach an agreement on new own resources in order to provide long-term budgetary certainty; considers that the revenue potential of a digital services </w:t>
            </w:r>
            <w:r>
              <w:rPr>
                <w:b/>
                <w:i/>
              </w:rPr>
              <w:t>tax</w:t>
            </w:r>
            <w:r>
              <w:t xml:space="preserve"> should be explored as a possible solution, should other proposed own resources not gain support among Member States; notes the Commission’s proposal for a novel type of crisis mechanism based on extraordinary borrowing that offers the Union the ability to respond swiftly to unexpected developments;</w:t>
            </w:r>
          </w:p>
        </w:tc>
        <w:tc>
          <w:tcPr>
            <w:tcW w:w="4876" w:type="dxa"/>
            <w:tcBorders>
              <w:top w:val="nil"/>
              <w:left w:val="nil"/>
              <w:bottom w:val="nil"/>
              <w:right w:val="nil"/>
            </w:tcBorders>
          </w:tcPr>
          <w:p>
            <w:pPr>
              <w:pStyle w:val="Normal6a"/>
            </w:pPr>
            <w:r>
              <w:t>9.</w:t>
            </w:r>
            <w:r>
              <w:tab/>
            </w:r>
            <w:r>
              <w:rPr>
                <w:b/>
                <w:i/>
              </w:rPr>
              <w:t>Reaffirms Parliament’s strong commitment to the introduction of new own resources, to ensure a sustainable, long-term financing of the EU budget;</w:t>
            </w:r>
            <w:r>
              <w:t xml:space="preserve"> Reiterates the need for sustainable and resilient revenue for the Union budget that should match the expenditure side; welcomes the Commission’s efforts to identify new own resources</w:t>
            </w:r>
            <w:r>
              <w:rPr>
                <w:b/>
                <w:i/>
              </w:rPr>
              <w:t>, in order to cover at least the repayment of the NGEU debt</w:t>
            </w:r>
            <w:r>
              <w:t xml:space="preserve">, as well as to put forward certain calibrations to traditional own resources; supports the broader basket approach proposed by the Commission and calls on the Council to swiftly reach an agreement on new own resources in order to provide long-term budgetary certainty; considers that the revenue potential of a digital services </w:t>
            </w:r>
            <w:r>
              <w:rPr>
                <w:b/>
                <w:i/>
              </w:rPr>
              <w:t>levy</w:t>
            </w:r>
            <w:r>
              <w:t xml:space="preserve"> should be explored as a possible solution, should other proposed own resources not gain support among Member States; notes the Commission’s proposal for a novel type of crisis mechanism based on extraordinary borrowing that offers the Union the ability to respond swiftly to unexpected developments;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Reiterates the need for sustainable and resilient revenue for the Union budget that should match the expenditure side; </w:t>
            </w:r>
            <w:r>
              <w:rPr>
                <w:b/>
                <w:i/>
              </w:rPr>
              <w:t>welcomes the Commission’s efforts to identify new own resources, as well as to put forward</w:t>
            </w:r>
            <w:r>
              <w:t xml:space="preserve"> certain </w:t>
            </w:r>
            <w:r>
              <w:rPr>
                <w:b/>
                <w:i/>
              </w:rPr>
              <w:t>calibrations to traditional own resources;</w:t>
            </w:r>
            <w:r>
              <w:t xml:space="preserve"> </w:t>
            </w:r>
            <w:r>
              <w:rPr>
                <w:b/>
                <w:i/>
              </w:rPr>
              <w:t>supports the broader basket approach proposed by the Commission and calls on the Council to swiftly reach an agreement on</w:t>
            </w:r>
            <w:r>
              <w:t xml:space="preserve"> new own resources </w:t>
            </w:r>
            <w:r>
              <w:rPr>
                <w:b/>
                <w:i/>
              </w:rPr>
              <w:t>in order to provide long-term budgetary certainty;</w:t>
            </w:r>
            <w:r>
              <w:t xml:space="preserve"> </w:t>
            </w:r>
            <w:r>
              <w:rPr>
                <w:b/>
                <w:i/>
              </w:rPr>
              <w:t>considers that the revenue potential of a digital services tax should be explored as a possible solution, should other proposed own resources not gain support among Member States</w:t>
            </w:r>
            <w:r>
              <w:t xml:space="preserve">; </w:t>
            </w:r>
            <w:r>
              <w:rPr>
                <w:b/>
                <w:i/>
              </w:rPr>
              <w:t>notes the Commission’s proposal for a novel type of crisis mechanism based on extraordinary borrowing that offers the Union the ability to respond swiftly to unexpected developments;</w:t>
            </w:r>
          </w:p>
        </w:tc>
        <w:tc>
          <w:tcPr>
            <w:tcW w:w="4876" w:type="dxa"/>
            <w:tcBorders>
              <w:top w:val="nil"/>
              <w:left w:val="nil"/>
              <w:bottom w:val="nil"/>
              <w:right w:val="nil"/>
            </w:tcBorders>
          </w:tcPr>
          <w:p>
            <w:pPr>
              <w:pStyle w:val="Normal6a"/>
            </w:pPr>
            <w:r>
              <w:t>9.</w:t>
            </w:r>
            <w:r>
              <w:tab/>
            </w:r>
            <w:r>
              <w:t xml:space="preserve">Reiterates the need for sustainable and resilient revenue for the Union budget that should match the expenditure side; </w:t>
            </w:r>
            <w:r>
              <w:rPr>
                <w:b/>
                <w:i/>
              </w:rPr>
              <w:t>considers that the size of the European Union’s long-term budget and its sources of funding should also take in its redistributive nature, based on each Member State’s gross national income, and must be linked to the objectives of economic, social and territorial cohesion and the Member States’ needs, priorities and development strategies;</w:t>
            </w:r>
            <w:r>
              <w:t xml:space="preserve"> </w:t>
            </w:r>
            <w:r>
              <w:rPr>
                <w:b/>
                <w:i/>
              </w:rPr>
              <w:t>therefore, calls for the elimination of rebates for</w:t>
            </w:r>
            <w:r>
              <w:t xml:space="preserve"> certain </w:t>
            </w:r>
            <w:r>
              <w:rPr>
                <w:b/>
                <w:i/>
              </w:rPr>
              <w:t>Member States to be maintained throughout the negotiation process;</w:t>
            </w:r>
            <w:r>
              <w:t xml:space="preserve"> </w:t>
            </w:r>
            <w:r>
              <w:rPr>
                <w:b/>
                <w:i/>
              </w:rPr>
              <w:t>rejects the proposal for</w:t>
            </w:r>
            <w:r>
              <w:t xml:space="preserve"> new own resources </w:t>
            </w:r>
            <w:r>
              <w:rPr>
                <w:b/>
                <w:i/>
              </w:rPr>
              <w:t>presented by the European Commission</w:t>
            </w:r>
            <w:r>
              <w: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Nina Carberry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Reiterates the need for sustainable and resilient revenue for the Union budget that should match the expenditure side; welcomes the Commission’s efforts to identify new own resources, as well as to put forward certain calibrations to traditional own resources; supports the broader basket approach proposed by the Commission and calls on the Council to swiftly reach an agreement on new own resources in order to provide long-term budgetary certainty; </w:t>
            </w:r>
            <w:r>
              <w:rPr>
                <w:b/>
                <w:i/>
              </w:rPr>
              <w:t>considers that the revenue potential of a digital services tax should be explored as a possible solution, should other proposed own resources not gain support among Member States;</w:t>
            </w:r>
            <w:r>
              <w:t xml:space="preserve"> notes the Commission’s proposal for a novel type of crisis mechanism based on extraordinary borrowing that offers the Union the ability to respond swiftly to unexpected developments;</w:t>
            </w:r>
          </w:p>
        </w:tc>
        <w:tc>
          <w:tcPr>
            <w:tcW w:w="4876" w:type="dxa"/>
            <w:tcBorders>
              <w:top w:val="nil"/>
              <w:left w:val="nil"/>
              <w:bottom w:val="nil"/>
              <w:right w:val="nil"/>
            </w:tcBorders>
          </w:tcPr>
          <w:p>
            <w:pPr>
              <w:pStyle w:val="Normal6a"/>
            </w:pPr>
            <w:r>
              <w:t>9.</w:t>
            </w:r>
            <w:r>
              <w:tab/>
            </w:r>
            <w:r>
              <w:t>Reiterates the need for sustainable and resilient revenue for the Union budget that should match the expenditure side; welcomes the Commission’s efforts to identify new own resources, as well as to put forward certain calibrations to traditional own resources; supports the broader basket approach proposed by the Commission and calls on the Council to swiftly reach an agreement on new own resources in order to provide long-term budgetary certainty; notes the Commission’s proposal for a novel type of crisis mechanism based on extraordinary borrowing that offers the Union the ability to respond swiftly to unexpected developments;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Reiterates the need for sustainable and resilient revenue for the Union budget that should match the </w:t>
            </w:r>
            <w:r>
              <w:rPr>
                <w:b/>
                <w:i/>
              </w:rPr>
              <w:t>expenditure side;</w:t>
            </w:r>
            <w:r>
              <w:t xml:space="preserve"> </w:t>
            </w:r>
            <w:r>
              <w:rPr>
                <w:b/>
                <w:i/>
              </w:rPr>
              <w:t>welcomes the Commission’s efforts to identify new own resources, as well as to put forward certain calibrations to traditional own resources;</w:t>
            </w:r>
            <w:r>
              <w:t xml:space="preserve"> </w:t>
            </w:r>
            <w:r>
              <w:rPr>
                <w:b/>
                <w:i/>
              </w:rPr>
              <w:t>supports the broader basket approach proposed</w:t>
            </w:r>
            <w:r>
              <w:t xml:space="preserve"> by the Commission </w:t>
            </w:r>
            <w:r>
              <w:rPr>
                <w:b/>
                <w:i/>
              </w:rPr>
              <w:t>and</w:t>
            </w:r>
            <w:r>
              <w:t xml:space="preserve"> calls on the Council to </w:t>
            </w:r>
            <w:r>
              <w:rPr>
                <w:b/>
                <w:i/>
              </w:rPr>
              <w:t>swiftly reach an</w:t>
            </w:r>
            <w:r>
              <w:t xml:space="preserve"> agreement on new own resources </w:t>
            </w:r>
            <w:r>
              <w:rPr>
                <w:b/>
                <w:i/>
              </w:rPr>
              <w:t>in order to provide long-term budgetary certainty;</w:t>
            </w:r>
            <w:r>
              <w:t xml:space="preserve"> </w:t>
            </w:r>
            <w:r>
              <w:rPr>
                <w:b/>
                <w:i/>
              </w:rPr>
              <w:t>considers</w:t>
            </w:r>
            <w:r>
              <w:t xml:space="preserve"> that the </w:t>
            </w:r>
            <w:r>
              <w:rPr>
                <w:b/>
                <w:i/>
              </w:rPr>
              <w:t>revenue potential of a digital services tax should be explored as a possible solution, should other proposed own resources not gain support among Member States</w:t>
            </w:r>
            <w:r>
              <w:t>; notes the Commission’s proposal for a novel type of crisis mechanism based on extraordinary borrowing that offers the Union the ability to respond swiftly to unexpected developments;</w:t>
            </w:r>
          </w:p>
        </w:tc>
        <w:tc>
          <w:tcPr>
            <w:tcW w:w="4876" w:type="dxa"/>
            <w:tcBorders>
              <w:top w:val="nil"/>
              <w:left w:val="nil"/>
              <w:bottom w:val="nil"/>
              <w:right w:val="nil"/>
            </w:tcBorders>
          </w:tcPr>
          <w:p>
            <w:pPr>
              <w:pStyle w:val="Normal6a"/>
            </w:pPr>
            <w:r>
              <w:t>9.</w:t>
            </w:r>
            <w:r>
              <w:tab/>
            </w:r>
            <w:r>
              <w:t xml:space="preserve">Reiterates the need for sustainable and resilient revenue for the Union budget that should match the </w:t>
            </w:r>
            <w:r>
              <w:rPr>
                <w:b/>
                <w:i/>
              </w:rPr>
              <w:t>strategic priorities and funding needs identified;</w:t>
            </w:r>
            <w:r>
              <w:t xml:space="preserve"> </w:t>
            </w:r>
            <w:r>
              <w:rPr>
                <w:b/>
                <w:i/>
              </w:rPr>
              <w:t>wishes to back improved budgetary efficiency, in line with the simplification objective supported</w:t>
            </w:r>
            <w:r>
              <w:t xml:space="preserve"> by the Commission</w:t>
            </w:r>
            <w:r>
              <w:rPr>
                <w:b/>
                <w:i/>
              </w:rPr>
              <w:t>, as well as impact assessments for each of the European programmes and their corresponding budget lines, with the aim of achieving true budgetary simplification and efficiency, enabling us to respond to the real priorities of the Union;</w:t>
            </w:r>
            <w:r>
              <w:t xml:space="preserve"> calls on the Council to </w:t>
            </w:r>
            <w:r>
              <w:rPr>
                <w:b/>
                <w:i/>
              </w:rPr>
              <w:t>unblock the</w:t>
            </w:r>
            <w:r>
              <w:t xml:space="preserve"> agreement </w:t>
            </w:r>
            <w:r>
              <w:rPr>
                <w:b/>
                <w:i/>
              </w:rPr>
              <w:t>reached in 2020</w:t>
            </w:r>
            <w:r>
              <w:t xml:space="preserve"> on new own resources </w:t>
            </w:r>
            <w:r>
              <w:rPr>
                <w:b/>
                <w:i/>
              </w:rPr>
              <w:t>so</w:t>
            </w:r>
            <w:r>
              <w:t xml:space="preserve"> that the </w:t>
            </w:r>
            <w:r>
              <w:rPr>
                <w:b/>
                <w:i/>
              </w:rPr>
              <w:t>debt of the Next Generation funds, which we will begin to repay during this new Financial Framework, can be addressed</w:t>
            </w:r>
            <w:r>
              <w:t>; notes the Commission’s proposal for a novel type of crisis mechanism based on extraordinary borrowing that offers the Union the ability to respond swiftly to unexpected developments;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Reiterates the need for sustainable and resilient revenue for the Union budget that should match the expenditure side; welcomes the Commission’s efforts to identify new own resources, as well as to put forward certain calibrations to traditional own resources; supports the broader basket approach proposed by the Commission and calls on the Council to swiftly reach an agreement on new own resources in order to provide long-term budgetary certainty; considers that the revenue potential of a digital services tax should be explored as a possible solution, should other proposed own resources not gain support among Member States; </w:t>
            </w:r>
            <w:r>
              <w:rPr>
                <w:b/>
                <w:i/>
              </w:rPr>
              <w:t>notes the Commission’s proposal for a novel type of crisis mechanism based on extraordinary borrowing that offers the Union the ability to respond swiftly to unexpected developments;</w:t>
            </w:r>
          </w:p>
        </w:tc>
        <w:tc>
          <w:tcPr>
            <w:tcW w:w="4876" w:type="dxa"/>
            <w:tcBorders>
              <w:top w:val="nil"/>
              <w:left w:val="nil"/>
              <w:bottom w:val="nil"/>
              <w:right w:val="nil"/>
            </w:tcBorders>
          </w:tcPr>
          <w:p>
            <w:pPr>
              <w:pStyle w:val="Normal6a"/>
            </w:pPr>
            <w:r>
              <w:t>9.</w:t>
            </w:r>
            <w:r>
              <w:tab/>
            </w:r>
            <w:r>
              <w:rPr>
                <w:b/>
                <w:i/>
              </w:rPr>
              <w:t>Strongly</w:t>
            </w:r>
            <w:r>
              <w:t xml:space="preserve"> reiterates the </w:t>
            </w:r>
            <w:r>
              <w:rPr>
                <w:b/>
                <w:i/>
              </w:rPr>
              <w:t>crucial</w:t>
            </w:r>
            <w:r>
              <w:t xml:space="preserve"> need for sustainable and resilient revenue for the Union budget that should match the expenditure side; welcomes the Commission’s efforts to identify new own resources, as well as to put forward certain calibrations to traditional own resources; supports the broader basket approach proposed by the Commission and calls on the Council to swiftly reach an agreement on new own resources in order to provide long-term budgetary certainty; considers that the revenue potential of a digital services tax</w:t>
            </w:r>
            <w:r>
              <w:rPr>
                <w:b/>
                <w:i/>
              </w:rPr>
              <w:t>, the extension of CBAM or other possible revenues sources</w:t>
            </w:r>
            <w:r>
              <w:t xml:space="preserve"> should be explored as a possible </w:t>
            </w:r>
            <w:r>
              <w:rPr>
                <w:b/>
                <w:i/>
              </w:rPr>
              <w:t>additional</w:t>
            </w:r>
            <w:r>
              <w:t xml:space="preserve"> solution, should other proposed own resources not gain support among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Stine Bosse, Fabienne Keller,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Reiterates the need for sustainable and resilient revenue for the Union budget that should match the expenditure side; welcomes the Commission’s efforts to identify new own resources, as well as to put forward certain calibrations to traditional own resources; supports the broader basket approach proposed by the Commission and calls on the Council to swiftly reach an agreement on new own resources in order to provide long-term budgetary certainty; considers that the revenue potential of a digital services tax should be explored as a possible solution, should other proposed own resources not gain support among Member States; notes the Commission’s proposal for a novel type of crisis mechanism based on extraordinary borrowing that offers the Union the ability to respond swiftly to unexpected developments;</w:t>
            </w:r>
          </w:p>
        </w:tc>
        <w:tc>
          <w:tcPr>
            <w:tcW w:w="4876" w:type="dxa"/>
            <w:tcBorders>
              <w:top w:val="nil"/>
              <w:left w:val="nil"/>
              <w:bottom w:val="nil"/>
              <w:right w:val="nil"/>
            </w:tcBorders>
          </w:tcPr>
          <w:p>
            <w:pPr>
              <w:pStyle w:val="Normal6a"/>
            </w:pPr>
            <w:r>
              <w:t>9.</w:t>
            </w:r>
            <w:r>
              <w:tab/>
            </w:r>
            <w:r>
              <w:t xml:space="preserve">Reiterates the need for sustainable and resilient revenue for the Union budget that should match the expenditure side; welcomes the Commission’s efforts to identify new own resources, as well as to put forward certain calibrations to traditional own resources; supports the broader basket approach proposed by the Commission and calls on the Council to swiftly reach an agreement on </w:t>
            </w:r>
            <w:r>
              <w:rPr>
                <w:b/>
                <w:i/>
              </w:rPr>
              <w:t>genuine</w:t>
            </w:r>
            <w:r>
              <w:t xml:space="preserve"> new own resources in order to provide long-term budgetary certainty; considers that the revenue potential of a digital services tax should be explored as a possible solution, should other proposed own resources not gain support among Member States; notes the Commission’s proposal for a novel type of crisis mechanism based on extraordinary borrowing that offers the Union the ability to respond swiftly to unexpected developments;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Joachim Streit,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Reiterates </w:t>
            </w:r>
            <w:r>
              <w:rPr>
                <w:b/>
                <w:i/>
              </w:rPr>
              <w:t>the need for</w:t>
            </w:r>
            <w:r>
              <w:t xml:space="preserve"> sustainable and </w:t>
            </w:r>
            <w:r>
              <w:rPr>
                <w:b/>
                <w:i/>
              </w:rPr>
              <w:t>resilient</w:t>
            </w:r>
            <w:r>
              <w:t xml:space="preserve"> revenue </w:t>
            </w:r>
            <w:r>
              <w:rPr>
                <w:b/>
                <w:i/>
              </w:rPr>
              <w:t>for</w:t>
            </w:r>
            <w:r>
              <w:t xml:space="preserve"> the Union budget </w:t>
            </w:r>
            <w:r>
              <w:rPr>
                <w:b/>
                <w:i/>
              </w:rPr>
              <w:t>that should match the expenditure side; welcomes the Commission’s efforts to identify new own resources, as well as to put forward certain calibrations to traditional own resources; supports the broader basket approach proposed by the Commission and calls on the Council to swiftly reach an agreement on new</w:t>
            </w:r>
            <w:r>
              <w:t xml:space="preserve"> own resources </w:t>
            </w:r>
            <w:r>
              <w:rPr>
                <w:b/>
                <w:i/>
              </w:rPr>
              <w:t>in order to provide long-term</w:t>
            </w:r>
            <w:r>
              <w:t xml:space="preserve"> budgetary </w:t>
            </w:r>
            <w:r>
              <w:rPr>
                <w:b/>
                <w:i/>
              </w:rPr>
              <w:t>certainty</w:t>
            </w:r>
            <w:r>
              <w:t xml:space="preserve">; considers </w:t>
            </w:r>
            <w:r>
              <w:rPr>
                <w:b/>
                <w:i/>
              </w:rPr>
              <w:t>that the revenue potential of a</w:t>
            </w:r>
            <w:r>
              <w:t xml:space="preserve"> digital services tax </w:t>
            </w:r>
            <w:r>
              <w:rPr>
                <w:b/>
                <w:i/>
              </w:rPr>
              <w:t>should be explored as a possible solution, should other proposed own resources not gain support among Member States; notes the Commission’s proposal for a novel type of crisis mechanism based on extraordinary borrowing that offers the Union the ability to respond swiftly to unexpected developments</w:t>
            </w:r>
            <w:r>
              <w:t>;</w:t>
            </w:r>
          </w:p>
        </w:tc>
        <w:tc>
          <w:tcPr>
            <w:tcW w:w="4876" w:type="dxa"/>
            <w:tcBorders>
              <w:top w:val="nil"/>
              <w:left w:val="nil"/>
              <w:bottom w:val="nil"/>
              <w:right w:val="nil"/>
            </w:tcBorders>
          </w:tcPr>
          <w:p>
            <w:pPr>
              <w:pStyle w:val="Normal6a"/>
            </w:pPr>
            <w:r>
              <w:t>9.</w:t>
            </w:r>
            <w:r>
              <w:tab/>
            </w:r>
            <w:r>
              <w:t xml:space="preserve">Reiterates </w:t>
            </w:r>
            <w:r>
              <w:rPr>
                <w:b/>
                <w:i/>
              </w:rPr>
              <w:t>that Union expenditure must be matched by</w:t>
            </w:r>
            <w:r>
              <w:t xml:space="preserve"> sustainable and </w:t>
            </w:r>
            <w:r>
              <w:rPr>
                <w:b/>
                <w:i/>
              </w:rPr>
              <w:t>predictable</w:t>
            </w:r>
            <w:r>
              <w:t xml:space="preserve"> revenue </w:t>
            </w:r>
            <w:r>
              <w:rPr>
                <w:b/>
                <w:i/>
              </w:rPr>
              <w:t>in accordance with the Treaties; recalls that</w:t>
            </w:r>
            <w:r>
              <w:t xml:space="preserve"> the Union budget </w:t>
            </w:r>
            <w:r>
              <w:rPr>
                <w:b/>
                <w:i/>
              </w:rPr>
              <w:t>must remain balanced pursuant to Article 310 TFEU; expresses opposition, as a general principle, to the introduction of new Union</w:t>
            </w:r>
            <w:r>
              <w:t xml:space="preserve"> own resources </w:t>
            </w:r>
            <w:r>
              <w:rPr>
                <w:b/>
                <w:i/>
              </w:rPr>
              <w:t>and Union-level taxes, and stresses that any new revenue sources must not be used to justify permanent</w:t>
            </w:r>
            <w:r>
              <w:t xml:space="preserve"> budgetary </w:t>
            </w:r>
            <w:r>
              <w:rPr>
                <w:b/>
                <w:i/>
              </w:rPr>
              <w:t>expansion or borrowing at Union level; underlines that any exceptional financing arrangements must remain strictly temporary and must not create precedents for future Union financing</w:t>
            </w:r>
            <w:r>
              <w:t>; considers</w:t>
            </w:r>
            <w:r>
              <w:rPr>
                <w:b/>
                <w:i/>
              </w:rPr>
              <w:t>, however, that a narrowly defined</w:t>
            </w:r>
            <w:r>
              <w:t xml:space="preserve"> digital services tax </w:t>
            </w:r>
            <w:r>
              <w:rPr>
                <w:b/>
                <w:i/>
              </w:rPr>
              <w:t>may constitute a justified exception, with a view to ensuring fair taxation of digital business models and a level playing field within the internal market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Isabelle Le Callenec,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Reiterates the need for sustainable and resilient revenue for the Union budget that should match the expenditure side; welcomes the Commission’s efforts to identify new own resources, as well as to put forward certain calibrations to traditional own resources; supports the broader basket approach proposed by the Commission and calls on the Council to swiftly reach an agreement on new own resources in order to provide long-term budgetary certainty; considers that the revenue potential of a digital services tax should be explored as a possible solution, should other proposed own resources not gain support among Member States; </w:t>
            </w:r>
            <w:r>
              <w:rPr>
                <w:b/>
                <w:i/>
              </w:rPr>
              <w:t>notes</w:t>
            </w:r>
            <w:r>
              <w:t xml:space="preserve"> the Commission’s proposal for a novel type of crisis mechanism based on extraordinary borrowing that </w:t>
            </w:r>
            <w:r>
              <w:rPr>
                <w:b/>
                <w:i/>
              </w:rPr>
              <w:t>offers</w:t>
            </w:r>
            <w:r>
              <w:t xml:space="preserve"> the Union </w:t>
            </w:r>
            <w:r>
              <w:rPr>
                <w:b/>
                <w:i/>
              </w:rPr>
              <w:t>the ability to respond swiftly to unexpected developments</w:t>
            </w:r>
            <w:r>
              <w:t>;</w:t>
            </w:r>
          </w:p>
        </w:tc>
        <w:tc>
          <w:tcPr>
            <w:tcW w:w="4876" w:type="dxa"/>
            <w:tcBorders>
              <w:top w:val="nil"/>
              <w:left w:val="nil"/>
              <w:bottom w:val="nil"/>
              <w:right w:val="nil"/>
            </w:tcBorders>
          </w:tcPr>
          <w:p>
            <w:pPr>
              <w:pStyle w:val="Normal6a"/>
            </w:pPr>
            <w:r>
              <w:t>9.</w:t>
            </w:r>
            <w:r>
              <w:tab/>
            </w:r>
            <w:r>
              <w:t xml:space="preserve">Reiterates the need for sustainable and resilient revenue for the Union budget that should match the expenditure side; welcomes the Commission’s efforts to identify new own resources, as well as to put forward certain calibrations to traditional own resources; supports the broader basket approach proposed by the Commission and calls on the Council to swiftly reach an agreement on new own resources in order to provide long-term budgetary certainty; considers that the revenue potential of a digital services tax should be explored as a possible solution, should other proposed own resources not gain support among Member States; </w:t>
            </w:r>
            <w:r>
              <w:rPr>
                <w:b/>
                <w:i/>
              </w:rPr>
              <w:t>expresses concern at</w:t>
            </w:r>
            <w:r>
              <w:t xml:space="preserve"> the Commission’s proposal for a novel type of crisis mechanism based on extraordinary borrowing that </w:t>
            </w:r>
            <w:r>
              <w:rPr>
                <w:b/>
                <w:i/>
              </w:rPr>
              <w:t>risks harming the fiscal sustainability of</w:t>
            </w:r>
            <w:r>
              <w:t xml:space="preserve"> the Union;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Takes note of the Commission’s proposal for a novel type of crisis mechanism based on extraordinary borrowing that offers the Union the ability to respond swiftly to unexpected developments; Insists Parliament must have scrutiny powers over this mechanism;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Anouk Van Brug, Katri Kulmuni, Moritz Körner, Joachim Streit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Calls for the establishment of a "fairness correction mechanism" for Member States that are high net contributors to the EU budget to ensure a fair net distribution of financial resources among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Stands ready to work constructively and engage in meaningful negotiations with the Council and Commission to deliver a long-term budget that addresses the Union’s needs; highlights that the post-2027 MFF is being constructed in a far from ‘business as usual’ context and takes seriously its institutional role as enshrined in the Treaties; underlines that it will only approve a long-term budget that is fit for purpose for the Union in a changing world; calls for an agreement to be reached between the institutions by the end of 2026 and for the swift adoption of the MFF to enable timely implementation of spending programmes from 1 January 2028;</w:t>
            </w:r>
          </w:p>
        </w:tc>
        <w:tc>
          <w:tcPr>
            <w:tcW w:w="4876" w:type="dxa"/>
            <w:tcBorders>
              <w:top w:val="nil"/>
              <w:left w:val="nil"/>
              <w:bottom w:val="nil"/>
              <w:right w:val="nil"/>
            </w:tcBorders>
          </w:tcPr>
          <w:p>
            <w:pPr>
              <w:pStyle w:val="Normal6a"/>
            </w:pPr>
            <w:r>
              <w:t>10.</w:t>
            </w:r>
            <w:r>
              <w:tab/>
            </w:r>
            <w:r>
              <w:t xml:space="preserve">Stands ready to work constructively and engage in meaningful negotiations with the Council and Commission to deliver a long-term budget that addresses the Union’s needs; highlights that the post-2027 MFF is being constructed in a far from ‘business as usual’ context and takes seriously its institutional role as enshrined in the Treaties; underlines that it will only approve a long-term budget that is fit for purpose for the Union in a changing world </w:t>
            </w:r>
            <w:r>
              <w:rPr>
                <w:b/>
                <w:i/>
              </w:rPr>
              <w:t>including the revenue side</w:t>
            </w:r>
            <w:r>
              <w:t xml:space="preserve">; calls for an agreement to be reached between the institutions by the end of 2026 and for the swift adoption of the MFF </w:t>
            </w:r>
            <w:r>
              <w:rPr>
                <w:b/>
                <w:i/>
              </w:rPr>
              <w:t>and the sectorial legislation</w:t>
            </w:r>
            <w:r>
              <w:t xml:space="preserve"> to enable timely implementation of spending programmes from 1 January 2028;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Stresses that the future European Competitiveness Fund, in complementarity with the Union’s research and innovation framework programmes, should provide adequate support for European competence centres and strategic innovation ecosystems, including the European Cybersecurity Competence Centre (ECCC), recognising their key role in strengthening the Union’s technological sovereignty, innovation capacity and industrial competitiveness; underlines that coordinated and complementary funding from competitiveness, judicial and research instruments is essential to maximise European added value, avoid fragmentation and support the participation of a broad range of stakeholders across Member States and regions;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Emphasises the importance of financing decarbonisation at EU level and of supporting all zero- and low-carbon energy sources, including renewable energy, nuclear energy, energy storage, carbon capture and storage (CCS), carbon capture and utilisation (CCU), and other net-zero energy technologies.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w:t>
            </w:r>
            <w:r>
              <w:tab/>
            </w:r>
            <w:r>
              <w:rPr>
                <w:b/>
                <w:i/>
              </w:rPr>
              <w:t>Stresses that the Connecting Europe Facility should be able to support, within its objectives and eligibility criteria, infrastructure and connectivity projects contributing to security, resilience and stability in strategically important regions, including the establishment and development of a Black Sea Maritime Security Hub; underlines that enhanced connectivity, digital and energy infrastructure in the Black Sea region is essential to strengthen the Union’s security, protect critical infrastructure and reinforce cooperation with Member States and partner countries facing heightened geopolitical and security challenges;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c.</w:t>
            </w:r>
            <w:r>
              <w:tab/>
            </w:r>
            <w:r>
              <w:rPr>
                <w:b/>
                <w:i/>
              </w:rPr>
              <w:t>Underlines the need to establish a special EU adjustment instrument to address the socio-economic impacts of global challenges, including trade disruptions, geopolitical conflicts and other external shocks affecting the Union; stresses that such an instrument should be mobilised through the flexibility mechanisms of the MFF, in close cooperation with the European Parliament, in order to provide timely, targeted and compensatory support to Member States, regions and sectors disproportionately affected, without undermining long-term investment priorities; emphasises that a dedicated adjustment instrument would enhance the Union’s resilience, strategic autonomy and capacity to respond to unforeseen global developments, while preserving cohesion and fairness across the Single Market;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d.</w:t>
            </w:r>
            <w:r>
              <w:tab/>
            </w:r>
            <w:r>
              <w:rPr>
                <w:b/>
                <w:i/>
              </w:rPr>
              <w:t>Stresses that the future MFF must provide dedicated, adequate and traceable funding to ensure that the EU Roma Strategic Framework for Equality, Inclusion and Participation is backed by sufficient resources, in particular to tackle poverty, support children in vulnerable situations and strengthen local community based projects, including housing and access to essential services;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e.</w:t>
            </w:r>
            <w:r>
              <w:tab/>
            </w:r>
            <w:r>
              <w:rPr>
                <w:b/>
                <w:i/>
              </w:rPr>
              <w:t>Stresses that the Union must further strengthen its own capacity to prevent and combat organised crime, including as it relates to drugs and human trafficking, and illicit financial flows; calls, therefore, for the next MFF to provide dedicated, adequate and predictable funding for the relevant EU bodies and cooperation instruments, including Europol, Eurojust, Frontex, the EU Drugs Agency, CEPOL, OLAF, as well as AMLA and the EPPO; and underlines, to that aim, that support to the UN and its specialised agencies should be maintained and reinforced where appropriate, in a complementary manner, to maximise impact through international cooperation;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Demands that</w:t>
            </w:r>
            <w:r>
              <w:t xml:space="preserve"> the European Parliament </w:t>
            </w:r>
            <w:r>
              <w:rPr>
                <w:b/>
                <w:i/>
              </w:rPr>
              <w:t>be involved in all the stages of the MFF process</w:t>
            </w:r>
            <w:r>
              <w:t xml:space="preserve">, as required by Article 312(5) TFEU; considers that the Council </w:t>
            </w:r>
            <w:r>
              <w:rPr>
                <w:b/>
                <w:i/>
              </w:rPr>
              <w:t>must take due account of Parliament’s position set out here to secure Parliament’s</w:t>
            </w:r>
            <w:r>
              <w:t xml:space="preserve"> consent in accordance with Article 312 TFEU;</w:t>
            </w:r>
          </w:p>
        </w:tc>
        <w:tc>
          <w:tcPr>
            <w:tcW w:w="4876" w:type="dxa"/>
            <w:tcBorders>
              <w:top w:val="nil"/>
              <w:left w:val="nil"/>
              <w:bottom w:val="nil"/>
              <w:right w:val="nil"/>
            </w:tcBorders>
          </w:tcPr>
          <w:p>
            <w:pPr>
              <w:pStyle w:val="Normal6a"/>
            </w:pPr>
            <w:r>
              <w:t>12.</w:t>
            </w:r>
            <w:r>
              <w:tab/>
            </w:r>
            <w:r>
              <w:rPr>
                <w:b/>
                <w:i/>
              </w:rPr>
              <w:t>Reminds that throughout the procedure leading to the adoption of the financial framework,</w:t>
            </w:r>
            <w:r>
              <w:t> the European Parliament</w:t>
            </w:r>
            <w:r>
              <w:rPr>
                <w:b/>
                <w:i/>
              </w:rPr>
              <w:t>, the Council and the Commission shall take any measure necessary to facilitate its adoption</w:t>
            </w:r>
            <w:r>
              <w:t>, as required by Article 312(5) TFEU; considers that the Council </w:t>
            </w:r>
            <w:r>
              <w:rPr>
                <w:b/>
                <w:i/>
              </w:rPr>
              <w:t>shall act unanimously after obtaining the</w:t>
            </w:r>
            <w:r>
              <w:t> consent</w:t>
            </w:r>
            <w:r>
              <w:rPr>
                <w:b/>
                <w:i/>
              </w:rPr>
              <w:t> of the European Parliament, which shall be given by a majority of its component members</w:t>
            </w:r>
            <w:r>
              <w:t> in accordance with Article 312 TFEU;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a.</w:t>
            </w:r>
            <w:r>
              <w:tab/>
            </w:r>
            <w:r>
              <w:rPr>
                <w:b/>
                <w:i/>
              </w:rPr>
              <w:t>Expects that all elements of the MFF package, including the MFF figures, should remain on the negotiating table until a final agreement is reached between Council and Parliament; recalls its long-standing position that, in the process leading to an MFF agreement, the European Council cannot decide irrevocably on a number of elements, including the legislative provisions of EU programmes that will be decided under the ordinary legislative procedure; regrets that the MFF ‘negotiating boxes’ presented by the Council presidency follow the same logic as in the past and reiterates its intention to exercise fully its prerogatives as an equal arm of the legislative and budgetary authority;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Alexander Jungbluth, Stanisław Tyszka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Recalls its position that, ‘in a fast changing world where people rightly expect more from the Union and where the Union is confronted with a growing number of crises, the next MFF must be endowed with increased resources compared to the 2021-2027 period, moving away from the historically restrictive, self-imposed level of 1 % of GNI’;</w:t>
            </w:r>
            <w:r>
              <w:t xml:space="preserve"> </w:t>
            </w:r>
            <w:r>
              <w:rPr>
                <w:b/>
                <w:i/>
              </w:rPr>
              <w:t>regrets that the Commission, instead of presenting a genuinely ambitious proposal, hides behind a headline figure of EUR 2 trillion in current prices, which in reality amounts to only EUR 1.763 trillion in 2025 constant prices, equal to 1.26 % of EU GNI, with 0.11 % being allocated to NGEU repayments;</w:t>
            </w:r>
            <w:r>
              <w:t xml:space="preserve"> </w:t>
            </w:r>
            <w:r>
              <w:rPr>
                <w:b/>
                <w:i/>
              </w:rPr>
              <w:t>deplores that this results in a token increase for EU programmes of less than 0.01 percentage points of GNI, effectively freezing the budget in real terms; highlights that the phasing-out of the Recovery and Resilience Facility (RRF) will further substantially reduce the Union’s overall spending power;</w:t>
            </w:r>
            <w:r>
              <w:t xml:space="preserve"> </w:t>
            </w:r>
            <w:r>
              <w:rPr>
                <w:b/>
                <w:i/>
              </w:rPr>
              <w:t>considers that this proposed level will not enable the Union to deliver on its commitments or respond to the significant geopolitical challenges ahead;</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Recalls its position that, </w:t>
            </w:r>
            <w:r>
              <w:rPr>
                <w:b/>
                <w:i/>
              </w:rPr>
              <w:t>‘in a fast changing world where people rightly expect more from the Union and where the Union is confronted with a growing number of crises</w:t>
            </w:r>
            <w:r>
              <w:t xml:space="preserve">, the next MFF must </w:t>
            </w:r>
            <w:r>
              <w:rPr>
                <w:b/>
                <w:i/>
              </w:rPr>
              <w:t>be endowed with increased resources compared to the 2021-2027 period, moving away from the historically restrictive, self-imposed level of 1 % of GNI’;</w:t>
            </w:r>
            <w:r>
              <w:t xml:space="preserve"> </w:t>
            </w:r>
            <w:r>
              <w:rPr>
                <w:b/>
                <w:i/>
              </w:rPr>
              <w:t>regrets that the Commission, instead of presenting a genuinely ambitious proposal, hides behind a headline figure of EUR 2 trillion in current prices, which in reality amounts to only EUR 1.763 trillion in 2025 constant prices, equal to 1.26</w:t>
            </w:r>
            <w:r>
              <w:t xml:space="preserve"> % of EU GNI, </w:t>
            </w:r>
            <w:r>
              <w:rPr>
                <w:b/>
                <w:i/>
              </w:rPr>
              <w:t>with 0.11 % being allocated to NGEU repayments;</w:t>
            </w:r>
            <w:r>
              <w:t xml:space="preserve"> </w:t>
            </w:r>
            <w:r>
              <w:rPr>
                <w:b/>
                <w:i/>
              </w:rPr>
              <w:t>deplores that this results in a token increase for EU programmes of less than 0.01 percentage points of GNI, effectively freezing the budget in real terms</w:t>
            </w:r>
            <w:r>
              <w:t xml:space="preserve">; highlights that </w:t>
            </w:r>
            <w:r>
              <w:rPr>
                <w:b/>
                <w:i/>
              </w:rPr>
              <w:t>the phasing-out of the Recovery and Resilience Facility (RRF) will further substantially reduce the Union’s overall spending power;</w:t>
            </w:r>
            <w:r>
              <w:t xml:space="preserve"> </w:t>
            </w:r>
            <w:r>
              <w:rPr>
                <w:b/>
                <w:i/>
              </w:rPr>
              <w:t>considers that this proposed</w:t>
            </w:r>
            <w:r>
              <w:t xml:space="preserve"> level </w:t>
            </w:r>
            <w:r>
              <w:rPr>
                <w:b/>
                <w:i/>
              </w:rPr>
              <w:t>will not enable the Union to deliver on its commitments or respond to the significant geopolitical challenges ahead</w:t>
            </w:r>
            <w:r>
              <w:t>;</w:t>
            </w:r>
          </w:p>
        </w:tc>
        <w:tc>
          <w:tcPr>
            <w:tcW w:w="4876" w:type="dxa"/>
            <w:tcBorders>
              <w:top w:val="nil"/>
              <w:left w:val="nil"/>
              <w:bottom w:val="nil"/>
              <w:right w:val="nil"/>
            </w:tcBorders>
          </w:tcPr>
          <w:p>
            <w:pPr>
              <w:pStyle w:val="Normal6a"/>
            </w:pPr>
            <w:r>
              <w:t>13.</w:t>
            </w:r>
            <w:r>
              <w:tab/>
            </w:r>
            <w:r>
              <w:t xml:space="preserve">Recalls its position that, </w:t>
            </w:r>
            <w:r>
              <w:rPr>
                <w:b/>
                <w:i/>
              </w:rPr>
              <w:t>given the budgetary and economic context of strong pressure on national public finances</w:t>
            </w:r>
            <w:r>
              <w:t xml:space="preserve">, the next MFF must </w:t>
            </w:r>
            <w:r>
              <w:rPr>
                <w:b/>
                <w:i/>
              </w:rPr>
              <w:t>not under any circumstances exceed a ceiling of 1</w:t>
            </w:r>
            <w:r>
              <w:t xml:space="preserve"> % of EU GNI, </w:t>
            </w:r>
            <w:r>
              <w:rPr>
                <w:b/>
                <w:i/>
              </w:rPr>
              <w:t>in order to avoid an excessive budgetary burden on the Member States, and ultimately on European taxpayers</w:t>
            </w:r>
            <w:r>
              <w:t xml:space="preserve">; highlights that </w:t>
            </w:r>
            <w:r>
              <w:rPr>
                <w:b/>
                <w:i/>
              </w:rPr>
              <w:t>any increase in the MFF ceiling above this historical</w:t>
            </w:r>
            <w:r>
              <w:t xml:space="preserve"> level </w:t>
            </w:r>
            <w:r>
              <w:rPr>
                <w:b/>
                <w:i/>
              </w:rPr>
              <w:t>would risk compromising the sustainability of national public finances and fuelling economic imbalances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Anouk Van Brug, Katri Kulmuni, Moritz Körner, Joachim Streit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Recalls its position that, ‘</w:t>
            </w:r>
            <w:r>
              <w:t>in a fast changing world where people rightly expect more from the Union and where the Union is confronted with a growing number of crises</w:t>
            </w:r>
            <w:r>
              <w:rPr>
                <w:b/>
                <w:i/>
              </w:rPr>
              <w:t>, the next MFF must be endowed with increased resources compared to the 2021-2027 period, moving away from the historically restrictive, self-imposed level of 1 % of GNI’; regrets that the Commission, instead of presenting a genuinely ambitious proposal, hides behind a headline figure of EUR 2 trillion in current prices, which in reality amounts to only EUR 1.763 trillion in 2025 constant prices, equal to 1.26 % of EU GNI, with 0.11 % being allocated to NGEU repayments; deplores that this results in a token increase for EU programmes of less than 0.01 percentage points of GNI, effectively freezing the budget in real terms; highlights that the phasing-out of</w:t>
            </w:r>
            <w:r>
              <w:t xml:space="preserve"> the Recovery and Resilience Facility </w:t>
            </w:r>
            <w:r>
              <w:rPr>
                <w:b/>
                <w:i/>
              </w:rPr>
              <w:t>(RRF) will further substantially reduce the Union’s overall</w:t>
            </w:r>
            <w:r>
              <w:t xml:space="preserve"> spending </w:t>
            </w:r>
            <w:r>
              <w:rPr>
                <w:b/>
                <w:i/>
              </w:rPr>
              <w:t>power; considers that this proposed level will not enable</w:t>
            </w:r>
            <w:r>
              <w:t xml:space="preserve"> the Union </w:t>
            </w:r>
            <w:r>
              <w:rPr>
                <w:b/>
                <w:i/>
              </w:rPr>
              <w:t>to deliver on its commitments or respond to the significant geopolitical challenges ahead</w:t>
            </w:r>
            <w:r>
              <w:t>;</w:t>
            </w:r>
          </w:p>
        </w:tc>
        <w:tc>
          <w:tcPr>
            <w:tcW w:w="4876" w:type="dxa"/>
            <w:tcBorders>
              <w:top w:val="nil"/>
              <w:left w:val="nil"/>
              <w:bottom w:val="nil"/>
              <w:right w:val="nil"/>
            </w:tcBorders>
          </w:tcPr>
          <w:p>
            <w:pPr>
              <w:pStyle w:val="Normal6a"/>
            </w:pPr>
            <w:r>
              <w:t>13.</w:t>
            </w:r>
            <w:r>
              <w:tab/>
            </w:r>
            <w:r>
              <w:rPr>
                <w:b/>
                <w:i/>
              </w:rPr>
              <w:t>Reiterates the need for enhanced flexibility in the next MFF compared to the 2021-2027 period,</w:t>
            </w:r>
            <w:r>
              <w:t xml:space="preserve"> in a fast changing world where people rightly expect more from the Union and where the Union is confronted with a growing number of crises</w:t>
            </w:r>
            <w:r>
              <w:rPr>
                <w:b/>
                <w:i/>
              </w:rPr>
              <w:t>; recalls that</w:t>
            </w:r>
            <w:r>
              <w:t xml:space="preserve"> the Recovery and Resilience Facility </w:t>
            </w:r>
            <w:r>
              <w:rPr>
                <w:b/>
                <w:i/>
              </w:rPr>
              <w:t>was conceived as a temporary and exceptional instrument and that its phasing-out must not be used to justify the creation of permanent Union-level</w:t>
            </w:r>
            <w:r>
              <w:t xml:space="preserve"> spending </w:t>
            </w:r>
            <w:r>
              <w:rPr>
                <w:b/>
                <w:i/>
              </w:rPr>
              <w:t>instruments or a structural expansion of</w:t>
            </w:r>
            <w:r>
              <w:t xml:space="preserve"> the Union </w:t>
            </w:r>
            <w:r>
              <w:rPr>
                <w:b/>
                <w:i/>
              </w:rPr>
              <w:t>budget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Recalls its position that, ‘in a fast changing world </w:t>
            </w:r>
            <w:r>
              <w:rPr>
                <w:b/>
                <w:i/>
              </w:rPr>
              <w:t>where people rightly expect more from the Union and where the Union is confronted with a growing number of crises</w:t>
            </w:r>
            <w:r>
              <w:t xml:space="preserve">, the next MFF must be endowed with </w:t>
            </w:r>
            <w:r>
              <w:rPr>
                <w:b/>
                <w:i/>
              </w:rPr>
              <w:t>increased</w:t>
            </w:r>
            <w:r>
              <w:t xml:space="preserve"> resources compared to the 2021-2027 period</w:t>
            </w:r>
            <w:r>
              <w:rPr>
                <w:b/>
                <w:i/>
              </w:rPr>
              <w:t>, moving away from the historically restrictive, self-imposed level of 1 % of GNI</w:t>
            </w:r>
            <w:r>
              <w:t xml:space="preserve">’; regrets </w:t>
            </w:r>
            <w:r>
              <w:rPr>
                <w:b/>
                <w:i/>
              </w:rPr>
              <w:t>that the Commission, instead of presenting a genuinely ambitious proposal, hides behind a headline</w:t>
            </w:r>
            <w:r>
              <w:t xml:space="preserve"> figure of EUR 2 trillion in current prices</w:t>
            </w:r>
            <w:r>
              <w:rPr>
                <w:b/>
                <w:i/>
              </w:rPr>
              <w:t>, which in reality amounts to only EUR 1.763 trillion in 2025 constant prices, equal to 1.26 % of EU GNI, with 0.11 % being allocated to NGEU repayments</w:t>
            </w:r>
            <w:r>
              <w:t xml:space="preserve">; deplores that this results in a </w:t>
            </w:r>
            <w:r>
              <w:rPr>
                <w:b/>
                <w:i/>
              </w:rPr>
              <w:t>token</w:t>
            </w:r>
            <w:r>
              <w:t xml:space="preserve"> increase </w:t>
            </w:r>
            <w:r>
              <w:rPr>
                <w:b/>
                <w:i/>
              </w:rPr>
              <w:t>for EU programmes of less than 0.01 percentage points of GNI, effectively freezing the budget in real terms; highlights that the phasing-out of the Recovery and Resilience Facility (RRF) will further substantially reduce the Union’s overall spending power</w:t>
            </w:r>
            <w:r>
              <w:t xml:space="preserve">; considers that </w:t>
            </w:r>
            <w:r>
              <w:rPr>
                <w:b/>
                <w:i/>
              </w:rPr>
              <w:t>this proposed level will not enable</w:t>
            </w:r>
            <w:r>
              <w:t xml:space="preserve"> the Union </w:t>
            </w:r>
            <w:r>
              <w:rPr>
                <w:b/>
                <w:i/>
              </w:rPr>
              <w:t>to deliver on its commitments or respond to the</w:t>
            </w:r>
            <w:r>
              <w:t xml:space="preserve"> significant geopolitical </w:t>
            </w:r>
            <w:r>
              <w:rPr>
                <w:b/>
                <w:i/>
              </w:rPr>
              <w:t>challenges ahead</w:t>
            </w:r>
            <w:r>
              <w:t>;</w:t>
            </w:r>
          </w:p>
        </w:tc>
        <w:tc>
          <w:tcPr>
            <w:tcW w:w="4876" w:type="dxa"/>
            <w:tcBorders>
              <w:top w:val="nil"/>
              <w:left w:val="nil"/>
              <w:bottom w:val="nil"/>
              <w:right w:val="nil"/>
            </w:tcBorders>
          </w:tcPr>
          <w:p>
            <w:pPr>
              <w:pStyle w:val="Normal6a"/>
            </w:pPr>
            <w:r>
              <w:t>13.</w:t>
            </w:r>
            <w:r>
              <w:tab/>
            </w:r>
            <w:r>
              <w:t xml:space="preserve">Recalls its position that, ‘in a fast changing world, the next MFF must be endowed with resources </w:t>
            </w:r>
            <w:r>
              <w:rPr>
                <w:b/>
                <w:i/>
              </w:rPr>
              <w:t>that are employed more prudently</w:t>
            </w:r>
            <w:r>
              <w:t xml:space="preserve"> compared to the 2021-2027 period’; </w:t>
            </w:r>
            <w:r>
              <w:rPr>
                <w:b/>
                <w:i/>
              </w:rPr>
              <w:t>deeply</w:t>
            </w:r>
            <w:r>
              <w:t xml:space="preserve"> regrets </w:t>
            </w:r>
            <w:r>
              <w:rPr>
                <w:b/>
                <w:i/>
              </w:rPr>
              <w:t>the</w:t>
            </w:r>
            <w:r>
              <w:t xml:space="preserve"> figure of </w:t>
            </w:r>
            <w:r>
              <w:rPr>
                <w:b/>
                <w:i/>
              </w:rPr>
              <w:t>almost</w:t>
            </w:r>
            <w:r>
              <w:t xml:space="preserve"> EUR 2 trillion in current prices </w:t>
            </w:r>
            <w:r>
              <w:rPr>
                <w:b/>
                <w:i/>
              </w:rPr>
              <w:t>referred to by the Commission</w:t>
            </w:r>
            <w:r>
              <w:t xml:space="preserve">; deplores that this results in a </w:t>
            </w:r>
            <w:r>
              <w:rPr>
                <w:b/>
                <w:i/>
              </w:rPr>
              <w:t>greater burden for European citizens, who have not benefited enough from the efforts made during the 2021-2027 period, and will mean a massive</w:t>
            </w:r>
            <w:r>
              <w:t xml:space="preserve"> increase </w:t>
            </w:r>
            <w:r>
              <w:rPr>
                <w:b/>
                <w:i/>
              </w:rPr>
              <w:t>in the burden placed on both citizens and businesses</w:t>
            </w:r>
            <w:r>
              <w:t xml:space="preserve">; considers that the Union </w:t>
            </w:r>
            <w:r>
              <w:rPr>
                <w:b/>
                <w:i/>
              </w:rPr>
              <w:t>has no interest in playing a</w:t>
            </w:r>
            <w:r>
              <w:t xml:space="preserve"> significant geopolitical </w:t>
            </w:r>
            <w:r>
              <w:rPr>
                <w:b/>
                <w:i/>
              </w:rPr>
              <w:t>role and that, instead, prudence and a focus on its own citizens and businesses would be much more sensible</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Recalls its position that, ‘in a fast changing world where people rightly expect more from the Union and where the Union is confronted with a growing number of crises, the next MFF must be endowed with increased resources compared to the 2021-2027 period, moving away from the historically restrictive, self-imposed level of 1 % of GNI’; regrets that the Commission, instead of presenting a genuinely ambitious proposal, hides behind a headline figure of EUR 2 trillion in current prices, which in reality amounts to only EUR 1.763 trillion in 2025 constant prices, equal to 1.26 % of EU GNI, with 0.11 % being allocated to NGEU repayments; deplores that this results in a token increase for EU programmes of less than 0.01 percentage points of GNI, effectively freezing the budget in real terms; highlights that the phasing-out of the Recovery and Resilience Facility (RRF) will further substantially reduce the Union’s overall spending power; considers that this proposed level will not enable the Union to deliver on its commitments or respond to the significant geopolitical challenges ahead;</w:t>
            </w:r>
          </w:p>
        </w:tc>
        <w:tc>
          <w:tcPr>
            <w:tcW w:w="4876" w:type="dxa"/>
            <w:tcBorders>
              <w:top w:val="nil"/>
              <w:left w:val="nil"/>
              <w:bottom w:val="nil"/>
              <w:right w:val="nil"/>
            </w:tcBorders>
          </w:tcPr>
          <w:p>
            <w:pPr>
              <w:pStyle w:val="Normal6a"/>
            </w:pPr>
            <w:r>
              <w:t>13.</w:t>
            </w:r>
            <w:r>
              <w:tab/>
            </w:r>
            <w:r>
              <w:t xml:space="preserve">Recalls its position that, ‘in a fast changing world where people rightly expect more from the Union and where the Union is confronted with a growing number of </w:t>
            </w:r>
            <w:r>
              <w:rPr>
                <w:b/>
                <w:i/>
              </w:rPr>
              <w:t>interconnected</w:t>
            </w:r>
            <w:r>
              <w:t xml:space="preserve"> crises </w:t>
            </w:r>
            <w:r>
              <w:rPr>
                <w:b/>
                <w:i/>
              </w:rPr>
              <w:t>and global challenges</w:t>
            </w:r>
            <w:r>
              <w:t xml:space="preserve">, the next MFF must be endowed with increased resources compared to the 2021-2027 period, moving away from the historically restrictive, self-imposed level of 1 % of GNI’; regrets that the Commission, instead of presenting a genuinely ambitious proposal, hides behind a headline figure of EUR 2 trillion in current prices, which in reality amounts to only EUR 1.763 trillion in 2025 constant prices, equal to 1.26 % of EU GNI, with 0.11 % being allocated to NGEU repayments; deplores that this results in a token increase for EU programmes of less than 0.01 percentage points of GNI, effectively freezing the budget in real terms; highlights that the phasing-out of the Recovery and Resilience Facility (RRF) will further substantially reduce the Union’s overall spending power; considers that this proposed level will not enable the Union to deliver on its commitments or respond to the significant geopolitical challenges ahead; </w:t>
            </w:r>
            <w:r>
              <w:rPr>
                <w:b/>
                <w:i/>
              </w:rPr>
              <w:t>underlines that inadequate resourcing also limits the Union’s capacity to act effectively in an increasingly competitive global environment and to address external risks that have direct consequences for the Union’s stability and prosperity;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Recalls its position that, ‘in a fast changing world where people rightly expect more from the Union and where the Union is confronted with a growing number of crises, the next MFF must be endowed with increased resources compared to the 2021-2027 period, moving away from the historically restrictive, self-imposed level of 1 % of GNI’; regrets that the Commission, instead of presenting a genuinely ambitious proposal, hides behind a headline figure of EUR 2 trillion in current prices, which in reality amounts to only EUR 1.763 trillion in 2025 constant prices, equal to 1.26 % of EU GNI, with 0.11 % being allocated to NGEU repayments; deplores that this results in a token increase for EU programmes of less than 0.01 percentage points of GNI, effectively freezing the budget in real terms; highlights that the phasing-out of the Recovery and Resilience Facility (RRF) will further substantially reduce the Union’s overall spending power; considers that this proposed level will not enable the Union to deliver on its commitments or respond to the significant geopolitical challenges ahead;</w:t>
            </w:r>
          </w:p>
        </w:tc>
        <w:tc>
          <w:tcPr>
            <w:tcW w:w="4876" w:type="dxa"/>
            <w:tcBorders>
              <w:top w:val="nil"/>
              <w:left w:val="nil"/>
              <w:bottom w:val="nil"/>
              <w:right w:val="nil"/>
            </w:tcBorders>
          </w:tcPr>
          <w:p>
            <w:pPr>
              <w:pStyle w:val="Normal6a"/>
            </w:pPr>
            <w:r>
              <w:t>13.</w:t>
            </w:r>
            <w:r>
              <w:tab/>
            </w:r>
            <w:r>
              <w:t xml:space="preserve">Recalls its position that, ‘in a fast changing world where people rightly expect more from the Union and where the Union is confronted with a growing number of crises, the next MFF must be endowed with increased resources compared to the 2021-2027 period, moving away from the historically restrictive, self-imposed level of 1 % of GNI’; regrets that the Commission, instead of presenting a genuinely ambitious proposal, hides behind a headline figure of EUR 2 trillion in current prices, which in reality amounts to only EUR 1.763 trillion in 2025 constant prices, equal to 1.26 % of EU GNI, with 0.11 % being allocated to NGEU repayments; deplores that this results in a token increase for EU programmes of less than 0.01 percentage points of GNI, effectively freezing the budget in real terms; highlights that the phasing-out of the Recovery and Resilience Facility (RRF) will further substantially reduce the Union’s overall spending power; considers that this proposed level will not enable the Union to deliver on its commitments or respond to the significant geopolitical challenges ahead; </w:t>
            </w:r>
            <w:r>
              <w:rPr>
                <w:b/>
                <w:i/>
              </w:rPr>
              <w:t>recalls that the Union’s level is the appropriate scale to handle those emerging challenges;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Recalls its position that, ‘in a fast changing world where people rightly expect more from the Union and where the Union is confronted with a growing number of crises, the next MFF must be endowed with increased resources compared to the 2021-2027 period, moving away from the historically restrictive, self-imposed level of 1 % of GNI’; regrets that the Commission, instead of presenting a genuinely ambitious proposal, hides behind a headline figure of EUR 2 trillion in current prices, which in reality amounts to only EUR 1.763 trillion in 2025 constant prices, equal to 1.26 % of EU GNI, with 0.11 % being allocated to NGEU repayments; deplores that this results in a token increase for EU programmes of less than 0.01 percentage points of GNI, effectively freezing the budget in real terms; highlights that the phasing-out of the Recovery and Resilience Facility (RRF) </w:t>
            </w:r>
            <w:r>
              <w:rPr>
                <w:b/>
                <w:i/>
              </w:rPr>
              <w:t>will</w:t>
            </w:r>
            <w:r>
              <w:t xml:space="preserve"> further substantially </w:t>
            </w:r>
            <w:r>
              <w:rPr>
                <w:b/>
                <w:i/>
              </w:rPr>
              <w:t>reduce</w:t>
            </w:r>
            <w:r>
              <w:t xml:space="preserve"> the Union’s overall spending power; considers that this proposed level will not enable the Union to deliver on its commitments or respond to the significant geopolitical challenges ahead;</w:t>
            </w:r>
          </w:p>
        </w:tc>
        <w:tc>
          <w:tcPr>
            <w:tcW w:w="4876" w:type="dxa"/>
            <w:tcBorders>
              <w:top w:val="nil"/>
              <w:left w:val="nil"/>
              <w:bottom w:val="nil"/>
              <w:right w:val="nil"/>
            </w:tcBorders>
          </w:tcPr>
          <w:p>
            <w:pPr>
              <w:pStyle w:val="Normal6a"/>
            </w:pPr>
            <w:r>
              <w:t>13.</w:t>
            </w:r>
            <w:r>
              <w:tab/>
            </w:r>
            <w:r>
              <w:t xml:space="preserve">Recalls its position that, ‘in a fast changing world where people rightly expect more from the Union and where the Union is confronted with a growing number of crises, the next MFF must be endowed with increased resources compared to the 2021-2027 period, moving away from the historically restrictive, self-imposed level of 1 % of GNI’; regrets that the Commission, instead of presenting a genuinely ambitious proposal, hides behind a headline figure of EUR 2 trillion in current prices, which in reality amounts to only EUR 1.763 trillion in 2025 constant prices, equal to 1.26 % of EU GNI, with 0.11 % being allocated to NGEU repayments; deplores that this results in a token increase for EU programmes of less than 0.01 percentage points of GNI, effectively freezing the budget in real terms; highlights that the phasing-out of the Recovery and Resilience Facility (RRF) </w:t>
            </w:r>
            <w:r>
              <w:rPr>
                <w:b/>
                <w:i/>
              </w:rPr>
              <w:t>in 2026 will have</w:t>
            </w:r>
            <w:r>
              <w:t xml:space="preserve"> further substantially </w:t>
            </w:r>
            <w:r>
              <w:rPr>
                <w:b/>
                <w:i/>
              </w:rPr>
              <w:t>reduced</w:t>
            </w:r>
            <w:r>
              <w:t xml:space="preserve"> the Union’s overall spending power; considers that this proposed level will not enable the Union to deliver on its commitments or respond to the significant geopolitical challenges ahead;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Céline Imart, Isabelle Le Callennec, Christophe Gomart, Nadine Morano,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Stresses the need, in a context of tighter budgetary constraints, to carry out a rigorous prioritisation of the Union’s spending in order to safeguard adequate funding for the European Union’s traditional and defining policies;</w:t>
            </w:r>
            <w:r>
              <w:t xml:space="preserve"> </w:t>
            </w:r>
            <w:r>
              <w:rPr>
                <w:b/>
                <w:i/>
              </w:rPr>
              <w:t>recalls that there has been a substantial increase for Heading 3 ‘Global Europe’ compared to the previous MFF;</w:t>
            </w:r>
            <w:r>
              <w:t xml:space="preserve"> </w:t>
            </w:r>
            <w:r>
              <w:rPr>
                <w:b/>
                <w:i/>
              </w:rPr>
              <w:t>takes the view, therefore, that special savings and rationalisation efforts must be made under this heading, with the exception of humanitarian aid and support for Ukraine, in order to ensure that the Multiannual Financial Framework is sustainable and that the Union’s internal policies can be maintained in real terms;</w:t>
            </w:r>
            <w:r>
              <w:t xml:space="preserve"> </w:t>
            </w:r>
            <w:r>
              <w:rPr>
                <w:b/>
                <w:i/>
              </w:rPr>
              <w:t>stresses furthermore that the Union’s international funding, with the exception of humanitarian aid and support for Ukraine, must be made conditional upon the existence of a tangible, measurable and verifiable advantage in terms of the European Union’s interests, particularly as regards regional stability, the management of migratory flows, security, economic resilience and strategic partnerships;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Céline Imart, Isabelle Le Callennec, Christophe Gomart, Nadine Morano,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Stresses the need to strengthen the effectiveness and coherence of the landscape of the Union’s decentralised bodies and agencies, in a context of tighter budgetary constraints;</w:t>
            </w:r>
            <w:r>
              <w:t xml:space="preserve"> </w:t>
            </w:r>
            <w:r>
              <w:rPr>
                <w:b/>
                <w:i/>
              </w:rPr>
              <w:t>invites the Commission to carry out a regular and thorough review of the actual usefulness, European added value and operational efficiency of these agencies, including through an examination of the options for pooling their functions, resources and budgets where appropriate;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Alexander Jungbluth, Stanisław Tyszka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Calls for the 2028-2034 MFF to be set at 1.27 % of EU GNI, excluding NGEU repayments;</w:t>
            </w:r>
            <w:r>
              <w:t xml:space="preserve"> </w:t>
            </w:r>
            <w:r>
              <w:rPr>
                <w:b/>
                <w:i/>
              </w:rPr>
              <w:t>considers that NGEU debt servicing should be treated separately from appropriations for EU programmes within the future MFF architecture bringing the total amount to 1.38 % of GNI;</w:t>
            </w:r>
            <w:r>
              <w:t xml:space="preserve"> </w:t>
            </w:r>
            <w:r>
              <w:rPr>
                <w:b/>
                <w:i/>
              </w:rPr>
              <w:t>stresses that this level is the absolute minimum to enable the Union to deliver on its commitments, respond to geopolitical challenges and achieve its strategic objectives;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Calls for the 2028-2034 MFF to be set at 1.27 % of EU GNI, excluding NGEU repayments;</w:t>
            </w:r>
            <w:r>
              <w:t xml:space="preserve"> </w:t>
            </w:r>
            <w:r>
              <w:rPr>
                <w:b/>
                <w:i/>
              </w:rPr>
              <w:t>considers that NGEU debt servicing should be treated separately from appropriations for EU programmes within the future MFF architecture bringing the total amount to 1.38 % of GNI;</w:t>
            </w:r>
            <w:r>
              <w:t xml:space="preserve"> </w:t>
            </w:r>
            <w:r>
              <w:rPr>
                <w:b/>
                <w:i/>
              </w:rPr>
              <w:t>stresses that this level is the absolute minimum to enable the Union to deliver on its commitments, respond to geopolitical challenges and achieve its strategic objectives;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Anouk Van Brug, Moritz Körner, Joachim Streit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Calls for the 2028-2034 MFF to </w:t>
            </w:r>
            <w:r>
              <w:rPr>
                <w:b/>
                <w:i/>
              </w:rPr>
              <w:t>be set at 1.27</w:t>
            </w:r>
            <w:r>
              <w:t xml:space="preserve"> % of EU GNI</w:t>
            </w:r>
            <w:r>
              <w:rPr>
                <w:b/>
                <w:i/>
              </w:rPr>
              <w:t>, excluding NGEU repayments</w:t>
            </w:r>
            <w:r>
              <w:t xml:space="preserve">; </w:t>
            </w:r>
            <w:r>
              <w:rPr>
                <w:b/>
                <w:i/>
              </w:rPr>
              <w:t>considers that NGEU debt servicing should be treated separately from appropriations for EU programmes within the future MFF architecture bringing the total amount to 1.38 % of GNI; stresses that this level is the absolute minimum to enable the Union to deliver on its commitments, respond to geopolitical challenges and achieve its strategic objectives;</w:t>
            </w:r>
          </w:p>
        </w:tc>
        <w:tc>
          <w:tcPr>
            <w:tcW w:w="4876" w:type="dxa"/>
            <w:tcBorders>
              <w:top w:val="nil"/>
              <w:left w:val="nil"/>
              <w:bottom w:val="nil"/>
              <w:right w:val="nil"/>
            </w:tcBorders>
          </w:tcPr>
          <w:p>
            <w:pPr>
              <w:pStyle w:val="Normal6a"/>
            </w:pPr>
            <w:r>
              <w:t>14.</w:t>
            </w:r>
            <w:r>
              <w:tab/>
            </w:r>
            <w:r>
              <w:t xml:space="preserve">Calls for the 2028-2034 MFF to </w:t>
            </w:r>
            <w:r>
              <w:rPr>
                <w:b/>
                <w:i/>
              </w:rPr>
              <w:t>remain at 1</w:t>
            </w:r>
            <w:r>
              <w:t xml:space="preserve"> % of EU GNI;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Calls for the 2028-2034 MFF to be </w:t>
            </w:r>
            <w:r>
              <w:rPr>
                <w:b/>
                <w:i/>
              </w:rPr>
              <w:t>set at 1.27</w:t>
            </w:r>
            <w:r>
              <w:t xml:space="preserve"> % of EU GNI, </w:t>
            </w:r>
            <w:r>
              <w:rPr>
                <w:b/>
                <w:i/>
              </w:rPr>
              <w:t>excluding NGEU</w:t>
            </w:r>
            <w:r>
              <w:t xml:space="preserve"> repayments</w:t>
            </w:r>
            <w:r>
              <w:rPr>
                <w:b/>
                <w:i/>
              </w:rPr>
              <w:t>;</w:t>
            </w:r>
            <w:r>
              <w:t xml:space="preserve"> </w:t>
            </w:r>
            <w:r>
              <w:rPr>
                <w:b/>
                <w:i/>
              </w:rPr>
              <w:t>considers that NGEU</w:t>
            </w:r>
            <w:r>
              <w:t xml:space="preserve"> debt servicing should </w:t>
            </w:r>
            <w:r>
              <w:rPr>
                <w:b/>
                <w:i/>
              </w:rPr>
              <w:t>be treated separately from appropriations for EU programmes</w:t>
            </w:r>
            <w:r>
              <w:t xml:space="preserve"> within the </w:t>
            </w:r>
            <w:r>
              <w:rPr>
                <w:b/>
                <w:i/>
              </w:rPr>
              <w:t>future MFF architecture bringing the total amount to 1.38 % of GNI;</w:t>
            </w:r>
            <w:r>
              <w:t xml:space="preserve"> </w:t>
            </w:r>
            <w:r>
              <w:rPr>
                <w:b/>
                <w:i/>
              </w:rPr>
              <w:t>stresses that this level is the absolute minimum to enable</w:t>
            </w:r>
            <w:r>
              <w:t xml:space="preserve"> the Union </w:t>
            </w:r>
            <w:r>
              <w:rPr>
                <w:b/>
                <w:i/>
              </w:rPr>
              <w:t>to deliver on its commitments, respond to geopolitical challenges and achieve its strategic objectives</w:t>
            </w:r>
            <w:r>
              <w:t>;</w:t>
            </w:r>
          </w:p>
        </w:tc>
        <w:tc>
          <w:tcPr>
            <w:tcW w:w="4876" w:type="dxa"/>
            <w:tcBorders>
              <w:top w:val="nil"/>
              <w:left w:val="nil"/>
              <w:bottom w:val="nil"/>
              <w:right w:val="nil"/>
            </w:tcBorders>
          </w:tcPr>
          <w:p>
            <w:pPr>
              <w:pStyle w:val="Normal6a"/>
            </w:pPr>
            <w:r>
              <w:t>14.</w:t>
            </w:r>
            <w:r>
              <w:tab/>
            </w:r>
            <w:r>
              <w:t xml:space="preserve">Calls for the 2028-2034 MFF to be </w:t>
            </w:r>
            <w:r>
              <w:rPr>
                <w:b/>
                <w:i/>
              </w:rPr>
              <w:t>strictly limited to at most 1</w:t>
            </w:r>
            <w:r>
              <w:t xml:space="preserve"> % of EU GNI, </w:t>
            </w:r>
            <w:r>
              <w:rPr>
                <w:b/>
                <w:i/>
              </w:rPr>
              <w:t>which is its historical level, with the underlying aim of cutting expenditure and the contributions of the Member States that are net contributors, including NextGenerationEU (NGEU)</w:t>
            </w:r>
            <w:r>
              <w:t xml:space="preserve"> repayments</w:t>
            </w:r>
            <w:r>
              <w:rPr>
                <w:b/>
                <w:i/>
              </w:rPr>
              <w:t>, and objects to any increase in the MFF ceiling above this level;</w:t>
            </w:r>
            <w:r>
              <w:t xml:space="preserve"> </w:t>
            </w:r>
            <w:r>
              <w:rPr>
                <w:b/>
                <w:i/>
              </w:rPr>
              <w:t>underlines that NGEU-related</w:t>
            </w:r>
            <w:r>
              <w:t xml:space="preserve"> debt servicing </w:t>
            </w:r>
            <w:r>
              <w:rPr>
                <w:b/>
                <w:i/>
              </w:rPr>
              <w:t>is a specific financial obligation that</w:t>
            </w:r>
            <w:r>
              <w:t xml:space="preserve"> should </w:t>
            </w:r>
            <w:r>
              <w:rPr>
                <w:b/>
                <w:i/>
              </w:rPr>
              <w:t>not be used to justify a structural increase in the EU budget;</w:t>
            </w:r>
            <w:r>
              <w:t xml:space="preserve"> </w:t>
            </w:r>
            <w:r>
              <w:rPr>
                <w:b/>
                <w:i/>
              </w:rPr>
              <w:t>believes that this debt servicing must be funded first and foremost from substantial savings, in particular from the removal, reduction or rationalisation of harmful or ineffective spending or spending that does not fall</w:t>
            </w:r>
            <w:r>
              <w:t xml:space="preserve"> within the </w:t>
            </w:r>
            <w:r>
              <w:rPr>
                <w:b/>
                <w:i/>
              </w:rPr>
              <w:t>sphere of competence of</w:t>
            </w:r>
            <w:r>
              <w:t xml:space="preserve"> the Union</w:t>
            </w:r>
            <w:r>
              <w:rPr>
                <w:b/>
                <w:i/>
              </w:rPr>
              <w:t>, in accordance with the principles of subsidiarity and proportionality</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Calls for the 2028-2034 MFF to be set at </w:t>
            </w:r>
            <w:r>
              <w:rPr>
                <w:b/>
                <w:i/>
              </w:rPr>
              <w:t>1.27</w:t>
            </w:r>
            <w:r>
              <w:t xml:space="preserve"> % of EU GNI, excluding NGEU repayments; considers that NGEU debt servicing should be treated separately from appropriations for EU programmes within the future MFF architecture bringing the total amount to </w:t>
            </w:r>
            <w:r>
              <w:rPr>
                <w:b/>
                <w:i/>
              </w:rPr>
              <w:t>1.38</w:t>
            </w:r>
            <w:r>
              <w:t xml:space="preserve"> % of GNI; stresses that this level is the absolute minimum to enable the Union to deliver on its commitments, respond to geopolitical challenges and achieve its strategic objectives;</w:t>
            </w:r>
          </w:p>
        </w:tc>
        <w:tc>
          <w:tcPr>
            <w:tcW w:w="4876" w:type="dxa"/>
            <w:tcBorders>
              <w:top w:val="nil"/>
              <w:left w:val="nil"/>
              <w:bottom w:val="nil"/>
              <w:right w:val="nil"/>
            </w:tcBorders>
          </w:tcPr>
          <w:p>
            <w:pPr>
              <w:pStyle w:val="Normal6a"/>
            </w:pPr>
            <w:r>
              <w:t>14.</w:t>
            </w:r>
            <w:r>
              <w:tab/>
            </w:r>
            <w:r>
              <w:t xml:space="preserve">Calls for the 2028-2034 MFF to be set at </w:t>
            </w:r>
            <w:r>
              <w:rPr>
                <w:b/>
                <w:i/>
              </w:rPr>
              <w:t>1.39</w:t>
            </w:r>
            <w:r>
              <w:t xml:space="preserve"> % of EU GNI, excluding NGEU repayments; considers that NGEU debt servicing should be treated separately from appropriations for EU programmes within the future MFF architecture bringing the total amount to </w:t>
            </w:r>
            <w:r>
              <w:rPr>
                <w:b/>
                <w:i/>
              </w:rPr>
              <w:t>1.5</w:t>
            </w:r>
            <w:r>
              <w:t xml:space="preserve"> % of GNI; stresses that this level is the absolute minimum to enable the Union to deliver on its commitments, respond to geopolitical challenges </w:t>
            </w:r>
            <w:r>
              <w:rPr>
                <w:b/>
                <w:i/>
              </w:rPr>
              <w:t>climate and biodiversity crisis as well as the cost of living crisis</w:t>
            </w:r>
            <w:r>
              <w:t xml:space="preserve"> and achieve its strategic objectives;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Isabelle Le Callenec,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Calls for the 2028-2034 MFF to be set at 1.27 % of EU GNI, excluding NGEU repayments; considers that NGEU debt servicing should be treated separately from appropriations for EU programmes within the future MFF architecture bringing the total amount to 1.38 % of GNI; stresses that this level is the absolute minimum to enable the Union to deliver on its commitments, respond to geopolitical challenges and achieve its strategic objectives;</w:t>
            </w:r>
          </w:p>
        </w:tc>
        <w:tc>
          <w:tcPr>
            <w:tcW w:w="4876" w:type="dxa"/>
            <w:tcBorders>
              <w:top w:val="nil"/>
              <w:left w:val="nil"/>
              <w:bottom w:val="nil"/>
              <w:right w:val="nil"/>
            </w:tcBorders>
          </w:tcPr>
          <w:p>
            <w:pPr>
              <w:pStyle w:val="Normal6a"/>
            </w:pPr>
            <w:r>
              <w:t>14.</w:t>
            </w:r>
            <w:r>
              <w:tab/>
            </w:r>
            <w:r>
              <w:t xml:space="preserve">Calls for the 2028-2034 MFF to be set at 1.27 % of EU GNI, excluding NGEU repayments; considers that NGEU debt servicing should be treated separately from appropriations for EU programmes within the future MFF architecture bringing the total amount to 1.38 % of GNI; stresses that this level is the absolute minimum to enable the Union to deliver on its commitments </w:t>
            </w:r>
            <w:r>
              <w:rPr>
                <w:b/>
                <w:i/>
              </w:rPr>
              <w:t>enshrined in the Treaties</w:t>
            </w:r>
            <w:r>
              <w:t>, respond to geopolitical challenges and achieve its strategic objectives;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a.</w:t>
            </w:r>
            <w:r>
              <w:tab/>
            </w:r>
            <w:r>
              <w:rPr>
                <w:b/>
                <w:i/>
              </w:rPr>
              <w:t>Underlines that tackling climate change and the degradation of the environment including biodiversity loss is an essential European public good; stresses that a more ambitious financial commitment is needed in the next MFF in line with the EU’s global commitment to address climate change and halt biodiversity loss and the associated investment gaps; reminds that the next MFF will not only have to deliver on the implementation of the 2030 climate, energy and environmental targets, but also on a 2040 framework in view of achieving climate neutrality by 2050;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a.</w:t>
            </w:r>
            <w:r>
              <w:tab/>
            </w:r>
            <w:r>
              <w:rPr>
                <w:b/>
                <w:i/>
              </w:rPr>
              <w:t>Believes that the present competitiveness and geopolitical challenges can be best met by respecting Member States’ competences; believes that - based on the principle of subsidiarity - Member States have the best understanding of the challenges they are facing;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Alexander Jungbluth, Stanisław Tyszka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Calls, in this context, for the level of funding to be secured for EU programmes and policies, as set out in Annexes I and II to the present resolution;</w:t>
            </w:r>
            <w:r>
              <w:t xml:space="preserve"> </w:t>
            </w:r>
            <w:r>
              <w:rPr>
                <w:b/>
                <w:i/>
              </w:rPr>
              <w:t>calls for the relevant commitment and payment ceilings to be adjusted accordingly;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Calls, in this context, for the level of funding to be secured for EU programmes and policies, as set out in Annexes I and II to the present resolution;</w:t>
            </w:r>
            <w:r>
              <w:t xml:space="preserve"> </w:t>
            </w:r>
            <w:r>
              <w:rPr>
                <w:b/>
                <w:i/>
              </w:rPr>
              <w:t>calls for the relevant commitment and payment ceilings to be adjusted accordingly;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Calls, in this context, for the level of funding to be secured for EU programmes and policies, as set out in Annexes I and II to the present resolution;</w:t>
            </w:r>
            <w:r>
              <w:t xml:space="preserve"> </w:t>
            </w:r>
            <w:r>
              <w:rPr>
                <w:b/>
                <w:i/>
              </w:rPr>
              <w:t>calls for the relevant commitment and payment ceilings to be adjusted accordingly;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Joachim Streit, Anouk Van Brug,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Calls</w:t>
            </w:r>
            <w:r>
              <w:rPr>
                <w:b/>
                <w:i/>
              </w:rPr>
              <w:t>, in this context, for the level of funding to be secured for EU</w:t>
            </w:r>
            <w:r>
              <w:t xml:space="preserve"> programmes and policies</w:t>
            </w:r>
            <w:r>
              <w:rPr>
                <w:b/>
                <w:i/>
              </w:rPr>
              <w:t>, as</w:t>
            </w:r>
            <w:r>
              <w:t xml:space="preserve"> set out in </w:t>
            </w:r>
            <w:r>
              <w:rPr>
                <w:b/>
                <w:i/>
              </w:rPr>
              <w:t>Annexes I and II to the present resolution</w:t>
            </w:r>
            <w:r>
              <w:t xml:space="preserve">; </w:t>
            </w:r>
            <w:r>
              <w:rPr>
                <w:b/>
                <w:i/>
              </w:rPr>
              <w:t>calls for the relevant commitment and payment ceilings to be adjusted accordingly;</w:t>
            </w:r>
          </w:p>
        </w:tc>
        <w:tc>
          <w:tcPr>
            <w:tcW w:w="4876" w:type="dxa"/>
            <w:tcBorders>
              <w:top w:val="nil"/>
              <w:left w:val="nil"/>
              <w:bottom w:val="nil"/>
              <w:right w:val="nil"/>
            </w:tcBorders>
          </w:tcPr>
          <w:p>
            <w:pPr>
              <w:pStyle w:val="Normal6a"/>
            </w:pPr>
            <w:r>
              <w:t>15.</w:t>
            </w:r>
            <w:r>
              <w:tab/>
            </w:r>
            <w:r>
              <w:t xml:space="preserve">Calls </w:t>
            </w:r>
            <w:r>
              <w:rPr>
                <w:b/>
                <w:i/>
              </w:rPr>
              <w:t>for Union</w:t>
            </w:r>
            <w:r>
              <w:t xml:space="preserve"> programmes and policies </w:t>
            </w:r>
            <w:r>
              <w:rPr>
                <w:b/>
                <w:i/>
              </w:rPr>
              <w:t>to be financed in a manner consistent with the ceilings of the MFF and the principles of sound financial management; stresses that funding allocations must be based on clear priorities, effectiveness and European added value, and must remain compatible with overall budgetary discipline and the limits</w:t>
            </w:r>
            <w:r>
              <w:t xml:space="preserve"> set out in </w:t>
            </w:r>
            <w:r>
              <w:rPr>
                <w:b/>
                <w:i/>
              </w:rPr>
              <w:t>the Treaties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Emma Fourreau, Younous Omarjee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a.</w:t>
            </w:r>
            <w:r>
              <w:tab/>
            </w:r>
            <w:r>
              <w:rPr>
                <w:b/>
                <w:i/>
              </w:rPr>
              <w:t>Calls for a binding minimum biodiversity spending target of 15% in addition to an enhanced climate overarching spending target of at least 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Emma Fourreau, Younous Omarjee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w:t>
            </w:r>
            <w:r>
              <w:tab/>
            </w:r>
            <w:r>
              <w:rPr>
                <w:b/>
                <w:i/>
              </w:rPr>
              <w:t>Calls for the introduction of clear conditionalities and social and environmental criteria to ensure sufficient funding dedicated to the implementation of the Common Fisheries Policy and European Ocean Pact that supports the transition to low-impact fishing, small-scale fishers and contributes to the protection and restoration of biological resources and marine ecosystems;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Notes that Heading 1 on ‘Europe’s social model and quality of life’ is allocated EUR 797.2 billion in 2025 prices, representing 45 % of the total 2028-2034 MFF;</w:t>
            </w:r>
            <w:r>
              <w:t xml:space="preserve"> </w:t>
            </w:r>
            <w:r>
              <w:rPr>
                <w:b/>
                <w:i/>
              </w:rPr>
              <w:t>expresses deep concern that this is a decrease compared to the EUR 810.1 billion allocated in the 2021-2027 MFF, which amounted to 65 % of the total; considers this substantial cut unacceptable given the critical importance of maintaining the Union’s long-standing policies;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Andrzej Halicki,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Notes that Heading 1 on ‘Europe’s social model and quality of life’ is allocated EUR 797.2 billion in 2025 prices, representing 45 % of the total 2028-2034 MFF; expresses deep concern that this is a decrease compared to the EUR 810.1 billion allocated in the 2021-2027 MFF, which amounted to 65 % of the total; considers this substantial cut unacceptable given the critical importance of maintaining the Union’s long-standing policies;</w:t>
            </w:r>
          </w:p>
        </w:tc>
        <w:tc>
          <w:tcPr>
            <w:tcW w:w="4876" w:type="dxa"/>
            <w:tcBorders>
              <w:top w:val="nil"/>
              <w:left w:val="nil"/>
              <w:bottom w:val="nil"/>
              <w:right w:val="nil"/>
            </w:tcBorders>
          </w:tcPr>
          <w:p>
            <w:pPr>
              <w:pStyle w:val="Normal6a"/>
            </w:pPr>
            <w:r>
              <w:t>16.</w:t>
            </w:r>
            <w:r>
              <w:tab/>
            </w:r>
            <w:r>
              <w:t xml:space="preserve">Notes that Heading 1 on ‘Europe’s social model and quality of life’ is allocated EUR 797.2 billion in 2025 prices, representing 45 % of the total 2028-2034 MFF; expresses deep concern that this is a decrease compared to the EUR 810.1 billion allocated in the 2021-2027 MFF, which amounted to 65 % of the total; considers this substantial cut unacceptable given the critical importance of maintaining the Union’s long-standing policies; </w:t>
            </w:r>
            <w:r>
              <w:rPr>
                <w:b/>
                <w:i/>
              </w:rPr>
              <w:t>underlines that reinforced funding under this heading is indispensable for the effective implementation of the European Pillar of Social Rights, in particular its objects on quality employment, access to affordable and accessible housing, social inclusion and strong support for the upskilling and reskilling of workers.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Jens Geier, 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Notes that Heading 1 on ‘Europe’s social model and quality of life’ is allocated EUR 797.2 billion in 2025 prices, representing 45 % of the total 2028-2034 MFF; expresses deep concern that this is a decrease compared to the EUR 810.1 billion allocated in the 2021-2027 MFF, which amounted to 65 % of the total; considers this substantial cut unacceptable given the critical importance of maintaining the Union’s long-standing policies;</w:t>
            </w:r>
          </w:p>
        </w:tc>
        <w:tc>
          <w:tcPr>
            <w:tcW w:w="4876" w:type="dxa"/>
            <w:tcBorders>
              <w:top w:val="nil"/>
              <w:left w:val="nil"/>
              <w:bottom w:val="nil"/>
              <w:right w:val="nil"/>
            </w:tcBorders>
          </w:tcPr>
          <w:p>
            <w:pPr>
              <w:pStyle w:val="Normal6a"/>
            </w:pPr>
            <w:r>
              <w:t>16.</w:t>
            </w:r>
            <w:r>
              <w:tab/>
            </w:r>
            <w:r>
              <w:t xml:space="preserve">Notes that Heading 1 on ‘Europe’s social model and quality of life’ is allocated EUR 797.2 billion in 2025 prices, representing 45 % of the total 2028-2034 MFF; expresses deep concern that this is a decrease compared to the EUR 810.1 billion allocated in the 2021-2027 MFF, which amounted to 65 % of the total; considers this substantial cut unacceptable given the critical importance of maintaining the Union’s long-standing policies; </w:t>
            </w:r>
            <w:r>
              <w:rPr>
                <w:b/>
                <w:i/>
              </w:rPr>
              <w:t>stresses that the European Social Fund (ESF+) is the primary instrument for strengthening the social dimension of the Union and calls for an autonomous, well-funded ESF+ budget line, as a dissolution of the ESF+ would jeopardise the visibility and binding nature of social objectives;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Joachim Streit,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Notes that Heading 1 on ‘Europe’s social model and quality of life’ is allocated EUR 797.2 billion in 2025 prices, representing 45 % of the total 2028</w:t>
            </w:r>
            <w:r>
              <w:rPr>
                <w:b/>
                <w:i/>
              </w:rPr>
              <w:t>-</w:t>
            </w:r>
            <w:r>
              <w:t xml:space="preserve">2034 MFF; </w:t>
            </w:r>
            <w:r>
              <w:rPr>
                <w:b/>
                <w:i/>
              </w:rPr>
              <w:t>expresses deep concern</w:t>
            </w:r>
            <w:r>
              <w:t xml:space="preserve"> that this </w:t>
            </w:r>
            <w:r>
              <w:rPr>
                <w:b/>
                <w:i/>
              </w:rPr>
              <w:t>is</w:t>
            </w:r>
            <w:r>
              <w:t xml:space="preserve"> a decrease compared to the EUR 810.1 billion allocated in the 2021</w:t>
            </w:r>
            <w:r>
              <w:rPr>
                <w:b/>
                <w:i/>
              </w:rPr>
              <w:t>-</w:t>
            </w:r>
            <w:r>
              <w:t>2027 MFF</w:t>
            </w:r>
            <w:r>
              <w:rPr>
                <w:b/>
                <w:i/>
              </w:rPr>
              <w:t>, which amounted to 65 % of the total; considers this substantial cut unacceptable given the critical importance of maintaining the Union’s long-standing policies</w:t>
            </w:r>
            <w:r>
              <w:t>;</w:t>
            </w:r>
          </w:p>
        </w:tc>
        <w:tc>
          <w:tcPr>
            <w:tcW w:w="4876" w:type="dxa"/>
            <w:tcBorders>
              <w:top w:val="nil"/>
              <w:left w:val="nil"/>
              <w:bottom w:val="nil"/>
              <w:right w:val="nil"/>
            </w:tcBorders>
          </w:tcPr>
          <w:p>
            <w:pPr>
              <w:pStyle w:val="Normal6a"/>
            </w:pPr>
            <w:r>
              <w:t>16.</w:t>
            </w:r>
            <w:r>
              <w:tab/>
            </w:r>
            <w:r>
              <w:t>Notes that Heading 1 on ‘Europe’s social model and quality of life’ is allocated EUR 797.2 billion in 2025 prices, representing 45 % of the total 2028</w:t>
            </w:r>
            <w:r>
              <w:rPr>
                <w:b/>
                <w:i/>
              </w:rPr>
              <w:t>–</w:t>
            </w:r>
            <w:r>
              <w:t xml:space="preserve">2034 MFF; </w:t>
            </w:r>
            <w:r>
              <w:rPr>
                <w:b/>
                <w:i/>
              </w:rPr>
              <w:t>observes</w:t>
            </w:r>
            <w:r>
              <w:t xml:space="preserve"> that this </w:t>
            </w:r>
            <w:r>
              <w:rPr>
                <w:b/>
                <w:i/>
              </w:rPr>
              <w:t>represents</w:t>
            </w:r>
            <w:r>
              <w:t xml:space="preserve"> a decrease compared to the EUR 810.1 billion allocated in the 2021</w:t>
            </w:r>
            <w:r>
              <w:rPr>
                <w:b/>
                <w:i/>
              </w:rPr>
              <w:t>–</w:t>
            </w:r>
            <w:r>
              <w:t>2027 MFF</w:t>
            </w:r>
            <w:r>
              <w:rPr>
                <w:b/>
                <w:i/>
              </w:rPr>
              <w:t>; recalls that allocations across headings must be assessed in the context of overall budgetary constraints and competing priorities; stresses that, in a context of limited financial resources, the continued delivery of Union objectives under this heading depends primarily on clear prioritisation, effectiveness and European added value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Notes that Heading 1 on ‘Europe’s social model and quality of life’ is allocated EUR 797.2 billion in 2025 prices, representing 45 % of the total 2028-2034 MFF; expresses deep concern that this is a decrease compared to the EUR 810.1 billion allocated in the 2021-2027 MFF, which amounted to 65 % of the total; considers this substantial cut unacceptable given the critical importance of maintaining the Union’s long-standing policies;</w:t>
            </w:r>
          </w:p>
        </w:tc>
        <w:tc>
          <w:tcPr>
            <w:tcW w:w="4876" w:type="dxa"/>
            <w:tcBorders>
              <w:top w:val="nil"/>
              <w:left w:val="nil"/>
              <w:bottom w:val="nil"/>
              <w:right w:val="nil"/>
            </w:tcBorders>
          </w:tcPr>
          <w:p>
            <w:pPr>
              <w:pStyle w:val="Normal6a"/>
            </w:pPr>
            <w:r>
              <w:t>16.</w:t>
            </w:r>
            <w:r>
              <w:tab/>
            </w:r>
            <w:r>
              <w:t xml:space="preserve">Notes that Heading 1 on ‘Europe’s social model and quality of life’ is allocated EUR 797.2 billion in 2025 prices, </w:t>
            </w:r>
            <w:r>
              <w:rPr>
                <w:b/>
                <w:i/>
              </w:rPr>
              <w:t>excluding repayment of NGEU</w:t>
            </w:r>
            <w:r>
              <w:t xml:space="preserve"> representing 45 % of the total 2028-2034 MFF; expresses deep concern that this is a decrease compared to the EUR 810.1 billion allocated in the 2021-2027 MFF, which amounted to 65 % of the total; considers this substantial cut unacceptable given the critical importance of maintaining the Union’s long-standing policies; </w:t>
            </w:r>
            <w:r>
              <w:rPr>
                <w:b/>
                <w:i/>
              </w:rPr>
              <w:t>by way of example, this implies a 12% real-terms decrease in Cohesion Policy allocations, with adverse implications for EU convergence.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Notes that Heading 1 on ‘Europe’s social model and quality of life’ is allocated EUR 797.2 billion in 2025 prices, representing 45 % of the total 2028-2034 MFF; expresses deep concern that this is a decrease compared to the EUR 810.1 billion allocated in the 2021-2027 MFF, which amounted to 65 % of the total; considers this substantial cut unacceptable given the critical importance of maintaining the Union’s long-standing policies;</w:t>
            </w:r>
          </w:p>
        </w:tc>
        <w:tc>
          <w:tcPr>
            <w:tcW w:w="4876" w:type="dxa"/>
            <w:tcBorders>
              <w:top w:val="nil"/>
              <w:left w:val="nil"/>
              <w:bottom w:val="nil"/>
              <w:right w:val="nil"/>
            </w:tcBorders>
          </w:tcPr>
          <w:p>
            <w:pPr>
              <w:pStyle w:val="Normal6a"/>
            </w:pPr>
            <w:r>
              <w:t>16.</w:t>
            </w:r>
            <w:r>
              <w:tab/>
            </w:r>
            <w:r>
              <w:t>Notes that Heading 1 on ‘Europe’s social model and quality of life’ is allocated EUR 797.2 billion in 2025 prices, representing 45 % of the total 2028-2034 MFF; expresses deep concern that this is a decrease compared to the EUR 810.1 billion allocated in the 2021-2027 MFF, which amounted to 65 % of the total; considers this substantial cut unacceptable given the critical importance of maintaining the Union’s long-standing policies</w:t>
            </w:r>
            <w:r>
              <w:rPr>
                <w:b/>
                <w:i/>
              </w:rPr>
              <w:t>, which include the integrity of the single market and constitute the EU’s main tool for ensuring the prosperity of its citizens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Jana Nagyová, Klara Dostalova, Ondřej Knotek, Jaroslava Pokorná Jermanová, Jaroslav Bžoch, Jaroslav Knot,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Notes that Heading 1 on ‘Europe’s social model and quality of life’ is allocated EUR 797.2 billion in 2025 prices, representing 45 % of the total 2028-2034 MFF; expresses deep concern that this is a decrease compared to the EUR 810.1 billion allocated in the 2021-2027 MFF, which amounted to 65 % of the total; considers this substantial cut </w:t>
            </w:r>
            <w:r>
              <w:rPr>
                <w:b/>
                <w:i/>
              </w:rPr>
              <w:t>unacceptable given the critical importance of maintaining the Union’s long-standing policies</w:t>
            </w:r>
            <w:r>
              <w:t>;</w:t>
            </w:r>
          </w:p>
        </w:tc>
        <w:tc>
          <w:tcPr>
            <w:tcW w:w="4876" w:type="dxa"/>
            <w:tcBorders>
              <w:top w:val="nil"/>
              <w:left w:val="nil"/>
              <w:bottom w:val="nil"/>
              <w:right w:val="nil"/>
            </w:tcBorders>
          </w:tcPr>
          <w:p>
            <w:pPr>
              <w:pStyle w:val="Normal6a"/>
            </w:pPr>
            <w:r>
              <w:t>16.</w:t>
            </w:r>
            <w:r>
              <w:tab/>
            </w:r>
            <w:r>
              <w:t xml:space="preserve">Notes that Heading 1 on ‘Europe’s social model and quality of life’ is allocated EUR 797.2 billion in 2025 prices, representing 45 % of the total 2028-2034 MFF; expresses deep concern that this is a decrease compared to the EUR 810.1 billion allocated in the 2021-2027 MFF, which amounted to 65 % of the total; considers this substantial cut </w:t>
            </w:r>
            <w:r>
              <w:rPr>
                <w:b/>
                <w:i/>
              </w:rPr>
              <w:t>particularly detrimental to the regions, including those in transition, where stable funding is essential to uphold the right to stay, foster local development and strengthen the EU’s overall competitiveness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Notes that Heading 1 on ‘Europe’s social model and quality of life’ is allocated EUR 797.2 billion in 2025 prices, representing 45 % of the total 2028-2034 MFF; expresses deep concern that this is a decrease compared to the EUR 810.1 billion allocated in the 2021-2027 MFF, which amounted to 65 % of the total; </w:t>
            </w:r>
            <w:r>
              <w:rPr>
                <w:b/>
                <w:i/>
              </w:rPr>
              <w:t>considers this substantial cut unacceptable given the critical</w:t>
            </w:r>
            <w:r>
              <w:t xml:space="preserve"> importance of maintaining the Union’s long-standing policies;</w:t>
            </w:r>
          </w:p>
        </w:tc>
        <w:tc>
          <w:tcPr>
            <w:tcW w:w="4876" w:type="dxa"/>
            <w:tcBorders>
              <w:top w:val="nil"/>
              <w:left w:val="nil"/>
              <w:bottom w:val="nil"/>
              <w:right w:val="nil"/>
            </w:tcBorders>
          </w:tcPr>
          <w:p>
            <w:pPr>
              <w:pStyle w:val="Normal6a"/>
            </w:pPr>
            <w:r>
              <w:t>16.</w:t>
            </w:r>
            <w:r>
              <w:tab/>
            </w:r>
            <w:r>
              <w:t xml:space="preserve">Notes that Heading 1 on ‘Europe’s social model and quality of life’ is allocated EUR 797.2 billion in 2025 prices, representing 45 % of the total 2028-2034 MFF; expresses deep concern that this is a decrease compared to the EUR 810.1 billion allocated in the 2021-2027 MFF, which amounted to 65 % of the total; </w:t>
            </w:r>
            <w:r>
              <w:rPr>
                <w:b/>
                <w:i/>
              </w:rPr>
              <w:t>while stressing the</w:t>
            </w:r>
            <w:r>
              <w:t xml:space="preserve"> importance of maintaining the Union’s long-standing policies </w:t>
            </w:r>
            <w:r>
              <w:rPr>
                <w:b/>
                <w:i/>
              </w:rPr>
              <w:t>is of the opinion that in order to maintain the amounts as well as to create space for new EU priorities some adjustments are needed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Anouk Van Brug, Katri Kulmuni,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Notes that Heading 1 on ‘Europe’s social model and quality of life’ is allocated EUR 797.2 billion in 2025 prices, representing 45 % of the total 2028-2034 MFF; </w:t>
            </w:r>
            <w:r>
              <w:rPr>
                <w:b/>
                <w:i/>
              </w:rPr>
              <w:t>expresses deep concern</w:t>
            </w:r>
            <w:r>
              <w:t xml:space="preserve"> that this is a decrease compared to the EUR 810.1 billion allocated in the 2021-2027 MFF, which amounted to 65 % of the total; considers this substantial cut </w:t>
            </w:r>
            <w:r>
              <w:rPr>
                <w:b/>
                <w:i/>
              </w:rPr>
              <w:t>unacceptable</w:t>
            </w:r>
            <w:r>
              <w:t xml:space="preserve"> given the </w:t>
            </w:r>
            <w:r>
              <w:rPr>
                <w:b/>
                <w:i/>
              </w:rPr>
              <w:t>critical</w:t>
            </w:r>
            <w:r>
              <w:t xml:space="preserve"> importance of </w:t>
            </w:r>
            <w:r>
              <w:rPr>
                <w:b/>
                <w:i/>
              </w:rPr>
              <w:t>maintaining the Union’s long-standing policies</w:t>
            </w:r>
            <w:r>
              <w:t>;</w:t>
            </w:r>
          </w:p>
        </w:tc>
        <w:tc>
          <w:tcPr>
            <w:tcW w:w="4876" w:type="dxa"/>
            <w:tcBorders>
              <w:top w:val="nil"/>
              <w:left w:val="nil"/>
              <w:bottom w:val="nil"/>
              <w:right w:val="nil"/>
            </w:tcBorders>
          </w:tcPr>
          <w:p>
            <w:pPr>
              <w:pStyle w:val="Normal6a"/>
            </w:pPr>
            <w:r>
              <w:t>16.</w:t>
            </w:r>
            <w:r>
              <w:tab/>
            </w:r>
            <w:r>
              <w:t xml:space="preserve">Notes that Heading 1 on ‘Europe’s social model and quality of life’ is allocated EUR 797.2 billion in 2025 prices, representing 45 % of the total 2028-2034 MFF; </w:t>
            </w:r>
            <w:r>
              <w:rPr>
                <w:b/>
                <w:i/>
              </w:rPr>
              <w:t>notes</w:t>
            </w:r>
            <w:r>
              <w:t xml:space="preserve"> that this is a decrease compared to the EUR 810.1 billion allocated in the 2021-2027 MFF, which amounted to 65 % of the total; considers this substantial cut </w:t>
            </w:r>
            <w:r>
              <w:rPr>
                <w:b/>
                <w:i/>
              </w:rPr>
              <w:t>needed</w:t>
            </w:r>
            <w:r>
              <w:t xml:space="preserve"> given the importance of </w:t>
            </w:r>
            <w:r>
              <w:rPr>
                <w:b/>
                <w:i/>
              </w:rPr>
              <w:t>enhanced flexibility within the future MFF architecture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Victor Negrescu, Vytenis Povilas Andriukaitis, Christophe Clergeau, Estelle Ceulemans, Nicolás González Casares, Romana Jerković, Alessandra Moretti, Tiemo Wölken, Kristian Vigenin, Nikos Papandreou, Raffaele Topo, Marta Temido, Pierre Jouvet,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a.</w:t>
            </w:r>
            <w:r>
              <w:tab/>
            </w:r>
            <w:r>
              <w:rPr>
                <w:b/>
                <w:i/>
              </w:rPr>
              <w:t>Expresses strong concern regarding the new structure of the NRPP and the merging of social cohesion, health and care objectives with agricultural policy, fisheries or tourism; underlines that the lessons of the COVID-19 crisis must be fully taken into account and that Member States should invest in health through their dedicated EU funded national envelopes, including via specific operational programmes, backed by a ring-fenced funding of at least 4% and sufficient budget of at least EUR 35 billion; this funding is necessary to respond to pressing needs in health infrastructure, address workforce shortages in the healthcare sector, support training and digital skills, and invest in elderly care facilities and centres for persons with disabilitie; stresses that this dedicated health budget must remain clearly separated from the NRPP, ensuring visibility, predictability and effective implementation; recalls that the EUR 35 billion in health investments should, in any case, come on top of the S&amp;D Group’s demands regarding the ESF+, and not replace or dilute existing social funding commitments.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Nina Carberry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a.</w:t>
            </w:r>
            <w:r>
              <w:tab/>
            </w:r>
            <w:r>
              <w:rPr>
                <w:b/>
                <w:i/>
              </w:rPr>
              <w:t>Reaffirms that income support should remain the central CAP instrument to guarantee a fair income and sustainable food production, contributing to resilience, competitiveness and long-term food security; calls for ringfenced income support appropriations to be used exclusively for income support interventions, providing stability and predictability to the Union agricultural sector; Opposes any provision that would exclude farmers from receiving area-based income support solely because they have reached the national retirement age and/or are in receipt of a pension; stresses that off-farm employment or receipt of retirement pensions shall not in itself preclude eligibility, where the beneficiary remains a genuine active farmer engaged in agricultural production;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Ruggero Razza, Paolo Inselvini, Romana Tomc, Miriam Lexmann, Vasile Dîncu, Tomislav Sokol, Gabriella Gerzsenyi,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Marco Squarta, Bogdan Rzońca, Niels Geuking, 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Stresses that Heading 1, as the cornerstone of ‘Europe’s social model and quality of life’, is essential for underpinning the Union’s response to demographic challenges;</w:t>
            </w:r>
            <w:r>
              <w:t xml:space="preserve"> </w:t>
            </w:r>
            <w:r>
              <w:rPr>
                <w:b/>
                <w:i/>
              </w:rPr>
              <w:t>calls for the appropriate funding to be clearly allocated under the relevant programmes to measures that help boost population growth and support people throughout their lives, including access to childcare, a proper work-life balance, skills and inclusion in the labour market, health and prevention, and active ageing, while paying due regard to the competences of the Union and the principle of subsidiarity;</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Categorically rejects the proposed reductions to the post-2027 CAP budget, its integration into the NRPPs and the removal of the second pillar;</w:t>
            </w:r>
            <w:r>
              <w:t xml:space="preserve"> </w:t>
            </w:r>
            <w:r>
              <w:rPr>
                <w:b/>
                <w:i/>
              </w:rPr>
              <w:t>deplores the fact that any potential increase will be based solely on voluntary flexibility mechanisms, which risks bringing about distortions between the Member States;</w:t>
            </w:r>
            <w:r>
              <w:t xml:space="preserve"> </w:t>
            </w:r>
            <w:r>
              <w:rPr>
                <w:b/>
                <w:i/>
              </w:rPr>
              <w:t>calls for a robust and earmarked CAP budget in the next MFF, maintained at no less than its current level in real terms and pegged to inflation, in order to guarantee food security, competitiveness and a fair income for farmers;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a.</w:t>
            </w:r>
            <w:r>
              <w:tab/>
            </w:r>
            <w:r>
              <w:rPr>
                <w:b/>
                <w:i/>
              </w:rPr>
              <w:t>Advocates a viable and robust budget, safeguarded for cohesion policy in the next MFF, at least equal to the current level in real terms, in order to further reduce regional disparities, enhance resilience, competitiveness and enable the achievement of EU strategic priorities, while reflecting the growing needs and challenges of all regions and all territories, aiming to prevent a sharp and drastic drop in the cohesion allocation of a region or Member State;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Deplores the planned cuts which, according to the EPRS, could exceed 10 % in key policies promoting economic, social and territorial cohesion and support for productive sectors;</w:t>
            </w:r>
            <w:r>
              <w:t xml:space="preserve"> </w:t>
            </w:r>
            <w:r>
              <w:rPr>
                <w:b/>
                <w:i/>
              </w:rPr>
              <w:t>calls for the proportion of these funds to be maintained at 65 % of the MFF total for the 2028-2034 period and for these allocations to reverse and offset the cuts made to some of these headings in the MFF for 2021-2027;</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Stine Bosse, Fabienne Keller,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a.</w:t>
            </w:r>
            <w:r>
              <w:tab/>
            </w:r>
            <w:r>
              <w:rPr>
                <w:b/>
                <w:i/>
              </w:rPr>
              <w:t>Emphasises that climate change, biodiversity loss, resource depletion and pollution are already imposing growing costs on citizens and businesses, and that underinvestment in adaptation, biodiversity protection, circularity and zero-pollution measures would lead to significantly higher public and private costs in the future;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Nina Carberry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w:t>
            </w:r>
            <w:r>
              <w:tab/>
            </w:r>
            <w:r>
              <w:rPr>
                <w:b/>
                <w:i/>
              </w:rPr>
              <w:t>Calls on Member States to target support to genuine active farmers engaged in food and agricultural production, including those whose principal activity is agriculture or those meeting a minimum level of agricultural activity defined by the Member State; stresses that small and pluri-active farmers should not be excluded; considers that eligibility criteria should be based on objective indicators such as minimum agricultural output or sale value and/or minimum stocking density, with tailored thresholds for organic farms, designated areas and areas facing natural constraints.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Stine Bosse, Fabienne Keller,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w:t>
            </w:r>
            <w:r>
              <w:tab/>
            </w:r>
            <w:r>
              <w:rPr>
                <w:b/>
                <w:i/>
              </w:rPr>
              <w:t>Stresses that the simplification and consolidation of programmes under the MFF for 2028-2034 must not weaken climate or environmental ambition, transparency or Parliament’s capacity to scrutinise environment and climate-related expenditure; calls on the Commission to ensure that the future framework and its programmes allow for robust and dedicated tracking of climate adaptation, climate mitigation, biodiversity, circular economy and pollution-related spending and results;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w:t>
            </w:r>
            <w:r>
              <w:tab/>
            </w:r>
            <w:r>
              <w:rPr>
                <w:b/>
                <w:i/>
              </w:rPr>
              <w:t>Calls on the Commission not to approve NRPPs where timely and meaningful involvement of civil society organisations and social partners is not demonstrated, including clear evidence of consultation before their submission, throughout their implementation, and in the monitoring and ex post evaluation of those plans;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w:t>
            </w:r>
            <w:r>
              <w:tab/>
            </w:r>
            <w:r>
              <w:rPr>
                <w:b/>
                <w:i/>
              </w:rPr>
              <w:t>Insists that cohesion policy should remain under shared management mode and should not be mixed with other programmes under a ‘single plan’; is also strongly against remodelling it based on the RRF and introduce political pre-conditions under the pretext of a reform program;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c.</w:t>
            </w:r>
            <w:r>
              <w:tab/>
            </w:r>
            <w:r>
              <w:rPr>
                <w:b/>
                <w:i/>
              </w:rPr>
              <w:t>Insists that the regional focus, place-based approach and strategic planning of the cohesion policy, as well as its decentralised programming and implementation model based on the partnership principle, shared management and multi-level governance, are key elements of the policy that can be tailor-made on the ground, and determine its effectiveness; is firmly convinced that this model of cohesion policy should be continued as the EU’s main long-term investment instrument for reducing disparities and the backwardness of the least favoured regions, ensuring economic, social and territorial cohesion and stimulating regional and local sustainable growth, and as a key contributor to EU competitiveness, as well as helping to cope with challenges ahead;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c.</w:t>
            </w:r>
            <w:r>
              <w:tab/>
            </w:r>
            <w:r>
              <w:rPr>
                <w:b/>
                <w:i/>
              </w:rPr>
              <w:t>Underlines the need for clearer regional differentiation in the future MFF; stresses that Heading 1 (NRPPs) should include earmarked allocations by category of regions to avoid undifferentiated competition for the same funds; calls, therefore, for Annex II to break down NRPPs into the following sub-lines: of which less developed regions, of which transition regions, and of which more developed regions, with dedicated amounts for each;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Regrets</w:t>
            </w:r>
            <w:r>
              <w:t xml:space="preserve"> that the proposed NRPP Regulation (COM(2025)0558), which merges different policies into one plan per Member State, generates </w:t>
            </w:r>
            <w:r>
              <w:rPr>
                <w:b/>
                <w:i/>
              </w:rPr>
              <w:t>significant</w:t>
            </w:r>
            <w:r>
              <w:t xml:space="preserve"> uncertainty regarding funding predictability for final beneficiaries; warns, in addition, that the significant reduction in funding for Heading 1 also </w:t>
            </w:r>
            <w:r>
              <w:rPr>
                <w:b/>
                <w:i/>
              </w:rPr>
              <w:t>threatens to undermine</w:t>
            </w:r>
            <w:r>
              <w:t xml:space="preserve"> EU policies enshrined in the Treaties and the Union’s objectives of strengthening its economic, social and territorial cohesion, safeguarding social rights, </w:t>
            </w:r>
            <w:r>
              <w:rPr>
                <w:b/>
                <w:i/>
              </w:rPr>
              <w:t>and</w:t>
            </w:r>
            <w:r>
              <w:t xml:space="preserve"> ensuring food security and a fair standard of living for farmers and fishers;</w:t>
            </w:r>
          </w:p>
        </w:tc>
        <w:tc>
          <w:tcPr>
            <w:tcW w:w="4876" w:type="dxa"/>
            <w:tcBorders>
              <w:top w:val="nil"/>
              <w:left w:val="nil"/>
              <w:bottom w:val="nil"/>
              <w:right w:val="nil"/>
            </w:tcBorders>
          </w:tcPr>
          <w:p>
            <w:pPr>
              <w:pStyle w:val="Normal6a"/>
            </w:pPr>
            <w:r>
              <w:t>17.</w:t>
            </w:r>
            <w:r>
              <w:tab/>
            </w:r>
            <w:r>
              <w:rPr>
                <w:b/>
                <w:i/>
              </w:rPr>
              <w:t>Takes note</w:t>
            </w:r>
            <w:r>
              <w:t xml:space="preserve"> that the proposed NRPP Regulation (COM(2025)0558), which merges different policies into one plan per Member State, </w:t>
            </w:r>
            <w:r>
              <w:rPr>
                <w:b/>
                <w:i/>
              </w:rPr>
              <w:t>could</w:t>
            </w:r>
            <w:r>
              <w:t xml:space="preserve"> generates uncertainty regarding funding predictability for </w:t>
            </w:r>
            <w:r>
              <w:rPr>
                <w:b/>
                <w:i/>
              </w:rPr>
              <w:t>some</w:t>
            </w:r>
            <w:r>
              <w:t xml:space="preserve"> final beneficiaries</w:t>
            </w:r>
            <w:r>
              <w:rPr>
                <w:b/>
                <w:i/>
              </w:rPr>
              <w:t>; underlines that NRPPs must follow a decentralised, place-based, multilevel governance approach and be built around the shared management and partnership principle, fully involving local and regional authorities and other stakeholders, social partners and civil society organisations, and guaranteeing meaningful participation of people directly affected by the implementation of the funds</w:t>
            </w:r>
            <w:r>
              <w:t xml:space="preserve">; warns, in addition, that the significant reduction in funding for Heading 1 also </w:t>
            </w:r>
            <w:r>
              <w:rPr>
                <w:b/>
                <w:i/>
              </w:rPr>
              <w:t>will limit the impact of</w:t>
            </w:r>
            <w:r>
              <w:t xml:space="preserve"> EU policies enshrined in the Treaties and the Union’s objectives of strengthening its economic, social and territorial cohesion, safeguarding social rights, </w:t>
            </w:r>
            <w:r>
              <w:rPr>
                <w:b/>
                <w:i/>
              </w:rPr>
              <w:t>gender equality, implementation of the European Pillar of Social Rights, and environmental sustainability hand in hand with long term</w:t>
            </w:r>
            <w:r>
              <w:t xml:space="preserve"> ensuring food security and a fair standard of living for farmers and fishers </w:t>
            </w:r>
            <w:r>
              <w:rPr>
                <w:b/>
                <w:i/>
              </w:rPr>
              <w:t>which is only possible by enhancing climate resilience and environmental performance of the agri-food sector, reduce nutrient losses and pesticide risks, and support farmers in the transition to more sustainable practices, while maintaining the economic viability and competitiveness of the sector and of rural areas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Ruggero Razza, Roberts Zīle,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Regrets that the proposed NRPP Regulation (COM(2025)0558), which merges different policies into one plan per Member State, generates significant uncertainty regarding funding predictability for final beneficiaries; warns, in addition, that the significant reduction in funding for Heading 1 also threatens to undermine EU policies enshrined in the Treaties and the Union’s objectives of strengthening its economic, social and territorial cohesion, safeguarding social rights, and ensuring food security and a fair standard of living for farmers and fishers;</w:t>
            </w:r>
          </w:p>
        </w:tc>
        <w:tc>
          <w:tcPr>
            <w:tcW w:w="4876" w:type="dxa"/>
            <w:tcBorders>
              <w:top w:val="nil"/>
              <w:left w:val="nil"/>
              <w:bottom w:val="nil"/>
              <w:right w:val="nil"/>
            </w:tcBorders>
          </w:tcPr>
          <w:p>
            <w:pPr>
              <w:pStyle w:val="Normal6a"/>
            </w:pPr>
            <w:r>
              <w:t>17.</w:t>
            </w:r>
            <w:r>
              <w:tab/>
            </w:r>
            <w:r>
              <w:t xml:space="preserve">Regrets that the proposed NRPP Regulation (COM(2025)0558), which merges different policies into one plan per Member State, generates significant uncertainty regarding funding predictability for final beneficiaries; warns, in addition, that the significant reduction in funding for Heading 1 also threatens to undermine EU policies enshrined in the Treaties and the Union’s objectives of strengthening its economic, social and territorial cohesion, safeguarding social rights, and ensuring food security and a fair standard of living for farmers and fishers; </w:t>
            </w:r>
            <w:r>
              <w:rPr>
                <w:b/>
                <w:i/>
              </w:rPr>
              <w:t>underscores the need, in this regard, to retain the unique characteristics of the Union’s long-standing policies, notably the CAP and cohesion policy, and the key role they play in supporting agricultural incomes and underpinning the stability of rural, island and inland areas, including by promoting local production and traditional, high-quality agricultural methods, as well as reducing regional disparities, supporting local infrastructure and services, and strengthening regional competitiveness and the social fabric through a localised approach, multiannual programming and multilevel governance based on the partnership principle;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Regrets</w:t>
            </w:r>
            <w:r>
              <w:t xml:space="preserve"> that the proposed NRPP Regulation (COM(2025)0558), which merges different policies into one plan per Member State, generates significant uncertainty regarding funding predictability for final beneficiaries; warns, in addition, that the significant reduction in funding for Heading 1 also threatens to undermine EU policies enshrined in the Treaties and the Union’s objectives of strengthening its economic, social and territorial cohesion, safeguarding social rights, and ensuring food security and a fair standard of living for farmers and fishers;</w:t>
            </w:r>
          </w:p>
        </w:tc>
        <w:tc>
          <w:tcPr>
            <w:tcW w:w="4876" w:type="dxa"/>
            <w:tcBorders>
              <w:top w:val="nil"/>
              <w:left w:val="nil"/>
              <w:bottom w:val="nil"/>
              <w:right w:val="nil"/>
            </w:tcBorders>
          </w:tcPr>
          <w:p>
            <w:pPr>
              <w:pStyle w:val="Normal6a"/>
            </w:pPr>
            <w:r>
              <w:t>17.</w:t>
            </w:r>
            <w:r>
              <w:tab/>
            </w:r>
            <w:r>
              <w:rPr>
                <w:b/>
                <w:i/>
              </w:rPr>
              <w:t>Considers</w:t>
            </w:r>
            <w:r>
              <w:t xml:space="preserve"> that the proposed NRPP Regulation (COM(2025)0558), which merges different policies </w:t>
            </w:r>
            <w:r>
              <w:rPr>
                <w:b/>
                <w:i/>
              </w:rPr>
              <w:t>and funds</w:t>
            </w:r>
            <w:r>
              <w:t xml:space="preserve"> into one plan per Member State, generates significant uncertainty regarding funding predictability for final beneficiaries</w:t>
            </w:r>
            <w:r>
              <w:rPr>
                <w:b/>
                <w:i/>
              </w:rPr>
              <w:t>, creates unnecessary competition for financial resources between beneficiaries of various EU policies, and politicises the distribution of EU funds; insists that the “one plan per Member State” approach implicitly erodes the European dimension of the EU budget, leads to excessive centralisation, excludes regions and relevant stakeholders from a meaningful role in shaping priorities and undermines multilevel governance and the territorial dimension of spending</w:t>
            </w:r>
            <w:r>
              <w:t>; warns, in addition, that the significant reduction in funding for Heading 1 also threatens to undermine EU policies enshrined in the Treaties and the Union’s objectives of strengthening its economic, social and territorial cohesion, safeguarding social rights, and ensuring food security and a fair standard of living for farmers and fishers;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784.180</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176</w:t>
    </w:r>
    <w:r>
      <w:fldChar w:fldCharType="end"/>
    </w:r>
    <w:r>
      <w:t>/</w:t>
    </w:r>
    <w:r>
      <w:fldChar w:fldCharType="begin"/>
    </w:r>
    <w:r>
      <w:instrText xml:space="preserve"> NUMPAGES </w:instrText>
    </w:r>
    <w:r>
      <w:fldChar w:fldCharType="separate"/>
    </w:r>
    <w:r>
      <w:t>176</w:t>
    </w:r>
    <w:r>
      <w:fldChar w:fldCharType="end"/>
    </w:r>
    <w:r>
      <w:tab/>
    </w:r>
    <w:r>
      <w:rPr>
        <w:rStyle w:val="HideTWBExt"/>
      </w:rPr>
      <w:t>&lt;PathFdR&gt;</w:t>
    </w:r>
    <w:r>
      <w:t>AM\1336434EN.docx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AM\1336434EN.docx</w:t>
    </w:r>
    <w:r>
      <w:rPr>
        <w:rStyle w:val="HideTWBExt"/>
      </w:rPr>
      <w:t>&lt;/PathFdR&gt;</w:t>
    </w:r>
    <w:r>
      <w:tab/>
    </w:r>
    <w:r>
      <w:fldChar w:fldCharType="begin"/>
    </w:r>
    <w:r>
      <w:instrText xml:space="preserve"> PAGE </w:instrText>
    </w:r>
    <w:r>
      <w:fldChar w:fldCharType="separate"/>
    </w:r>
    <w:r>
      <w:t>175</w:t>
    </w:r>
    <w:r>
      <w:fldChar w:fldCharType="end"/>
    </w:r>
    <w:r>
      <w:t>/</w:t>
    </w:r>
    <w:r>
      <w:fldChar w:fldCharType="begin"/>
    </w:r>
    <w:r>
      <w:instrText xml:space="preserve"> NUMPAGES </w:instrText>
    </w:r>
    <w:r>
      <w:fldChar w:fldCharType="separate"/>
    </w:r>
    <w:r>
      <w:t>176</w:t>
    </w:r>
    <w:r>
      <w:fldChar w:fldCharType="end"/>
    </w:r>
    <w:r>
      <w:tab/>
    </w:r>
    <w:r>
      <w:t>PE</w:t>
    </w:r>
    <w:r>
      <w:rPr>
        <w:rStyle w:val="HideTWBExt"/>
      </w:rPr>
      <w:t>&lt;NoPE&gt;</w:t>
    </w:r>
    <w:r>
      <w:t>784.180</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AM\1336434EN.docx</w:t>
    </w:r>
    <w:r>
      <w:rPr>
        <w:rStyle w:val="HideTWBExt"/>
      </w:rPr>
      <w:t>&lt;/PathFdR&gt;</w:t>
    </w:r>
    <w:r>
      <w:tab/>
    </w:r>
    <w:r>
      <w:tab/>
    </w:r>
    <w:r>
      <w:t>PE</w:t>
    </w:r>
    <w:r>
      <w:rPr>
        <w:rStyle w:val="HideTWBExt"/>
      </w:rPr>
      <w:t>&lt;NoPE&gt;</w:t>
    </w:r>
    <w:r>
      <w:t>784.180</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176</Pages>
  <Words>44941</Words>
  <Characters>256229</Characters>
  <Application>Microsoft Office Word</Application>
  <DocSecurity>0</DocSecurity>
  <Lines>1</Lines>
  <Paragraphs>2565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1336434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366951</vt:lpwstr>
  </property>
  <property fmtid="{D5CDD505-2E9C-101B-9397-08002B2CF9AE}" pid="7" name="dmxml.render.traceId">
    <vt:lpwstr>6989a8a9bca88a851d81f0ada3974d54</vt:lpwstr>
  </property>
  <property fmtid="{D5CDD505-2E9C-101B-9397-08002B2CF9AE}" pid="8" name="FooterPath">
    <vt:lpwstr>AM\1336434EN.docx</vt:lpwstr>
  </property>
  <property fmtid="{D5CDD505-2E9C-101B-9397-08002B2CF9AE}" pid="9" name="PE Number">
    <vt:lpwstr>784.180</vt:lpwstr>
  </property>
  <property fmtid="{D5CDD505-2E9C-101B-9397-08002B2CF9AE}" pid="10" name="UID">
    <vt:lpwstr>eu.europa.europarl-DIN1-2026-0000020144_02.00-en-01.00_text-xml</vt:lpwstr>
  </property>
</Properties>
</file>