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Committee on Budgets</w:t>
      </w:r>
      <w:r>
        <w:rPr>
          <w:rStyle w:val="HideTWBExt"/>
        </w:rPr>
        <w:t>&lt;/Commission&gt;</w:t>
      </w:r>
    </w:p>
    <w:p>
      <w:pPr>
        <w:pStyle w:val="LineBottom"/>
      </w:pPr>
      <w:r>
        <w:t xml:space="preserve"> </w:t>
      </w:r>
    </w:p>
    <w:p>
      <w:pPr>
        <w:pStyle w:val="CoverReference"/>
      </w:pPr>
      <w:r>
        <w:rPr>
          <w:rStyle w:val="HideTWBExt"/>
        </w:rPr>
        <w:t>&lt;RefProc&gt;</w:t>
      </w:r>
      <w:r>
        <w:t>2025/0571R</w:t>
      </w:r>
      <w:r>
        <w:rPr>
          <w:rStyle w:val="HideTWBExt"/>
        </w:rPr>
        <w:t>&lt;/RefProc&gt;</w:t>
      </w:r>
      <w:r>
        <w:rPr>
          <w:rStyle w:val="HideTWBExt"/>
        </w:rPr>
        <w:t>&lt;RefTypeProc&gt;</w:t>
      </w:r>
      <w:r>
        <w:t>(APP)</w:t>
      </w:r>
      <w:r>
        <w:rPr>
          <w:rStyle w:val="HideTWBExt"/>
        </w:rPr>
        <w:t>&lt;/RefTypeProc&gt;</w:t>
      </w:r>
    </w:p>
    <w:p>
      <w:pPr>
        <w:pStyle w:val="CoverDate"/>
      </w:pPr>
      <w:r>
        <w:rPr>
          <w:rStyle w:val="HideTWBExt"/>
        </w:rPr>
        <w:t>&lt;Date&gt;</w:t>
      </w:r>
      <w:r>
        <w:rPr>
          <w:rStyle w:val="HideTWBInt"/>
        </w:rPr>
        <w:t>{02/02/2026}</w:t>
      </w:r>
      <w:r>
        <w:t>2.2.2026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293</w:t>
      </w:r>
      <w:r>
        <w:t xml:space="preserve"> - </w:t>
      </w:r>
      <w:r>
        <w:t>584</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Siegfried Mureşan, Carla Tavares</w:t>
      </w:r>
      <w:r>
        <w:rPr>
          <w:rStyle w:val="HideTWBExt"/>
        </w:rPr>
        <w:t>&lt;/Rapporteur&gt;</w:t>
      </w:r>
    </w:p>
    <w:p>
      <w:pPr>
        <w:pStyle w:val="CoverNormal24a"/>
      </w:pPr>
      <w:r>
        <w:rPr>
          <w:rStyle w:val="HideTWBExt"/>
        </w:rPr>
        <w:t>&lt;DocRefPE&gt;</w:t>
      </w:r>
      <w:r>
        <w:t>(PE779.351v01-00)</w:t>
      </w:r>
      <w:r>
        <w:rPr>
          <w:rStyle w:val="HideTWBExt"/>
        </w:rPr>
        <w:t>&lt;/DocRefPE&gt;</w:t>
      </w:r>
    </w:p>
    <w:p>
      <w:pPr>
        <w:pStyle w:val="CoverNormal"/>
      </w:pPr>
      <w:r>
        <w:rPr>
          <w:rStyle w:val="HideTWBExt"/>
        </w:rPr>
        <w:t>&lt;Titre&gt;</w:t>
      </w:r>
      <w:r>
        <w:t>Interim report on the proposal for the multiannual financial framework for 2028-2034</w:t>
      </w:r>
      <w:r>
        <w:rPr>
          <w:rStyle w:val="HideTWBExt"/>
        </w:rPr>
        <w:t>&lt;/Titre&gt;</w:t>
      </w:r>
    </w:p>
    <w:p>
      <w:pPr>
        <w:pStyle w:val="CoverNormal24a"/>
      </w:pPr>
      <w:r>
        <w:rPr>
          <w:rStyle w:val="HideTWBExt"/>
        </w:rPr>
        <w:t>&lt;DocRef&gt;</w:t>
      </w:r>
      <w:r>
        <w:t>(2025/0571R(APP))</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t>
            </w:r>
            <w:r>
              <w:rPr>
                <w:b/>
                <w:i/>
              </w:rPr>
              <w:t>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 </w:t>
            </w:r>
            <w:r>
              <w:rPr>
                <w:b/>
                <w:i/>
              </w:rPr>
              <w:t>insists that the partnership principle must remain the bedrock of EU cohesion policy and must be fully operationalised; underlines that legal safeguards are needed in the NRPP Regulation to ensure that regional and local authorities, as well as social partners, have a direct role in the design and implementation of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r>
              <w:rPr>
                <w:b/>
                <w:i/>
              </w:rPr>
              <w:t> calls, in this context, for clear ring-fencing and minimum levels of transparency for cohesion-type interventions, including dedicated objectives, indicators and reporting, and for safeguards preventing reprogramming that would undermine long-term European territorial, economic and social convergence;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r>
              <w:rPr>
                <w:b/>
                <w:i/>
              </w:rPr>
              <w:t> deplores, in this context, any proposal to dismantle the CAP’s two-pillar structure by merging the EAGF and EAFRD into a single fund and ringfencing only part of CAP support, which would effectively sacrifice rural development, investment, competitiveness, sustainability and territorial cohesion.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Regrets</w:t>
            </w:r>
            <w:r>
              <w:t xml:space="preserve">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rPr>
                <w:b/>
                <w:i/>
              </w:rPr>
              <w:t>Expresses opposition to the creation of NRPPs;</w:t>
            </w:r>
            <w:r>
              <w:t xml:space="preserve"> </w:t>
            </w:r>
            <w:r>
              <w:rPr>
                <w:b/>
                <w:i/>
              </w:rPr>
              <w:t>points out</w:t>
            </w:r>
            <w:r>
              <w:t xml:space="preserve"> that the proposed NRPP Regulation (COM(2025)0558), which merges different policies into one plan per Member State, generates significant uncertainty regarding funding predictability for final beneficiaries</w:t>
            </w:r>
            <w:r>
              <w:rPr>
                <w:b/>
                <w:i/>
              </w:rPr>
              <w:t>;</w:t>
            </w:r>
            <w:r>
              <w:t xml:space="preserve"> </w:t>
            </w:r>
            <w:r>
              <w:rPr>
                <w:b/>
                <w:i/>
              </w:rPr>
              <w:t>criticises the proposal to concentrate powers in the Commission in terms of approving and implementing NRP plans and disbursing funds;</w:t>
            </w:r>
            <w:r>
              <w:t xml:space="preserve"> </w:t>
            </w:r>
            <w:r>
              <w:rPr>
                <w:b/>
                <w:i/>
              </w:rPr>
              <w:t>stresses its opposition to the decision not to allocate 25 % of national envelopes with a view to responding to ‘crises’</w:t>
            </w:r>
            <w:r>
              <w:t>;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Anouk Van Brug,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Regrets</w:t>
            </w:r>
            <w:r>
              <w:t xml:space="preserve"> that the proposed NRPP Regulation (COM(2025)0558), which merges different policies into one plan per Member State, generates </w:t>
            </w:r>
            <w:r>
              <w:rPr>
                <w:b/>
                <w:i/>
              </w:rPr>
              <w:t>significant uncertainty regarding funding predictability for final beneficiaries; warns, in addition, that the significant reduction in funding for Heading 1 also threatens to undermine EU policies enshrined</w:t>
            </w:r>
            <w:r>
              <w:t xml:space="preserve"> in the </w:t>
            </w:r>
            <w:r>
              <w:rPr>
                <w:b/>
                <w:i/>
              </w:rPr>
              <w:t>Treaties and the Union’s objectives of strengthening its economic, social and territorial cohesion, safeguarding social rights, and ensuring food security and a fair standard of living for farmers and fishers</w:t>
            </w:r>
            <w:r>
              <w:t>;</w:t>
            </w:r>
          </w:p>
        </w:tc>
        <w:tc>
          <w:tcPr>
            <w:tcW w:w="4876" w:type="dxa"/>
            <w:tcBorders>
              <w:top w:val="nil"/>
              <w:left w:val="nil"/>
              <w:bottom w:val="nil"/>
              <w:right w:val="nil"/>
            </w:tcBorders>
          </w:tcPr>
          <w:p>
            <w:pPr>
              <w:pStyle w:val="Normal6a"/>
            </w:pPr>
            <w:r>
              <w:t>17.</w:t>
            </w:r>
            <w:r>
              <w:tab/>
            </w:r>
            <w:r>
              <w:rPr>
                <w:b/>
                <w:i/>
              </w:rPr>
              <w:t>Notes</w:t>
            </w:r>
            <w:r>
              <w:t xml:space="preserve"> that the proposed NRPP Regulation (COM(2025)0558), which merges different policies into one plan per Member State, generates </w:t>
            </w:r>
            <w:r>
              <w:rPr>
                <w:b/>
                <w:i/>
              </w:rPr>
              <w:t>flexibility to cater to the most urgent needs; stresses that EU regions should keep an important say</w:t>
            </w:r>
            <w:r>
              <w:t xml:space="preserve"> in the </w:t>
            </w:r>
            <w:r>
              <w:rPr>
                <w:b/>
                <w:i/>
              </w:rPr>
              <w:t>distribution of funds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Isabel Benjumea Benjumea,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w:t>
            </w:r>
            <w:r>
              <w:rPr>
                <w:b/>
                <w:i/>
              </w:rPr>
              <w:t>;</w:t>
            </w:r>
            <w:r>
              <w:t xml:space="preserve"> </w:t>
            </w:r>
            <w:r>
              <w:rPr>
                <w:b/>
                <w:i/>
              </w:rPr>
              <w:t>warns that this approach weakens multilevel governance, leading to a reduction in the involvement of regional and local stakeholders and a more limited alignment of investments with the real needs of the territories concerned</w:t>
            </w:r>
            <w:r>
              <w:t>;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w:t>
            </w:r>
            <w:r>
              <w:rPr>
                <w:b/>
                <w:i/>
              </w:rPr>
              <w:t>,</w:t>
            </w:r>
            <w:r>
              <w:t xml:space="preserve"> safeguarding social rights, </w:t>
            </w:r>
            <w:r>
              <w:rPr>
                <w:b/>
                <w:i/>
              </w:rPr>
              <w:t>and</w:t>
            </w:r>
            <w:r>
              <w:t xml:space="preserve"> ensuring food security and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w:t>
            </w:r>
            <w:r>
              <w:rPr>
                <w:b/>
                <w:i/>
              </w:rPr>
              <w:t>- vital for regions -</w:t>
            </w:r>
            <w:r>
              <w:t xml:space="preserve"> safeguarding social rights, ensuring food security and a fair standard of living for farmers and fishers; </w:t>
            </w:r>
            <w:r>
              <w:rPr>
                <w:b/>
                <w:i/>
              </w:rPr>
              <w:t>stresses that cohesion and CAP stability underpin EU sovereignty, as the strength of the whole depends on its regional links, preventing import reliance and enabling balanced growth;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 </w:t>
            </w:r>
            <w:r>
              <w:rPr>
                <w:b/>
                <w:i/>
              </w:rPr>
              <w:t>stresses that merging different policies into one plan per Member State would mean pitting the common agricultural policy (CAP) against cohesion policy, the European Social Fund Plus and even fisheries policy;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w:t>
            </w:r>
            <w:r>
              <w:rPr>
                <w:b/>
                <w:i/>
              </w:rPr>
              <w:t>, not least farmers who, as the guarantors of our food sovereignty and public health, actually warrant greater support</w:t>
            </w:r>
            <w:r>
              <w:t>;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Roberts Zīle, Bogdan Rzońca,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 </w:t>
            </w:r>
            <w:r>
              <w:rPr>
                <w:b/>
                <w:i/>
              </w:rPr>
              <w:t>This approach also undermines the goal to ensure level playing field under Common Agricultural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 </w:t>
            </w:r>
            <w:r>
              <w:rPr>
                <w:b/>
                <w:i/>
              </w:rPr>
              <w:t>as well as protection of the environment and biodiversity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w:t>
            </w:r>
            <w:r>
              <w:rPr>
                <w:b/>
                <w:i/>
              </w:rPr>
              <w:t>its democratic processes, the rule of law as well as</w:t>
            </w:r>
            <w:r>
              <w:t xml:space="preserve"> social rights, and ensuring food security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t>
            </w:r>
            <w:r>
              <w:rPr>
                <w:b/>
                <w:i/>
              </w:rPr>
              <w:t>and risks creating trade-offs between policies</w:t>
            </w:r>
            <w:r>
              <w:t xml:space="preserve">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t>
            </w:r>
            <w:r>
              <w:rPr>
                <w:b/>
                <w:i/>
              </w:rPr>
              <w:t>warns, in addition, that the significant reduction in funding for Heading 1 also threatens to undermine EU policies enshrined in the Treaties and the Union’s</w:t>
            </w:r>
            <w:r>
              <w:t xml:space="preserve"> objectives </w:t>
            </w:r>
            <w:r>
              <w:rPr>
                <w:b/>
                <w:i/>
              </w:rPr>
              <w:t>of strengthening its economic, social and territorial cohesion, safeguarding social rights, and ensuring</w:t>
            </w:r>
            <w:r>
              <w:t xml:space="preserve"> food security </w:t>
            </w:r>
            <w:r>
              <w:rPr>
                <w:b/>
                <w:i/>
              </w:rPr>
              <w:t>and</w:t>
            </w:r>
            <w:r>
              <w:t xml:space="preserve">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t>
            </w:r>
            <w:r>
              <w:rPr>
                <w:b/>
                <w:i/>
              </w:rPr>
              <w:t>stresses that any changes to the governance and delivery of Union programmes must ensure legal certainty, accountability and effective implementation, including with regard to cohesion</w:t>
            </w:r>
            <w:r>
              <w:t xml:space="preserve"> objectives </w:t>
            </w:r>
            <w:r>
              <w:rPr>
                <w:b/>
                <w:i/>
              </w:rPr>
              <w:t>and</w:t>
            </w:r>
            <w:r>
              <w:t xml:space="preserve"> food security</w:t>
            </w:r>
            <w:r>
              <w:rPr>
                <w:b/>
                <w:i/>
              </w:rPr>
              <w:t>, as well as</w:t>
            </w:r>
            <w:r>
              <w:t xml:space="preserve"> a fair standard of living for farmers and fishers</w:t>
            </w:r>
            <w:r>
              <w:rPr>
                <w:b/>
                <w:i/>
              </w:rPr>
              <w:t>, in line with the objectives laid down in the Treaties and within the limits of available financial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17.</w:t>
            </w:r>
            <w:r>
              <w:tab/>
            </w:r>
            <w:r>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w:t>
            </w:r>
            <w:r>
              <w:rPr>
                <w:b/>
                <w:i/>
              </w:rPr>
              <w:t>, environmental sustainability,</w:t>
            </w:r>
            <w:r>
              <w:t xml:space="preserve"> and a fair standard of living for farmers and fishers;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Reiterates the intrinsically common nature of the European Union’s agricultural policy (CAP), as enshrined in the Treaties, stressing the imperative need to avoid any form of renationalisation, whether explicit or implicit, that could undermine the coherence of the Union’s action, the integrity of the internal market and the level playing field between farmers in different Member States;</w:t>
            </w:r>
            <w:r>
              <w:t xml:space="preserve"> </w:t>
            </w:r>
            <w:r>
              <w:rPr>
                <w:b/>
                <w:i/>
              </w:rPr>
              <w:t>stresses, in this context, the importance of the CAP continuing to be based on a two-pillar structure, with the first pillar remaining predominantly geared towards direct income support for farmers, while the second pillar should continue to focus on rural development measures;</w:t>
            </w:r>
            <w:r>
              <w:t xml:space="preserve"> </w:t>
            </w:r>
            <w:r>
              <w:rPr>
                <w:b/>
                <w:i/>
              </w:rPr>
              <w:t>calls, therefore, for a specific, robust and independent budget for the Common Agricultural Policy in the next multiannual financial framework (MFF), for which financial allocations should be maintained at least at the level applied in the current programming period, while being indexed to inflation in order to ensure continuity, equity and effectiveness of the Union’s intervention in the agricultural sector;</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Stresses the overriding need to raise living standards and combat poverty and social exclusion, with a view to eradicating these issues in the EU by 2035, objectives that are all the more important given the general increase in the cost of living and social inequalities and injustice;</w:t>
            </w:r>
            <w:r>
              <w:t xml:space="preserve"> </w:t>
            </w:r>
            <w:r>
              <w:rPr>
                <w:b/>
                <w:i/>
              </w:rPr>
              <w:t>calls for the establishment of the objective of poverty eradication as a cross-cutting criterion for sectoral policies;</w:t>
            </w:r>
            <w:r>
              <w:t xml:space="preserve"> </w:t>
            </w:r>
            <w:r>
              <w:rPr>
                <w:b/>
                <w:i/>
              </w:rPr>
              <w:t>highlights the need for a budget that supports increased investment in universal public services, the hiring of more workers and their professional development, greater geographical coverage to ensure territorial continuity, and modernisation and quality improvement, in order to ensure the proper functioning of public services that are essential to the population and the role they play in guaranteeing the rights to health, education, social security, housing, energy, transport, communications, employment, food, culture and recreation, among other things;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Stresses its support to the partnership principle and multi-level governance as a fundamental element to ensure that the EU budget serves communities and their needs, and to design effective, implementable policies; deplores the irrealistic timeline for the drafting of the NRPPs, which risks excluding stakeholders and local authorities from the drafting of the plans. Proposes the establishment of open and structured multi-stakeholder fora, allowing different stakeholders to meaningfully contribute in shaping the NRPPs with mandatory participation of regional/local authorities, social partners, civil society, non-profit service providers, and social economy actors throughout preparation, programming, and monitoring; proposes the introduction of the partnership principle and multi-level governance as a horizontal condition for the NRPs alongside the Rule of Law and Fundamental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Opposes any attempt to renationalise the CAP, which would entail less funding and more conditionality;</w:t>
            </w:r>
            <w:r>
              <w:t xml:space="preserve"> </w:t>
            </w:r>
            <w:r>
              <w:rPr>
                <w:b/>
                <w:i/>
              </w:rPr>
              <w:t>is opposed to merging cohesion and social policy by integrating the CAP into the NRRPs, as it would bring the governance of Europe’s agriculture within a centralised bureaucracy, obfuscate the objectives and water down responsibilities;</w:t>
            </w:r>
            <w:r>
              <w:t xml:space="preserve"> </w:t>
            </w:r>
            <w:r>
              <w:rPr>
                <w:b/>
                <w:i/>
              </w:rPr>
              <w:t>stresses that such reforms would jeopardise agricultural policy, which until now has been easy to identify, had its own budget, been underpinned by national priorities and been key to the stability of agricultural incomes;</w:t>
            </w:r>
            <w:r>
              <w:t xml:space="preserve"> </w:t>
            </w:r>
            <w:r>
              <w:rPr>
                <w:b/>
                <w:i/>
              </w:rPr>
              <w:t>reaffirms that the CAP must continue to be a distinct, cogent and predictable policy, a pillar of Europe’s food sovereignty and a tool that provides stability for farmers;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Isabel Benjumea Benjumea,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Stresses the need to preserve a clear and differentiated budgetary architecture for cohesion policy, in order to maintain its strategic, long-term nature;</w:t>
            </w:r>
            <w:r>
              <w:t xml:space="preserve"> </w:t>
            </w:r>
            <w:r>
              <w:rPr>
                <w:b/>
                <w:i/>
              </w:rPr>
              <w:t>stresses that it must continue to act as the Union’s main territorial investment instrument, based on the effective involvement of the regions and the tailoring of investments to their needs;</w:t>
            </w:r>
            <w:r>
              <w:t xml:space="preserve"> </w:t>
            </w:r>
            <w:r>
              <w:rPr>
                <w:b/>
                <w:i/>
              </w:rPr>
              <w:t>warns that the absence of clear guidelines on investment priorities and areas of intervention for the European Regional Development Fund, the Cohesion Fund and the European Social Fund jeopardises the effectiveness of investments and reduces European added value;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Regrets that the shortcomings of the RRF were not addressed by the Commission when proposing the NRPP Regulation; stresses that merging economic reform funding under the European Semester with territorial development may pose implementation challenges including misalignment with the multiannual cycles of territorial investments due to fundamental differences between the two systems; further deplores the shift towards a performance based approach relying on “financing not linked to cost” and insists that such a model should not be used as a generalized method of implementation of the Union budget due to the negative impact on transparency and control;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Welcomes the Commission’s commitment to granting Member States early access, from 2028 onwards, to resources to support the agricultural sector and rural communities under the 2028-2034 MFF, for an indicative amount of up to approximately EUR 45 billion;</w:t>
            </w:r>
            <w:r>
              <w:t xml:space="preserve"> </w:t>
            </w:r>
            <w:r>
              <w:rPr>
                <w:b/>
                <w:i/>
              </w:rPr>
              <w:t>stresses that any such initiative must deliver genuine additionality, must ensure that mobilisation criteria are transparent and must fully protect funds allocated to cohesion policy and other structural measures in rural areas, while avoiding budgetary transfers that undermine the overall stability of Heading 1, without prejudice to the powers of the budgetary authority;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Stresses that the shared management programmes under the next MFF must fully respect the principle of subsidiarity as enshrined in Article 5 TEU; warns against excessive centralisation that would undermine Member States' and regions' capacity to tailor investments to territorial needs; insists that the shared management framework must provide sufficient flexibility for national, regional, and local authorities to design measures in accordance with their competences while maintaining appropriate democratic oversight at all governance levels;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Jean-Marc Germain, Gabriele Bischoff,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Strongly opposes that the ESF is part of the NRPP, and insists that a self-standing, reinforced, strong ESF with a dedicated and sufficient budget, separated from the NRPP must remain the Union’s key instrument for investing in people and delivering on the targets of the EPRS Action Plan - from early childhood education to quality employment, training and skills development, social innovation, social inclusion, the eradication of poverty and fight against social exclusion - in order to strengthen the social dimension of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Insists that National and Regional Partnership Plans (NRPPs) must include mandatory territorial chapters including dedicated regional chapters with clearly defined volume of resources, binding partnership rules and a territorial, place-based focus, fully involving regional and local authorities in line with the partnership principle; calls for adequate technical assistance and pre-financing support to enable participation of smaller municipalities and beneficiaries with limited administrative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Siegfried Mureşan,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Considers that, in order to ensure the full and effective application of Article 349 TFEU, an additional specific budgetary line for the outermost regions must be established within the Multiannual Financial Framework 2028–2034; calls, therefore, for a POSEI programme, as established by Regulation (EU) No 228/2013, to be fully maintained and adequately financed through the establishment of a separate budgetary 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Stresses that the European Maritime, Fisheries and Aquaculture Fund should have at least the same budget as it did under the previous MFF (EUR 6.1 billion), in contrast to the existing proposal for the 2028-2034 period (no more than EUR 2 billion);</w:t>
            </w:r>
            <w:r>
              <w:t xml:space="preserve"> </w:t>
            </w:r>
            <w:r>
              <w:rPr>
                <w:b/>
                <w:i/>
              </w:rPr>
              <w:t>calls for this sum to be increased to EUR 7.5 billion in order to factor in inflation and enable the fisheries and aquaculture sector to retain its capacity to act;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Stresses that PEACEPLUS represents the continuation of a long-established EU programme supporting peace and reconciliation in Ireland; calls for the allocation of dedicated funding of at least EUR 200 million for the PEACEPLUS programme in the next MFF, in order to support peace and reconciliation and to safeguard the continuation of North–South cross-border cooperation in Ireland;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Roberts Zīle, Bogdan Rzońca,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Underlines that countries bordering Russia and Belarus face disproportionate socioeconomic impact that is amplified by the need to invest in defence capabilities and to protect EU external border at the expense of productive investments. In this regard, Heading 1 must include dedicated support for socioeconomic and security challenges in Member States on the Eastern border.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Nils Ušakovs, Mārtiņš Staķis, Roberts Zīle, Sandra Kalniete, Ivars Ijabs, 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Underlines that countries bordering Russia and Belarus face disproportionate socioeconomic impact that is amplified by the need to invest in defence capabilities and to protect EU external border at the expense of productive investments; in this regard, Heading 1 must include dedicated support for socioeconomic and security challenges in Member States on the Eastern border.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Jean-Marc Germain, Gabriele Bischoff,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The financial envelope for the implementation of the ESF+ for the period [2028–2034] shall include a dedicated budgetary line of EUR 198 billion (in current prices), ensuring the Fund’s capacity to effectively deliver on its objectives, in particular the promotion of quality employment, social inclusion, poverty reduction, skills development and equal opportunities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Lucia Yar, Martin Hojsík, Ľubica Karvašová, Michal Wiezik, Veronika Cifrová Ostrihoňová, Irena Joveva, Marjan Šarec, Dan Barna, Vlad Vasile-Voiculescu, Petras Auštrevičius, Dainius Žalimas, Michał Kobosko, Urmas Paet, Nikola Minchev, Ilhan Kyuchyuk, Ivars Ijabs, Fabienne Keller, Jana Toom,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Underlines that direct management of LIFE activities by the European Commission increases transparency and inclusiveness of funding and allows for better oversee of the European Parliament. Believes that sufficient lesson was learned from the past programming and that direct programming should continue and be improved.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Stresses that the Union’s environmental and nature protection ambitions require high visibility and dedicated funding; calls for the establishment of a standalone successor to the LIFE programme to ensure that environmental objectives are not sidelined within broader integrated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Expresses concern over the fact that despite the RRF is underperforming the expectations due to its slow disbursement and low implementation rate of milestones and targets, the Commission is planning the EU’s overall fiscal architecture by designing the new MFF based on the RRF model;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Categorically rejects plans to remove the Programme of Options Specifically Relating to Remoteness and Insularity (POSEI), which constitutes a vital pillar of support for the outermost regions;</w:t>
            </w:r>
            <w:r>
              <w:t xml:space="preserve"> </w:t>
            </w:r>
            <w:r>
              <w:rPr>
                <w:b/>
                <w:i/>
              </w:rPr>
              <w:t>points out that POSEI was set up in an attempt to address the permanent structural constraints faced by the outermost regions, such as remoteness, insularity and economic dependence, in accordance with Article 349 of the Treaty on the Functioning of the European Union;</w:t>
            </w:r>
            <w:r>
              <w:t xml:space="preserve"> </w:t>
            </w:r>
            <w:r>
              <w:rPr>
                <w:b/>
                <w:i/>
              </w:rPr>
              <w:t>stresses that the outermost regions require dedicated, stable and predictable funding instruments in order to safeguard food security and the viability of local agriculture;</w:t>
            </w:r>
            <w:r>
              <w:t xml:space="preserve"> </w:t>
            </w:r>
            <w:r>
              <w:rPr>
                <w:b/>
                <w:i/>
              </w:rPr>
              <w:t>calls on the Commission to keep POSEI as a separate instrument with proper and clearly identifiable ring-fenced funding, and to refrain from merging the programme in any way, which may be liable to undermine its effectiveness, clarity and scope to the detriment of the outermost regions;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Isabel Benjumea Benjumea, Raúl de la Hoz Quintano,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Recognises the specific characteristics and challenges faced by regions affected by depopulation, which weaken economic, social and territorial cohesion;</w:t>
            </w:r>
            <w:r>
              <w:t xml:space="preserve"> </w:t>
            </w:r>
            <w:r>
              <w:rPr>
                <w:b/>
                <w:i/>
              </w:rPr>
              <w:t>stresses that these regions require targeted, sustained support from the Union, ensuring access to quality public services, connectivity and economic opportunities;</w:t>
            </w:r>
            <w:r>
              <w:t xml:space="preserve"> </w:t>
            </w:r>
            <w:r>
              <w:rPr>
                <w:b/>
                <w:i/>
              </w:rPr>
              <w:t>insists that combating depopulation should be explicitly recognised as an EU priority for the 2028-2034 period and should be systematically addressed in national and regional partnership plans (NRPPs);</w:t>
            </w:r>
            <w:r>
              <w:t xml:space="preserve"> </w:t>
            </w:r>
            <w:r>
              <w:rPr>
                <w:b/>
                <w:i/>
              </w:rPr>
              <w:t>urges Member States to devote a specific share of investments to actions aimed at combating depopulation, encouraging the creation of quality jobs and promoting economic and productive activity in the regions concerned, tailored to their particular needs;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Notes that the Commission proposal suggests that the European Regional Development Fund, the Cohesion Fund and the European Social Fund allocations would be defined ex post, once the Member States decide which measures to fund as part of their national plans; considers that this approach renders these funds effectively obsolete; notes, furthermore, that the legislative proposals for these funds do not include funding priorities, eligibility criteria or intervention fields, which would be defined by the Commission, the Council and the Member States as part of the NRPP and based on the future performance framework regulation; deeply regrets Parliament’s diminished role and the highlights the increased risk of long-term investments with European added value being eroded;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Stresses that shared management in the next MFF must involve regional and local authorities and stakeholders in a manner securing their participation in policy design, management and monitoring; calls for the principles of partnership, and shared management to be placed on a firmer footing as a binding element of legislation and for the active and mandatory role of local and regional authorities to thereby be guaranteed in the design and the financial implementation of the NRPPs; is convinced that this will ensure participatory multilevel governance that is conducive to efficient use of funds and guarantee that development strategies designed at regional level are included when setting priorities and implementing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Expresses strong concern about the Commission’s proposal to condition access to significant funding under the National and Regional Partnership plans (NRPPs) and the European Competitiveness Fund (ECF) on the fulfilment of CSRs; recalls that similar conditionality in the context of the RRF has demonstrated serious shortcomings, including inconsistencies in the assessment of national reforms, politicisation of the process, and insufficient accountability; stresses that replicating this approach risks undermining the credibility, ownership, and effectiveness of both the European Semester and future EU funding; firmly opposes any extension of CSR-linked conditionality without a comprehensive and transparent review of past failures;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Underlines that the proposed minimum allocation of EUR 2 billion for fisheries, aquaculture and maritime activities within the National and Regional Partnership Plans (NRPPs) for the 2028–2034 period is insufficient to ensure the effective implementation of the Common Fisheries Policy; calls for a significantly higher level of dedicated funding, well above the proposed minimum, in order to maintain continuity with the support previously provided under the European Maritime, Fisheries and Aquaculture Fund, to strengthen the competitiveness and sustainability of the sector, and to ensure targeted support for coastal communities, small-scale fisheries and aquaculture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Jean-Marc Germain, Gabriele Bischoff,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Strongly opposes that the ESF is part of the NRPP, and insists that a self-standing, reinforced, strong ESF with a dedicated and sufficient budget, separated from the NRPP must remain the Union’s key instrument for investing in people and delivering on the targets of the EPRS Action Plan - from early childhood education to quality employment, training and skills development, social innovation, social inclusion, the eradication of poverty and fight against social exclusion - in order to strengthen the social dimension of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Recalls that the 8th Environment Action Programme and the Zero Pollution Action Plan require sustained investment in biodiversity, soil health, water management, waste prevention and air quality in order to reach the agreed 2030 targets; insists that Heading 1 of the MFF for 2028-2034 (‘Europe’s social model and quality of life’) must provide sufficient and predictable funding for these priorities, particularly in regions facing structural environmental pressures and limited fiscal 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Stresses that the protection and restoration of biodiversity requires clear budgetary commitment; calls for ring-fencing biodiversity spending, including predictable long-term funding for the LIFE Programme under direct management; underlines that biodiversity expenditure should be clearly identifiable and traceable and calls for dedicated financing approach integrated into the Union’s environmental and territorial policy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Deeply regrets that the allocation of resources to Member States that contain outermost regions has not taken due account of the permanent specific characteristics of these regions, as recognised in Article 349 TFEU.</w:t>
            </w:r>
            <w:r>
              <w:t xml:space="preserve"> </w:t>
            </w:r>
            <w:r>
              <w:rPr>
                <w:b/>
                <w:i/>
              </w:rPr>
              <w:t>stresses that this omission results in an effective reduction in the resources available to Member States and, consequently, to these regions, undermining their economic and social cohesion;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Roberts Zīle, Bogdan Rzońca,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Notes that the agri posperity gap does not provide practical solutions for conclusion of external convergence within the Common Agricultural policy due to NRPP capping. This approach could even further increase the disparity and distort the level playing field among farmers across the Union. It is imperative that the 2028-2034 MFF ensures level playing field under the CAP support.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Welcomes the decision to keep the European Social Fund (ESF+) as a separate programme under Heading 1 of the MFF;</w:t>
            </w:r>
            <w:r>
              <w:t xml:space="preserve"> </w:t>
            </w:r>
            <w:r>
              <w:rPr>
                <w:b/>
                <w:i/>
              </w:rPr>
              <w:t>calls for the amount allocated to the ESF+ to be maintained at least at the same level as under the 2021-2027 MFF, and calls for clarity and predictability to be guaranteed for final beneficiaries and the responsible managing authorities;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Considers, therefore, that in order to support Member States in achieving these objectives, there is a need for a significant increase in the appropriations for cohesion policy funds in the EU budget, in particular those for the European Social Fund+;</w:t>
            </w:r>
            <w:r>
              <w:t xml:space="preserve"> </w:t>
            </w:r>
            <w:r>
              <w:rPr>
                <w:b/>
                <w:i/>
              </w:rPr>
              <w:t>calls for a specific allocation of EUR 193 billion to be set aside for the European Social Fund+;</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Stresses that the health of European citizens remains a priority; demands a standalone EU health programme building on the success of EU4Health to ensure resilience against future health crises and to support national health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c.</w:t>
            </w:r>
            <w:r>
              <w:tab/>
            </w:r>
            <w:r>
              <w:rPr>
                <w:b/>
                <w:i/>
              </w:rPr>
              <w:t>Regrets that despite the Parliament‘s call for ‘increased directly managed support for environment and biodiversity protection and climate action building on the current LIFE programme, the Commission did not propose to continue the LIFE programme which, since 1992, has been the cornerstone of EU funding for the climate and the environment as the only EU programme exclusively dedicated to the environment and climate action is expected to lead to a significant decrease in dedicated funding for biodiversity; recalls its position that “directly managed support for environment and biodiversity protection and climate action” should increase in the next MFF; insists, therefore, on a specific and strengthened budget line for LIFE under the EU Facility and a dedicated allocation of funding to biodiversity objectives in particular for the implementation of Nature Restoration Plans including Nature 2000 within NRPPs;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Jean-Marc Germain, Gabriele Bischoff,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c.</w:t>
            </w:r>
            <w:r>
              <w:tab/>
            </w:r>
            <w:r>
              <w:rPr>
                <w:b/>
                <w:i/>
              </w:rPr>
              <w:t>Notes with concern the Commission’s new approach, whereby at least 14% of the NRPP envelope is to be dedicated to meeting the Union’s social objectives; firmly criticises that, as the minimum social spending heavily depends on Member States’ future NRPs, and in particular on the amount allocated to the CAP interventions, the effective minimum spending allocated for social support is highly uncertain; condemns that the minimum resources dedicated to social objectives in 2025 constant prices will decrease by an estimated 8% to 38% compared with the 2021–2027 ESF+, depending on Member States’ CAP interventions; considers this substantial cut unacceptable and calls on the Commission to propose a stand-alone ESF with a dedicated financial envelope that is ringfenced and substantially increased in real terms compared to the 2021-2027 ESF+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c.</w:t>
            </w:r>
            <w:r>
              <w:tab/>
            </w:r>
            <w:r>
              <w:rPr>
                <w:b/>
                <w:i/>
              </w:rPr>
              <w:t>Insists that CAP appropriations must be clearly identifiable and protected in the budget nomenclature, preserving the two-pillar architecture; calls for a fully ringfenced CAP envelope of at least EUR 400 billion (2025 constant prices) for 2028–2034, with a legally ringfenced allocation for rural development (Pillar II) to safeguard investment, innovation, environmental services, competitiveness and territorial cohesion in rural areas; Stresses that CAP ring-fenced allocations should keep their real value throughout the MFF period, so that farmers and rural communities have predictability and stability; underlines that ring-fenced income support allocations should only increase, and never be reduced, including where Member State contributions or own resources are lower than expected;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Isabel Benjumea Benjumea, Elena Nevado del Campo,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Calls for the involvement of local and regional authorities to be respected in line with their competences when applying the principles of partnership and multilevel governance in NRP plans under Article 6 of Regulation (EU) 2025/0240 [NRPP Regulation];</w:t>
            </w:r>
            <w:r>
              <w:t xml:space="preserve"> </w:t>
            </w:r>
            <w:r>
              <w:rPr>
                <w:b/>
                <w:i/>
              </w:rPr>
              <w:t>considers that this implies that local and regional authorities must be fully involved in the drafting, approval, implementation, monitoring and modification of NRP plans;</w:t>
            </w:r>
            <w:r>
              <w:t xml:space="preserve"> </w:t>
            </w:r>
            <w:r>
              <w:rPr>
                <w:b/>
                <w:i/>
              </w:rPr>
              <w:t>stresses that, in view of their competences, the involvement of local and regional authorities should under no circumstances be treated on the same level as civil society organisations, environmental partners, economic and social partners or research organisations;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Considers that the success of the strategy to combat poverty with a view to its eradication depends, among other things, on adequate funding, requiring the mobilisation of the EU budget;</w:t>
            </w:r>
            <w:r>
              <w:t xml:space="preserve"> </w:t>
            </w:r>
            <w:r>
              <w:rPr>
                <w:b/>
                <w:i/>
              </w:rPr>
              <w:t>calls for the creation, within the European Social Fund+, of a specific funding line aimed at eradicating poverty, amounting to at least EUR 50 billion;</w:t>
            </w:r>
            <w:r>
              <w:t xml:space="preserve"> </w:t>
            </w:r>
            <w:r>
              <w:rPr>
                <w:b/>
                <w:i/>
              </w:rPr>
              <w:t>[points out that] this specific funding aimed at eradicating poverty does not prejudice the mobilisation of amounts from other funds or programmes aimed at objectives directly or indirectly related to poverty, particularly in the areas of housing, child and youth protection, migration, and combating inequality and discrimination;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Recalls that, under Article 349 TFEU, the Union must devise and implement specific policies and programmes for the outermost regions, and stresses that this obligation must be reflected in the next MFF through a specific and adequately funded allocation for these regions, particularly under Heading 1;</w:t>
            </w:r>
            <w:r>
              <w:t xml:space="preserve"> </w:t>
            </w:r>
            <w:r>
              <w:rPr>
                <w:b/>
                <w:i/>
              </w:rPr>
              <w:t>stresses, in addition, that the programme of options specifically relating to remoteness and insularity (POSEI) must be protected, strengthened and preserved as a distinct Union instrument, outside the scope of national and regional plans, with the aim of ensuring stable, predictable support that is truly tailored to the needs of the outermost regions;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c.</w:t>
            </w:r>
            <w:r>
              <w:tab/>
            </w:r>
            <w:r>
              <w:rPr>
                <w:b/>
                <w:i/>
              </w:rPr>
              <w:t>Considers, in this context, that it is imperative to establish distinct Regional Chapters within the NRPPs; calls, where the national constitutional setup makes it appropriate, for the right of regions and regional governments to prepare, implement and administrate their own programs and negotiate directly with the European Commission; recalls that the introduction of a national plan and national coordination may lead to an unnecessary additional layer of bureaucracy and administrative burden; points in this regard to the principles of subsidiarity and proportionality according to Article 5 TEU as well as the Commission's Better Regulation Agenda;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c.</w:t>
            </w:r>
            <w:r>
              <w:tab/>
            </w:r>
            <w:r>
              <w:rPr>
                <w:b/>
                <w:i/>
              </w:rPr>
              <w:t>Underlines that strengthening Europe’s security requires targeted investment in resilience of frontline and eastern border regions; calls for dedicated support to enhance security, connectivity and economic vitality in regions most exposed to the effects of Russia’s war of aggression, including through transport, energy and digital infrastructure and strengthened cross-border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c.</w:t>
            </w:r>
            <w:r>
              <w:tab/>
            </w:r>
            <w:r>
              <w:rPr>
                <w:b/>
                <w:i/>
              </w:rPr>
              <w:t>Notes that, as the proposal currently stands, it is not possible to determine the level of resources that will be available specifically for cohesion policy and objectives; calls for the cohesion policy to remain a distinct policy, with stand-alone programmes and separate budgets for the ERDF and the Cohesion Fund respectively, in accordance with Articles 176 and 177 TFEU;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Calls on the Commission to come forward with a revised proposal for the MFF including a strengthened, clearly designated budget for the CAP, which should fully take account of inflationary pressure and remain separate from other EU policies, in order to preserve the essential nature of the CAP and provide long-term stability and predictability for farmers;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d.</w:t>
            </w:r>
            <w:r>
              <w:tab/>
            </w:r>
            <w:r>
              <w:rPr>
                <w:b/>
                <w:i/>
              </w:rPr>
              <w:t>Considers that cohesion policy must remain a fundamental pillar of the EU growth model and the core long-term, decentralised investment policy for all regions, with a budget of approximately the same level as in the MFF 2021-2027; underlines that allocating at least the same share of the next MFF to cohesion policy is a necessary condition not only for ensuring the financing of long-term cohesion objectives fostering convergence, in areas such as digitalisation, transport and energy infrastructure, social and other public services, but also for funding the new objectives and priorities within this policy, such as a clean and just industrial transition, crisis and conflict preparedness, defence and security, housing, and the protection of democracy and the rule of law, as proposed by the Commission; regrets that the Commission’s proposal only earmarks an envelope for less developed regions, while not providing dedicated earmarking for transition regions and more developed regions; is concerned that drastic and unpredictable changes in funding allocations would lead to the abrupt discontinuation of important and successful programmes at regional level; insists, therefore, that cohesion policy funding should be earmarked by category of region in order to ensure that all categories of regions are adequately supported according to their specific needs and to avoid disruptive structural breaks;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Jean-Marc Germain, Gabriele Bischoff,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d.</w:t>
            </w:r>
            <w:r>
              <w:tab/>
            </w:r>
            <w:r>
              <w:rPr>
                <w:b/>
                <w:i/>
              </w:rPr>
              <w:t>Reiterates that the aim of the ESF is two folded, namely to promote employment and to support social inclusion, which are closely linked to each other; deeply regrets that the proposed ESF Regulation does not maintain any earmarking to foster social inclusion, to support the most deprived persons, to tackle child poverty, to support youth employments and the capacity building of social partners and civil society, as laid down in the current ESF+; demands that the current earmarkings are at least reinstated, without allowing any flexibility for reallocating such resources to other priorities; calls furthermore for the introduction of additional earmarkings, including for tackling homelessness, to further strengthen social objectives; stresses that Parliament’s position on the earmarkings will be determined during the co-decision procedure for the relevant sectoral legislative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Stresses the need to retain the integrity and fundamental nature of the CAP, including dedicated funding for both pillars, and rejects any kind of policy mix under the proposed NRPP Regulation, as this would exacerbate territorial inequalities;</w:t>
            </w:r>
            <w:r>
              <w:t xml:space="preserve"> </w:t>
            </w:r>
            <w:r>
              <w:rPr>
                <w:b/>
                <w:i/>
              </w:rPr>
              <w:t>stresses that direct payments generate clear EU added value and should continue to support income stability, high-quality production, and protection against price volatility, but should also be better targeted to active farmers and the provision of public goods;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Isabel Benjumea Benjumea, Francisco José Millán Mon, Gabriel Mato, Carmen Crespo Díaz, 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Calls for the creation of specific funding for the fisheries sector, including a separate financial envelope and tailored legal provisions, with an earmarked budget of at least EUR 7 billion (at constant prices);</w:t>
            </w:r>
            <w:r>
              <w:t xml:space="preserve"> </w:t>
            </w:r>
            <w:r>
              <w:rPr>
                <w:b/>
                <w:i/>
              </w:rPr>
              <w:t>stresses that strong, predictable support for fisheries is crucial in ensuring food security and strengthening the competitiveness of the sector while enabling it to meet important challenges such as decarbonisation and modernisation of the fishing fleet and the promotion of generational renewal.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Considers it essential to preserve the funds allocated to the regions and argues that there should be a specific, protected and adequate allocation for the outermost regions, and that it is not acceptable for the allocation of funding to these regions to be subject to the discretion of Member States, which have to make complex trade-offs in a context of increasingly scarce resources;</w:t>
            </w:r>
            <w:r>
              <w:t xml:space="preserve"> </w:t>
            </w:r>
            <w:r>
              <w:rPr>
                <w:b/>
                <w:i/>
              </w:rPr>
              <w:t>stresses that arbitrary management by Member States could delay the implementation of projects and reduce the effectiveness of cohesion policy.</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d.</w:t>
            </w:r>
            <w:r>
              <w:tab/>
            </w:r>
            <w:r>
              <w:rPr>
                <w:b/>
                <w:i/>
              </w:rPr>
              <w:t>Stresses that food safety and food security depend on healthy soils, sustainable water use and the resilience of agricultural systems to climate extremes; calls on the Commission and the Member States to prioritise investments that enhance the climate resilience and environmental performance of the agri-food sector, reduce nutrient losses and pesticide risks, and support farmers in the transition to more sustainable practices, while maintaining the economic viability and competitiveness of the sector and of rural 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d.</w:t>
            </w:r>
            <w:r>
              <w:tab/>
            </w:r>
            <w:r>
              <w:rPr>
                <w:b/>
                <w:i/>
              </w:rPr>
              <w:t>Recalls the European Commission President's proposal from 11 November 2025 for introducing a Regional Check into the NRPP proposal; underlines that this assessment must not be limited to a consultative, formalistic or box-ticking exercise but be endowed with effective and enforceable powers, including the ability of the regions to issue, in accordance with the national constitutional setup binding opinions affecting the approval, implementation and revision of NRRPs;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d.</w:t>
            </w:r>
            <w:r>
              <w:tab/>
            </w:r>
            <w:r>
              <w:rPr>
                <w:b/>
                <w:i/>
              </w:rPr>
              <w:t>Calls for sufficient funds, at least at the level of the current EMFAF be ring-fenced for fisheries and aquaculture, without any possibility of transfer to other policy areas; stresses that this envelope must cover implementation and enforcement of Union legislation, including the Control Regulation and obligations under the Ocean Pact, as well as environmental and climate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Considers that poverty levels among children require the EU to step up its efforts under the European Child Guarantee, including a substantial dedicated budget of at least EUR 20 billion;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e.</w:t>
            </w:r>
            <w:r>
              <w:tab/>
            </w:r>
            <w:r>
              <w:rPr>
                <w:b/>
                <w:i/>
              </w:rPr>
              <w:t>Is deeply concerned that the availability and affordability of decent housing in Europe is decreasing at an alarming rate; stresses that the next programming period should prioritise grants and financial instruments that directly support sustainable, decent, affordable and social housing, and strategic investments in the green construction value chain, in order to foster resilience, innovation and long-term sustainability in the housing sector; calls on the Commission to ensure that there is a major increase in EU public investment in affordable and decent housing, delivered through reliable, long-term and flexible instruments; furthermore, insists that investments in housing and energy under the MFF should prioritise homeless people and people living in conditions of inadequate and insecure housing, which undermine health and dignity; calls for a dedicated budget line in the NRPP on housing;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e.</w:t>
            </w:r>
            <w:r>
              <w:tab/>
            </w:r>
            <w:r>
              <w:rPr>
                <w:b/>
                <w:i/>
              </w:rPr>
              <w:t>Stresses the need for adequate support of the Union’s response to demographic challenges; calls for adequate and visible resources to be ensured, within the relevant programmes, for measures contributing to the demographic transition and to sustainability throughout the life course (including access to childcare services and work-life balance, skills development and labour market inclusion, health and prevention, and active ageing), in full respect of the Union’s competences and the principle of subsidiarity; Calls on particular attention to be devoted to regions and disadvantaged areas affected by demographic disadvantages, providing, where relevant, for integrated approaches in national and regional plans that take demographic vulnerabilities into account and support demographic recovery;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Jean-Marc Germain, Gabriele Bischoff,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e.</w:t>
            </w:r>
            <w:r>
              <w:tab/>
            </w:r>
            <w:r>
              <w:rPr>
                <w:b/>
                <w:i/>
              </w:rPr>
              <w:t>Stresses that the objectives of the Child Guarantee cannot be achieved without an ambitious dedicated budget; reiterates in this context its call for a dedicated budget of at least EUR 20 billion for the European Child Guarantee in the 2028-2034 MFF to ensure that every child in the EU has effective and free access to high-quality early childhood education and care, education and school-based activities, at least one healthy meal each school day, healthcare, effective access to adequate housing and healthy nutrition; insists that all Member States should allocate at least 5% of their ESF resources to the European Child Guarantee and at least 10% should be allocated by those Member States with a portion of children at risk of poverty or social exclusion higher than the average child poverty rate;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Isabel Benjumea Benjumea, Gabriel Mato, Francisco José Millán Mon, 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17e.</w:t>
            </w:r>
            <w:r>
              <w:tab/>
            </w:r>
            <w:r>
              <w:rPr>
                <w:b/>
                <w:i/>
              </w:rPr>
              <w:t>Regrets that the proposed NRPP Regulation (COM(2025)0558), which merges different policies into one plan per Member State, generates significant uncertainty regarding funding predictability for final beneficiaries;</w:t>
            </w:r>
            <w:r>
              <w:t xml:space="preserve"> </w:t>
            </w:r>
            <w:r>
              <w:rPr>
                <w:b/>
                <w:i/>
              </w:rPr>
              <w:t>warns, in addition, that the significant reduction in funding for Heading 1 also threatens to undermine EU policies enshrined in the Treaties and the Union’s objectives of strengthening its economic, social and territorial cohesion, safeguarding social rights, and ensuring food security and a fair standard of living for farmers and fishers, as well as supporting the implementation of the Common Fisheries Policy and the promotion of sustainable fisheries;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17e.</w:t>
            </w:r>
            <w:r>
              <w:tab/>
            </w:r>
            <w:r>
              <w:rPr>
                <w:b/>
                <w:i/>
              </w:rPr>
              <w:t>Reiterates the need for continued and enhanced support for the outermost regions through the POSEI programme, advocating the re-establishment of POSEI-Fisheries to meet the specific needs of the fisheries and aquaculture sectors in the outermost regions, as it existed until 2014, and as has been advocated by the Parliament on several occasions in recent years, ensuring the long-term viability of these sectors.</w:t>
            </w:r>
            <w:r>
              <w:t xml:space="preserve"> </w:t>
            </w:r>
            <w:r>
              <w:rPr>
                <w:b/>
                <w:i/>
              </w:rPr>
              <w:t>This instrument must be protected and endowed with EUR 510 million to offset the additional costs incurred by the sector in the outermost regions and accumulated inflation, thereby ensuring food sovereignty and the sustainability of fishing communities and, consequently, the development and cohesion of these regions;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17e.</w:t>
            </w:r>
            <w:r>
              <w:tab/>
            </w:r>
            <w:r>
              <w:rPr>
                <w:b/>
                <w:i/>
              </w:rPr>
              <w:t>Calls for the creation of additional, specific EU funding, amounting to at least EUR 35 billion, to support national policies for investment in the expansion and refurbishment of public housing stock, to combat property speculation and to defend the right to decent and affordable housing for all;</w:t>
            </w:r>
            <w:r>
              <w:t xml:space="preserve"> </w:t>
            </w:r>
            <w:r>
              <w:rPr>
                <w:b/>
                <w:i/>
              </w:rPr>
              <w:t>calls for the strengthening of tenant rights, ensuring stable, extended tenancy agreements, rent caps and measures against evictions;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17e.</w:t>
            </w:r>
            <w:r>
              <w:tab/>
            </w:r>
            <w:r>
              <w:rPr>
                <w:b/>
                <w:i/>
              </w:rPr>
              <w:t>Takes note of the increased agriculture reserve which, if properly deployed, would bolster the Union’s capacity to cope with future crises;</w:t>
            </w:r>
            <w:r>
              <w:t xml:space="preserve"> </w:t>
            </w:r>
            <w:r>
              <w:rPr>
                <w:b/>
                <w:i/>
              </w:rPr>
              <w:t>calls for new tools to be set up to deal with natural, market and health-related risks, including a Union reinsurance mechanism, with a view to providing greater stability and predictability for farmers;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e.</w:t>
            </w:r>
            <w:r>
              <w:tab/>
            </w:r>
            <w:r>
              <w:rPr>
                <w:b/>
                <w:i/>
              </w:rPr>
              <w:t>Considers that the next MFF must uphold the EU’s social pillar as a core policy objective, and not as a subsidiary function of economic growth; underlines that the ESF should remain a distinct instrument for promoting upwards social convergence, quality employment and equal opportunities;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e.</w:t>
            </w:r>
            <w:r>
              <w:tab/>
            </w:r>
            <w:r>
              <w:rPr>
                <w:b/>
                <w:i/>
              </w:rPr>
              <w:t>Calls for a reinforced and more agile CAP crisis reserve, with sufficient margins, rapid activation and transparent, Union-wide trigger mechanisms to respond to market shocks, animal diseases and climate-related disasters.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Jean-Marc Germain, Gabriele Bischoff,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f.</w:t>
            </w:r>
            <w:r>
              <w:tab/>
            </w:r>
            <w:r>
              <w:rPr>
                <w:b/>
                <w:i/>
              </w:rPr>
              <w:t>Highlights that the green and digital transitions are inextricably linked to Europe’s long-term prosperity, wellbeing, sustainability, growth and competitiveness; underlines that the ultimate success of the twin transition will depend heavily on ensuring that transition is just and inclusive for workers, regions and businesses, and that it contributes to social justice for all, with particular focus on the most vulnerable, in order to ensure that no one is left behind; insists therefore, that the 2028-2034 MFF must continue to support the twin transition; regrets that the proposal for the 2028-2034 MFF does not include a stand-alone instrument and calls in this regard for an extended and enlarged Just Transition Fund with an increased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f.</w:t>
            </w:r>
            <w:r>
              <w:tab/>
            </w:r>
            <w:r>
              <w:rPr>
                <w:b/>
                <w:i/>
              </w:rPr>
              <w:t>Considers that the proposed architecture of the new MFF, and NRPP in particular, risks drastically diminishing and weakening the funding for social rights and social inclusion measures, with social objectives left fragmented and dependent on the immediate priorities of national governments, and thereby dictated by national electoral cycles; considers that there is a real risk under the proposed NRPP that social priorities will end up being determined more by national political contingencies, rather than by enforceable EU safeguards or locally defined needs in the framework of common medium-term strategies for social progress and 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17f.</w:t>
            </w:r>
            <w:r>
              <w:tab/>
            </w:r>
            <w:r>
              <w:rPr>
                <w:b/>
                <w:i/>
              </w:rPr>
              <w:t>Deplores the fact that the proposal presented by the Commission does not contain a specific, adequately funded line for the programme of options specifically relating to remoteness and insularity (POSEI) in the outermost regions;</w:t>
            </w:r>
            <w:r>
              <w:t xml:space="preserve"> </w:t>
            </w:r>
            <w:r>
              <w:rPr>
                <w:b/>
                <w:i/>
              </w:rPr>
              <w:t>calls for the MFF for 2028-2034 to ensure that the POSEI budget line remains adequately funded to combat inequalities and strengthen regional economies, including the reinstatement of a POSEI-Fisheries and the creation of a POSEI-Transport;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17f.</w:t>
            </w:r>
            <w:r>
              <w:tab/>
            </w:r>
            <w:r>
              <w:rPr>
                <w:b/>
                <w:i/>
              </w:rPr>
              <w:t>Reiterates that the Cohesion Policy must remain a distinct structural pillar, clearly identified in the EU budget;</w:t>
            </w:r>
            <w:r>
              <w:t xml:space="preserve"> </w:t>
            </w:r>
            <w:r>
              <w:rPr>
                <w:b/>
                <w:i/>
              </w:rPr>
              <w:t>recalls that the Cohesion Policy is the EU’s largest investment policy and that it benefits all Member States directly or indirectly;</w:t>
            </w:r>
            <w:r>
              <w:t xml:space="preserve"> </w:t>
            </w:r>
            <w:r>
              <w:rPr>
                <w:b/>
                <w:i/>
              </w:rPr>
              <w:t>Cohesion is not charity or solidarity.</w:t>
            </w:r>
            <w:r>
              <w:t xml:space="preserve"> </w:t>
            </w:r>
            <w:r>
              <w:rPr>
                <w:b/>
                <w:i/>
              </w:rPr>
              <w:t>It is an investment in the development of European regions and Member States.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f.</w:t>
            </w:r>
            <w:r>
              <w:tab/>
            </w:r>
            <w:r>
              <w:rPr>
                <w:b/>
                <w:i/>
              </w:rPr>
              <w:t>Highlights the substantial and indispensable support of to cities and urban areas through cohesion policy, further reinforced by several sectoral instruments including direct funding for cities and the continuation of the European Urban Initiative aswell as mandatory regional and urban chapters in all 27 National and Regional Partnership Plans (NRPPs);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17g.</w:t>
            </w:r>
            <w:r>
              <w:tab/>
            </w:r>
            <w:r>
              <w:rPr>
                <w:b/>
                <w:i/>
              </w:rPr>
              <w:t>Calls for increased funding for Cohesion Policy instruments and for minimum protected allocations for the ERDF, the Cohesion Fund, the ESF+ and the Just Transition Fund, recognising the importance of ensuring that cohesion is affirmed as a European priority in its own right, and not placed in a purely competitive relationship with other equally crucial priorities, such as agriculture and fisheries, in order to guarantee food security and strategic autonomy;</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g.</w:t>
            </w:r>
            <w:r>
              <w:tab/>
            </w:r>
            <w:r>
              <w:rPr>
                <w:b/>
                <w:i/>
              </w:rPr>
              <w:t>Deeply regrets the narrow social dimension of the NRPP regulation; stresses that the current proposal of allocating 14% of the NRPP Regulation to social objectives in Member States is insufficient for sustaining a strong social model; proposes therefore the creation of a self-standing ESF+ under Heading 1 with clearly defined objectives and a ring-fenced budget of at least EUR 140 billion in current prices, to at least maintain the current social funding in the Union taking into account inflation;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g.</w:t>
            </w:r>
            <w:r>
              <w:tab/>
            </w:r>
            <w:r>
              <w:rPr>
                <w:b/>
                <w:i/>
              </w:rPr>
              <w:t>Regrets the discontinuation of EGF; calls for flexibility in the non-programmed part of NRPP which currently proposes 5% for natural disasters to also be available for measures in the context of the transition and to mitigate negative impact on workers by restructuring processes with extensive dismissals;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17g.</w:t>
            </w:r>
            <w:r>
              <w:tab/>
            </w:r>
            <w:r>
              <w:rPr>
                <w:b/>
                <w:i/>
              </w:rPr>
              <w:t>Expresses opposition to the possible use of funds associated with economic, social and territorial cohesion to finance militarisation and the arms race, including so-called dual-use goods;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h.</w:t>
            </w:r>
            <w:r>
              <w:tab/>
            </w:r>
            <w:r>
              <w:rPr>
                <w:b/>
                <w:i/>
              </w:rPr>
              <w:t>Welcomes the introduction of Catalyst Europe in the Commission's proposal, which could mobilise up to €150 billion in affordable EU-backed loans to enable Member States to undertake strategic investments beyond their allocated national envelopes under cohesion policy; believes that this mechanism represents an important step towards addressing the investment gaps in decarbonisation, digitalisation, and economic resilience; emphasises that Catalyst Europe must be accessible to all Member States, thereby contributing to economic and social cohesion; calls on the Commission to ensure that loans are directed towards projects that deliver tangible benefits for workers and communities, including quality job creation and the just transition to a climate-neutral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h.</w:t>
            </w:r>
            <w:r>
              <w:tab/>
            </w:r>
            <w:r>
              <w:rPr>
                <w:b/>
                <w:i/>
              </w:rPr>
              <w:t>Takes note of the changes to heading 1 proposed in a letter by the Commission on 9 November and regrets that the issue on the lack of predictability for allocations for more developed and transition regions remains still largely unsolved; in this context calls on the Commission to provide detailed further clarifications and legal guarantees regarding its intention to introduce effective regional checks, to ensure that local and regional authorities are fully involved in preparing, implementing and evaluating national and regional partnership plans (NRPPs), and to create specific safeguards that take account of the development needs of all categories of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17h.</w:t>
            </w:r>
            <w:r>
              <w:tab/>
            </w:r>
            <w:r>
              <w:rPr>
                <w:b/>
                <w:i/>
              </w:rPr>
              <w:t>Calls for the allocation of adequate minimum protected appropriations for the outermost regions under the ERDF and ESF+, which are essential in ensuring investment in the cohesion of these regions, as strategic assets for the EU;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i.</w:t>
            </w:r>
            <w:r>
              <w:tab/>
            </w:r>
            <w:r>
              <w:rPr>
                <w:b/>
                <w:i/>
              </w:rPr>
              <w:t>Reiterates its position that a home is a fundamental right, not a commodity for speculation; considers that the EU is facing a housing crisis which has become a social emergency, marked by the sharp increase in house prices and the inadequate protection of tenants, leading to an increasing number of Europeans facing homelessness; calls for enhanced investment in the next MFF for affordable, decent and sustainable housing, and for the renovation of the existing housing stock, particularly to improve energy efficiency, in line with the European Affordable Housing Act; considers, therefore, that funding for housing and renovation, needs to be strengthened in the next MFF; proposes the earmarking of at least EUR 25bio in current prices under the stand-alone ERDF programme on housing, together with significantly increased funding via the ECF via a dedicated Housing Window of EUR 25 billion in current prices; considers, in this respect, that one third of the Catalyst Europe loans should be reserved for projects that support sustainable and affordable housing and renovation schemes;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17i.</w:t>
            </w:r>
            <w:r>
              <w:tab/>
            </w:r>
            <w:r>
              <w:rPr>
                <w:b/>
                <w:i/>
              </w:rPr>
              <w:t>Calls for a minimum mandatory allocation of EUR 6.1 billion to be guaranteed for the implementation of the Common Fisheries Policy (CFP) in the 2028-2034 period, corresponding to the value of the current European Maritime, Fisheries and Aquaculture Fund (EMFAF), rejecting the proposed reduction to EUR 2 billion;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17j.</w:t>
            </w:r>
            <w:r>
              <w:tab/>
            </w:r>
            <w:r>
              <w:rPr>
                <w:b/>
                <w:i/>
              </w:rPr>
              <w:t>Reiterates the need for continued and enhanced support for the outermost regions through the POSEI programme, advocating the re-establishment of POSEI-Fisheries to meet the specific needs of the fisheries and aquaculture sectors in the outermost regions, as it existed until 2014, and as has been advocated by the Parliament on several occasions in recent years, ensuring the long-term viability of these sectors.</w:t>
            </w:r>
            <w:r>
              <w:t xml:space="preserve"> </w:t>
            </w:r>
            <w:r>
              <w:rPr>
                <w:b/>
                <w:i/>
              </w:rPr>
              <w:t>This instrument must be protected and endowed with EUR 510 million to offset the additional costs incurred by the sector in the outermost regions and accumulated inflation, as well as the sector’s needs in terms of fleet renewal and modernisation, thereby ensuring food sovereignty and the sustainability of fishing communities and, consequently, the development and cohesion of these regions;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17k.</w:t>
            </w:r>
            <w:r>
              <w:tab/>
            </w:r>
            <w:r>
              <w:rPr>
                <w:b/>
                <w:i/>
              </w:rPr>
              <w:t>The maximum national contribution rate to the estimated costs of a Plan measure may not exceed 15 % for the outermost regions;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Stresses that it is imperative to maintain the European dimension of the EU budget as a fundamental instrument for achieving common objectives, expressing Union solidarity and providing European public goods;</w:t>
            </w:r>
            <w:r>
              <w:t xml:space="preserve"> </w:t>
            </w:r>
            <w:r>
              <w:rPr>
                <w:b/>
                <w:i/>
              </w:rPr>
              <w:t>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Stresses that it is imperative to maintain the European dimension of the EU budget as a fundamental instrument for achieving common objectives, expressing Union solidarity and providing European public goods;</w:t>
            </w:r>
            <w:r>
              <w:t xml:space="preserve"> </w:t>
            </w:r>
            <w:r>
              <w:rPr>
                <w:b/>
                <w:i/>
              </w:rPr>
              <w:t>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Stresses that it is imperative to maintain the European dimension of the EU budget as a fundamental instrument for achieving common objectives, expressing Union solidarity and providing European public goods;</w:t>
            </w:r>
            <w:r>
              <w:t xml:space="preserve"> </w:t>
            </w:r>
            <w:r>
              <w:rPr>
                <w:b/>
                <w:i/>
              </w:rPr>
              <w:t>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Stresses that it is imperative to maintain the European dimension of the EU budget as a fundamental instrument for achieving common objectives, expressing Union solidarity and providing European public goods;</w:t>
            </w:r>
            <w:r>
              <w:t xml:space="preserve"> </w:t>
            </w:r>
            <w:r>
              <w:rPr>
                <w:b/>
                <w:i/>
              </w:rPr>
              <w:t>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r>
              <w:rPr>
                <w:b/>
                <w:i/>
              </w:rPr>
              <w:t> any provision concerning the EU’s eastern external borders should take into account their indivisible nature, as their entire length, from the northernmost to the southernmost point, is exposed to significant challenges.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-With a view to fostering convergence among Member States, it considers that particular attention should be paid to those with GNI below 90% of the EU average, to maritime borders facing sustained migration pressures, and to island regions.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w:t>
            </w:r>
            <w:r>
              <w:rPr>
                <w:b/>
                <w:i/>
              </w:rPr>
              <w:t>and</w:t>
            </w:r>
            <w:r>
              <w:t xml:space="preserve"> equal opportunities across </w:t>
            </w:r>
            <w:r>
              <w:rPr>
                <w:b/>
                <w:i/>
              </w:rPr>
              <w:t>all</w:t>
            </w:r>
            <w:r>
              <w:t xml:space="preserve"> Member States;</w:t>
            </w:r>
          </w:p>
        </w:tc>
        <w:tc>
          <w:tcPr>
            <w:tcW w:w="4876" w:type="dxa"/>
            <w:tcBorders>
              <w:top w:val="nil"/>
              <w:left w:val="nil"/>
              <w:bottom w:val="nil"/>
              <w:right w:val="nil"/>
            </w:tcBorders>
          </w:tcPr>
          <w:p>
            <w:pPr>
              <w:pStyle w:val="Normal6a"/>
            </w:pPr>
            <w:r>
              <w:t>18.</w:t>
            </w:r>
            <w:r>
              <w:tab/>
            </w:r>
            <w:r>
              <w:t xml:space="preserve">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w:t>
            </w:r>
            <w:r>
              <w:rPr>
                <w:b/>
                <w:i/>
              </w:rPr>
              <w:t>promotes territorial, economic and social cohesion across all EU Regions, including by addressing persistent structural constraints affecting peripheral, insular and outermost regions, by</w:t>
            </w:r>
            <w:r>
              <w:t xml:space="preserve"> ensuring </w:t>
            </w:r>
            <w:r>
              <w:rPr>
                <w:b/>
                <w:i/>
              </w:rPr>
              <w:t>that the single market delivers</w:t>
            </w:r>
            <w:r>
              <w:t xml:space="preserve"> fair competition </w:t>
            </w:r>
            <w:r>
              <w:rPr>
                <w:b/>
                <w:i/>
              </w:rPr>
              <w:t>conditions and by garanteeing access to</w:t>
            </w:r>
            <w:r>
              <w:t xml:space="preserve"> equal opportunities </w:t>
            </w:r>
            <w:r>
              <w:rPr>
                <w:b/>
                <w:i/>
              </w:rPr>
              <w:t>for all territories</w:t>
            </w:r>
            <w:r>
              <w:t xml:space="preserve"> across Member States</w:t>
            </w:r>
            <w:r>
              <w:rPr>
                <w:b/>
                <w:i/>
              </w:rPr>
              <w:t>, leaving no one and no region behind</w:t>
            </w:r>
            <w:r>
              <w:t xml:space="preserve">; </w:t>
            </w:r>
            <w:r>
              <w:rPr>
                <w:b/>
                <w:i/>
              </w:rPr>
              <w:t>Reiterates that these objetives cannot be achieved without fostering education, culture and youth engagement as key pillars of EU identity and the basis for a strong, inclusive and resilient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 xml:space="preserve">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 </w:t>
            </w:r>
            <w:r>
              <w:rPr>
                <w:b/>
                <w:i/>
              </w:rPr>
              <w:t>stresses that integrating the CAP into national plans is at odds with the Community spirit of the policy;</w:t>
            </w:r>
            <w:r>
              <w:t xml:space="preserve"> </w:t>
            </w:r>
            <w:r>
              <w:rPr>
                <w:b/>
                <w:i/>
              </w:rPr>
              <w:t>affirms that integrating the CAP into national plans would be tantamount to renationalisation, which would undermine the integrity of the single market and equal treatment for all European farmers;</w:t>
            </w:r>
            <w:r>
              <w:t xml:space="preserve"> </w:t>
            </w:r>
            <w:r>
              <w:rPr>
                <w:b/>
                <w:i/>
              </w:rPr>
              <w:t>reiterates that the CAP must have its own budget;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 xml:space="preserve">Stresses that it is imperative </w:t>
            </w:r>
            <w:r>
              <w:rPr>
                <w:b/>
                <w:i/>
              </w:rPr>
              <w:t>not only</w:t>
            </w:r>
            <w:r>
              <w:t xml:space="preserve"> to maintain </w:t>
            </w:r>
            <w:r>
              <w:rPr>
                <w:b/>
                <w:i/>
              </w:rPr>
              <w:t>but to strengthen</w:t>
            </w:r>
            <w:r>
              <w:t xml:space="preserve"> the European dimension of the EU budget as a fundamental instrument for achieving common objectives, expressing Union solidarity and providing European public goods </w:t>
            </w:r>
            <w:r>
              <w:rPr>
                <w:b/>
                <w:i/>
              </w:rPr>
              <w:t>and enabling the implementation of Union policies</w:t>
            </w:r>
            <w:r>
              <w:t xml:space="preserve">; underlines that the EU budget must remain the financial backbone supporting the deepening of Union integration, ensuring </w:t>
            </w:r>
            <w:r>
              <w:rPr>
                <w:b/>
                <w:i/>
              </w:rPr>
              <w:t>just transition,</w:t>
            </w:r>
            <w:r>
              <w:t xml:space="preserve"> fair competition and equal opportunities across all Member States;</w:t>
            </w:r>
            <w:r>
              <w:rPr>
                <w:b/>
                <w:i/>
              </w:rPr>
              <w:t>underlines the European dimension should be strengthened;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Stresses that it is imperative to maintain the European dimension of the EU budget as a fundamental instrument for achieving common objectives, expressing Union solidarity </w:t>
            </w:r>
            <w:r>
              <w:rPr>
                <w:b/>
                <w:i/>
              </w:rPr>
              <w:t>and</w:t>
            </w:r>
            <w:r>
              <w:t xml:space="preserve"> providing European public goods; underlines that the EU budget must remain the financial backbone supporting the deepening of Union integration, ensuring fair competition </w:t>
            </w:r>
            <w:r>
              <w:rPr>
                <w:b/>
                <w:i/>
              </w:rPr>
              <w:t>and</w:t>
            </w:r>
            <w:r>
              <w:t xml:space="preserve"> equal opportunities across all Member States;</w:t>
            </w:r>
          </w:p>
        </w:tc>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w:t>
            </w:r>
            <w:r>
              <w:rPr>
                <w:b/>
                <w:i/>
              </w:rPr>
              <w:t>,</w:t>
            </w:r>
            <w:r>
              <w:t xml:space="preserve"> providing European public goods</w:t>
            </w:r>
            <w:r>
              <w:rPr>
                <w:b/>
                <w:i/>
              </w:rPr>
              <w:t>, insisting on european preference</w:t>
            </w:r>
            <w:r>
              <w:t>; underlines that the EU budget must remain the financial backbone supporting the deepening of Union integration, ensuring fair competition</w:t>
            </w:r>
            <w:r>
              <w:rPr>
                <w:b/>
                <w:i/>
              </w:rPr>
              <w:t>,</w:t>
            </w:r>
            <w:r>
              <w:t xml:space="preserve"> equal opportunities </w:t>
            </w:r>
            <w:r>
              <w:rPr>
                <w:b/>
                <w:i/>
              </w:rPr>
              <w:t>and respect of European values such as the rule of law</w:t>
            </w:r>
            <w:r>
              <w:t xml:space="preserve"> across all Member States </w:t>
            </w:r>
            <w:r>
              <w:rPr>
                <w:b/>
                <w:i/>
              </w:rPr>
              <w:t>and avoiding fragmentation or re-nationalisation of key Union policies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r>
              <w:rPr>
                <w:b/>
                <w:i/>
              </w:rPr>
              <w:t>, particularly through robust cohesion envelopes that empower regions, respect the right to stay and build resilience against disparities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Aurelijus Veryga, Roberts Zīle, Tobiasz Bocheński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r>
              <w:rPr>
                <w:b/>
                <w:i/>
              </w:rPr>
              <w:t>, while contributing to the support of defence capabilities and ensuring security across all regions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Andrzej Halicki,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r>
              <w:rPr>
                <w:b/>
                <w:i/>
              </w:rPr>
              <w:t> contributing to support defence capabilities and ensure security across all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 xml:space="preserve">Stresses that it is imperative to maintain the European dimension of the EU budget as a fundamental instrument for achieving common objectives, expressing Union solidarity and providing European public goods </w:t>
            </w:r>
            <w:r>
              <w:rPr>
                <w:b/>
                <w:i/>
              </w:rPr>
              <w:t>particular through cross-border projects</w:t>
            </w:r>
            <w:r>
              <w:t xml:space="preserve"> ; underlines that the EU budget must remain the financial backbone supporting the deepening of Union integration, ensuring fair competition and equal opportunities across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w:t>
            </w:r>
            <w:r>
              <w:rPr>
                <w:b/>
                <w:i/>
              </w:rPr>
              <w:t>, ensuring equal opportunities</w:t>
            </w:r>
            <w:r>
              <w:t>, expressing Union solidarity and providing European public goods; underlines that the EU budget must remain the financial backbone supporting the deepening of Union integration, ensuring fair competition and equal opportunities across all Member States;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 xml:space="preserve">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w:t>
            </w:r>
            <w:r>
              <w:rPr>
                <w:b/>
                <w:i/>
              </w:rPr>
              <w:t>and Single Market</w:t>
            </w:r>
            <w:r>
              <w:t>, ensuring fair competition and equal opportunities across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Stresses </w:t>
            </w:r>
            <w:r>
              <w:rPr>
                <w:b/>
                <w:i/>
              </w:rPr>
              <w:t>that it is imperative to maintain</w:t>
            </w:r>
            <w:r>
              <w:t xml:space="preserve"> the European dimension </w:t>
            </w:r>
            <w:r>
              <w:rPr>
                <w:b/>
                <w:i/>
              </w:rPr>
              <w:t>of the EU</w:t>
            </w:r>
            <w:r>
              <w:t xml:space="preserve"> budget </w:t>
            </w:r>
            <w:r>
              <w:rPr>
                <w:b/>
                <w:i/>
              </w:rPr>
              <w:t>as a fundamental instrument for achieving</w:t>
            </w:r>
            <w:r>
              <w:t xml:space="preserve"> common objectives, </w:t>
            </w:r>
            <w:r>
              <w:rPr>
                <w:b/>
                <w:i/>
              </w:rPr>
              <w:t>expressing Union solidarity and providing European public goods; underlines that the EU budget must remain the financial backbone supporting the deepening of Union integration, ensuring</w:t>
            </w:r>
            <w:r>
              <w:t xml:space="preserve"> fair competition and equal opportunities across </w:t>
            </w:r>
            <w:r>
              <w:rPr>
                <w:b/>
                <w:i/>
              </w:rPr>
              <w:t>all</w:t>
            </w:r>
            <w:r>
              <w:t xml:space="preserve"> Member States;</w:t>
            </w:r>
          </w:p>
        </w:tc>
        <w:tc>
          <w:tcPr>
            <w:tcW w:w="4876" w:type="dxa"/>
            <w:tcBorders>
              <w:top w:val="nil"/>
              <w:left w:val="nil"/>
              <w:bottom w:val="nil"/>
              <w:right w:val="nil"/>
            </w:tcBorders>
          </w:tcPr>
          <w:p>
            <w:pPr>
              <w:pStyle w:val="Normal6a"/>
            </w:pPr>
            <w:r>
              <w:t>18.</w:t>
            </w:r>
            <w:r>
              <w:tab/>
            </w:r>
            <w:r>
              <w:t xml:space="preserve">Stresses the </w:t>
            </w:r>
            <w:r>
              <w:rPr>
                <w:b/>
                <w:i/>
              </w:rPr>
              <w:t>importance of maintaining a clear</w:t>
            </w:r>
            <w:r>
              <w:t xml:space="preserve"> European dimension </w:t>
            </w:r>
            <w:r>
              <w:rPr>
                <w:b/>
                <w:i/>
              </w:rPr>
              <w:t>in the Union</w:t>
            </w:r>
            <w:r>
              <w:t xml:space="preserve"> budget </w:t>
            </w:r>
            <w:r>
              <w:rPr>
                <w:b/>
                <w:i/>
              </w:rPr>
              <w:t>by focusing on areas where Union action delivers demonstrable added value compared to national action; underlines that Union expenditure should support</w:t>
            </w:r>
            <w:r>
              <w:t xml:space="preserve"> common objectives, fair competition and equal opportunities across Member States</w:t>
            </w:r>
            <w:r>
              <w:rPr>
                <w:b/>
                <w:i/>
              </w:rPr>
              <w:t>, in full respect of the principles of subsidiarity and proportionality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Calls for a strong governance in the MFF; Insists that the Parliament should have a role in the approval and the monitoring of all the EU programmes including those under the NRPP regulation; calls for the architecture in particular in H1 to be designed in a way that the Parliament can exercise democratic accountability to its full authority for each Member State; believes that the Parliament should have the power for an ‘en block’ approval on all evaluated NRPPs after the assessment by the Commission and before their submission to the European Council; underlines that in case of a positive vote, the Council can vote without delay; stresses in case of a negative vote, the Commission shall be tasked to take Parliament’s objections into account before re-submitting the draft Council Implementing Decision to the Council; Calls for the plans to be re-submitted for approval at the mid-term via the full process of ‘en block’ vote;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Carla Tavares, Jean-Marc Germain, Sandra Gómez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Considers that, in order to ensure the full and effective application of Article 349 TFEU and to give concrete expression to the Union’s permanent commitment to the outermost regions, additional specific budgetary lines for those regions must be established within the 2028–2034 MFF; calls for, in order to safeguard the EU acquis applicable to the outermost regions and to address their structural, permanent and cumulative constraints, the creation of a dedicated budgetary line with compensation funds with a financial allocation of at least EUR 2 562 000 000 ( 2025 prices); further calls for a Programme of Options Specifically Relating to Remoteness and Insularity (POSEI), as the one established by Regulation (EU) No 228/2013, to be fully implemented and adequately financed through the establishment of a separate, specific budgetary line with a financial allocation of at least EUR 9 142 000 000 ( 2025 prices).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Stresses that without their own guaranteed budgets, cohesion, agricultural and fisheries policies could end up being pitted against one another for the same funding, despite their being vital bulwarks for balanced development, food security and territorial cohesion in the EU;</w:t>
            </w:r>
            <w:r>
              <w:t xml:space="preserve"> </w:t>
            </w:r>
            <w:r>
              <w:rPr>
                <w:b/>
                <w:i/>
              </w:rPr>
              <w:t>emphasises that investment in the regions and in farming and fisheries is more critical than ever; warns that the proposed approach is liable to undermine the stability and predictability of funding and limit the ability of the regions to plan long-term investments, and could adversely affect the take-up of funding, particularly in regions with limited administrative capacities;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Deplores the fact that the Commission proposal provides for the abolition of the LIFE programme as a stand-alone programme with specific funding;</w:t>
            </w:r>
            <w:r>
              <w:t xml:space="preserve"> </w:t>
            </w:r>
            <w:r>
              <w:rPr>
                <w:b/>
                <w:i/>
              </w:rPr>
              <w:t>considers, on the contrary, that the next MFF should include a separate line with specific, increased funding for LIFE, alongside the creation of a financial instrument to support the management of areas included in the Natura 2000 network;</w:t>
            </w:r>
            <w:r>
              <w:t xml:space="preserve"> </w:t>
            </w:r>
            <w:r>
              <w:rPr>
                <w:b/>
                <w:i/>
              </w:rPr>
              <w:t>calls for a minimum allocation of 2 % of the budget to the LIFE programme and the creation of dedicated funding for the protection and restoration of nature and biodiversity;</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Roberts Zīle, Bogdan Rzońca,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Underlines that the Heading shall provide concrete financial support to the regions at the Eastern border of the EU that face the dual challenge of enhancing their security and defense capabilities vis a vis supporting their economies, including rural areas, businesses and people that have been negatively impacted due to direct or indirect consequences of Russia’s war of aggression against Ukraine and immediate threat of Russian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Demands that the EU must stop funding illegal migration, financing progressive left-wing media attacking Member States' sovereignty, promoting the spread of woke propaganda or war propaganda from the EU budget; requests in this regard that both direct or indirect support chanelled through NGOs must be finished and no money should be spent on promoting the European Commission’s false political agenda;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Welcomes the progress made regarding rule of law conditionality &amp; respect of the charter addressed in the Commission’s proposals in an horizontal manner throughout the MFF; highlights that the recommendations regarding the annual rule of law reports has been taken into account in the NRPPs regulation, insists on the needs for the NRPPS to support the rule of law reforms;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Call for action to secure the EU’s external borders to be made a top priority of the post-2027 financial framework;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Considers it necessary for the EU budget to ensure full support for the development needs and strategies of Member States and for meeting the social needs of their peoples;</w:t>
            </w:r>
            <w:r>
              <w:t xml:space="preserve"> </w:t>
            </w:r>
            <w:r>
              <w:rPr>
                <w:b/>
                <w:i/>
              </w:rPr>
              <w:t>considers, in addition, that the diversity and specific characteristics of each Member State should be taken into account in decisions concerning the size of funds and programmes, as well as their management and allocation;</w:t>
            </w:r>
            <w:r>
              <w:t xml:space="preserve"> </w:t>
            </w:r>
            <w:r>
              <w:rPr>
                <w:b/>
                <w:i/>
              </w:rPr>
              <w:t>expresses opposition to an EU budget framework that, by concentrating powers in the Commission, simultaneously sacrifices economic, social and territorial cohesion objectives on the pretext of a national or regional approach to funds and programmes;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Calls for specific measures for the outermost regions in accordance with Article 349 TFEU, in view of their structural social and economic situation, which is compounded by their remoteness, insularity, small size, difficult topography and climate, and economic dependence on a few products;</w:t>
            </w:r>
            <w:r>
              <w:t xml:space="preserve"> </w:t>
            </w:r>
            <w:r>
              <w:rPr>
                <w:b/>
                <w:i/>
              </w:rPr>
              <w:t>calls for particular attention to be paid to agriculture and fisheries, including dedicated instruments for the outermost regions in the future MFF;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Reminds that some Member States have implemented effective border protection systems against illegal migration; condemns that this effort is punished by the politically biased European Commission and European Court of Justice; calls on the EU institutions to abandon the Pact on Migration and Asylum or grant opt-out to Member States from the 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Calls for a protective Europe – not a porous one, namely by allocating dedicated EU funding to strengthening repatriation measures and securing the Union’s borders;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c.</w:t>
            </w:r>
            <w:r>
              <w:tab/>
            </w:r>
            <w:r>
              <w:rPr>
                <w:b/>
                <w:i/>
              </w:rPr>
              <w:t>Demands that securing the EU’s external borders must be a top priority in the post-2027 budget, with a focus on preventing illegal migration, stopping the activities of human trafficking networks and putting in place an effective return policy; calls for stronger financial and operational support for frontline Member States’ border protection efforts, particularly those most affected by migratory pressures, while ensuring that border security remains the sovereign responsibility of national authorities;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d.</w:t>
            </w:r>
            <w:r>
              <w:tab/>
            </w:r>
            <w:r>
              <w:rPr>
                <w:b/>
                <w:i/>
              </w:rPr>
              <w:t>Calls for the mobilisation of substantial Union funds and means to support Member States in reinforcing external border protection capabilities and infrastructure such as walls, means of surveillance, including aerial surveillance, and equipment; proposes that costs be covered to build and maintain physical border barriers that are an essential part of a comprehensive migration policy, which should aim at detaining asylum seekers at the external borders, preventing illegal entry and stopping human smuggling and hybrid attacks;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e.</w:t>
            </w:r>
            <w:r>
              <w:tab/>
            </w:r>
            <w:r>
              <w:rPr>
                <w:b/>
                <w:i/>
              </w:rPr>
              <w:t>Stresses the failure of European policies to prevent migratory flows and human trafficking; reiterates its concerns regarding the role played by instruments such as the Asylum, Migration and Integration Fund in managing the effects of the refugee and migrant crisis; underlines that appropriations should be reallocated to repatriation and border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Rejects any move towards an ‘à la carte’ Europe where differentiated participation undermines the unity and coherence of EU policies and programmes;</w:t>
            </w:r>
            <w:r>
              <w:t xml:space="preserve"> </w:t>
            </w:r>
            <w:r>
              <w:rPr>
                <w:b/>
                <w:i/>
              </w:rPr>
              <w:t>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Rejects any move towards an ‘à la carte’ Europe where differentiated participation undermines the unity and coherence of EU policies and programmes;</w:t>
            </w:r>
            <w:r>
              <w:t xml:space="preserve"> </w:t>
            </w:r>
            <w:r>
              <w:rPr>
                <w:b/>
                <w:i/>
              </w:rPr>
              <w:t>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19.</w:t>
            </w:r>
            <w:r>
              <w:tab/>
            </w:r>
            <w:r>
              <w:t xml:space="preserve">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 </w:t>
            </w:r>
            <w:r>
              <w:rPr>
                <w:b/>
                <w:i/>
              </w:rPr>
              <w:t>underlines, in this context, that due to their limited focus on macroeconomic policy, European Semester recommendations are not fit-for-purpose to inform and should not condition the financing of reforms and investments from the EU budget; calls instead for a stronger link between the Union’s strategic policy aims and the EU budget based on clearly defined Union-wide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19.</w:t>
            </w:r>
            <w:r>
              <w:tab/>
            </w:r>
            <w:r>
              <w:t xml:space="preserve">Rejects any move towards an ‘à la carte’ Europe where differentiated participation undermines the unity and coherence of EU policies and programmes; warns that such an approach would fragment the single market, create unfair competitive advantages, </w:t>
            </w:r>
            <w:r>
              <w:rPr>
                <w:b/>
                <w:i/>
              </w:rPr>
              <w:t>weaken legal certainty</w:t>
            </w:r>
            <w:r>
              <w:t xml:space="preserve"> and erode the principle of solidarity that underpins European integration; </w:t>
            </w:r>
            <w:r>
              <w:rPr>
                <w:b/>
                <w:i/>
              </w:rPr>
              <w:t>; stresses, that the programme of options specifically relating to remoteness and insularity (POSEI) must be preserved and reinforced as a distinct Union instrument, outside the scope of national and regional plans, in order to ensure stable, predictable and truly tailored support for the outermost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19.</w:t>
            </w:r>
            <w:r>
              <w:tab/>
            </w:r>
            <w:r>
              <w:t>Rejects any move towards an ‘à la carte’ Europe where differentiated participation undermines the unity and coherence of EU policies and programmes</w:t>
            </w:r>
            <w:r>
              <w:rPr>
                <w:b/>
                <w:i/>
              </w:rPr>
              <w:t>;</w:t>
            </w:r>
            <w:r>
              <w:t xml:space="preserve"> </w:t>
            </w:r>
            <w:r>
              <w:rPr>
                <w:b/>
                <w:i/>
              </w:rPr>
              <w:t>deplores the delegation, to the interests of each Member State government, of the final decision on the allocation of resources to European programmes that would then be in competition with each other</w:t>
            </w:r>
            <w:r>
              <w:t>; warns that such an approach would fragment the single market,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Rejects any</w:t>
            </w:r>
            <w:r>
              <w:t xml:space="preserve"> move towards an ‘à la carte’ Europe where </w:t>
            </w:r>
            <w:r>
              <w:rPr>
                <w:b/>
                <w:i/>
              </w:rPr>
              <w:t>differentiated participation undermines the unity and coherence of</w:t>
            </w:r>
            <w:r>
              <w:t xml:space="preserve"> EU policies </w:t>
            </w:r>
            <w:r>
              <w:rPr>
                <w:b/>
                <w:i/>
              </w:rPr>
              <w:t>and programmes;</w:t>
            </w:r>
            <w:r>
              <w:t xml:space="preserve"> </w:t>
            </w:r>
            <w:r>
              <w:rPr>
                <w:b/>
                <w:i/>
              </w:rPr>
              <w:t>warns that such an approach would fragment the single market, create unfair competitive advantages, and erode the principle of solidarity that underpins European integration</w:t>
            </w:r>
            <w:r>
              <w:t>;</w:t>
            </w:r>
          </w:p>
        </w:tc>
        <w:tc>
          <w:tcPr>
            <w:tcW w:w="4876" w:type="dxa"/>
            <w:tcBorders>
              <w:top w:val="nil"/>
              <w:left w:val="nil"/>
              <w:bottom w:val="nil"/>
              <w:right w:val="nil"/>
            </w:tcBorders>
          </w:tcPr>
          <w:p>
            <w:pPr>
              <w:pStyle w:val="Normal6a"/>
            </w:pPr>
            <w:r>
              <w:t>19.</w:t>
            </w:r>
            <w:r>
              <w:tab/>
            </w:r>
            <w:r>
              <w:rPr>
                <w:b/>
                <w:i/>
              </w:rPr>
              <w:t>Supports a</w:t>
            </w:r>
            <w:r>
              <w:t xml:space="preserve"> move towards an ‘à la carte’ Europe where </w:t>
            </w:r>
            <w:r>
              <w:rPr>
                <w:b/>
                <w:i/>
              </w:rPr>
              <w:t>Member States could decide independently on the</w:t>
            </w:r>
            <w:r>
              <w:t xml:space="preserve"> EU policies </w:t>
            </w:r>
            <w:r>
              <w:rPr>
                <w:b/>
                <w:i/>
              </w:rPr>
              <w:t>in which they wished to participate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Rejects any move towards an ‘à la carte’ Europe where differentiated participation</w:t>
            </w:r>
            <w:r>
              <w:t xml:space="preserve">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19.</w:t>
            </w:r>
            <w:r>
              <w:tab/>
            </w:r>
            <w:r>
              <w:rPr>
                <w:b/>
                <w:i/>
              </w:rPr>
              <w:t>Stresses that while demanding Member States to patrticipate in joint borrowing programmes like NGEU or the financing of Ukraine and at the same time withholding Member States’ RRF and cohesion support for political-ideological reasons, it</w:t>
            </w:r>
            <w:r>
              <w:t xml:space="preserve"> undermines the unity and coherence of EU policies and programmes; warns that such an approach would fragment the single market,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19.</w:t>
            </w:r>
            <w:r>
              <w:tab/>
            </w:r>
            <w:r>
              <w:t xml:space="preserve">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 </w:t>
            </w:r>
            <w:r>
              <w:rPr>
                <w:b/>
                <w:i/>
              </w:rPr>
              <w:t>and upwards convergence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Joachim Streit, Anouk Van Brug,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Rejects any move towards an ‘à la carte’ Europe where differentiated participation undermines the unity and coherence of EU policies and programmes; warns that such an approach would fragment the single market</w:t>
            </w:r>
            <w:r>
              <w:rPr>
                <w:b/>
                <w:i/>
              </w:rPr>
              <w:t>,</w:t>
            </w:r>
            <w:r>
              <w:t xml:space="preserve"> create </w:t>
            </w:r>
            <w:r>
              <w:rPr>
                <w:b/>
                <w:i/>
              </w:rPr>
              <w:t>unfair competitive advantages, and erode the principle of solidarity that underpins European integration</w:t>
            </w:r>
            <w:r>
              <w:t>;</w:t>
            </w:r>
          </w:p>
        </w:tc>
        <w:tc>
          <w:tcPr>
            <w:tcW w:w="4876" w:type="dxa"/>
            <w:tcBorders>
              <w:top w:val="nil"/>
              <w:left w:val="nil"/>
              <w:bottom w:val="nil"/>
              <w:right w:val="nil"/>
            </w:tcBorders>
          </w:tcPr>
          <w:p>
            <w:pPr>
              <w:pStyle w:val="Normal6a"/>
            </w:pPr>
            <w:r>
              <w:t>19.</w:t>
            </w:r>
            <w:r>
              <w:tab/>
            </w:r>
            <w:r>
              <w:t xml:space="preserve">Rejects any move towards an ‘à la carte’ Europe where differentiated participation undermines the unity and coherence of EU policies and programmes; warns that such an approach would fragment the single market </w:t>
            </w:r>
            <w:r>
              <w:rPr>
                <w:b/>
                <w:i/>
              </w:rPr>
              <w:t>and</w:t>
            </w:r>
            <w:r>
              <w:t xml:space="preserve"> create </w:t>
            </w:r>
            <w:r>
              <w:rPr>
                <w:b/>
                <w:i/>
              </w:rPr>
              <w:t>distortions of competition and unequal conditions for economic actors across the 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Recalls that the future Multiannual Financial Framework must embody a people-centred, territorially balanced and cohesion-driven vision, ensuring that no territory is left behind; stresses the importance of establishing a distinct, visible and adequately funded rural development envelope within the post-2027 MFF, complementary to the Common Agricultural Policy, in order to address persistent socio-economic, demographic and territorial disparities affecting rural areas across the Union; underlines that regions and local authorities are key partners in the design, implementation and delivery of rural development investments, given their proximity to citizens and their capacity to tailor interventions to local realities; emphasises that targeted, place-based and region-led rural development interventions, grounded in an evidence-based evaluation of territorial needs and implemented in full respect of the partnership principle and multi-level governance, are essential to counteract depopulation, ensure access to quality public services, modernise infrastructure, support small and medium-sized farmers and rural enterprises, strengthen local value chains and enhance long-term territorial resilience, social cohesion and trust in the European project;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Moritz Körner,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Reaffirms that the Union’s cohesion policy must continue to reduce regional disparities, with the distribution keys for cohesion funding prioritizing the poorest regions; notes that several hundred billion euros from the current cohesion and RRF funds remain unused; stresses the increasing need for investments in strategic areas of European relevance, such as economic competitiveness, energy security, and defence; suggests therefore that in the next MFF cohesion funds should continue to be allocated to the poorest regions in the Union, but with a focus on investments in strategic areas of European relevance; believes that such projects of European relevance should include building AI data centres, modern power plants, and defence-related manufacturing plants in the poorest regions of the EU; emphasizes that this approach should not undermine the cohesion objective of supporting social, economic, and territorial development, but rather strengthen it by aligning local economic growth with the Union’s strategic goals;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Recalls that cohesion policy is a legally enshrined Treaty-based priority of the Union; Insists that the cohesion policy, founded on regional and local focus, place-based approach and strategic planning, as well as on decentralised programming and implementation model based on the partnership principle, the involvement of economic and civil society actors and multi-level governance as its key determining elements, still remains the EU’s main long-term investment instrument for reducing disparities, ensuring economic, social and territorial cohesion, and stimulating regional and local sustainable growth in line with EU strategies, as well as a key contributor to EU competitiveness and just transition, helping the Union to cope with new challenges ahead;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Demands the preservation of regional governance under Heading 1 through mandatory regional chapters in the NRPPs; calls for the irrecovacable right of regions and regional governments to prepare, implement and administrate their own programs and negotiate directly with the European Commission; underlines the need for a clear and transparent allocation key for national and regional envelopes; recalls that the introduction of a national plan and national coordination introduces an unnecessary additional layer of bureaucracy and administrative burden; points in this regard to the principles of subsidiarity and proportionality according to Article 5 TEU as well as the EC's Better Regulation Agenda;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Stresses that EU funding for social policies should, as a matter of priority, support stable, regular and good-quality employment, boost productivity and increase participation in the labour market;</w:t>
            </w:r>
            <w:r>
              <w:t xml:space="preserve"> </w:t>
            </w:r>
            <w:r>
              <w:rPr>
                <w:b/>
                <w:i/>
              </w:rPr>
              <w:t>calls on the Commission and the Member States to allocate funding to more active measures, vocational training and labour market integration policies, rather than pursuing an approach based primarily on welfare or passive income support measures which fail to encourage people to get back into and remain in work;</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Michalis Hadjipantela, Georgios Aftias,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Calls on the Commission to assess and propose a targeted, time-specific, EU support solution for lawful owners of agricultural land located in the areas not under the effective control of the Government of the Republic of Cyprus, as a result of the ongoing occupation by Türkiye, who can demonstrate lawful title and the objective impossibility to access and use that land; stresses that this solution should be delivered through CAP instruments, and where appropriate other relevant Union instruments, while ensuring sound financial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Reminds that the Commission cannot be trusted with the allocation of substantial EU budgetary funds to unaccountable civil society organisations, since there is justified concern that opaque backroom deals and hidden agendas may influence decision-makers responsible for selecting and financing these organisations; condemns that numerous organizations receiving EU funding have been criticized for advancing one-sided narratives under the guise of civil society representation;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Stresses, furthermore, that the potentially more binding character of the CSRs, when linked to the proposed NRPPs, constitutes a significant increase in the Commission’s discretionary power; draws attention to the fact that there is currently no transparent or traceable methodology for developing and selecting CSRs, nor clarity on why some are proposed and others not, which raises concerns regarding accountability and equal treatment of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 Stresses the need for greater involvement of local and regional partners in designing and implementing National and Regional Partnership Plans (NRPPs); calls on the Commission to continously incorporate the views of these actors during the implementation of the Plans, in particular to avoid undue discrimination in how the calls for proposals drawn up and then how the selection procedures are conducted the central governments;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Calls for the creation of specific protected funding for the outermost regions, based on Article 349 TFEU, and advocates that POSEI should remain a specific, independent instrument, with an increased budget in the next multiannual financial framework for agriculture in the outermost regions, outside the national strategic plans and the CAP regulation.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Isabel Benjumea Benjumea, Raúl de la Hoz Quintano,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Points out that the distribution of funds should not depend solely on the decision of Member States, and on their meeting targets or milestones, but should be based on a shared management approach in which regions take responsibility for programming and implementing actions;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Points out that the predictability and stability of direct payments are essential for guaranteeing farmers’ incomes;</w:t>
            </w:r>
            <w:r>
              <w:t xml:space="preserve"> </w:t>
            </w:r>
            <w:r>
              <w:rPr>
                <w:b/>
                <w:i/>
              </w:rPr>
              <w:t>underlines the fact that funding that is contingent on multiannual reform plans could weaken financial support by leaving it in thrall to the volatility of national politics;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Recalls that the Court of Auditors found that the so-called performance-based model, built on the experience of the RRF, revealed weaknesses in its design, implementation and effectiveness, focusing more on performance than on results, and warns against adopting this approach in the long-term budget;</w:t>
            </w:r>
            <w:r>
              <w:t xml:space="preserve"> </w:t>
            </w:r>
            <w:r>
              <w:rPr>
                <w:b/>
                <w:i/>
              </w:rPr>
              <w:t>recalls, in addition, that the Court also noted that reforms and investments included in national recovery and resilience plans should address ‘all or a significant part’ of the challenges identified in the relevant country-specific recommendations but that recurrent structural challenges had still not been addressed;</w:t>
            </w:r>
            <w:r>
              <w:t xml:space="preserve"> </w:t>
            </w:r>
            <w:r>
              <w:rPr>
                <w:b/>
                <w:i/>
              </w:rPr>
              <w:t>considers that this approach should not be used as a basis for the design of NRPPs;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Stresses that the Commission’s stated rural objective to earmark 10 % of unallocated funding for rural development by no means constitutes a guarantee for farmers;</w:t>
            </w:r>
            <w:r>
              <w:t xml:space="preserve"> </w:t>
            </w:r>
            <w:r>
              <w:rPr>
                <w:b/>
                <w:i/>
              </w:rPr>
              <w:t>deplores the fact, moreover, that the Commission’s proposed additional funding of EUR 45 billion for the CAP is optional for the Member States;</w:t>
            </w:r>
            <w:r>
              <w:t xml:space="preserve"> </w:t>
            </w:r>
            <w:r>
              <w:rPr>
                <w:b/>
                <w:i/>
              </w:rPr>
              <w:t>emphasises that this approach serves to debilitate farmers by forcing them to negotiate directly with their governments;</w:t>
            </w:r>
            <w:r>
              <w:t xml:space="preserve"> </w:t>
            </w:r>
            <w:r>
              <w:rPr>
                <w:b/>
                <w:i/>
              </w:rPr>
              <w:t>points out that the additional EUR 45 billion would be taken from an unallocated portion of the single fund and hence allocated on the basis of significantly different criteria to those used for the CAP, which would greatly undermine the financial balance between the Member States in the agricultural sector;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Considers that flexibility in the allocation of the amounts foreseen for the NRPPs should not undermine predictability and long term planning of investments; regrets the high percentage of non-ringfenced amounts under the NRPPs as proposed by the Commission since it creates uncertainty to both regions and farmers and can generate competition in the access of EU funds between various beneficiaries; considers that the non-ringfenced amounts should decrease to 5 %, amounting to 48.2bn. in current prices (42,9 bn. EUR in constant prices) under the NRPPs and be used for crisis situations; calls for the remaining of non-ringfenced amounts to be programmed in the NRPPs for cohesion, agriculture, rural development and fisheries;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Stresses that Member States should have the possibility to include clearly identifiable and adequately funded operational programmes for health and education within their National and Regional Partnership Plans, recognising that resilient health systems and quality education are key drivers of social cohesion, employability and long-term economic resilience; underlines that each National and Regional Partnership Plan shall provide for indicative benchmark allocations of at least 15 % for social objectives, and 10 % for education, in order to ensure tangible outcomes for citizens and in line with the cross-cutting policy targets;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Underscores the principle of subsidiarity and the leading role played by the Member States in devising and organising their own social policies, welfare systems, vocational training and active labour policies;</w:t>
            </w:r>
            <w:r>
              <w:t xml:space="preserve"> </w:t>
            </w:r>
            <w:r>
              <w:rPr>
                <w:b/>
                <w:i/>
              </w:rPr>
              <w:t>stresses that Union action should help support, coordinate and facilitate the exchange of best practices without superseding national competences;</w:t>
            </w:r>
            <w:r>
              <w:t xml:space="preserve"> </w:t>
            </w:r>
            <w:r>
              <w:rPr>
                <w:b/>
                <w:i/>
              </w:rPr>
              <w:t>calls for the social funds to be programmed and implemented in such a way that affords the Member States flexibility, while taking account of territorial, economic and demographic differences;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Recalls the President of the European Commission's proposal from 11 November 2025 for introducing a Regional Check into the NRPP proposal; underlines that this assessment must not be limited to a consultative, formalistic or box-ticking exercise but be endowed with effective and enforceable powers, including the ability to issue binding opinions affecting the approval, implementation and revision of NRRPs;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Reiterates its opposition to making access to funds covered by the NRPP proposal conditional upon the fulfilment of CSRs; stresses that such conditionality contradicts the objectives of cohesion policy laid down in Articles 174–178 TFEU and risks penalising regions and beneficiaries for circumstances beyond their control;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Expresses its deep concern that the Commission’s proposal for national and regional partnership plans (NRPPs) under Heading 1 entails a risk of excessive centralisation by giving national authorities predominant discretion over regional and thematic allocations, which is contrary to the principle of subsidiarity;</w:t>
            </w:r>
            <w:r>
              <w:t xml:space="preserve"> </w:t>
            </w:r>
            <w:r>
              <w:rPr>
                <w:b/>
                <w:i/>
              </w:rPr>
              <w:t>insists that multilevel governance and genuine partnership with regional and local authorities be fully respected, in line with the internal constitutional structures of the Member States;</w:t>
            </w:r>
            <w:r>
              <w:t xml:space="preserve"> </w:t>
            </w:r>
            <w:r>
              <w:rPr>
                <w:b/>
                <w:i/>
              </w:rPr>
              <w:t>requires that the regions be empowered to steer the design and implementation of the mandatory regional chapters within NRPPs, including the right to interact directly with the Commission and to act as managing authorities;</w:t>
            </w:r>
            <w:r>
              <w:t xml:space="preserve"> </w:t>
            </w:r>
            <w:r>
              <w:rPr>
                <w:b/>
                <w:i/>
              </w:rPr>
              <w:t>stresses that reform and investment programmes should be agreed at the appropriate level of competence and should be subject to ex ante and ex post evaluations;</w:t>
            </w:r>
            <w:r>
              <w:t xml:space="preserve"> </w:t>
            </w:r>
            <w:r>
              <w:rPr>
                <w:b/>
                <w:i/>
              </w:rPr>
              <w:t>requires that the Parliament be appropriately involved in the assessment and approval of national and regional partnership plans (NRPPs);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c.</w:t>
            </w:r>
            <w:r>
              <w:tab/>
            </w:r>
            <w:r>
              <w:rPr>
                <w:b/>
                <w:i/>
              </w:rPr>
              <w:t>Reaffirms that the Common Agricultural Policy must remain a distinct, clearly identifiable and adequately funded policy within the future MFF, reflecting its strategic role in ensuring food security, sustainable agricultural production and the long-term viability of rural territories; stresses the importance of strong, fair and predictable direct income support, combined with reinforced external convergence of direct payment levels and appropriate corrective mechanisms, in order to advance the convergence of agricultural subsidies, reduce persistent disparities between Member States, support territorial balance and provide farmers, in particular small, young and family farmers, with the stability needed to plan investments and ensure generational renewal;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c.</w:t>
            </w:r>
            <w:r>
              <w:tab/>
            </w:r>
            <w:r>
              <w:rPr>
                <w:b/>
                <w:i/>
              </w:rPr>
              <w:t>Deplores the proposed reduction in funding for the post-2027 common agricultural policy (CAP), the CAP’s inclusion in the NRPP, and the elimination of the CAP’s second pillar; calls for a dedicated and robust budget for the CAP in the next MFF, which should be maintained at its current level at constant prices, so as to ensure the continuation and acceleration of convergence between Member States, and in order to ensure food security and sovereignty, competitiveness, a fair standard of living for farmers and to enable farmers to transition to more sustainable practices;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c.</w:t>
            </w:r>
            <w:r>
              <w:tab/>
            </w:r>
            <w:r>
              <w:rPr>
                <w:b/>
                <w:i/>
              </w:rPr>
              <w:t>Stresses the need of transparency and predictability of the EU budget and clear earmarking of the funds under the NRPP. Call in this case for clear earmarked envelope of EUR 434.6 bn in current prices 386.1 in constant prices) for agriculture, rural development and fisheries;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Céline Imart,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Underscores the importance of ensuring that the CAP be exempt from the general performance framework for the national and regional plans, which is limited to environmental indicators, and calls for specific indicators for the agricultural sector;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d.</w:t>
            </w:r>
            <w:r>
              <w:tab/>
            </w:r>
            <w:r>
              <w:rPr>
                <w:b/>
                <w:i/>
              </w:rPr>
              <w:t>Stresses the importance of a strong and clearly identifiable territorial dimension within the National and Regional Partnership Plans, including through the use of integrated territorial instruments, such as integrated territorial and urban development, community-led local development, including LEADER, and other territorial tools, in order to address specific territorial needs and unlock local development potential; underlines that Member States should be encouraged to dedicate a substantial and visible share of NRPP resources, with an indicative benchmark of at least 20 % of national allocations, to a dedicated territorial component, reflecting the strategic role of place-based approaches in achieving economic, social and territorial cohesion;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d.</w:t>
            </w:r>
            <w:r>
              <w:tab/>
            </w:r>
            <w:r>
              <w:rPr>
                <w:b/>
                <w:i/>
              </w:rPr>
              <w:t>Underlines the importance of safeguarding the integrity of the CAP, as well as maintaining dedicated funding for both its first and second pillars respectively, and therefore rejects any attempt to renationalise the CAP through the proposed NRPP Regulation, as this would further exacerbate inequalities between territories; stresses that direct payments generate clear EU added value and should continue to support income stability, high-quality production, and protection against price volatility, with better targeting of persons actively engaged in agricultural production and the provision of public goods as well as farmers most in need in order to limit the effect of decoupled area payments on land prices;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d.</w:t>
            </w:r>
            <w:r>
              <w:tab/>
            </w:r>
            <w:r>
              <w:rPr>
                <w:b/>
                <w:i/>
              </w:rPr>
              <w:t>Calls for a dedicated and robust budget for the CAP in the next MFF to be ring-fenced amount in the NRPP Regulation with an amount of 427.6 bn EUR in current prices (379.9 bn. EUR in constant prices); welcomes the Commission President’s political commitments to give Member States access to EUR 45 billion normally available for the midterm review and EUR 48.7 billion rural target opened to farmers; considers that these commitments should be integrated in a ring-fenced amount for the CAP, in order to ensure predictability and a level playing field for farmers;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Calls for separate, sufficient and clearly earmarked funding for both the Common Agricultural and Fisheries Policy and the Cohesion Policy that is at least maintained and updated in line with inflation;</w:t>
            </w:r>
            <w:r>
              <w:t xml:space="preserve"> </w:t>
            </w:r>
            <w:r>
              <w:rPr>
                <w:b/>
                <w:i/>
              </w:rPr>
              <w:t>strongly supports aid programmes for the outermost regions and a separate financial allocation;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e.</w:t>
            </w:r>
            <w:r>
              <w:tab/>
            </w:r>
            <w:r>
              <w:rPr>
                <w:b/>
                <w:i/>
              </w:rPr>
              <w:t>Calls for the continuation and reinforcement of measures that guarantee the viability of rural areas, by fully involving local and regional authorities in their management and adequately financing them through a fund for rural development that targets both farmers and rural communities, as well as on-farm and off-farm measures; stresses that the idea of a generic ‘rural target’ is inadequate in view of the major structural challenges faced by rural areas; proposes therefore the earmarking of a specific budget for rural development; welcomes the Commission proposal to increase financial resources, within the EU Facility, to face climate-related and economic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e.</w:t>
            </w:r>
            <w:r>
              <w:tab/>
            </w:r>
            <w:r>
              <w:rPr>
                <w:b/>
                <w:i/>
              </w:rPr>
              <w:t>Calls to ensure that the ring-fenced allocation for fisheries and aquaculture in the next Multiannual Financial Framework (MFF) amounts to at least EUR 7 billion in current prices (6.2 in constant prices), with a view to addressing all their challenges, in particular fleet renewal and modernisation, finance the external dimension of the Common Fisheries Policy (CFP), promote generational renewal in the sector, and address the specific needs and geographical constraints of Outermost Regions (ORs), whose fisheries play a key role in food security, employment and local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e.</w:t>
            </w:r>
            <w:r>
              <w:tab/>
            </w:r>
            <w:r>
              <w:rPr>
                <w:b/>
                <w:i/>
              </w:rPr>
              <w:t>Underlines that the design and implementation of the territorial component of NRPPs should be co-designed and co-implemented with competent regional and local authorities, in line with the principles of partnership, multilevel governance and subsidiarity; stresses the need for early, meaningful and structured involvement of territorial partners throughout the programming and implementation phases, in order to ensure ownership, effectiveness and responsiveness to local development challenges;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19e.</w:t>
            </w:r>
            <w:r>
              <w:tab/>
            </w:r>
            <w:r>
              <w:rPr>
                <w:b/>
                <w:i/>
              </w:rPr>
              <w:t>Reiterates that the multiannual financial framework for 2028-2034 must ensure clear, stable and sufficient support for European agriculture, and in particular for professional and active farmers;</w:t>
            </w:r>
            <w:r>
              <w:t xml:space="preserve"> </w:t>
            </w:r>
            <w:r>
              <w:rPr>
                <w:b/>
                <w:i/>
              </w:rPr>
              <w:t>calls for the EUR 294 billion allocated to Heading 1 to include a specific safeguard for direct aid to professional farmers, as a structural element and backbone of the CAP;</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f.</w:t>
            </w:r>
            <w:r>
              <w:tab/>
            </w:r>
            <w:r>
              <w:rPr>
                <w:b/>
                <w:i/>
              </w:rPr>
              <w:t>Stresses the need to ensure adequate and predictable funding for migration policy by establishing a guaranteed minimum allocation within the home affairs envelope dedicated specifically to asylum, migration, and integration policies within NRPP; calls for the expansion of direct funding streams within the EU facility for local and regional authorities, building upon the model of the current AMIF thematic facility; insists on the necessity of establishing clear safeguards on expenditure in third countries in relation to migration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f.</w:t>
            </w:r>
            <w:r>
              <w:tab/>
            </w:r>
            <w:r>
              <w:rPr>
                <w:b/>
                <w:i/>
              </w:rPr>
              <w:t>Calls for a dedicated and robust budget for the cohesion policy in the next MFF to be ring-fenced in the NRPP Regulation with an amount 369.75 bn EUR in current prices (330.4 bn. EUR in constant prices); stressed that less developed, transition and more developed regions should receive at least 358,3 bn EUR in current prices (320.2 bn. EUR in constant prices); Calls for the increase of the Interreg Plan to 11,45 bn in current prices (10,08 in constant prices);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19f.</w:t>
            </w:r>
            <w:r>
              <w:tab/>
            </w:r>
            <w:r>
              <w:rPr>
                <w:b/>
                <w:i/>
              </w:rPr>
              <w:t>Rejects any attempt to eliminate or weaken the current system of per-hectare aid and stresses the need to maintain coupled support for the livestock sector, recognising its vulnerability in the face of rising costs, regulatory requirements and the abandonment of activity in rural areas;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g.</w:t>
            </w:r>
            <w:r>
              <w:tab/>
            </w:r>
            <w:r>
              <w:rPr>
                <w:b/>
                <w:i/>
              </w:rPr>
              <w:t>Regrets the significant reduction in the budget as well as the diffusion of fisheries funding into several budgetary headings; believes that the level of support for fishers should at least be maintained compared to the current MFF, and proposes to earmark a minimum amount of EUR 7.5 billion in current prices under the NRPP, notwithstanding further allocations from other instruments, as proposed by the Commission; calls, furthermore, for the next MFF to ensure dedicated, visible and ambitious funding over and above the funding for fisheries for Union ocean-related policies, including, inter alia, the European Ocean Pact; stresses that the proposed increases across programmes should contribute to the implementation of the Oceans pact where relevant, at a level commensurate to reach the objectives of the European Ocean Pact and reaching a level of financing higher than the current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g.</w:t>
            </w:r>
            <w:r>
              <w:tab/>
            </w:r>
            <w:r>
              <w:rPr>
                <w:b/>
                <w:i/>
              </w:rPr>
              <w:t>Recalls that, under Article 349 TFEU, the Union is required to put in place specific measures for the outermost regions and stresses, therefore, the need for continued, targeted support for these regions in the next MFF, including via a reinforced programme of options specifically relating to remoteness and insularity (POSEI); strongly supports strengthening the POSEI Programme and with a distinct financial allocation, given its crucial role in sustaining agricultural activity and food supply in the outermost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19g.</w:t>
            </w:r>
            <w:r>
              <w:tab/>
            </w:r>
            <w:r>
              <w:rPr>
                <w:b/>
                <w:i/>
              </w:rPr>
              <w:t>Calls for the additional top-up amount of EUR 45 billion announced by the European Commission to be included on a mandatory basis in the post-2027 CAP legislative text and for these funds to be allocated directly to the CAP budget, to be used exclusively in agriculture, without redistribution to other headings or objectives;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h.</w:t>
            </w:r>
            <w:r>
              <w:tab/>
            </w:r>
            <w:r>
              <w:rPr>
                <w:b/>
                <w:i/>
              </w:rPr>
              <w:t>Recalls the unique challenges that the insular territories in the EU face and calls for tailored solutions to address these needs; calls for the Commission and Member States to ensure that the distinct geographic constraints and economic realities are duly taken into account in the design and implementation of the NRPPs, as well as in the implementation of other EU funded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19h.</w:t>
            </w:r>
            <w:r>
              <w:tab/>
            </w:r>
            <w:r>
              <w:rPr>
                <w:b/>
                <w:i/>
              </w:rPr>
              <w:t>Calls for the 10 % of the budget earmarked for the Rural Objective to be translated into concrete allocations for key agricultural needs, such as the development of irrigation, modernisation of water infrastructure, water policy and essential measures under the second pillar of the CAP, with a clear focus on agricultural competitiveness and territorial resilience;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i.</w:t>
            </w:r>
            <w:r>
              <w:tab/>
            </w:r>
            <w:r>
              <w:rPr>
                <w:b/>
                <w:i/>
              </w:rPr>
              <w:t>Insists that the Union must bolster its crisis capacity and ensure an effective and swift reaction through more rapid mobilization, but this cannot be done at the expense of long-term planning of much needed investments; takes note in this regards of the proposal of the Commission to set up a crisis response architecture based on the use of flexibility provisions within the NRPPs and in the EU Facility, but questions the cascade mechanism proposed in the event of a natural disaster or another emergency situation and insists on prioritising the use of the Facility in such situations; insists that the a Solidarity Reserve for Natural Disasters should be created in order to complement existing flexibilities within the NRPPs;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19i.</w:t>
            </w:r>
            <w:r>
              <w:tab/>
            </w:r>
            <w:r>
              <w:rPr>
                <w:b/>
                <w:i/>
              </w:rPr>
              <w:t>Reiterates the importance of maintaining the sectoral interventions under the CAP, in particular the fruit and vegetables and wine programmes, which have proved to be effective tools for market organisation, innovation, quality and sustainability, calls for these programmes to retain budgetary autonomy within the future architecture of the CAP, and asks the Commission not to establish co-financing with the Member States;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j.</w:t>
            </w:r>
            <w:r>
              <w:tab/>
            </w:r>
            <w:r>
              <w:rPr>
                <w:b/>
                <w:i/>
              </w:rPr>
              <w:t>Insists that the next MFF must provide the necessary resources to adequately address major challenges of the Union like in the field of migration and the effective protection of the EU’s external borders, including funding for border infrastructure; underlines that the MFF must support the full and swift implementation of the Union’s Asylum and Migration Pact and effective return and readmission policies; considers the proposal put forward by the Commission does not adequately respond to these requirements and calls for an increase of the amounts for migration, border management and security to 40 bn. EUR in current prices (35.7 bn EUR in constant prices); stresses the importance of adequate funding for agencies in the field and insists that the Commission proposal is the absolute minimum acceptable to the Parliament;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19j.</w:t>
            </w:r>
            <w:r>
              <w:tab/>
            </w:r>
            <w:r>
              <w:rPr>
                <w:b/>
                <w:i/>
              </w:rPr>
              <w:t>Stresses the need to maintain the current design of regions and their essential role in the implementation of the CAP, thus ensuring an allocation appropriate to the agronomic, social and economic conditions of each territory;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k.</w:t>
            </w:r>
            <w:r>
              <w:tab/>
            </w:r>
            <w:r>
              <w:rPr>
                <w:b/>
                <w:i/>
              </w:rPr>
              <w:t>Stresses the need to enhance both the quality and the quantity of funding dedicated to the protection of the Union’s external borders; underlines that such funding should cover the construction, upgrading and maintenance of border infrastructure and facilities, including physical border structures, as well as the acquisition and deployment of appropriate equipment and state-of-the-art technologies, including innovative artificial-intelligence-based tools, advanced video-surveillance systems, counter-drone capabilities, and dedicated aerial and maritime assets;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19k.</w:t>
            </w:r>
            <w:r>
              <w:tab/>
            </w:r>
            <w:r>
              <w:rPr>
                <w:b/>
                <w:i/>
              </w:rPr>
              <w:t>Considers that the agricultural crisis reserve, currently set at EUR 6 billion, should be primarily earmarked for agricultural and rural purposes, ensuring that it can be activated swiftly in the event of market disturbances, extreme weather events or cost crises that directly affect producers;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l.</w:t>
            </w:r>
            <w:r>
              <w:tab/>
            </w:r>
            <w:r>
              <w:rPr>
                <w:b/>
                <w:i/>
              </w:rPr>
              <w:t>Stresses the need to increase investment in secure, interoperable and resilient information-sharing systems in the field of migration, border management and internal security; underlines that such investments are essential to ensure faster and more reliable communication between competent authorities at national and Union level, to strengthen protection against cyber-attacks and data breaches, and to guarantee the integrity, availability and confidentiality of sensitive data, including through enhanced cybersecurity capabilities and modern digital infrastructure; stresses the need for adequate funding of the European Centre for Democratic Resilience currently under preparation; stresses, furthermore, the need to invest in modern technologies that enable lawful, proportionate and effective access to relevant data by competent authorities, in full compliance with Union law; underlines that such technologies are essential to support border management, migration control and law enforcement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 Francisco José Millán Mon, Gabriel Mato, 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19l.</w:t>
            </w:r>
            <w:r>
              <w:tab/>
            </w:r>
            <w:r>
              <w:rPr>
                <w:b/>
                <w:i/>
              </w:rPr>
              <w:t>Stresses that structural priorities for the sector include the modernisation and renewal of the fishing fleet, innovation in sustainable fishing gear and techniques, and generational renewal;</w:t>
            </w:r>
            <w:r>
              <w:t xml:space="preserve"> </w:t>
            </w:r>
            <w:r>
              <w:rPr>
                <w:b/>
                <w:i/>
              </w:rPr>
              <w:t>considers that the future financial instrument must offer sufficiently flexible eligibility criteria, while respecting the principle of proportionality, to meet the diverse needs of the different fleet segments in the Member States;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Isabel Benjumea Benjumea, Francisco José Millán Mon, Carmen Crespo Díaz, Gabriel Mato, 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m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19m.</w:t>
            </w:r>
            <w:r>
              <w:tab/>
            </w:r>
            <w:r>
              <w:rPr>
                <w:b/>
                <w:i/>
              </w:rPr>
              <w:t>Stresses that the Common Fisheries Policy is a genuinely European policy and must continue to be financed at EU level;</w:t>
            </w:r>
            <w:r>
              <w:t xml:space="preserve"> </w:t>
            </w:r>
            <w:r>
              <w:rPr>
                <w:b/>
                <w:i/>
              </w:rPr>
              <w:t>strongly opposes any form of renationalisation and warns of the consequences of inequalities in investment capacity and fragmentation between Member States for the level playing field within the sector;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m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m.</w:t>
            </w:r>
            <w:r>
              <w:tab/>
            </w:r>
            <w:r>
              <w:rPr>
                <w:b/>
                <w:i/>
              </w:rPr>
              <w:t>Recognises that the EU’s eastern border regions face heightened economic, social and security challenges due to Russia’s war of aggression against Ukraine; stresses the need for comprehensive MFF support to strengthen their defence, preparedness, resilience and security, as well as their economic, social and territorial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n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19n.</w:t>
            </w:r>
            <w:r>
              <w:tab/>
            </w:r>
            <w:r>
              <w:rPr>
                <w:b/>
                <w:i/>
              </w:rPr>
              <w:t>Requires a guarantee of participation by regional and local authorities in the design of national plans and cohesion policy through a mechanism laid down in the Regulation, avoiding experiences such as the issues associated with the national plans linked to the Recovery and Resilience Facility for NextGenerationEU funds, which repeatedly failed to comply with the Regulation and too often resulted in centralised management by Member State governments;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Recalls that the construction of political solutions with a view to peace, collective security and cooperation are the benchmarks for political and diplomatic action, implying the rejection of militarism and the arms race and demanding compliance with the principles of the UN Charter and international law;</w:t>
            </w:r>
            <w:r>
              <w:t xml:space="preserve"> </w:t>
            </w:r>
            <w:r>
              <w:rPr>
                <w:b/>
                <w:i/>
              </w:rPr>
              <w:t>deplores the ongoing escalation of militarisation of the EU;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Expresses opposition, therefore, to the increase in budgetary appropriations for militarism, namely for war, weapons and military infrastructure, capacity and mobility;</w:t>
            </w:r>
            <w:r>
              <w:t xml:space="preserve"> </w:t>
            </w:r>
            <w:r>
              <w:rPr>
                <w:b/>
                <w:i/>
              </w:rPr>
              <w:t>calls for EU budgetary funds earmarked for militarisation programmes to be reallocated to supporting Member States in their efforts to improve the economic and social situation in accordance with the principle of economic, social and territorial cohesion and of convergence in progress;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Expresses opposition to the creation of the so-called Competitiveness Fund, as it is an instrument geared towards transferring resources to large economic and financial groups and multinationals, to militarism and war, to the liberalisation of markets and the financialisation of the economy, and to the commodification of the environment;</w:t>
            </w:r>
            <w:r>
              <w:t xml:space="preserve"> </w:t>
            </w:r>
            <w:r>
              <w:rPr>
                <w:b/>
                <w:i/>
              </w:rPr>
              <w:t>argues, conversely, that these funds should be directed towards supporting the modernisation of the industrial sector in Member States and providing essential support to micro, small and medium-sized enterprises (MSMEs) as pillars of economic development, social cohesion, the creation of jobs with rights and the reduction of external dependencies, and towards promoting a healthy and ecologically balanced environment;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Calls for support for science, research and innovation in the MFF for 2028-2034, particularly through the Horizon programme, to be guided by the needs of Member States’ development strategies, economic and social progress, and the needs of their peoples;</w:t>
            </w:r>
            <w:r>
              <w:t xml:space="preserve"> </w:t>
            </w:r>
            <w:r>
              <w:rPr>
                <w:b/>
                <w:i/>
              </w:rPr>
              <w:t>calls, therefore, for shared management, establishing and earmarking national envelopes endowed with a total amount of no less than 50 % of the total allocation, and with an equal distribution of resources among Member States in order to reduce inequalities in R&amp;D capacity and activity;</w:t>
            </w:r>
            <w:r>
              <w:t xml:space="preserve"> </w:t>
            </w:r>
            <w:r>
              <w:rPr>
                <w:b/>
                <w:i/>
              </w:rPr>
              <w:t>considers that the Horizon Europe programme should be included in Heading 6 of the MFF, ‘Education, culture, science, rights and values’;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Welcomes the significant reinforcement of Heading 2 on ‘Competitiveness, prosperity and security’, which is allocated EUR 522.2 billion in 2025 prices in the 2028-2034 MFF, representing 30 % of the total MFF compared to EUR 224.8 billion or 17 % in the current period;</w:t>
            </w:r>
            <w:r>
              <w:t xml:space="preserve"> </w:t>
            </w:r>
            <w:r>
              <w:rPr>
                <w:b/>
                <w:i/>
              </w:rPr>
              <w:t>notes that this more than doubling of resources reflects the Union’s commitment to research, strategic autonomy, the clean transition, defence, technological sovereignty and economic resilience;</w:t>
            </w:r>
            <w:r>
              <w:t xml:space="preserve"> </w:t>
            </w:r>
            <w:r>
              <w:rPr>
                <w:b/>
                <w:i/>
              </w:rPr>
              <w:t>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w:t>
            </w:r>
            <w:r>
              <w:t xml:space="preserve"> </w:t>
            </w:r>
            <w:r>
              <w:rPr>
                <w:b/>
                <w:i/>
              </w:rPr>
              <w:t>insists that despite programme mergers, budget lines must remain sufficiently detailed to enable meaningful parliamentary oversight and maintain visibility of funding for individual priorities;</w:t>
            </w:r>
            <w:r>
              <w:t xml:space="preserve"> </w:t>
            </w:r>
            <w:r>
              <w:rPr>
                <w:b/>
                <w:i/>
              </w:rPr>
              <w:t>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 </w:t>
            </w:r>
            <w:r>
              <w:rPr>
                <w:b/>
                <w:i/>
              </w:rPr>
              <w:t>stresses that the resources from the European Competitiveness Fund should be distributed so as to promote the diffusion of excellence across Member States that are lagging behind; this requires combining excellence with a balanced geographical approach to funding, including clearly defined targets, measures and criteria for project financing across the Union, as well as a minimum allocation for lagging regions, determined on the basis of a suitably calibrated formula; considers it is essential to strengthen the participation of SMEs through specific instruments and dedicated initiatives that enhance access to funding across Member States and regions.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 the involvement of third country entities in actions funded by the Union's budget, especially in areas such as critical technologies, defence and space, should be subject to certain conditions, ensuring the protection of the vital defence and security interests of all Member States. Recalls that, with regard to defence and security the 2028-2034 MFF should ensure that any third country that poses a threat direct or indirect to a Member State of the European Union, will not be eligible for European Union funding, either directly or indirectly, including through the participation of European companies.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 Underscores that any funding allocated to migration should ensure the equal financial support between the south-eastern external borders of the European Union with the northern external European borders. However, the Eastern maritime and land borders of the European Union should receive increased funding, in light of expanded migratory flows, originating from Libya towards southern EU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 Underlines that funding dedicated to very small, small, and medium sized enterprises as well as to agricultural and to livestock entities, should be simple, direct, while ensuring the reduced administrative and bureaucratic burden, to ensure their efficient and transparent access to union funding. Stresses the importance of implenting the 28th regime initiative to support innovative entrepreneurial initiatives.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 Highlights that the post 2027 MFF should have the capacity to allocate adequate funding to accelerate the completion of cable interconnection projects accross Western and South-Eastern European countries to alleviate the economic burden of the extremly high electricity prices in the European South.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 Reiterates that the 2028–2034 Multiannual Financial Framework should ensure that adequate funding is made available annualy, to remote regions, islands, regional units and municipalities to support projects that will establish proper infrastructures such as schools, hospitals, transport and water facilities.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w:t>
            </w:r>
            <w:r>
              <w:rPr>
                <w:b/>
                <w:i/>
              </w:rPr>
              <w:t>, as well as a commitment to enhancing its capacity to prevent, prepare for and respond to emergencies via the EU Civil Protection Mechanism and rescEU, including health preparedness, at a time when crises and natural disasters are occurring with greater frequency and intensity;</w:t>
            </w:r>
            <w:r>
              <w:t xml:space="preserve"> </w:t>
            </w:r>
            <w:r>
              <w:rPr>
                <w:b/>
                <w:i/>
              </w:rPr>
              <w:t>stresses that in view of the strategic value of prevention and preparedness, national investments in prevention, preparedness and resilient health systems should be excluded from the EU’s economic governance rules in an effort to encourage structural and long-term investments</w:t>
            </w:r>
            <w:r>
              <w:t>; acknowledges that this substantial increase responds to Parliament’s long-standing calls for greater investment in these areas</w:t>
            </w:r>
            <w:r>
              <w:rPr>
                <w:b/>
                <w:i/>
              </w:rPr>
              <w:t>;</w:t>
            </w:r>
            <w:r>
              <w:t xml:space="preserve"> </w:t>
            </w:r>
            <w:r>
              <w:rPr>
                <w:b/>
                <w:i/>
              </w:rPr>
              <w:t>emphasises, however, that consolidating programmes within the fund that were previously envisaged as autonomous programmes under the last MFF risks undermining the overall impact of policies designed to promote competitiveness and economic growth; stresses that this runs counter to the objectives of the Draghi report, which recommends a vastly different amount of investment compared with this proposal</w:t>
            </w:r>
            <w:r>
              <w:t>;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Andrzej Halicki,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w:t>
            </w:r>
            <w:r>
              <w:rPr>
                <w:b/>
                <w:i/>
              </w:rPr>
              <w:t>readiness, counter-mobility, military mobility</w:t>
            </w:r>
            <w:r>
              <w:t xml:space="preserve"> , technological</w:t>
            </w:r>
            <w:r>
              <w:rPr>
                <w:b/>
                <w:i/>
              </w:rPr>
              <w:t>,</w:t>
            </w:r>
            <w:r>
              <w:t xml:space="preserve"> sovereignty</w:t>
            </w:r>
            <w:r>
              <w:rPr>
                <w:b/>
                <w:i/>
              </w:rPr>
              <w:t>, energy independence, protection and resilience of critical infrastructure</w:t>
            </w:r>
            <w:r>
              <w:t xml:space="preserve"> and economic resilience; acknowledges that this substantial increase responds to Parliament’s long-standing calls for greater investment in these areas</w:t>
            </w:r>
            <w:r>
              <w:rPr>
                <w:b/>
                <w:i/>
              </w:rPr>
              <w:t>; highlights a need to ring- fence defence expenditures; recalls that the immediate threats on the EU’s Eastern flank and the provision of concrete support to Member States need to be addressed as matters of priority; highlights the importance of continuing the Connecting Europe Facility (CEF) as the main source of robust military mobility funding and welcomes the proposal for an increased budget</w:t>
            </w:r>
            <w:r>
              <w:t xml:space="preserve">;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w:t>
            </w:r>
            <w:r>
              <w:rPr>
                <w:b/>
                <w:i/>
              </w:rPr>
              <w:t>including in areas such as the protection and resilience of critical energy infrastructure, which require specifically dedicated budgetary provisions;</w:t>
            </w:r>
            <w:r>
              <w:t xml:space="preserve">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Aurelijus Veryga, Roberts Zīle, Tobiasz Bocheński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w:t>
            </w:r>
            <w:r>
              <w:rPr>
                <w:b/>
                <w:i/>
              </w:rPr>
              <w:t>readiness, counter-mobility, military mobility</w:t>
            </w:r>
            <w:r>
              <w:t>, technological sovereignty</w:t>
            </w:r>
            <w:r>
              <w:rPr>
                <w:b/>
                <w:i/>
              </w:rPr>
              <w:t>, energy independence, protection and resilience of critical infrastructure</w:t>
            </w:r>
            <w:r>
              <w:t xml:space="preserve"> and economic resilience; acknowledges that this substantial increase responds to Parliament’s long-standing calls for greater investment in these areas</w:t>
            </w:r>
            <w:r>
              <w:rPr>
                <w:b/>
                <w:i/>
              </w:rPr>
              <w:t>; highlights a need to ring- fence defence expenditures; recalls that the immediate threats on the EU’s Eastern flank and the provision of concrete support to Member States need to be addressed as matters of priority; highlights the importance of continuing the Connecting Europe Facility (CEF) as the main source of robust military mobility funding and welcomes the proposal for an increased budget</w:t>
            </w:r>
            <w:r>
              <w:t>;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w:t>
            </w:r>
            <w:r>
              <w:rPr>
                <w:b/>
                <w:i/>
              </w:rPr>
              <w:t>, including in areas such as the protection and resilience of critical energy infrastructure, which require specifically dedicated budgetary provisions</w:t>
            </w:r>
            <w:r>
              <w:t>;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Isabel Benjumea Benjumea, Raúl de la Hoz Quintano,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w:t>
            </w:r>
            <w:r>
              <w:rPr>
                <w:b/>
                <w:i/>
              </w:rPr>
              <w:t>, technological sovereignty and economic resilience</w:t>
            </w:r>
            <w:r>
              <w:t xml:space="preserv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w:t>
            </w:r>
            <w:r>
              <w:rPr>
                <w:b/>
                <w:i/>
              </w:rPr>
              <w:t>foster economic growth</w:t>
            </w:r>
            <w:r>
              <w:t xml:space="preserve">, as well as </w:t>
            </w:r>
            <w:r>
              <w:rPr>
                <w:b/>
                <w:i/>
              </w:rPr>
              <w:t>promote quality, stable and well-paid jobs as underlined in both the Draghi and Letta reports</w:t>
            </w:r>
            <w:r>
              <w:t>;</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w:t>
            </w:r>
            <w:r>
              <w:rPr>
                <w:b/>
                <w:i/>
              </w:rPr>
              <w:t>entrepreneurship and innovation,</w:t>
            </w:r>
            <w:r>
              <w:t xml:space="preserve"> strategic autonomy, the clean </w:t>
            </w:r>
            <w:r>
              <w:rPr>
                <w:b/>
                <w:i/>
              </w:rPr>
              <w:t>and digital</w:t>
            </w:r>
            <w:r>
              <w:t xml:space="preserve"> transition, defence </w:t>
            </w:r>
            <w:r>
              <w:rPr>
                <w:b/>
                <w:i/>
              </w:rPr>
              <w:t>and security;</w:t>
            </w:r>
            <w:r>
              <w:t xml:space="preserve"> </w:t>
            </w:r>
            <w:r>
              <w:rPr>
                <w:b/>
                <w:i/>
              </w:rPr>
              <w:t>supports this drive, but insists that competitiveness must focus on innovation, excellence-based research and market-based instruments such as budget guarantees, incentives or an attractive tax policy for investment, rather than on a top-down, subsidy-based industrial policy that selects ‘winning’ sectors and distorts free competition</w:t>
            </w:r>
            <w:r>
              <w:t xml:space="preserve">; acknowledges that this substantial increase responds to Parliament’s long-standing calls for greater investment in these areas </w:t>
            </w:r>
            <w:r>
              <w:rPr>
                <w:b/>
                <w:i/>
              </w:rPr>
              <w:t>and contributes to reducing the Union’s dependence on third countries</w:t>
            </w:r>
            <w:r>
              <w:t xml:space="preserve">;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w:t>
            </w:r>
            <w:r>
              <w:rPr>
                <w:b/>
                <w:i/>
              </w:rPr>
              <w:t>focus on increasing the ability of European companies to compete globally</w:t>
            </w:r>
            <w:r>
              <w:t xml:space="preserve">, as well as </w:t>
            </w:r>
            <w:r>
              <w:rPr>
                <w:b/>
                <w:i/>
              </w:rPr>
              <w:t>on improving their productivity;</w:t>
            </w:r>
            <w:r>
              <w:t xml:space="preserve"> </w:t>
            </w:r>
            <w:r>
              <w:rPr>
                <w:b/>
                <w:i/>
              </w:rPr>
              <w:t>reiterates the importance in this section of preserving the integrity of the single market and avoiding the nationalisation of industrial policy</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w:t>
            </w:r>
            <w:r>
              <w:rPr>
                <w:b/>
                <w:i/>
              </w:rPr>
              <w:t>including through the use of nuclear technology</w:t>
            </w:r>
            <w:r>
              <w:t xml:space="preserve">, defence </w:t>
            </w:r>
            <w:r>
              <w:rPr>
                <w:b/>
                <w:i/>
              </w:rPr>
              <w:t>and security, managing migration</w:t>
            </w:r>
            <w:r>
              <w:t xml:space="preserv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 </w:t>
            </w:r>
            <w:r>
              <w:rPr>
                <w:b/>
                <w:i/>
              </w:rPr>
              <w:t>points out that Draghi puts the annual investment gap with respect to innovation and infrastructure at EUR 750-800 billion per year between 2025 and 2030; underlines that the Union budget must play a vital role but it cannot cover that shortfall alone, and that the bulk of the effort will have to come from the private sector - points to the need to exploit synergies between public and private investment, in particular by simplifying and harmonising the EU investment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w:t>
            </w:r>
            <w:r>
              <w:rPr>
                <w:b/>
                <w:i/>
              </w:rPr>
              <w:t>research</w:t>
            </w:r>
            <w:r>
              <w:t xml:space="preserve">, strategic autonomy, the clean transition, defence, technological sovereignty </w:t>
            </w:r>
            <w:r>
              <w:rPr>
                <w:b/>
                <w:i/>
              </w:rPr>
              <w:t>and</w:t>
            </w:r>
            <w:r>
              <w:t xml:space="preserve">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strategic autonomy, the clean transition, </w:t>
            </w:r>
            <w:r>
              <w:rPr>
                <w:b/>
                <w:i/>
              </w:rPr>
              <w:t>electric grid, research, culture and innovation, civil protection, security,</w:t>
            </w:r>
            <w:r>
              <w:t xml:space="preserve"> defence </w:t>
            </w:r>
            <w:r>
              <w:rPr>
                <w:b/>
                <w:i/>
              </w:rPr>
              <w:t>and space</w:t>
            </w:r>
            <w:r>
              <w:t>, technological sovereignty</w:t>
            </w:r>
            <w:r>
              <w:rPr>
                <w:b/>
                <w:i/>
              </w:rPr>
              <w:t>, fight against hybrid threat and foreign interference and support</w:t>
            </w:r>
            <w:r>
              <w:t xml:space="preserve"> economic resilience; </w:t>
            </w:r>
            <w:r>
              <w:rPr>
                <w:b/>
                <w:i/>
              </w:rPr>
              <w:t>ensure the good implementation longterm of the asylum and migration Pact, the appropriate funding and staffing of JHA agencies, the investment in organism working to counter desinformation and media literacy in the EU [AG1]</w:t>
            </w:r>
            <w:r>
              <w:t xml:space="preserve"> acknowledges that this substantial increase responds to Parliament’s long-standing calls for greater investment in these areas</w:t>
            </w:r>
            <w:r>
              <w:rPr>
                <w:b/>
                <w:i/>
              </w:rPr>
              <w:t>; welcome the use of public guarantees</w:t>
            </w:r>
            <w:r>
              <w:t xml:space="preserve">; stresses, however, that the consolidation of programmes must not reduce transparency or limit Parliament’s ability to ensure appropriate funding for specific policy objectives; </w:t>
            </w:r>
            <w:r>
              <w:rPr>
                <w:b/>
                <w:i/>
              </w:rPr>
              <w:t>strongly</w:t>
            </w:r>
            <w:r>
              <w:t xml:space="preserve"> insists that despite programme mergers, budget lines must remain sufficiently detailed to enable meaningful parliamentary oversight and maintain visibility of funding for individual priorities; recalls its position that competitiveness must foster economic growth, </w:t>
            </w:r>
            <w:r>
              <w:rPr>
                <w:b/>
                <w:i/>
              </w:rPr>
              <w:t>strategic autonomy and European independency,</w:t>
            </w:r>
            <w:r>
              <w:t xml:space="preserve"> as well as promote quality, stable and well-paid jobs as underlined in both the Draghi and Letta reports; </w:t>
            </w:r>
            <w:r>
              <w:rPr>
                <w:b/>
                <w:i/>
              </w:rPr>
              <w:t>Strongly insists that the programme should not lower the ambitions of already existing instruments such as InvestEU;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w:t>
            </w:r>
            <w:r>
              <w:rPr>
                <w:b/>
                <w:i/>
              </w:rPr>
              <w:t>clean industrial deal,</w:t>
            </w:r>
            <w:r>
              <w:t xml:space="preserve"> research, strategic autonomy, the clean transition, defence, technological sovereignty and economic resilience </w:t>
            </w:r>
            <w:r>
              <w:rPr>
                <w:b/>
                <w:i/>
              </w:rPr>
              <w:t>education, culture,democracy, fundamental rights and health</w:t>
            </w:r>
            <w:r>
              <w:t xml:space="preserv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w:t>
            </w:r>
            <w:r>
              <w:rPr>
                <w:b/>
                <w:i/>
              </w:rPr>
              <w:t>enhance the Union’s innovation capacity, support the decarbonisation of the economy, boost environmental sustainability,</w:t>
            </w:r>
            <w:r>
              <w:t xml:space="preserve"> as well as promote quality, stable and well-paid jobs as underlined in both the Draghi and Letta reports </w:t>
            </w:r>
            <w:r>
              <w:rPr>
                <w:b/>
                <w:i/>
              </w:rPr>
              <w:t>and that at the same time the EU budget alone cannot fill the investment gap, insist from this perspective on the need of choosing the most efficient financing more and to maximise the budget’s impact in mobilising private investment also though derisking and financial instruments as a service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w:t>
            </w:r>
            <w:r>
              <w:rPr>
                <w:b/>
                <w:i/>
              </w:rPr>
              <w:t>; Call for the inclusion of provisions that establish conditions to ensure that all Member States, regions and all types of enterprises, particularly SMEs, will have access to the European Competitiveness fund and to Horizon Europe Programme, even those that are more peripheral, smaller and less competitive, garanteeing an equitative access to these programmes</w:t>
            </w:r>
            <w:r>
              <w:t>;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 </w:t>
            </w:r>
            <w:r>
              <w:rPr>
                <w:b/>
                <w:i/>
              </w:rPr>
              <w:t>underlines that sustainable competitiveness can only happen if it is enshrined in local and regional realities, calls therefore for regional innovation ecosystems to get better and more simplified access to funding under the future European Competitiveness Fund in comparison to the current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w:t>
            </w:r>
            <w:r>
              <w:rPr>
                <w:b/>
                <w:i/>
              </w:rPr>
              <w:t>the clean industrial transition,</w:t>
            </w:r>
            <w:r>
              <w:t xml:space="preserve"> research, strategic autonomy, the clean transition</w:t>
            </w:r>
            <w:r>
              <w:rPr>
                <w:b/>
                <w:i/>
              </w:rPr>
              <w:t>, sustainable innovation, public health</w:t>
            </w:r>
            <w:r>
              <w:t xml:space="preserve">,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w:t>
            </w:r>
            <w:r>
              <w:rPr>
                <w:b/>
                <w:i/>
              </w:rPr>
              <w:t>implementing procedures must continue to enable sufficient transparency and parliamentary oversigt, and</w:t>
            </w:r>
            <w:r>
              <w:t xml:space="preserve"> budget lines must remain sufficiently detailed to enable meaningful parliamentary oversight and maintain visibility of funding for individual priorities; recalls its position that competitiveness must foster economic growth, </w:t>
            </w:r>
            <w:r>
              <w:rPr>
                <w:b/>
                <w:i/>
              </w:rPr>
              <w:t>strategic autonomy and independence, support the decarbonisation of the economy, boost environmental sustainability,</w:t>
            </w:r>
            <w:r>
              <w:t xml:space="preserve">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w:t>
            </w:r>
            <w:r>
              <w:rPr>
                <w:b/>
                <w:i/>
              </w:rPr>
              <w:t>notes</w:t>
            </w:r>
            <w:r>
              <w:t xml:space="preserve"> that this more than doubling of resources reflects the Union’s commitment to research, strategic autonomy, the clean transition, defence, technological sovereignty and economic resilience; </w:t>
            </w:r>
            <w:r>
              <w:rPr>
                <w:b/>
                <w:i/>
              </w:rPr>
              <w:t>acknowledges</w:t>
            </w:r>
            <w:r>
              <w:t xml:space="preserve"> that this </w:t>
            </w:r>
            <w:r>
              <w:rPr>
                <w:b/>
                <w:i/>
              </w:rPr>
              <w:t>substantial</w:t>
            </w:r>
            <w:r>
              <w:t xml:space="preserve"> increase </w:t>
            </w:r>
            <w:r>
              <w:rPr>
                <w:b/>
                <w:i/>
              </w:rPr>
              <w:t>responds to</w:t>
            </w:r>
            <w:r>
              <w:t xml:space="preserve"> Parliament’s long-standing calls for greater investment in these areas; </w:t>
            </w:r>
            <w:r>
              <w:rPr>
                <w:b/>
                <w:i/>
              </w:rPr>
              <w:t>stresses, however,</w:t>
            </w:r>
            <w:r>
              <w:t xml:space="preserve"> that the </w:t>
            </w:r>
            <w:r>
              <w:rPr>
                <w:b/>
                <w:i/>
              </w:rPr>
              <w:t>consolidation of programmes must not reduce transparency or limit Parliament’s ability to ensure appropriate funding for specific policy objectives; insists that despite programme mergers,</w:t>
            </w:r>
            <w:r>
              <w:t xml:space="preserve"> budget </w:t>
            </w:r>
            <w:r>
              <w:rPr>
                <w:b/>
                <w:i/>
              </w:rPr>
              <w:t>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w:t>
            </w:r>
            <w:r>
              <w:rPr>
                <w:b/>
                <w:i/>
              </w:rPr>
              <w:t>underlines</w:t>
            </w:r>
            <w:r>
              <w:t xml:space="preserve"> that this more than doubling of resources reflects the Union’s commitment to research, strategic autonomy, the clean transition, defence, technological sovereignty and economic resilience; </w:t>
            </w:r>
            <w:r>
              <w:rPr>
                <w:b/>
                <w:i/>
              </w:rPr>
              <w:t>welcomes</w:t>
            </w:r>
            <w:r>
              <w:t xml:space="preserve"> that this increase </w:t>
            </w:r>
            <w:r>
              <w:rPr>
                <w:b/>
                <w:i/>
              </w:rPr>
              <w:t>is in line with the</w:t>
            </w:r>
            <w:r>
              <w:t xml:space="preserve"> Parliament’s long-standing calls for greater investment in these areas; </w:t>
            </w:r>
            <w:r>
              <w:rPr>
                <w:b/>
                <w:i/>
              </w:rPr>
              <w:t>underlines</w:t>
            </w:r>
            <w:r>
              <w:t xml:space="preserve"> that the </w:t>
            </w:r>
            <w:r>
              <w:rPr>
                <w:b/>
                <w:i/>
              </w:rPr>
              <w:t>proposed budget for Horizon Europe is still falling short of the needed Union contribution to achieving the 3% R&amp;D spending target and calls for an increase of the</w:t>
            </w:r>
            <w:r>
              <w:t xml:space="preserve"> budget </w:t>
            </w:r>
            <w:r>
              <w:rPr>
                <w:b/>
                <w:i/>
              </w:rPr>
              <w:t>for Horizon Europe to at least 200 billion in current prices (177 billion in constant prices);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 </w:t>
            </w:r>
            <w:r>
              <w:rPr>
                <w:b/>
                <w:i/>
              </w:rPr>
              <w:t>highlights that the allocation of funds must be based purely on excellency; rejects a mercantilistic top-down approach where projects or calls are designed by political decisions for specific companies or technologies;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w:t>
            </w:r>
            <w:r>
              <w:rPr>
                <w:b/>
                <w:i/>
              </w:rPr>
              <w:t>stresses, moreover, that such public funding should serve as a lever for private investment by putting Europe first;</w:t>
            </w:r>
            <w:r>
              <w:t xml:space="preserve">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Nils Ušakovs, Vytenis Povilas Andriukaitis, Mārtiņš Staķis, Roberts Zīle, Sandra Kalniete, Ivars Ijabs, 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w:t>
            </w:r>
            <w:r>
              <w:rPr>
                <w:b/>
                <w:i/>
              </w:rPr>
              <w:t>, interconnectivity, space, digital leadership; health, biotech, agriculture and bioeconomy</w:t>
            </w:r>
            <w:r>
              <w:t>;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Roberts Zīle, Bogdan Rzońca, Ruggero Razza,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w:t>
            </w:r>
            <w:r>
              <w:rPr>
                <w:b/>
                <w:i/>
              </w:rPr>
              <w:t>and</w:t>
            </w:r>
            <w:r>
              <w:t xml:space="preserve">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w:t>
            </w:r>
            <w:r>
              <w:rPr>
                <w:b/>
                <w:i/>
              </w:rPr>
              <w:t>,</w:t>
            </w:r>
            <w:r>
              <w:t xml:space="preserve"> economic resilience</w:t>
            </w:r>
            <w:r>
              <w:rPr>
                <w:b/>
                <w:i/>
              </w:rPr>
              <w:t>; interconnectivity, space, digital leadership; health, biotech, agriculture and bioeconomy</w:t>
            </w:r>
            <w:r>
              <w:t>;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w:t>
            </w:r>
            <w:r>
              <w:rPr>
                <w:b/>
                <w:i/>
              </w:rPr>
              <w:t>its position</w:t>
            </w:r>
            <w:r>
              <w:t xml:space="preserve"> that competitiveness </w:t>
            </w:r>
            <w:r>
              <w:rPr>
                <w:b/>
                <w:i/>
              </w:rPr>
              <w:t>must foster</w:t>
            </w:r>
            <w:r>
              <w:t xml:space="preserve"> economic growth</w:t>
            </w:r>
            <w:r>
              <w:rPr>
                <w:b/>
                <w:i/>
              </w:rPr>
              <w:t>, as well as promote quality, stable and well-paid jobs as underlined in both the Draghi and Letta reports</w:t>
            </w:r>
            <w:r>
              <w:t>;</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that competitiveness </w:t>
            </w:r>
            <w:r>
              <w:rPr>
                <w:b/>
                <w:i/>
              </w:rPr>
              <w:t>should support sustainable</w:t>
            </w:r>
            <w:r>
              <w:t xml:space="preserve"> economic growth </w:t>
            </w:r>
            <w:r>
              <w:rPr>
                <w:b/>
                <w:i/>
              </w:rPr>
              <w:t>and productivity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Janusz Lewandowski,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w:t>
            </w:r>
            <w:r>
              <w:rPr>
                <w:b/>
                <w:i/>
              </w:rPr>
              <w:t>, energy security</w:t>
            </w:r>
            <w:r>
              <w:t>,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Stresses that local and regional authorities need to be more involved in planning and implementing EU funding operations in order to uphold the partnership principle and deliver more targeted and efficient measures that better cater to local needs;</w:t>
            </w:r>
            <w:r>
              <w:t xml:space="preserve"> </w:t>
            </w:r>
            <w:r>
              <w:rPr>
                <w:b/>
                <w:i/>
              </w:rPr>
              <w:t>emphasises that bolstering the administrative capacities of national, regional and local authorities is essential for using EU funds more efficiently and expeditiously;</w:t>
            </w:r>
            <w:r>
              <w:t xml:space="preserve"> </w:t>
            </w:r>
            <w:r>
              <w:rPr>
                <w:b/>
                <w:i/>
              </w:rPr>
              <w:t>calls on the Commission to encourage the use of simplified procedures and a clear delineation of responsibilities, to promote training, the use of digitised procedures and technical support, and to ensure that expenditure is traceable and transparent;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 point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Reaffirms that the three distinct categories of EU regions – less developed, in transition and more developed – should be fully protected under cohesion policy, by ensuring that funding is allocated on the basis of fair and transparent criteria and providing support commensurate with specific local needs;</w:t>
            </w:r>
            <w:r>
              <w:t xml:space="preserve"> </w:t>
            </w:r>
            <w:r>
              <w:rPr>
                <w:b/>
                <w:i/>
              </w:rPr>
              <w:t>stresses that future cohesion policy reforms should not give rise to transfers or penalties liable to undermine the ability of the regions to tackle structural challenges and bolster competitiveness, employment and resilience;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Considers that the European Competitiveness Fund should deliver on investments to foster the sustainable industrial competitiveness, strategic autonomy and resilience of the Union, in particular through investments in strategic industrial sectors and the needed infrastructure, and that its priorities should be based on the Union’s industrial policy; underscores that this Fund needs to be a new and targeted funding instrument to fill a funding gap in the current MFF, rather than partly or completely taking over the role of existing funding programmes; emphasises the need for multiannual, predictable funding for strategic sectors, given their capital-intensive nature, long-term development timelines, and the investment risks associated with emerging technologies; calls for the establishment of robust financial instruments and risk-sharing mechanisms under the European Competitiveness Fund that can ensure a stable flow of investment, crowd in private capital, and reduce dependency on annual budgetary revisions, thus guaranteeing the continuity and ambition of the EU’s digital transformation over the long term; notes with regret that the Commission’s proposal does not fill a funding gap and only consolidates existing programmes, and that it thereby is not the responding to the needs of the Union;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Michalis Hadjipantela,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Emphasises that health must be recognised as a strategic investment rather than a cost, as a healthy population is indispensable for Europe’s economic resilience, social cohesion and global competitiveness; stresses that only a healthy Europe can effectively compete on the global stage and preserve its strategic autonomy; calls for the establishment, in the next Multiannual Financial Framework, of a clearly identifiable, separate and stand-alone budgetary line dedicated to health; insists that this budgetary line provide a minimum allocation of EUR 10 billion for public health programmes, including the full implementation of the European Health Data Space and the Critical Medicines Act, the strengthening and expansion of European Reference Networks, and the effective delivery of cross-border healthcare; underlines that sustained and predictable investment in health is essential to strengthen the resilience of health systems, reduce inequalities in access to care across Member States and ensure the Union’s preparedness for future health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Insists on the urgent need to refocus European research programmes on the objectives of economic competitiveness, strategic autonomy and cutting-edge innovation, which requires the immediate discontinuation of programmes that contribute neither to technological sovereignty nor to scientific leadership, divert resources from technological progress and undermine the credibility of research in Europe, such as the following projects: ‘Fostering Queer Feminist Intersectional Resistances against Transnational Anti-Gender Politics’ (EUR 2.38 million), Tracing Queer Citizenship over Time: Ageing, ageism and age-related LGBTI+ politics in Europe (EUR 2 million), Rethinking Queer Kinship: LGBTIQ* Families with children in Central and Eastern Europe (EUR 2.5 million), ‘YOUth Debunking the gendered Arguments of far-Right Extremism’ (EUR 2.9 million), ‘White Islam: A New Religion for Europeans’ (EUR 271 052), ‘Eco-Islam in Indonesia: Media, Institutions, Publics’ (EUR 2 million) and ‘Superstition, Material Religion and Hıdrellez in Turkey’ (EUR 254 330);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Lucia Yar, Martin Hojsík, Ľubica Karvašová, Michal Wiezik, Veronika Cifrová Ostrihoňová, Irena Joveva, Marjan Šarec, Dan Barna, Vlad Vasile-Voiculescu, Petras Auštrevičius, Dainius Žalimas, Michał Kobosko, Urmas Paet, Nikola Minchev, Ilhan Kyuchyuk, Ivars Ijabs, Hristo Petrov,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Reiterates that the European Competitiveness Fund should be implemented in a manner that ensures both the excellency, and a fair and balanced geographical distribution of opportunities and resources across the Union; stresses the importance of dedicating a meaningful share of the Fund to less developed and transition regions and to Member States with lower innovation capacity, in order to strengthen economic, social and territorial cohesion and avoid exclusive concentration of funding in already well-performing ecosystems; underlines the need to ensure fair, transparent and non-discriminatory access to ECF-supported actions for all relevant actors, including SMEs, industry, and local and regional authorities, and to reinforce regional and local innovation ecosystems through cooperation between businesses, research actors and public authorities, thereby strengthening the territorial dimension of Union’s competitiveness and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Welcomes the planned increase of the budget for the successor programme to Horizon Europe to EUR 175 billion, while stressing that this amount should be considered the minimum necessary to enable the Union to meet its strategic objectives in competitiveness, resilience and technological leadership; Reiterates the importance of protecting and reinforcing the investigator-driven, excellence-based nature of the European Research Council (ERC) and the Marie Skłodowska-Curie Actions (MSCA), which remain essential pillars of the European Research Area and key instruments for attracting, retaining and developing top research talent across the Union; Stresses that excellence-based EU research funding delivers strong European added value, leverages private investment and contributes directly to productivity, innovation and skills development across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Calls for research and development of vaccines for animal diseases to be one of the priorities within the Horizon Europe programme;</w:t>
            </w:r>
            <w:r>
              <w:t xml:space="preserve"> </w:t>
            </w:r>
            <w:r>
              <w:rPr>
                <w:b/>
                <w:i/>
              </w:rPr>
              <w:t>considers that this priority will contribute to the promotion of rural areas, in the context of the One Health approach, which recognises the interconnection between human health, animal health and environmental health. It is essential to strengthen, within the framework of European Union research programmes, investment in research and development of animal health measures, including preventive and containment measures, such as vaccination, with a view to monitoring and eradicating diseases, protecting animal welfare and ensuring the resilience of the livestock sector, and the effective, equitable and timely availability of such vaccines to all farmers should therefore be ensured;</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Stresses that the increase in funding for competitiveness should enable final beneficiaries, particularly SMEs, to access funding more swiftly and readily;</w:t>
            </w:r>
            <w:r>
              <w:t xml:space="preserve"> </w:t>
            </w:r>
            <w:r>
              <w:rPr>
                <w:b/>
                <w:i/>
              </w:rPr>
              <w:t>calls on the Commission to ensure that procedures are fully proportionate and accessible in digital format;</w:t>
            </w:r>
            <w:r>
              <w:t xml:space="preserve"> </w:t>
            </w:r>
            <w:r>
              <w:rPr>
                <w:b/>
                <w:i/>
              </w:rPr>
              <w:t>emphasises that boosting Europe’s competitiveness requires targeted investments in upskilling and reskilling in order to reduce the skills gap and boost productivity and innovation;</w:t>
            </w:r>
            <w:r>
              <w:t xml:space="preserve"> </w:t>
            </w:r>
            <w:r>
              <w:rPr>
                <w:b/>
                <w:i/>
              </w:rPr>
              <w:t>calls on the Commission to use the European Competitiveness Fund to support flexible and expeditious training programmes by means of simple, results-oriented tools, paying particular attention to SMEs, including those based in rural and peripheral areas and on islands;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Moritz Körner,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Believes that in the next MFF competitiveness mainstreaming should be introduced throughout the Union budget, ensuring that at least 70% of budget appropriations strengthen competitiveness, innovation capacity, and productivity; calls on the Commission to systematically integrate competitiveness objectives across all relevant policy areas - particularly in agriculture, cohesion, research, transport, and energy - by supporting modern farming practices, investing in infrastructure and digital connectivity, fostering innovation, and prioritizing projects that enhance the Union’s market position; underlines that this approach should follow the same structured methodology used for climate mainstreaming in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Nils Ušakovs, Roberts Zīle, Ivars Ijabs, Sandra Kalniete, Vytenis Povilas Andriukaitis, Mārtiņš Staķis, Eero Heinäluoma,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Calls for the establishment of a dedicated instrument within the MFF 2028-2034 to support Member States and regions with a land border with Russia and/or Belarus; stresses that such an instrument must provide direct and targeted support to border municipalities and local communities and businesses to mitigate the disproportionate economic and social impacts of the war; highlights, in this regard, the urgent need to strengthen social resilience, ensure the continuity of vital public services and address specific local challenges, including demographic pressures and workforce shortages, ensuring that people living in these frontline regions are not left behind;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Believes that the continued presence of nuclear technology in the Union and the continued interest in the use of nuclear power as part of the national energy mix in some Member States requires that the Union be a world leader with regard to knowledge of, R&amp;D into and expertise on these technologies, including on their safety, through the Euratom Research and Training Programme and the continued involvement of the Union in the ITER project; stresses that the budgets for these programmes should reflect the new realities of the significant development towards the commercialisation of fusion technology;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Roberts Zīle, Bogdan Rzońca, Ruggero Razza,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Stresses, that relevant programs, including European Competitiveness Fund and Connecting Europe Facility, shall give a comprehensive support to challenges to the Eastern border countries of the EU facing the dual challenge of enhancing Europe’s defense, preparedness, resilience and security capabilities while supporting and protecting their economies, infrastructure, businesses and people that are mostly exposed to direct and indirect consequences of Russia’s war of aggression against Ukraine together with the continuous persistent threat of Russian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Danuše Nerudová, Andrzej Halicki, Karlo Ressler, Siegfried Mureşan, Miriam Lexmann, Tomáš Zdechovský, Janusz Lewandowski, Nikolina Brnjac, Hanna Gronkiewicz-Waltz, Dariusz Joński, Marta Wcisło, Krzysztof Hetman, Bartłomiej Sienkiewicz, Jacek Protas, Davor Ivo Stier, Tomislav Sokol, Jan Farský, Ioan-Rareş Bogdan, Daniel Buda, Gheorghe Falcă, Mircea-Gheorghe Hava, Dan-Ştefan Motreanu, Virgil-Daniel Popescu, Loránt Vincze, Iuliu Winkler, Kinga Kollár, Michalis Hadjipantela, 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Emphasises the need for the European Competitiveness Fund to ensure equal access to training opportunities and to provide targeted technical assistance, accompanied by adequate financial resources, in particular for less developed and transition regions, Member States with lower innovation performance, and less experienced applicants; underlines the need for robust and transparent monitoring instruments to track geographical participation and funding allocation by Member State and, where relevant, by region, across each work programme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Emphasises that the next MFF must embed a place-based approach as a core principle for enhancing Union competitiveness, recognising that sustainable economic growth emerges from mobilising regional assets, local innovation ecosystems, and territorial specificities rather than standardised solutions; stresses that MFF programmes must enable regions to design tailored bottom-up strategies in partnership with relevant stakeholders, transforming territorial diversity into a strategic competitive advantage for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Reiterates the importance of Erasmus+, the flagship programme in the field of education, which plays a central role in promoting European values, cross-border cooperation and youth engagement; Highlights that this programme ensures that our common values are transmitted to the next generations enshrining EU values in young people minds; Stresses the long-standing oversubscription of both Erasmus+ and European Solidarity Corps programmes and their consistently strong and proven absorption capacity;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Stresses that healthy environment and environmental resilience are a prerequisite for European competitiveness; recalls that over two thirds of the EU economy depends on nature; Stresses that the setup of the European Competitiveness Fund as proposed by the European Commission foresees continued funding of all LIFE projects; underlines that to maintain the LIFE brand LIFE activities should be implemented through dedicated calls for proposals with a specific and dedicated budget 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Isabelle Le Callenec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Calls for specific assistance to be established under the Horizon Europe programme for the decarbonisation of fishing fleets under the heading entitled ‘Clean transition and decarbonisation of industry’;</w:t>
            </w:r>
            <w:r>
              <w:t xml:space="preserve"> </w:t>
            </w:r>
            <w:r>
              <w:rPr>
                <w:b/>
                <w:i/>
              </w:rPr>
              <w:t>calls for this assistance to be allocated at least EUR 12 billion, with a view to 50 % co-financing with the private sector, given that the energy transition is estimated to require around EUR 25 billion;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Isabel Benjumea Benjumea,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Stresses the importance of ensuring the involvement of economic actors in the definition of priorities and of preserving an appropriate balance between competitiveness, technological neutrality and the EU’s climate and sustainability objectives in the activities under the clean transition and industrial decarbonisation window;</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Stresses that the Fund must provide for financing tools tailored to the different companies, including grants and guarantees and should better mobilise EU savings and institutional investors, while maintaining clear rules and transparency;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Emma Fourreau, Younous Omarjee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Deeply regrets the proposal for repealing the LIFE Programme as an autonomous programme; calls for the introduction of a dedicated enhanced budget line within the MFF to ensure the continuation of the LIFE 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Victor Negrescu, Vytenis Povilas Andriukaitis, Christophe Clergeau, Estelle Ceulemans, Nicolás González Casares, Romana Jerković, Alessandra Moretti, Tiemo Wölken, Kristian Vigenin, Nikos Papandreou, Raffaele Topo, Marta Temido, Pierre Jouvet,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Expresses strong concern about the dilution of the EU4Health programme into the ECF; calls for EUR 10 billion of EU health funding to be excluded from the ECF and allocated to a separate standalone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Considers that Culture is the backbone of Europe identity and of the European project and plays a central in the promotion of social resilience and prepareness; Stresses that investment in democratic resilience and cultural vitality is an integral part of the Union’s strategic autonomy; calls for adequate and visible funding for actions supporting media literacy, countering disinformation, safeguarding media pluralism and strengthening civic participation, while ensuring transparency and measurable impact. Welcomes, in this context, the proposal for the new AgoraEU programme, recognizing its broadened scope and its unique European added value as the Union’s only programme dedicated to the cultural and creative sectors; underlines the indispensable role of AgoraEU in strengthening European identity through the promotion of cultural and linguistic diversity, cultural heritage, the production, distribution and accessibility of European audiovisual works, and media pluralism in the current geopolitical context;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Highlights that investments in critical social infrastructure are vital for European competitiveness and that a well-trained workforce is key to a future-proof European economy that accomplishes the green and digital transition; believes that these transitions and investments therein need to be accompanied by dedicated funding for workers, particularly those in sector faced with significant transformations, for re-skilling and up-skilling; calls therefore for a dedicated ‘Social investments and Skills’ policy window in ECF with an ambitious budgetary envelope of EUR 5 billion in current prices that reinforces the social backbone of European competitiveness, in line with the European social model of dialogue between social partners, strong social protection and high-quality public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Reiterates that micro, small and medium-sized enterprises (MSMEs) must be at the heart of the competitiveness fund; stresses that EU competitiveness spending must primarily support the productive fabric of the Union, local value chains and territorially anchored economic activity, rather than concentrating resources on a limited number of large actors or projects; underlines that cohesion policy plays a central role in strengthening the long-term competitiveness and resilience of MSMEs across all regions, which cannot be effectively delivered through fragmented or purely national approaches; Calls for a startup and a SME quota across the EU budget and specifically under the European Competitiveness Fund;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Danuše Nerudová, Andrzej Halicki, Karlo Ressler, Siegfried Mureşan, Miriam Lexmann, Tomáš Zdechovský, Janusz Lewandowski, Nikolina Brnjac, Hanna Gronkiewicz-Waltz, Dariusz Joński, Marta Wcisło, Krzysztof Hetman, Bartłomiej Sienkiewicz, Jacek Protas, Davor Ivo Stier, Tomislav Sokol, Jan Farský, Ioan-Rareş Bogdan, Daniel Buda, Gheorghe Falcă, Mircea-Gheorghe Hava, Dan-Ştefan Motreanu, Virgil-Daniel Popescu, Loránt Vincze, Iuliu Winkler, Kinga Kollár, Michalis Hadjipantela, 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Underlines the importance of genuine cross-border cooperation in strategic actions and calls for an assessment of minimum geographical participation requirements in the European competitiveness fund, such as participation from several Member States, including at least one entity from a less developed applicant ecosystem, unless duly and objectively justified, with the aim of ensuring real cross-border integration in critical value chains; recognises that excellence must remain the primary selection criterion, but encourages the Commission to introduce geographical balance as a limited award or impact sub-criterion in specific calls, in order to incentivise the inclusion of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Lucia Yar, Martin Hojsík, Ľubica Karvašová, Michal Wiezik, Veronika Cifrová Ostrihoňová, Irena Joveva, Marjan Šarec, Dan Barna, Vlad Vasile-Voiculescu, Petras Auštrevičius, Dainius Žalimas, Michał Kobosko, Urmas Paet, Nikola Minchev, Ilhan Kyuchyuk, Ivars Ijabs, Hristo Petrov,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Highlights the need to accompany financial support with targeted capacity-building measures, including training, advisory services and technical assistance for applicants from underrepresented regions and less experienced innovation ecosystems, including local and regional authorities, in order to strengthen their capacity to design, prepare and deliver high-quality investment projects and to ensure an effective territorial uptake and implementation of ECF-supported actions; calls on the Commission to allocate adequate resources for these support instruments to enable wider participation and improve the quality of project proposals across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Points out that the funds made available under the European Union’s research programmes are characterised by complex application procedures, which have led to an uneven distribution of support, benefiting certain Member States to the detriment of others;</w:t>
            </w:r>
            <w:r>
              <w:t xml:space="preserve"> </w:t>
            </w:r>
            <w:r>
              <w:rPr>
                <w:b/>
                <w:i/>
              </w:rPr>
              <w:t>urges, therefore, the Commission to maintain the technical tools and to promote specific, appropriate training on the application procedures, and to consider establishing a minimum amount of funding to be allocated to each Member State in order to ensure more balanced and equitable participation;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Nils Ušakovs, Roberts Zīle, Sandra Kalniete, Ivars Ijabs, Vytenis Povilas Andriukaitis, Krzysztof Śmiszek, Sven Mikser, Robert Biedroń, Victor Negrescu, Andrzej Halicki, Mārtiņš Staķis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Underlines that the MFF 2028-2034 must ensure a fair, non-discriminatory and equal allocation of CAP direct payments, finally completing the process of external convergence; calls for urgent measures to eliminate unjustified disparities in support levels and access to measures across Member States, notably in Central and Eastern Europe; emphasises that equal treatment is particularly critical given the disproportionate pressures on farmers in frontline regions resulting from Russia’s war of aggression against Ukraine, and is essential to preserve the integrity of the Single Market and the unity of the Union itself;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Calls for the prioritisation of Union funding for education, skills and lifelong learning, with a minimum allocation of 20 % of the 2028–2034 Multiannual Financial Framework (MFF), reflecting the strong economic returns of investment in education and training across the EU; recalls that, in the context of the Draghi report and Letta report, strengthening human capital, labour mobility and skills is identified as an essential component of Europe’s competitiveness and resilience, and underlines, on this basis, the call for a scaling-up of resources equivalent to five times the current Erasmus+ allocation;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Stresses that the Union’s competitiveness and economic security is contingent on it having modern and resilient infrastructure;</w:t>
            </w:r>
            <w:r>
              <w:t xml:space="preserve"> </w:t>
            </w:r>
            <w:r>
              <w:rPr>
                <w:b/>
                <w:i/>
              </w:rPr>
              <w:t>calls for energy interconnections and strategic infrastructure to be made a priority under the relevant instruments of Heading 2; stresses that this should include cross-border projects and connections for peripheral, island and less interconnected regions and dual-use infrastructure, including military mobility, with a view to boosting resilience, reducing bottlenecks and supporting the single market;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Notes that, according to the Commission’s autumn 2025 economic forecast, the EU’s GDP is expected to increase by 1.4 % in 2025 compared to 2024; underlines that this weak growth trajectory reflects the structural challenges identified in the Draghi Report, including low levels of investment and productivity, an insufficiently integrated Single Market, the lack of innovation, and regulatory complexity being all major impediments to competitiveness;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Stresses that protecting the Union’s democratic resilience requires adequate funding; calls for an earmarked budget for combating foreign information manipulation and interference, including a dedicated budget line under ‘protecting Union democracy’ to support prevention, detection and response capabilities and cooperation with independent researchers and civil society, with full parliamentary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Emma Fourreau, Younous Omarjee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Considers that providing enhanced funding dedicated to climate action, the protection of the environment and biodiversity must be considered as a strategic priority for the Union and therefore be based on multiannual planning, clear reporting obligations and EU coordination, given the importance and transnational dimension of the triple planetary crisis;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Considers it necessary to safeguard specific resources for the EU’s agricultural competitiveness within this fund, and to define specific items for the use of the sector, in this context, it will be key to take advantage of the bioeconomy, digitalisation, innovation and agricultural research strategy;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Roberts Zīle, Bogdan Rzońca,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Underlines, that an incentive in terms of a more inclusive criteria is required under the European Competitiveness fund to ensure that the fund fosters support and uses the potential of all Member States and ensures equal opportunities across the EU to access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Recalls the role the Competitiveness Fund in supporting SMEs as the backbone of the European economy and a main driver for growth across the Union; stresses the importance of an adequate investment level in 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Victor Negrescu, Vytenis Povilas Andriukaitis, Christophe Clergeau, Estelle Ceulemans, Nicolás González Casares, Romana Jerković, Alessandra Moretti, Tiemo Wölken, Kristian Vigenin, Nikos Papandreou, Raffaele Topo, Marta Temido, Pierre Jouvet,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The amount allocated to the health in the Union Civil Protection Mechanism+ should be no less than EUR 5 billion;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Welcomes the role of Connecting Europe Facility as a crucial tool in addressing the "missing links" in the European energy and transport sectors and its contribution to boosting economic growth, jobs, and competitiveness in the EU as well as to securing energy independence; considers that such infrastructure is an absolute precondition for a successful deepening of the single market and for increasing the Union’s resilience in a changing geopolitical order; emphasises that structural investments in the functioning of the Union's energy market are a prerequisite for ensuring a secure and affordable supply of energy across the Union; reminds that the cost of energy in Europe is one of the essential drivers of the competitiveness of our industry and of the attractiveness of Europe for industrial investments; Notes the growing need to strengthen the protection and resilience of critical energy infrastructure, given the increasing exposure to hybrid and cyber threats; calls in this respect for the CEF allocation to be increased to EUR 95.8 billion in current prices (85 bn EUR in constant prices);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Calls for dedicated and increased funding under Framework Programme 10 (FP10) for a European Brain Action Plan, building on the approach of Horizon research missions, with the objective of improving brain health across the Union; underlines that investment in brain health research under FP10 represents a cost-effective use of Union funds, contributing to prevention, innovation and long-term savings for public health systems; stresses the need to significantly step up investment in research, prevention, coordination and innovation addressing neurological and degenerative diseases, including dementia, given their growing impact on citizens, public health systems and long-term public expenditure; recalls that more than EUR 440 million has so far been invested in dementia research at EU level and underlines that substantially higher funding will be required in the next MFF to match the scale of the challenge.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Calls for the MFF 2028–2034 to further mainstream circular economy principles across all relevant Union programmes, with adequate funding for waste prevention, reuse and recycling infrastructure, the scaling-up of secondary raw materials markets, and the deployment of resource-efficient and circular business models, supporting the implementation of the Union’s Circular Economy Action Plans; underlines that such investments are essential for reducing the use of limited natural resources while strengthening the Union’s strategic autonomy, reducing critical import dependencies, enhancing industrial competitiveness, lowering input costs for businesses, and creating sustainable, high-quality jobs;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Reaffirms that a competitive Europe means a Europe that has the capacity to produce, develop and supply essential medicines and healthcare technology;</w:t>
            </w:r>
            <w:r>
              <w:t xml:space="preserve"> </w:t>
            </w:r>
            <w:r>
              <w:rPr>
                <w:b/>
                <w:i/>
              </w:rPr>
              <w:t>calls for targeted investments to be allocated under the European Competitiveness Fund and its relevant budget lines in order to support production capacity, research and innovation in the areas of healthcare, resilient supply chains and technologies of strategic interest, notably with a view to preventing shortages and strengthening strategic autonomy in the health sector;</w:t>
            </w:r>
            <w:r>
              <w:t xml:space="preserve"> </w:t>
            </w:r>
            <w:r>
              <w:rPr>
                <w:b/>
                <w:i/>
              </w:rPr>
              <w:t>stresses the need to establish a principle of preference for European undertakings in procurement procedures, particularly where health data is at stake;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Calls for prioritisation of EU funding for education, skills, and lifelong learning, with a minimum allocation of 20% in the 2028–2034 MFF reflecting the strong economic and social returns of investment in education and training across the Union; recalls that, in the context of Mario Draghi’s report on the future of European competitiveness, investment in skills and human capital is identified as a strategic condition for productivity, resilience and growth; calls therefore for clear rules to allow sufficient investment for education and skills within both Heading 1 (National Reform and Investment Plans) and Heading 2, including under the European Competitiveness Fund;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Stresses the importance of promoting sustainable and resilient water infrastructure, and calls for the creation of a European water infrastructure plan, funded through the European Competitiveness Fund, to promote the modernisation and digitalisation of water management systems and innovative technologies such as desalination and reclaimed water for agricultural use;</w:t>
            </w:r>
            <w:r>
              <w:t xml:space="preserve"> </w:t>
            </w:r>
            <w:r>
              <w:rPr>
                <w:b/>
                <w:i/>
              </w:rPr>
              <w:t>stresses that these investments are essential to improve water use efficiency, to strengthen security against droughts and floods and to secure water resources for agriculture as a strategic sector of the European economy;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Argues that the Competitiveness Fund should include a specific pillar dedicated to water resilience, as it considers this to be a key element of territorial cohesion and the economic and social viability of the agricultural sector;</w:t>
            </w:r>
            <w:r>
              <w:t xml:space="preserve"> </w:t>
            </w:r>
            <w:r>
              <w:rPr>
                <w:b/>
                <w:i/>
              </w:rPr>
              <w:t>stresses that efficient, sustainable and integrated water management is a prerequisite for strengthening the competitiveness of all regions, including urban areas, for adapting to climate change and for ensuring food security in the Union, while ensuring the protection of ecosystems and a balance between the various uses of water;</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Danuše Nerudová, Andrzej Halicki, Karlo Ressler, Siegfried Mureşan, Miriam Lexmann, Tomáš Zdechovský, Janusz Lewandowski, Nikolina Brnjac, Hanna Gronkiewicz-Waltz, Dariusz Joński, Marta Wcisło, Krzysztof Hetman, Bartłomiej Sienkiewicz, Jacek Protas, Davor Ivo Stier, Tomislav Sokol, Jan Farský, Ioan-Rareş Bogdan, Daniel Buda, Gheorghe Falcă, Mircea-Gheorghe Hava, Dan-Ştefan Motreanu, Virgil-Daniel Popescu, Loránt Vincze, Iuliu Winkler, Kinga Kollár, Michalis Hadjipantela, 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Calls on the Commission to publish an annual European Competitiveness Fund geographical participation scoreboard, detailing participation levels and funding distribution, as a tool to enhance transparency, accountability, and evidence-based policymaking; calls on the Commission, where imbalances are identified, to deploy targeted corrective measures, including dedicated calls, simplified eligibility conditions, increased support intensity, and the introduction of variable co-financing in less developed and transition regions, in order to ensure fairer access and participation;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Nils Ušakovs, Vytenis Povilas Andriukaitis, Mārtiņš Staķis, Roberts Zīle, Sandra Kalniete, Ivars Ijabs, 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Stresses, that relevant programs, including European Competitiveness Fund and Connecting Europe Facility, shall give a comprehensive support to challenges to the Eastern border countries of the EU facing the dual challenge of enhancing Europe’s defense, preparedness, resilience and security capabilities while supporting and protecting their economies, infrastructure, businesses and people that are mostly exposed to direct and indirect consequences of Russia’s war of aggression against Ukraine together with the continuous persistent threat of Russian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Lucia Yar, Martin Hojsík, Ľubica Karvašová, Michal Wiezik, Veronika Cifrová Ostrihoňová, Irena Joveva, Marjan Šarec, Dan Barna, Vlad Vasile-Voiculescu, Petras Auštrevičius, Dainius Žalimas, Michał Kobosko, Urmas Paet, Nikola Minchev, Ilhan Kyuchyuk, Ivars Ijabs, Jana Toom, Hristo Petrov,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Underlines the strategic importance of genuinely transnational projects, in particular those involving partners from Central and Eastern Europe and other cohesion regions, in order to strengthen cross-border value chains and foster technology diffusion; encourages the Commission to design calls that actively promote balanced consortia, including entities from different geographical areas, while fully respecting the principle of excellence;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Calls for a clearer and stronger inclusion of education and culture across the various programmes in Heading 2, whether through dedicated clusters or enhanced synergies, taking into account the indispensable role of these areas, in the developement of critical thinking skills enhancing innovation and competitiveness, but also in strengthening European identity and democratic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Insists that the next MFF must reflect the Union’s strategic investment in skills and cohesion by delivering an ‘Erasmus for all’ through a five-fold increase of Erasmus+ funding for 2028–2034, as recommended in the Draghi report; stresses that failing to scale Erasmus+ would perpetuate unequal access to mobility and skills acquisition across Member States and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Notes that the global competitors outperform the EU in economic performance, with for instance US GDP expected to increase by 2.0% while the world output is projected to be 3.2% in 2025 according to the IMF October 2025 World Economic Outlook; calls on the Commission to implement the Budapest Declaration in order to put the EU economy back on the high growth track;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Underlines the importance of fully ring-fencing Horizon Europe funding, ensuring that it is not merely indicative and that it cannot be reduced or reallocated to meet short-term industrial needs under the European Competitiveness Fund, and that the Horizon Europe programme must enhance coherence between EU research and innovative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Emma Fourreau, Younous Omarjee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Recalls that operating grants under the LIFE funding play a crucial role in ensuring the existence of an healthy and independent civil society, which actively contributes to data collection, accountability, citizen awareness, and policy debates; considers that similar operating grants should be made available under the next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Roberts Zīle, Bogdan Rzońca, Ruggero Razza,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Underscores the importance of Horizon Europe and its widening component in addressing the participation gap and the innovation divide and therefore should be strengthened within the next programming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Underlines the continued and increasing need to protect and promote Union values as enshrined in the Treaties, the Charter and in the applicable international human rights conventions in light of the geopolitical changes and recent trends, in particular by supporting civil society organisations active at local, regional, national and transnational level, and by encouraging civic and democratic participation, in order to sustain and further develop open, rights-based, democratic, equal, gender equal and inclusive society; Recalls its position that robust support for civil society “is vital for fostering an active civic space, ensuring accountability and transparency and informing policymakers about best practices from the ground”; welcomes the substantial increase for the CERV+ strand under AgoraEU; recalls that CERV+ only supports a subset of civil society organisations; considers that support for an active civic space should be provided across different sectors and EU funding programmes; insists therefore that the CERV+ strand must continue to finance all the activities under the current CERV programme, including advocacy, strategic litigation, campaigning, communication and other watchdog activities, volunteering, support human rights defenders, and actions to implement the Civil Society Strategy; calls for an additional dedicated budget to finance the cross-sectoral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Takes note of the Commission’s proposed budget allocation for the Justice programme of EUR 0.71 billion in constant prices, reflecting, among other things, Parliament’s ongoing calls for more resources for that programme; stresses the programme’s importance and the significant remaining challenges to ensuring a robust and independent justice system for all in the EU; calls, therefore, for a further increase to EUR 0.87 billion in constant prices, due to the expanding scope of the Justice Programme, including support for the digitalisation of judicial cooperation and access to justice, the roll-out of new cross-border instruments, and emerging initiatives to reduce cross-border legal fragmentation, including the 28th regime; highlights, among the challenges that affect justice in the EU specifically, the increasing threats to the rule of law, several forms of serious crime and obstacles to access to justice and judicial cooperation, as identified in the proposal for a regulation establishing the Justice programme for the 2028-2034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Underlines the importance of maintaining a dedicated budget line for the youth strand within the Erasmus+ Programme, in order to ensure visibility, predictability and effective delivery; calls, in this context, for a minimum of 15 % of the overall Erasmus+ budget to be earmarked for youth-related actions, building on the current framework, in which the Youth Chapter of the existing Programme Regulation allocates approximately 10,3 % of Erasmus+ resources to the youth field; underlines that a strengthened youth dimension contributes directly to skills development, civic engagement and social cohesion, in line with Union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Stresses the importance of further expanding InvestEU as part of the Union’s competitiveness framework, in order to ensure continued access to loans, guarantees and financial support for small and medium-sized enterprises;</w:t>
            </w:r>
            <w:r>
              <w:t xml:space="preserve"> </w:t>
            </w:r>
            <w:r>
              <w:rPr>
                <w:b/>
                <w:i/>
              </w:rPr>
              <w:t>stresses that InvestEU should provide more flexible and accessible financing instruments, especially for SMEs, including, inter alia, those operating in the social economy, which play a key role as drivers of local economic development, job creation and social cohesion, especially in depopulated and rural areas;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Calls for the creation of a European-level agricultural reinsurance mechanism to supplement national insurance systems, taking into account the intensification, unpredictability and worsening of extreme weather events;</w:t>
            </w:r>
            <w:r>
              <w:t xml:space="preserve"> </w:t>
            </w:r>
            <w:r>
              <w:rPr>
                <w:b/>
                <w:i/>
              </w:rPr>
              <w:t>stresses that this mechanism is a priority for strengthening the resilience of the agricultural sector, ensuring stable incomes for farmers, mitigating systemic risks and guaranteeing fair competition in the internal market, while contributing to the continuity of agricultural production and the Union’s food security;</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Notes that the clean energy transition, and actions to improve energy security in Europe are indispensable and require sustained public support; recalls the crucial importance and added value of EU investment in developing clean energy infrastructure and accelerating grid modernisation and cross-border interconnection, including for renewables; considers that the amounts proposed by the Commission do not match the ambitions stated in the respective objectives of these instruments, and therefore proposes to increase the amounts available for these purposes;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Notes that Erasmus+ is a Union programme contributing to the achievement of the Union’s objectives in the fields of education, training, youth and skills, as set out in the Treaties and relevant Union initiatives; notes further that the programme supports learning mobility, cooperation and skills development across sectors and that its objectives have been expanded over successive programming periods; highlights that demand for the programme continues to exceed available financial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Calls for the increase in funding under Heading 2 to unleash a genuine step change in the simplification of procedures;</w:t>
            </w:r>
            <w:r>
              <w:t xml:space="preserve"> </w:t>
            </w:r>
            <w:r>
              <w:rPr>
                <w:b/>
                <w:i/>
              </w:rPr>
              <w:t>urges the Commission to reduce administrative burdens for final beneficiaries, to encourage the use of simplified cost options and risk-based checks, and to ensure that new instruments are designed in accordance with the ‘think small first’ principle, particularly for micro and small enterprises;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Underlines the importance of Erasmus+ in supporting learning mobility, cooperation, and innovation in education, training, youth, and sport; believes that the allocation proposed by the Commission does not correspond to the challenges faced by the young people of Europe and calls for a significant increase in the next MFF to EUR 50.5 billion in current prices (44.8 billion in constant prices);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Lucia Yar, Martin Hojsík, Ľubica Karvašová, Michal Wiezik, Veronika Cifrová Ostrihoňová, Irena Joveva, Marjan Šarec, Dan Barna, Vlad Vasile-Voiculescu, Petras Auštrevičius, Dainius Žalimas, Michał Kobosko, Urmas Paet, Nikola Minchev, Ilhan Kyuchyuk, Ivars Ijabs, Fabienne Keller, Jana Toom, Hristo Petrov,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Recognises that excellence should remain the primary selection criterion; nevertheless, invites the Commission, where appropriate and duly justified, to introduce geographical balance as a limited impact or award sub-criterion in specific calls, with the aim of incentivising the inclusion of partners from underrepresented Member States and reducing persistent participation gaps;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Expresses concern that insufficient investment is likely to hinder growth in Europe; stresses that the EU’s weak economic performance partly stems from the breadth and design of the common priorities - especially the unrealistic requirements of the green transition - stated in the EU strategic agenda 2024–2029;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Highlights the necessity to ensure the proper functioning and deeper integration of European energy markets through the modernisation of cross-border infrastructure, strengthened transmission and interconnections, and enhanced integration of renewable energy and energy efficiency;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Nils Ušakovs, Vytenis Povilas Andriukaitis, Mārtiņš Staķis, Roberts Zīle, Sandra Kalniete, Ivars Ijabs, 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Underlines, that an incentive in terms of a more inclusive criteria is required under the European Competitiveness fund to ensure that the fund fosters support and uses the potential of all Member States and ensures equal opportunities across the EU to access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Isabel Benjumea Benjumea,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Welcomes the proposal to increase the budget of the Justice Programme to EUR 798 million and underlines its importance in addressing persistent challenges to robust, independent judicial systems, including threats to the rule of law, organised crime and obstacles to access to justice and judicial cooperation;</w:t>
            </w:r>
            <w:r>
              <w:t xml:space="preserve"> </w:t>
            </w:r>
            <w:r>
              <w:rPr>
                <w:b/>
                <w:i/>
              </w:rPr>
              <w:t>therefore considers that the programme should have a stable and properly targeted financial envelope in the next multiannual financial framework;</w:t>
            </w:r>
            <w:r>
              <w:t xml:space="preserve"> </w:t>
            </w:r>
            <w:r>
              <w:rPr>
                <w:b/>
                <w:i/>
              </w:rPr>
              <w:t>stresses that funding under the programme should be fully aligned with the principles and values enshrined in Article 2 TEU, and that effective budgetary conditionality mechanisms are essential to ensure that EU resources are used to support independent, effective judicial systems and to preserve mutual trust between Member States;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stresses that the Erasmus+ Programme should adequately reflect the growing demand for and untapped potential of sport, and therefore calls for a minimum allocation of 5 % of the Erasmus+ budget for the 2028–2034 period to be dedicated to sport-related actions, in order to strengthen their contribution to Union priorities; underlines, furthermore, that building upon the youth and education strands of the programme can foster deeper and more structured engagement of sport organisations in the implementation of EU policies at local, national and European levels; highlights the importance of maintaining robust provisions on inclusion and disability, including support for health-enhancing physical activities, so as to ensure equal access, broaden participation and maximise the social and economic impact of Erasmus+ 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Reminds that Erasmus has been and should remain a flagship program of the Union; Recalls that the Draghi report put forward a five-time increase of the budget for the Erasmus+ programme to be able to reach its ambition of providing mobility opportunities to every young person in the EU; reminds that Erasmus has been particularly affected by the high rates of inflation over the current MFF; takes note of the Commissions proposal and underlines that the proposed envelope does not constitute an increase in real terms but on the contrary it will lead to fewer students and organisations participating in the next MFF; insists that a budget allowing for maintaining of the current activities is the bare minimum as it has been demonstrated by multiple Erasmus+ National Agencies;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Stresses that the establishment and operationalisation of the proposed European Competitiveness Fund within the future MFF must be accompanied by meaningful widening measures, enhanced accessibility and targeted capacity-building support for Member States and regions with lower research, innovation and administrative capacities, so that they can fully participate and benefit from EU competitiveness instruments; underlines that without such widening, access and capacity-enhancing measures, the Fund risks deepening existing territorial disparities and undermining the Union’s cohesion and social fairness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Lucia Yar, Martin Hojsík, Ľubica Karvašová, Michal Wiezik, Veronika Cifrová Ostrihoňová, Irena Joveva, Marjan Šarec, Dan Barna, Vlad Vasile-Voiculescu, Petras Auštrevičius, Dainius Žalimas, Michał Kobosko, Urmas Paet, Nikola Minchev, Ilhan Kyuchyuk, Ivars Ijabs, Fabienne Keller, Jana Toom, Hristo Petrov,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Calls on the Commission to establish transparent monitoring tools, including an annual geographical participation scoreboard for the European Competitiveness Fund, detailing participation rates and funding allocation by Member State and, where relevant, by region; calls further on the Commission, in cases of identified imbalances, to deploy corrective measures such as dedicated calls, simplified procedures, variable co-financing rates, increased support intensity and targeted outreach actions in less developed and transition regions, in order to ensure fairer access and participation;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Underscores the importance of EU programmes for young people and students, which act as levers for boosting competitiveness and employability, including by means of stable and targeted funding to invest in digital, linguistic and vocational skills;</w:t>
            </w:r>
            <w:r>
              <w:t xml:space="preserve"> </w:t>
            </w:r>
            <w:r>
              <w:rPr>
                <w:b/>
                <w:i/>
              </w:rPr>
              <w:t>reaffirms that programmes such as Erasmus+ and initiatives geared towards culture, media and young people should be definitively results-oriented and be fully transparent and traceable and easy to identify within the EU budget, while ensuring that EU citizens benefit directly;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Calls for research and innovation in the areas of fisheries, aquaculture and the ocean to be considered a priority under the Horizon Europe programme, promoting sustainable and efficient technologies and the decarbonisation and modernisation of fishing fleets and infrastructure, and strengthening the competitiveness and resilience of coastal communities and outermost regions (Article 349 TFEU) and integrating innovative solutions that ensure food security, environmental protection and the conservation of marine resources.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Stresses that the Connecting Europe Facility programme must also contribute to addressing key challenges related to electrification of end uses, cyber threats and climate change, by supporting smart grids, charging infrastructure, interconnections and, more broadly, the resilience and security of the European energy system, while reducing fossil fuel dependence, mitigating price volatility and enabling the Union to meet its 2030 and 2050 decarbonisation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Commends the role of the Union Civil Protection Mechanism as a solidarity instrument between Member States in response to natural or man-made disasters; considers that the Commission proposal is insufficient taking into account the magnitude and frequency of such disasters in recent years; calls for an appropriate increase of the UCPM EUR 13.9 billion in current prices (12.32 billion EUR in constant prices);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Regrets that the proposed financial allocation of EUR 40.8 billion for Erasmus+ is not sufficient to ensure consistency with the objectives of the Europe on the Move initiative, which aims, by 2030, to increase the number of higher education students participating in learning mobility by 23% and vocational education and training learners by 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Believes that it is necessary to have an InvestEU instrument larger at size than the current programme, and available from the outset, to finance the high investments needs in the European economy; stresses, in particular, that InvestEU should contribute to the objectives set out in the European Affordable Housing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Nils Ušakovs, Mārtiņš Staķis, Roberts Zīle, Sandra Kalniete, Ivars Ijabs, 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Underscores the importance of Horizon Europe and its widening component in addressing the participation gap and the innovation divide and therefore should be strengthened within the next programming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20f.</w:t>
            </w:r>
            <w:r>
              <w:tab/>
            </w:r>
            <w:r>
              <w:rPr>
                <w:b/>
                <w:i/>
              </w:rPr>
              <w:t>Notes that according to the Draghi report on the future of European competitiveness, electricity prices for EU companies – although no longer at their peak – are around two to three times higher than they are in the US and China, with the resultant energy price gap having a direct impact on jobs, investments, production and the ability to attract strategic industries;</w:t>
            </w:r>
            <w:r>
              <w:t xml:space="preserve"> </w:t>
            </w:r>
            <w:r>
              <w:rPr>
                <w:b/>
                <w:i/>
              </w:rPr>
              <w:t>stresses, therefore, that investments under the European Competitiveness Fund should centre on technological neutrality, including a wide array of solutions such as nuclear technologies and biofuels, while also factoring in energy security, the affordability of energy and price stability;</w:t>
            </w:r>
            <w:r>
              <w:t xml:space="preserve"> </w:t>
            </w:r>
            <w:r>
              <w:rPr>
                <w:b/>
                <w:i/>
              </w:rPr>
              <w:t>highlights the need to increase Union funding to reduce strategic dependencies on non-EU countries in critical sectors, while bolstering the resilience and strategic autonomy of the EU;</w:t>
            </w:r>
            <w:r>
              <w:t xml:space="preserve"> </w:t>
            </w:r>
            <w:r>
              <w:rPr>
                <w:b/>
                <w:i/>
              </w:rPr>
              <w:t>highlights the need to strengthen the EU’s position of leadership in research and innovation, skills and nuclear safety, including through the Euratom research and training programme and the Union’s continuous involvement in the International Thermonuclear Experimental Reactor (ITER) project, and by adjusting the relevant funding appropriations in line with progress on the commercialisation of nuclear fusion;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Highlights that despite the strategic importance of the agri-food sector for the Union’s economic resilience, food security and territorial cohesion, a significant share of small and medium-sized enterprises (SMEs), including farmers and agri-food innovators, face persistent barriers in accessing Union research and innovation funding, notably under Horizon Europe, due to the scale, complexity and administrative burden of existing calls; notes with concern that these structural obstacles discourage participation and limit the uptake of innovative solutions in primary production, processing and sustainable food systems; calls on the Commission to develop more accessible, proportionate and sector-specific funding instruments for agri-food SMEs, including smaller-scale projects, simplified application procedures and dedicated support mechanisms, in order to strengthen innovation in farming practices, digitalisation, precision agriculture and sustainable agri-food value chains;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Takes note of the Commission’s initiative to strengthen scale-up financing for innovative SMEs, including through the Scale-up Europe Fund, and calls for such initiatives to be fully reflected and supported within the European Competitiveness Fund; underlines that improving access to growth and late-stage financing is essential to enable European SMEs and start-ups to scale up within the Union, close the innovation and investment gap with global competitors and contribute to sustainable growth, job creation and strategic autonomy; calls for the European Competitiveness Fund to contribute to the objective of fostering the creation of up to 1 million new start-ups across the Union, by strengthening scale-up instruments, enhancing coherence and visibility, and ensuring complementarity with existing EU innovation and investment tools, while supporting a vibrant entrepreneurial ecosystem across all Member States and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Opposes the proposed discontinuation of the stand-alone LIFE Programme, which proved to be one of the most successful programmes in the Union in delivering concrete actions for environmental protection; deplores also the fragmentation of the LIFE actions into different headings of the EU budget, as this risks weakening European action on environmental policies, compromises the predictability, stability, and continuity of funding, and subordinates environmental and climate objectives to competitiveness; proposes to maintain LIFE as an autonomous programme with a budget of EUR 7 billion in current prices, and to preserve its accessibility to a wide range of beneficiaries;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Takes note of the increased allocation proposed for the Justice Programme as well as the additional tasks in particular on the digitalisation of our justice systems which require substantial investments, to enhance the resilience of the justice system and to reduce administrative burden but also victim support of rapidly increasing online crime and hate speech; is of the opinion that the proposed envelope is inadequate therefore;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Fabienne Keller, Stine Bosse, Lucia Yar,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Underlines the growing security challenges facing the EU, including those identified in the Niinistö report; insist on the need to strengthen cross-border police, judicial and inter-agency cooperation to respond effectively to transnational crime and hybrid threats, and stresses that any reinforcement of law-enforcement cooperation must be matched by adequate budgetary support for judicial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784.187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180</w:t>
    </w:r>
    <w:r>
      <w:fldChar w:fldCharType="end"/>
    </w:r>
    <w:r>
      <w:t>/</w:t>
    </w:r>
    <w:r>
      <w:fldChar w:fldCharType="begin"/>
    </w:r>
    <w:r>
      <w:instrText xml:space="preserve"> NUMPAGES </w:instrText>
    </w:r>
    <w:r>
      <w:fldChar w:fldCharType="separate"/>
    </w:r>
    <w:r>
      <w:t>181</w:t>
    </w:r>
    <w:r>
      <w:fldChar w:fldCharType="end"/>
    </w:r>
    <w:r>
      <w:tab/>
    </w:r>
    <w:r>
      <w:rPr>
        <w:rStyle w:val="HideTWBExt"/>
      </w:rPr>
      <w:t>&lt;PathFdR&gt;</w:t>
    </w:r>
    <w:r>
      <w:t>AM\1336461EN.docx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AM\1336461EN.docx</w:t>
    </w:r>
    <w:r>
      <w:rPr>
        <w:rStyle w:val="HideTWBExt"/>
      </w:rPr>
      <w:t>&lt;/PathFdR&gt;</w:t>
    </w:r>
    <w:r>
      <w:tab/>
    </w:r>
    <w:r>
      <w:fldChar w:fldCharType="begin"/>
    </w:r>
    <w:r>
      <w:instrText xml:space="preserve"> PAGE </w:instrText>
    </w:r>
    <w:r>
      <w:fldChar w:fldCharType="separate"/>
    </w:r>
    <w:r>
      <w:t>181</w:t>
    </w:r>
    <w:r>
      <w:fldChar w:fldCharType="end"/>
    </w:r>
    <w:r>
      <w:t>/</w:t>
    </w:r>
    <w:r>
      <w:fldChar w:fldCharType="begin"/>
    </w:r>
    <w:r>
      <w:instrText xml:space="preserve"> NUMPAGES </w:instrText>
    </w:r>
    <w:r>
      <w:fldChar w:fldCharType="separate"/>
    </w:r>
    <w:r>
      <w:t>181</w:t>
    </w:r>
    <w:r>
      <w:fldChar w:fldCharType="end"/>
    </w:r>
    <w:r>
      <w:tab/>
    </w:r>
    <w:r>
      <w:t>PE</w:t>
    </w:r>
    <w:r>
      <w:rPr>
        <w:rStyle w:val="HideTWBExt"/>
      </w:rPr>
      <w:t>&lt;NoPE&gt;</w:t>
    </w:r>
    <w:r>
      <w:t>784.187</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AM\1336461EN.docx</w:t>
    </w:r>
    <w:r>
      <w:rPr>
        <w:rStyle w:val="HideTWBExt"/>
      </w:rPr>
      <w:t>&lt;/PathFdR&gt;</w:t>
    </w:r>
    <w:r>
      <w:tab/>
    </w:r>
    <w:r>
      <w:tab/>
    </w:r>
    <w:r>
      <w:t>PE</w:t>
    </w:r>
    <w:r>
      <w:rPr>
        <w:rStyle w:val="HideTWBExt"/>
      </w:rPr>
      <w:t>&lt;NoPE&gt;</w:t>
    </w:r>
    <w:r>
      <w:t>784.187</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181</Pages>
  <Words>39693</Words>
  <Characters>232536</Characters>
  <Application>Microsoft Office Word</Application>
  <DocSecurity>0</DocSecurity>
  <Lines>1</Lines>
  <Paragraphs>2480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1336461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366511</vt:lpwstr>
  </property>
  <property fmtid="{D5CDD505-2E9C-101B-9397-08002B2CF9AE}" pid="7" name="dmxml.render.traceId">
    <vt:lpwstr>69861a180d955006534c927967b44cbc</vt:lpwstr>
  </property>
  <property fmtid="{D5CDD505-2E9C-101B-9397-08002B2CF9AE}" pid="8" name="FooterPath">
    <vt:lpwstr>AM\1336461EN.docx</vt:lpwstr>
  </property>
  <property fmtid="{D5CDD505-2E9C-101B-9397-08002B2CF9AE}" pid="9" name="PE Number">
    <vt:lpwstr>784.187</vt:lpwstr>
  </property>
  <property fmtid="{D5CDD505-2E9C-101B-9397-08002B2CF9AE}" pid="10" name="UID">
    <vt:lpwstr>eu.europa.europarl-DIN1-2026-0000020145_02.00-en-01.00_text-xml</vt:lpwstr>
  </property>
</Properties>
</file>