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{BUDG}</w:t>
      </w:r>
      <w:r>
        <w:t>Committee on Budgets</w:t>
      </w:r>
      <w:r>
        <w:rPr>
          <w:rStyle w:val="HideTWBExt"/>
        </w:rPr>
        <w:t>&lt;/Commission&gt;</w:t>
      </w:r>
    </w:p>
    <w:p>
      <w:pPr>
        <w:pStyle w:val="LineBottom"/>
      </w:pPr>
      <w:r>
        <w:t xml:space="preserve"> </w:t>
      </w:r>
    </w:p>
    <w:p>
      <w:pPr>
        <w:pStyle w:val="CoverReference"/>
      </w:pPr>
      <w:r>
        <w:rPr>
          <w:rStyle w:val="HideTWBExt"/>
        </w:rPr>
        <w:t>&lt;RefProc&gt;</w:t>
      </w:r>
      <w:r>
        <w:t>2025/0571R</w:t>
      </w:r>
      <w:r>
        <w:rPr>
          <w:rStyle w:val="HideTWBExt"/>
        </w:rPr>
        <w:t>&lt;/RefProc&gt;</w:t>
      </w:r>
      <w:r>
        <w:rPr>
          <w:rStyle w:val="HideTWBExt"/>
        </w:rPr>
        <w:t>&lt;RefTypeProc&gt;</w:t>
      </w:r>
      <w:r>
        <w:t>(APP)</w:t>
      </w:r>
      <w:r>
        <w:rPr>
          <w:rStyle w:val="HideTWBExt"/>
        </w:rPr>
        <w:t>&lt;/RefTypeProc&gt;</w:t>
      </w:r>
    </w:p>
    <w:p>
      <w:pPr>
        <w:pStyle w:val="CoverDate"/>
      </w:pPr>
      <w:r>
        <w:rPr>
          <w:rStyle w:val="HideTWBExt"/>
        </w:rPr>
        <w:t>&lt;Date&gt;</w:t>
      </w:r>
      <w:r>
        <w:rPr>
          <w:rStyle w:val="HideTWBInt"/>
        </w:rPr>
        <w:t>{02/02/2026}</w:t>
      </w:r>
      <w:r>
        <w:t>2.2.2026</w:t>
      </w:r>
      <w:r>
        <w:rPr>
          <w:rStyle w:val="HideTWBExt"/>
        </w:rPr>
        <w:t>&lt;/Date&gt;</w:t>
      </w:r>
    </w:p>
    <w:p>
      <w:pPr>
        <w:pStyle w:val="CoverDocType"/>
      </w:pPr>
      <w:r>
        <w:rPr>
          <w:rStyle w:val="HideTWBExt"/>
        </w:rPr>
        <w:t>&lt;TypeAM&gt;</w:t>
      </w:r>
      <w:r>
        <w:t>AMENDMENTS</w:t>
      </w:r>
      <w:r>
        <w:rPr>
          <w:rStyle w:val="HideTWBExt"/>
        </w:rPr>
        <w:t>&lt;/TypeAM&gt;</w:t>
      </w:r>
    </w:p>
    <w:p>
      <w:pPr>
        <w:pStyle w:val="CoverDocType24a"/>
      </w:pPr>
      <w:r>
        <w:rPr>
          <w:rStyle w:val="HideTWBExt"/>
        </w:rPr>
        <w:t>&lt;RangeAM&gt;</w:t>
      </w:r>
      <w:r>
        <w:t>585</w:t>
      </w:r>
      <w:r>
        <w:t xml:space="preserve"> - </w:t>
      </w:r>
      <w:r>
        <w:t>871</w:t>
      </w:r>
      <w:r>
        <w:rPr>
          <w:rStyle w:val="HideTWBExt"/>
        </w:rPr>
        <w:t>&lt;/RangeAM&gt;</w:t>
      </w:r>
    </w:p>
    <w:p>
      <w:pPr>
        <w:pStyle w:val="CoverBold"/>
      </w:pPr>
      <w:r>
        <w:rPr>
          <w:rStyle w:val="HideTWBExt"/>
        </w:rPr>
        <w:t>&lt;TitreType&gt;</w:t>
      </w:r>
      <w:r>
        <w:t>Draft report</w:t>
      </w:r>
      <w:r>
        <w:rPr>
          <w:rStyle w:val="HideTWBExt"/>
        </w:rPr>
        <w:t>&lt;/TitreType&gt;</w:t>
      </w:r>
    </w:p>
    <w:p>
      <w:pPr>
        <w:pStyle w:val="CoverBold"/>
      </w:pPr>
      <w:r>
        <w:rPr>
          <w:rStyle w:val="HideTWBExt"/>
        </w:rPr>
        <w:t>&lt;Rapporteur&gt;</w:t>
      </w:r>
      <w:r>
        <w:t>Siegfried Mureşan, Carla Tavares</w:t>
      </w:r>
      <w:r>
        <w:rPr>
          <w:rStyle w:val="HideTWBExt"/>
        </w:rPr>
        <w:t>&lt;/Rapporteur&gt;</w:t>
      </w:r>
    </w:p>
    <w:p>
      <w:pPr>
        <w:pStyle w:val="CoverNormal24a"/>
      </w:pPr>
      <w:r>
        <w:rPr>
          <w:rStyle w:val="HideTWBExt"/>
        </w:rPr>
        <w:t>&lt;DocRefPE&gt;</w:t>
      </w:r>
      <w:r>
        <w:t>(PE779.351v01-00)</w:t>
      </w:r>
      <w:r>
        <w:rPr>
          <w:rStyle w:val="HideTWBExt"/>
        </w:rPr>
        <w:t>&lt;/DocRefPE&gt;</w:t>
      </w:r>
    </w:p>
    <w:p>
      <w:pPr>
        <w:pStyle w:val="CoverNormal"/>
      </w:pPr>
      <w:r>
        <w:rPr>
          <w:rStyle w:val="HideTWBExt"/>
        </w:rPr>
        <w:t>&lt;Titre&gt;</w:t>
      </w:r>
      <w:r>
        <w:t>Interim report on the proposal for the multiannual financial framework for 2028-2034</w:t>
      </w:r>
      <w:r>
        <w:rPr>
          <w:rStyle w:val="HideTWBExt"/>
        </w:rPr>
        <w:t>&lt;/Titre&gt;</w:t>
      </w:r>
    </w:p>
    <w:p>
      <w:pPr>
        <w:pStyle w:val="CoverNormal24a"/>
      </w:pPr>
      <w:r>
        <w:rPr>
          <w:rStyle w:val="HideTWBExt"/>
        </w:rPr>
        <w:t>&lt;DocRef&gt;</w:t>
      </w:r>
      <w:r>
        <w:t>(2025/0571R(APP))</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Amendment</w:t>
      </w:r>
      <w:r>
        <w:tab/>
      </w:r>
      <w:r>
        <w:tab/>
      </w:r>
      <w:r>
        <w:rPr>
          <w:rStyle w:val="HideTWBExt"/>
        </w:rPr>
        <w:t>&lt;NumAm&gt;</w:t>
      </w:r>
      <w:r>
        <w:t>585</w:t>
      </w:r>
      <w:r>
        <w:rPr>
          <w:rStyle w:val="HideTWBExt"/>
        </w:rPr>
        <w:t>&lt;/NumAm&gt;</w:t>
      </w:r>
    </w:p>
    <w:p>
      <w:pPr>
        <w:pStyle w:val="NormalBold"/>
      </w:pPr>
      <w:r>
        <w:rPr>
          <w:rStyle w:val="HideTWBExt"/>
          <w:b w:val="0"/>
        </w:rPr>
        <w:t>&lt;RepeatBlock-By&gt;</w:t>
      </w:r>
      <w:r>
        <w:rPr>
          <w:rStyle w:val="HideTWBExt"/>
          <w:b w:val="0"/>
        </w:rPr>
        <w:t>&lt;Members&gt;</w:t>
      </w:r>
      <w:r>
        <w:t>Hélder Sousa Silva, 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20f.</w:t>
            </w:r>
            <w:r>
              <w:tab/>
            </w:r>
            <w:r>
              <w:rPr>
                <w:b/>
                <w:i/>
              </w:rPr>
              <w:t>Takes the view that the Competitiveness Fund should include a dedicated pillar on the transition to clean energy and decarbonisation, supporting the modernisation and renewal of fleets and infrastructure in fisheries, aquaculture and the maritime industries, with EU funding and more flexible arrangements to foster sustainable technologies and help cut emissions and boost the sector’s competitiveness.</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586</w:t>
      </w:r>
      <w:r>
        <w:rPr>
          <w:rStyle w:val="HideTWBExt"/>
        </w:rPr>
        <w:t>&lt;/NumAm&gt;</w:t>
      </w:r>
    </w:p>
    <w:p>
      <w:pPr>
        <w:pStyle w:val="NormalBold"/>
      </w:pPr>
      <w:r>
        <w:rPr>
          <w:rStyle w:val="HideTWBExt"/>
          <w:b w:val="0"/>
        </w:rPr>
        <w:t>&lt;RepeatBlock-By&gt;</w:t>
      </w:r>
      <w:r>
        <w:rPr>
          <w:rStyle w:val="HideTWBExt"/>
          <w:b w:val="0"/>
        </w:rPr>
        <w:t>&lt;Members&gt;</w:t>
      </w:r>
      <w:r>
        <w:t>Lucia Yar, Martin Hojsík, Ľubica Karvašová, Michal Wiezik, Veronika Cifrová Ostrihoňová, Irena Joveva, Marjan Šarec, Dan Barna, Vlad Vasile-Voiculescu, Petras Auštrevičius, Dainius Žalimas, Michał Kobosko, Urmas Paet, Nikola Minchev, Ilhan Kyuchyuk, Fabienne Keller, Jana Toom, Eugen Tomac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f.</w:t>
            </w:r>
            <w:r>
              <w:tab/>
            </w:r>
            <w:r>
              <w:rPr>
                <w:b/>
                <w:i/>
              </w:rPr>
              <w:t>Underlines that competitiveness encompasses not only EU´s industrial strength, but also sustainable, resilient and inclusive economy. In this regard, underlines that the European Competitiveness Fund should not only support innovative nature-based business models, but also explicitly include innovative solutions supporting biodiversity, circular economy, and ecosystem resilience and restoration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587</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f.</w:t>
            </w:r>
            <w:r>
              <w:tab/>
            </w:r>
            <w:r>
              <w:rPr>
                <w:b/>
                <w:i/>
              </w:rPr>
              <w:t>Stresses that inflation and rising living costs have significantly affected the real value of grants and the effective implementation of Erasmus+ programme; underlines the need to ensure budgetary adequacy in order to preserve accessibility, quality and impact;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588</w:t>
      </w:r>
      <w:r>
        <w:rPr>
          <w:rStyle w:val="HideTWBExt"/>
        </w:rPr>
        <w:t>&lt;/NumAm&gt;</w:t>
      </w:r>
    </w:p>
    <w:p>
      <w:pPr>
        <w:pStyle w:val="NormalBold"/>
      </w:pPr>
      <w:r>
        <w:rPr>
          <w:rStyle w:val="HideTWBExt"/>
          <w:b w:val="0"/>
        </w:rPr>
        <w:t>&lt;RepeatBlock-By&gt;</w:t>
      </w:r>
      <w:r>
        <w:rPr>
          <w:rStyle w:val="HideTWBExt"/>
          <w:b w:val="0"/>
        </w:rPr>
        <w:t>&lt;Members&gt;</w:t>
      </w:r>
      <w:r>
        <w:t>Isabel Benjumea Benjumea, Francisco José Millán Mon, Carmen Crespo Díaz, Gabriel Mato, 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20f.</w:t>
            </w:r>
            <w:r>
              <w:tab/>
            </w:r>
            <w:r>
              <w:rPr>
                <w:b/>
                <w:i/>
              </w:rPr>
              <w:t>Stresses the importance of dedicated budget lines within the European Competitiveness Fund and Horizon Europe to support the much-needed decarbonisation, generational renewal and competitiveness of the EU fishing fleet;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589</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g.</w:t>
            </w:r>
            <w:r>
              <w:tab/>
            </w:r>
            <w:r>
              <w:rPr>
                <w:b/>
                <w:i/>
              </w:rPr>
              <w:t>Recalls that Europe is the fastest warming continent in the world, and climate risks are threatening its energy and food security, ecosystems, infrastructure, water resources, financial stability, and people’s health; takes note of the proposal to merge the health emergency response with the more general crisis response capabilities of the EU complemented by new cross-sectoral crisis coordination functions and actions relating to civil-military cooperation creating integrated and resilient European civil protection; calls for sufficient funding for the EU Civil Protection Mechanism, including the rescEU capacities and health emergencies, to support Member States quickly and effectively in overwhelming crisis situations that are expected to increase both in frequency and intensity over the coming MFF period; underlines the EU’s role as a hub for coordinating and improving the Member States’ preparedness and capacities to respond immediately to large-scale, high-impact emergencies and calls therefore for an increased envelope;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590</w:t>
      </w:r>
      <w:r>
        <w:rPr>
          <w:rStyle w:val="HideTWBExt"/>
        </w:rPr>
        <w:t>&lt;/NumAm&gt;</w:t>
      </w:r>
    </w:p>
    <w:p>
      <w:pPr>
        <w:pStyle w:val="NormalBold"/>
      </w:pPr>
      <w:r>
        <w:rPr>
          <w:rStyle w:val="HideTWBExt"/>
          <w:b w:val="0"/>
        </w:rPr>
        <w:t>&lt;RepeatBlock-By&gt;</w:t>
      </w:r>
      <w:r>
        <w:rPr>
          <w:rStyle w:val="HideTWBExt"/>
          <w:b w:val="0"/>
        </w:rPr>
        <w:t>&lt;Members&gt;</w:t>
      </w:r>
      <w:r>
        <w:t>Ruggero Razza,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20g.</w:t>
            </w:r>
            <w:r>
              <w:tab/>
            </w:r>
            <w:r>
              <w:rPr>
                <w:b/>
                <w:i/>
              </w:rPr>
              <w:t>Stresses that European cultural heritage and its historical roots are a cornerstone in the identity of Europe's peoples, a driver of social cohesion and a source of international prestige and projection for the EU;</w:t>
            </w:r>
            <w:r>
              <w:t xml:space="preserve"> </w:t>
            </w:r>
            <w:r>
              <w:rPr>
                <w:b/>
                <w:i/>
              </w:rPr>
              <w:t>reiterates that, in the next multiannual financial framework, stable and sufficient support should be ensured for protecting and enhancing heritage, for cultural participation, for artistic mobility and for the cultural and creative sectors;</w:t>
            </w:r>
            <w:r>
              <w:t xml:space="preserve"> </w:t>
            </w:r>
            <w:r>
              <w:rPr>
                <w:b/>
                <w:i/>
              </w:rPr>
              <w:t>highlights, additionally, that culture is also part of the real economy and that tourism, particularly the cultural kind, is a strategic lever for growth, employment and vitality in the regions, especially in inland, rural and island areas;</w:t>
            </w:r>
            <w:r>
              <w:t xml:space="preserve"> </w:t>
            </w:r>
            <w:r>
              <w:rPr>
                <w:b/>
                <w:i/>
              </w:rPr>
              <w:t>requests, therefore, that EU programmes support targeted interventions that strengthen the availability, accessibility and quality of services, encouraging local investment and employment, without bureaucratic burdens;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591</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g.</w:t>
            </w:r>
            <w:r>
              <w:tab/>
            </w:r>
            <w:r>
              <w:rPr>
                <w:b/>
                <w:i/>
              </w:rPr>
              <w:t>Calls on the Commission and the budgetary authority to increase the financial allocation for Erasmus+ under the next Multiannual Financial Framework to at least EUR 60 billion, in order to ensure the effective implementation of the programme and its consistency with Union objectives; stresses, in this context, the conclusions of the report by Mario Draghi on the future of European competitiveness, which identifies investment in skills, education and human capital as a prerequisite for strengthening the Union’s competitiveness and long-term economic resilience.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592</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g.</w:t>
            </w:r>
            <w:r>
              <w:tab/>
            </w:r>
            <w:r>
              <w:rPr>
                <w:b/>
                <w:i/>
              </w:rPr>
              <w:t>Welcomes the highly necessary increase in CEF Transport and Military Mobility funding proposal, to boost EU connectivity, cohesion, decarbonisation, resilience, and competitiveness, while the investment needs in transport infrastructure and decarbonisation will are far higher; notes that funding for transport infrastructure as well as decarbonisation and digitalisation solutions is now dependent on close synchronization between CEF, ECF and NRPP;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593</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g.</w:t>
            </w:r>
            <w:r>
              <w:tab/>
            </w:r>
            <w:r>
              <w:rPr>
                <w:b/>
                <w:i/>
              </w:rPr>
              <w:t>Stresses that the European Competitiveness Fund must deliver tangible benefits across all Member States and contribute to upward economic and territorial convergence; calls, therefore, for a fair geographical distribution of ECF allocations, including through pre-allocated national envelopes per Member State, in order to ensure predictability, fair access and a balanced contribution to competitiveness and cohesion across the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594</w:t>
      </w:r>
      <w:r>
        <w:rPr>
          <w:rStyle w:val="HideTWBExt"/>
        </w:rPr>
        <w:t>&lt;/NumAm&gt;</w:t>
      </w:r>
    </w:p>
    <w:p>
      <w:pPr>
        <w:pStyle w:val="NormalBold"/>
      </w:pPr>
      <w:r>
        <w:rPr>
          <w:rStyle w:val="HideTWBExt"/>
          <w:b w:val="0"/>
        </w:rPr>
        <w:t>&lt;RepeatBlock-By&gt;</w:t>
      </w:r>
      <w:r>
        <w:rPr>
          <w:rStyle w:val="HideTWBExt"/>
          <w:b w:val="0"/>
        </w:rPr>
        <w:t>&lt;Members&gt;</w:t>
      </w:r>
      <w:r>
        <w:t>Fabienne Keller, Stine Bosse, Lucia Yar, Anouk Van Brug, Joachim Streit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g.</w:t>
            </w:r>
            <w:r>
              <w:tab/>
            </w:r>
            <w:r>
              <w:rPr>
                <w:b/>
                <w:i/>
              </w:rPr>
              <w:t>Recalls that a safer and more secure Europe requires EU decentralised agencies supporting law enforcement and judicial authorities to be equipped with the resources needed to fulfil their expanding mandates; insists in particular on adequate funding for both Europol and Eurojust;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595</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h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h.</w:t>
            </w:r>
            <w:r>
              <w:tab/>
            </w:r>
            <w:r>
              <w:rPr>
                <w:b/>
                <w:i/>
              </w:rPr>
              <w:t>Recalls its position that the next MFF must build on the work done in the current programming period by ensuring that the necessary investment is in place to build a genuine European Health Union that delivers for all citizens; calls therefore for the prioritisation of EU funding for health across all policies, aiming for at least EUR 90 billion in investments in health under the next MFF; expresses strong concern about the dilution of the EU4Health programme into the ECF and calls for EU health funding to be earmarked into a separate and stand-alone programme with specific priorities; calls for earmarking for the health preparedness strand and for an additional strand to ensure synergies, cross-sectorial coordination and flexibility under the new UCPM+;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596</w:t>
      </w:r>
      <w:r>
        <w:rPr>
          <w:rStyle w:val="HideTWBExt"/>
        </w:rPr>
        <w:t>&lt;/NumAm&gt;</w:t>
      </w:r>
    </w:p>
    <w:p>
      <w:pPr>
        <w:pStyle w:val="NormalBold"/>
      </w:pPr>
      <w:r>
        <w:rPr>
          <w:rStyle w:val="HideTWBExt"/>
          <w:b w:val="0"/>
        </w:rPr>
        <w:t>&lt;RepeatBlock-By&gt;</w:t>
      </w:r>
      <w:r>
        <w:rPr>
          <w:rStyle w:val="HideTWBExt"/>
          <w:b w:val="0"/>
        </w:rPr>
        <w:t>&lt;Members&gt;</w:t>
      </w:r>
      <w:r>
        <w:t>Ruggero Razza, Roberts Zīle,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h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20h.</w:t>
            </w:r>
            <w:r>
              <w:tab/>
            </w:r>
            <w:r>
              <w:rPr>
                <w:b/>
                <w:i/>
              </w:rPr>
              <w:t>Warns that the merging of health-related actions into broader national or multi-sectoral plans risks undermining funding predictability, programme visibility and effective parliamentary oversight;</w:t>
            </w:r>
            <w:r>
              <w:t xml:space="preserve"> </w:t>
            </w:r>
            <w:r>
              <w:rPr>
                <w:b/>
                <w:i/>
              </w:rPr>
              <w:t>insists that Union health objectives require a distinct programme architecture and clearly identifiable budget lines within the MFF;</w:t>
            </w:r>
            <w:r>
              <w:t xml:space="preserve"> </w:t>
            </w:r>
            <w:r>
              <w:rPr>
                <w:b/>
                <w:i/>
              </w:rPr>
              <w:t>calls for dedicated health appropriations within the MFF to be protected from recurrent redeployments and excessive use of flexibility mechanisms, which risk undermining continuity, investment planning and the effective implementation of health‑related actions;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597</w:t>
      </w:r>
      <w:r>
        <w:rPr>
          <w:rStyle w:val="HideTWBExt"/>
        </w:rPr>
        <w:t>&lt;/NumAm&gt;</w:t>
      </w:r>
    </w:p>
    <w:p>
      <w:pPr>
        <w:pStyle w:val="NormalBold"/>
      </w:pPr>
      <w:r>
        <w:rPr>
          <w:rStyle w:val="HideTWBExt"/>
          <w:b w:val="0"/>
        </w:rPr>
        <w:t>&lt;RepeatBlock-By&gt;</w:t>
      </w:r>
      <w:r>
        <w:rPr>
          <w:rStyle w:val="HideTWBExt"/>
          <w:b w:val="0"/>
        </w:rPr>
        <w:t>&lt;Members&gt;</w:t>
      </w:r>
      <w:r>
        <w:t>Fabienne Keller,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h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h.</w:t>
            </w:r>
            <w:r>
              <w:tab/>
            </w:r>
            <w:r>
              <w:rPr>
                <w:b/>
                <w:i/>
              </w:rPr>
              <w:t>Insists on the importance for the European Competitiveness Fund to have a strong, robust health dimension in order to provide continued support for the European Health Union and to properly address current and future health threats the EU faces. Therefore considers it essential for health civil society organisations, such as patient organisations, to receive adequate financial support in order to keep supporting the objectives of the programme and its implementation.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598</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h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h.</w:t>
            </w:r>
            <w:r>
              <w:tab/>
            </w:r>
            <w:r>
              <w:rPr>
                <w:b/>
                <w:i/>
              </w:rPr>
              <w:t>Stresses that achieving national and collective defence targets requires substantial investment efforts at european level and national level, estimated by the Commission to amount to several percentage points of GDP; underlines the need for long-term investments in defence capabilities and dual-use products in order to strengthen the Union’s strategic autonomy, enhance cohesion among Member States, and improve EU defence readiness;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599</w:t>
      </w:r>
      <w:r>
        <w:rPr>
          <w:rStyle w:val="HideTWBExt"/>
        </w:rPr>
        <w:t>&lt;/NumAm&gt;</w:t>
      </w:r>
    </w:p>
    <w:p>
      <w:pPr>
        <w:pStyle w:val="NormalBold"/>
      </w:pPr>
      <w:r>
        <w:rPr>
          <w:rStyle w:val="HideTWBExt"/>
          <w:b w:val="0"/>
        </w:rPr>
        <w:t>&lt;RepeatBlock-By&gt;</w:t>
      </w:r>
      <w:r>
        <w:rPr>
          <w:rStyle w:val="HideTWBExt"/>
          <w:b w:val="0"/>
        </w:rPr>
        <w:t>&lt;Members&gt;</w:t>
      </w:r>
      <w:r>
        <w:t>Ruggero Razza,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i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20i.</w:t>
            </w:r>
            <w:r>
              <w:tab/>
            </w:r>
            <w:r>
              <w:rPr>
                <w:b/>
                <w:i/>
              </w:rPr>
              <w:t>Stresses that water is a cornerstone of the EU's strategic autonomy in terms of climate resilience and adaptation, food security and agricultural competitiveness, operational continuity of the industrial system, health and ecosystem security, technological and infrastructural autonomy, territorial cohesion and development of rural areas, and the competitiveness of businesses of all sizes;</w:t>
            </w:r>
            <w:r>
              <w:t xml:space="preserve"> </w:t>
            </w:r>
            <w:r>
              <w:rPr>
                <w:b/>
                <w:i/>
              </w:rPr>
              <w:t>highlights that water scarcity and drought are creating structural challenges in many parts of the Union, with the Mediterranean basin and island regions among the most exposed;</w:t>
            </w:r>
            <w:r>
              <w:t xml:space="preserve"> </w:t>
            </w:r>
            <w:r>
              <w:rPr>
                <w:b/>
                <w:i/>
              </w:rPr>
              <w:t>calls for more support, under the relevant headings, for innovation, research, development and modern water infrastructure, including leakage reduction in drinking water and irrigation networks, safe reuse of purified wastewater, efficient and intelligent irrigation, digitalisation and districting of water networks, and low‑carbon desalination, in order to protect drinking water supplies, ecosystems and agri‑food production;</w:t>
            </w:r>
            <w:r>
              <w:t xml:space="preserve"> </w:t>
            </w:r>
            <w:r>
              <w:rPr>
                <w:b/>
                <w:i/>
              </w:rPr>
              <w:t>calls for dedicated support for restoration initiatives, particularly in regions severely affected by wildfires, droughts and land degradation;</w:t>
            </w:r>
            <w:r>
              <w:t xml:space="preserve"> </w:t>
            </w:r>
            <w:r>
              <w:rPr>
                <w:b/>
                <w:i/>
              </w:rPr>
              <w:t>underlines that such support schemes should allow for direct access to funding by regional and local authorities and other relevant stakeholders (for example industrial and agricultural actors, water and multi-utility companies, and irrigation associations), in order to maximise environmental benefits, carbon sinks and climate resilience, while strengthening rural economies;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600</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i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i.</w:t>
            </w:r>
            <w:r>
              <w:tab/>
            </w:r>
            <w:r>
              <w:rPr>
                <w:b/>
                <w:i/>
              </w:rPr>
              <w:t>Emphasises the importance of establishing a dedicated Defence heading, bringing together currently fragmented defence-related investments across the MFF, in particular those under the programme “Resilience and security, defence industry and space” within the ECF; further stresses the need to establish a clear and transparent governance structure for security and defence investments in order to avoid fragmentation and duplication of efforts at EU level.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601</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i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i.</w:t>
            </w:r>
            <w:r>
              <w:tab/>
            </w:r>
            <w:r>
              <w:rPr>
                <w:b/>
                <w:i/>
              </w:rPr>
              <w:t>Underlines that the budget of Erasmus+ should be further increased and considers it indispensable in order to maintain the accessibility, quality and inclusiveness of the programme; underlines that Erasmus+ reaches more citizens than any other Union programme and delivers exceptional value for money;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602</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j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j.</w:t>
            </w:r>
            <w:r>
              <w:tab/>
            </w:r>
            <w:r>
              <w:rPr>
                <w:b/>
                <w:i/>
              </w:rPr>
              <w:t>Stresses that the establishment of AgoraEU, bringing together Creative Europe and the Citizens, Equality, Rights and Values (CERV) programme under a single structure, must not lead to a dilution of the Union’s cultural ambition; underlines that the cultural strand therefore requires a significantly reinforced budget, accompanied by clear and binding earmarking for core cultural priorities; insists in particular on safeguarding flagship actions, which are essential for the competitiveness, sovereignty and diversity of Europe’s cultural and creative sectors;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603</w:t>
      </w:r>
      <w:r>
        <w:rPr>
          <w:rStyle w:val="HideTWBExt"/>
        </w:rPr>
        <w:t>&lt;/NumAm&gt;</w:t>
      </w:r>
    </w:p>
    <w:p>
      <w:pPr>
        <w:pStyle w:val="NormalBold"/>
      </w:pPr>
      <w:r>
        <w:rPr>
          <w:rStyle w:val="HideTWBExt"/>
          <w:b w:val="0"/>
        </w:rPr>
        <w:t>&lt;RepeatBlock-By&gt;</w:t>
      </w:r>
      <w:r>
        <w:rPr>
          <w:rStyle w:val="HideTWBExt"/>
          <w:b w:val="0"/>
        </w:rPr>
        <w:t>&lt;Members&gt;</w:t>
      </w:r>
      <w:r>
        <w:t>Ruggero Razza,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j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20j.</w:t>
            </w:r>
            <w:r>
              <w:tab/>
            </w:r>
            <w:r>
              <w:rPr>
                <w:b/>
                <w:i/>
              </w:rPr>
              <w:t>Stresses that, in order to structurally address healthcare workforce shortages, the next MFF must include a targeted reinforcement of ESF+ and synergies with the relevant programmes, with a view to increasing, on the basis of verifiable indicators, the number of graduates, specialists and retrained professionals, by supporting initial and ongoing training pathways, while fully respecting Member State competences;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604</w:t>
      </w:r>
      <w:r>
        <w:rPr>
          <w:rStyle w:val="HideTWBExt"/>
        </w:rPr>
        <w:t>&lt;/NumAm&gt;</w:t>
      </w:r>
    </w:p>
    <w:p>
      <w:pPr>
        <w:pStyle w:val="NormalBold"/>
      </w:pPr>
      <w:r>
        <w:rPr>
          <w:rStyle w:val="HideTWBExt"/>
          <w:b w:val="0"/>
        </w:rPr>
        <w:t>&lt;RepeatBlock-By&gt;</w:t>
      </w:r>
      <w:r>
        <w:rPr>
          <w:rStyle w:val="HideTWBExt"/>
          <w:b w:val="0"/>
        </w:rPr>
        <w:t>&lt;Members&gt;</w:t>
      </w:r>
      <w:r>
        <w:t>Ruggero Razza,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k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20k.</w:t>
            </w:r>
            <w:r>
              <w:tab/>
            </w:r>
            <w:r>
              <w:rPr>
                <w:b/>
                <w:i/>
              </w:rPr>
              <w:t>Emphasises that, where there is not enough capacity at public universities to meet the demand for professionals, the Union's instruments should allow for targeted and verifiable support measures for accessing training pathways, in order to prevent training costs from falling disproportionately on households and to boost the size of the healthcare workforce more quickly;</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605</w:t>
      </w:r>
      <w:r>
        <w:rPr>
          <w:rStyle w:val="HideTWBExt"/>
        </w:rPr>
        <w:t>&lt;/NumAm&gt;</w:t>
      </w:r>
    </w:p>
    <w:p>
      <w:pPr>
        <w:pStyle w:val="NormalBold"/>
      </w:pPr>
      <w:r>
        <w:rPr>
          <w:rStyle w:val="HideTWBExt"/>
          <w:b w:val="0"/>
        </w:rPr>
        <w:t>&lt;RepeatBlock-By&gt;</w:t>
      </w:r>
      <w:r>
        <w:rPr>
          <w:rStyle w:val="HideTWBExt"/>
          <w:b w:val="0"/>
        </w:rPr>
        <w:t>&lt;Members&gt;</w:t>
      </w:r>
      <w:r>
        <w:t>Ruggero Razza,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l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20l.</w:t>
            </w:r>
            <w:r>
              <w:tab/>
            </w:r>
            <w:r>
              <w:rPr>
                <w:b/>
                <w:i/>
              </w:rPr>
              <w:t>Stresses the need for more ambitious European investment in digital innovation applied to healthcare, including reliable artificial intelligence solutions and interoperable instruments, in order to reduce administrative burdens and make professionals' workloads more manageable, thus tangibly helping to attract and retain staff;</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606</w:t>
      </w:r>
      <w:r>
        <w:rPr>
          <w:rStyle w:val="HideTWBExt"/>
        </w:rPr>
        <w:t>&lt;/NumAm&gt;</w:t>
      </w:r>
    </w:p>
    <w:p>
      <w:pPr>
        <w:pStyle w:val="NormalBold"/>
      </w:pPr>
      <w:r>
        <w:rPr>
          <w:rStyle w:val="HideTWBExt"/>
          <w:b w:val="0"/>
        </w:rPr>
        <w:t>&lt;RepeatBlock-By&gt;</w:t>
      </w:r>
      <w:r>
        <w:rPr>
          <w:rStyle w:val="HideTWBExt"/>
          <w:b w:val="0"/>
        </w:rPr>
        <w:t>&lt;Members&gt;</w:t>
      </w:r>
      <w:r>
        <w:t>Ruggero Razza,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m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20m.</w:t>
            </w:r>
            <w:r>
              <w:tab/>
            </w:r>
            <w:r>
              <w:rPr>
                <w:b/>
                <w:i/>
              </w:rPr>
              <w:t>Calls on the Commission to include, under the relevant instruments, results-oriented territorial incentive mechanisms, in order to combat workforce depopulation and 'healthcare desertification' in vulnerable areas, including insular, peripheral and less connected regions, ensuring ease of access and traceability of spending;</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607</w:t>
      </w:r>
      <w:r>
        <w:rPr>
          <w:rStyle w:val="HideTWBExt"/>
        </w:rPr>
        <w:t>&lt;/NumAm&gt;</w:t>
      </w:r>
    </w:p>
    <w:p>
      <w:pPr>
        <w:pStyle w:val="NormalBold"/>
      </w:pPr>
      <w:r>
        <w:rPr>
          <w:rStyle w:val="HideTWBExt"/>
          <w:b w:val="0"/>
        </w:rPr>
        <w:t>&lt;RepeatBlock-By&gt;</w:t>
      </w:r>
      <w:r>
        <w:rPr>
          <w:rStyle w:val="HideTWBExt"/>
          <w:b w:val="0"/>
        </w:rPr>
        <w:t>&lt;Members&gt;</w:t>
      </w:r>
      <w:r>
        <w:t>Ruggero Razza,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n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20n.</w:t>
            </w:r>
            <w:r>
              <w:tab/>
            </w:r>
            <w:r>
              <w:rPr>
                <w:b/>
                <w:i/>
              </w:rPr>
              <w:t>Considers that, given the strategic nature of the healthcare workforce, the next MFF's policies and instruments should be consistent with an approach that views healthcare work and related investments as a lever of resilience and competitiveness, preventing short-term constraints from hindering structural interventions on staffing;</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608</w:t>
      </w:r>
      <w:r>
        <w:rPr>
          <w:rStyle w:val="HideTWBExt"/>
        </w:rPr>
        <w:t>&lt;/NumAm&gt;</w:t>
      </w:r>
    </w:p>
    <w:p>
      <w:pPr>
        <w:pStyle w:val="NormalBold"/>
      </w:pPr>
      <w:r>
        <w:rPr>
          <w:rStyle w:val="HideTWBExt"/>
          <w:b w:val="0"/>
        </w:rPr>
        <w:t>&lt;RepeatBlock-By&gt;</w:t>
      </w:r>
      <w:r>
        <w:rPr>
          <w:rStyle w:val="HideTWBExt"/>
          <w:b w:val="0"/>
        </w:rPr>
        <w:t>&lt;Members&gt;</w:t>
      </w:r>
      <w:r>
        <w:t>Ruggero Razza,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o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20o.</w:t>
            </w:r>
            <w:r>
              <w:tab/>
            </w:r>
            <w:r>
              <w:rPr>
                <w:b/>
                <w:i/>
              </w:rPr>
              <w:t>Considers that the objectives under Heading 2, especially in the innovation, defence and strategic autonomy sectors, are particularly well-suited for using combined funding instruments, given their scale, risk profile and long-term nature;</w:t>
            </w:r>
            <w:r>
              <w:t xml:space="preserve"> </w:t>
            </w:r>
            <w:r>
              <w:rPr>
                <w:b/>
                <w:i/>
              </w:rPr>
              <w:t>requests therefore a greater role for EU‑level funding instruments in mobilising private investments alongside public financing;</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609</w:t>
      </w:r>
      <w:r>
        <w:rPr>
          <w:rStyle w:val="HideTWBExt"/>
        </w:rPr>
        <w:t>&lt;/NumAm&gt;</w:t>
      </w:r>
    </w:p>
    <w:p>
      <w:pPr>
        <w:pStyle w:val="NormalBold"/>
      </w:pPr>
      <w:r>
        <w:rPr>
          <w:rStyle w:val="HideTWBExt"/>
          <w:b w:val="0"/>
        </w:rPr>
        <w:t>&lt;RepeatBlock-By&gt;</w:t>
      </w:r>
      <w:r>
        <w:rPr>
          <w:rStyle w:val="HideTWBExt"/>
          <w:b w:val="0"/>
        </w:rPr>
        <w:t>&lt;Members&gt;</w:t>
      </w:r>
      <w:r>
        <w:t>Ruggero Razza, Carlo Fidanza, Giovanni Crosetto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p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20p.</w:t>
            </w:r>
            <w:r>
              <w:tab/>
            </w:r>
            <w:r>
              <w:rPr>
                <w:b/>
                <w:i/>
              </w:rPr>
              <w:t>Stresses that implementing the Critical Raw Materials Act requires dedicated resources;</w:t>
            </w:r>
            <w:r>
              <w:t xml:space="preserve"> </w:t>
            </w:r>
            <w:r>
              <w:rPr>
                <w:b/>
                <w:i/>
              </w:rPr>
              <w:t>requests therefore that, in the next MFF, an EU fund be established for critical raw materials aimed at strengthening security of supply and the resilience of value chains, by supporting strategic projects for the extraction, processing, transformation, supply, recycling, reuse and distribution of critical raw materials and other sectors considered strategic for technological strength and competitiveness;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610</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Rejects the allocation of funds to external interference and destabilisation of third countries – including, but not limited to, the ‘neighbourhood instruments’;</w:t>
            </w:r>
            <w:r>
              <w:t xml:space="preserve"> </w:t>
            </w:r>
            <w:r>
              <w:rPr>
                <w:b/>
                <w:i/>
              </w:rPr>
              <w:t>calls for those funds to be reallocated to support for Member States to meet their economic and social needs on the basis of the principle of cohesion, i.e. promoting convergence in terms of economic and social progress;</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611</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20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Calls for the MFF to include the objective of allocating at least 0.7 % of the EU Member States’ Gross Domestic Product to official development assistance, as per the aim laid down in UN General Assembly Resolution 2625 (XXV) of 24 October 1970 and repeated in paragraph 43 of the document ‘Transforming our world: the 2030 Agenda for Sustainable Development’;</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612</w:t>
      </w:r>
      <w:r>
        <w:rPr>
          <w:rStyle w:val="HideTWBExt"/>
        </w:rPr>
        <w:t>&lt;/NumAm&gt;</w:t>
      </w:r>
    </w:p>
    <w:p>
      <w:pPr>
        <w:pStyle w:val="NormalBold"/>
      </w:pPr>
      <w:r>
        <w:rPr>
          <w:rStyle w:val="HideTWBExt"/>
          <w:b w:val="0"/>
        </w:rPr>
        <w:t>&lt;RepeatBlock-By&gt;</w:t>
      </w:r>
      <w:r>
        <w:rPr>
          <w:rStyle w:val="HideTWBExt"/>
          <w:b w:val="0"/>
        </w:rPr>
        <w:t>&lt;Members&gt;</w:t>
      </w:r>
      <w:r>
        <w:t>Alexander Jungbluth, Stanisław Tyszka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Notes that Heading 3 ‘Global Europe’ is allocated EUR 190 billion in 2025 prices in the 2028-2034 MFF, representing a significant increase from EUR 121.5 billion in the current period while maintaining its 10 % share of the total MFF; considers that this reinforcement of EUR 68.5 billion is positive, as it demonstrates the Union’s commitment to strengthening its role as a global actor in an increasingly complex geopolitical environment;</w:t>
            </w:r>
            <w:r>
              <w:t xml:space="preserve"> </w:t>
            </w:r>
            <w:r>
              <w:rPr>
                <w:b/>
                <w:i/>
              </w:rPr>
              <w:t>expresses concern, however, that this level of funding remains insufficient given the scale of global challenges including development needs, humanitarian crises and the need to support Ukraine and other partners;</w:t>
            </w:r>
            <w:r>
              <w:t xml:space="preserve"> </w:t>
            </w:r>
            <w:r>
              <w:rPr>
                <w:b/>
                <w:i/>
              </w:rPr>
              <w:t>calls for the necessary funds to support enlargement and accession processes;</w:t>
            </w:r>
            <w:r>
              <w:t xml:space="preserve"> </w:t>
            </w:r>
            <w:r>
              <w:rPr>
                <w:b/>
                <w:i/>
              </w:rPr>
              <w:t>warns that the merger of programmes could lead, once again, to weakened parliamentary oversight and involvement and reduced funding visibility for specific priorities, as occurred with NDICI-Global Europe;</w:t>
            </w:r>
            <w:r>
              <w:t xml:space="preserve"> </w:t>
            </w:r>
            <w:r>
              <w:rPr>
                <w:b/>
                <w:i/>
              </w:rPr>
              <w:t>insists that the pillars maintain clear and separate budget lines to ensure transparency in allocations;</w:t>
            </w:r>
            <w:r>
              <w:t xml:space="preserve"> </w:t>
            </w:r>
            <w:r>
              <w:rPr>
                <w:b/>
                <w:i/>
              </w:rPr>
              <w:t>recalls its position that the needs-based nature of humanitarian aid requires ring-fenced funding delivered through a stand-alone spending programme and dedicated nomenclature and underlines that effective humanitarian aid provision is contingent on predictability through a sufficient annual baseline allocation;</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613</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Notes that Heading 3 ‘Global Europe’ is allocated EUR 190 billion in 2025 prices in the 2028-2034 MFF, representing a significant increase from EUR 121.5 billion in the current period while maintaining its 10 % share of the total MFF; considers that this reinforcement of EUR 68.5 billion is positive, as it demonstrates the Union’s commitment to strengthening its role as a global actor in an increasingly complex geopolitical environment; expresses concern, however, that this level of funding remains insufficient given the scale of global challenges including development needs, humanitarian crises and the need to support Ukraine and other partners; calls for the necessary funds to support enlargement and accession processes; warns that the merger of programmes could lead, once again, to weakened parliamentary oversight and involvement and reduced funding visibility for specific priorities, as occurred with NDICI-Global Europe; insists that the pillars maintain clear and separate budget lines to ensure transparency in allocations; recalls its position that the needs-based nature of humanitarian aid requires ring-fenced funding delivered through a stand-alone spending programme and dedicated nomenclature and underlines that effective humanitarian aid provision is contingent on predictability through a sufficient annual baseline allocation;</w:t>
            </w:r>
          </w:p>
        </w:tc>
        <w:tc>
          <w:tcPr>
            <w:tcW w:w="4876" w:type="dxa"/>
            <w:tcBorders>
              <w:top w:val="nil"/>
              <w:left w:val="nil"/>
              <w:bottom w:val="nil"/>
              <w:right w:val="nil"/>
            </w:tcBorders>
          </w:tcPr>
          <w:p>
            <w:pPr>
              <w:pStyle w:val="Normal6a"/>
            </w:pPr>
            <w:r>
              <w:t>21.</w:t>
            </w:r>
            <w:r>
              <w:tab/>
            </w:r>
            <w:r>
              <w:t xml:space="preserve">Notes that Heading 3 ‘Global Europe’ is allocated EUR 190 billion in 2025 prices in the 2028-2034 MFF, representing a significant increase from EUR 121.5 billion in the current period while maintaining its 10 % share of the total MFF; considers that this reinforcement of EUR 68.5 billion is positive, as it demonstrates the Union’s commitment to strengthening its role as a global actor in an increasingly complex geopolitical environment; expresses concern, however, that this level of funding remains insufficient given the scale of global challenges including development needs, humanitarian crises and the need to support Ukraine and other partners; </w:t>
            </w:r>
            <w:r>
              <w:rPr>
                <w:b/>
                <w:i/>
              </w:rPr>
              <w:t>stresses that this increased allocation is essential to secure the Union’s role as a credible global actor;</w:t>
            </w:r>
            <w:r>
              <w:t xml:space="preserve"> calls for the necessary funds to support enlargement and accession processes; warns that the merger of programmes could lead, once again, to weakened parliamentary oversight and involvement and reduced funding visibility for specific priorities, as occurred with NDICI-Global Europe; </w:t>
            </w:r>
            <w:r>
              <w:rPr>
                <w:b/>
                <w:i/>
              </w:rPr>
              <w:t>calls to rebalance the Global Europe instrument with meaningful accountability and reporting mechanisms, which will be further defined in the sectoral proposal;</w:t>
            </w:r>
            <w:r>
              <w:t xml:space="preserve"> insists that the pillars maintain clear and separate budget lines to ensure transparency in allocations</w:t>
            </w:r>
            <w:r>
              <w:rPr>
                <w:b/>
                <w:i/>
              </w:rPr>
              <w:t>; requests that significant transfers within Global Europe pillars be subject to Parliamentary consent as these pillars aggregate large amounts; considers it essential to allow de-commitments under Global Europe to return to the budget line of origin, in order to provide the necessary flexibility required for external action; Reminds that the specific allocations within Global Europe and its pillars are to be negotiated as part of the Global Europe Regulation, reflecting the overall amount of the MFF and the total amount of Global Europe within Heading</w:t>
            </w:r>
            <w:r>
              <w:t xml:space="preserve">; recalls its position that the needs-based nature of humanitarian aid requires ring-fenced funding delivered through a stand-alone spending programme and dedicated nomenclature and underlines that effective humanitarian aid provision is contingent on predictability through a sufficient annual baseline allocation; </w:t>
            </w:r>
            <w:r>
              <w:rPr>
                <w:b/>
                <w:i/>
              </w:rPr>
              <w:t>recalls its position that the neutrality, independence, impartiality and needs-based nature of humanitarian aid requires predictability through a sufficient baseline allocation with a dedicated nomenclature and at the same time an adequate reserve to cater for unforeseen needs; calls for more clarity as to the financial assistance to be provided to partner countries in the form of policy-based loans under the Global Europe Instrument, and insists on the need to respect the institutional balance and budgetary authorities’ prerogatives in the decision-making and the governance of similar financing mechanisms;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614</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Notes that Heading 3 ‘Global Europe’ is allocated EUR 190 billion in 2025 prices in the 2028-2034 MFF, representing a significant increase from EUR 121.5 billion in the current period while maintaining its 10 % share of the total MFF; </w:t>
            </w:r>
            <w:r>
              <w:rPr>
                <w:b/>
                <w:i/>
              </w:rPr>
              <w:t>considers that this reinforcement of EUR 68.5 billion is positive, as it demonstrates the Union’s commitment to strengthening its role as a global actor in an increasingly complex geopolitical environment;</w:t>
            </w:r>
            <w:r>
              <w:t xml:space="preserve"> </w:t>
            </w:r>
            <w:r>
              <w:rPr>
                <w:b/>
                <w:i/>
              </w:rPr>
              <w:t>expresses concern, however, that this level of</w:t>
            </w:r>
            <w:r>
              <w:t xml:space="preserve"> funding </w:t>
            </w:r>
            <w:r>
              <w:rPr>
                <w:b/>
                <w:i/>
              </w:rPr>
              <w:t>remains insufficient given the scale of global challenges including</w:t>
            </w:r>
            <w:r>
              <w:t xml:space="preserve"> development </w:t>
            </w:r>
            <w:r>
              <w:rPr>
                <w:b/>
                <w:i/>
              </w:rPr>
              <w:t>needs, humanitarian crises and the need to support Ukraine and other partners;</w:t>
            </w:r>
            <w:r>
              <w:t xml:space="preserve"> </w:t>
            </w:r>
            <w:r>
              <w:rPr>
                <w:b/>
                <w:i/>
              </w:rPr>
              <w:t>calls for the necessary funds to support enlargement and accession processes;</w:t>
            </w:r>
            <w:r>
              <w:t xml:space="preserve"> </w:t>
            </w:r>
            <w:r>
              <w:rPr>
                <w:b/>
                <w:i/>
              </w:rPr>
              <w:t>warns that the merger of programmes could lead, once again, to weakened parliamentary oversight and involvement and reduced funding visibility for specific priorities, as occurred with NDICI-Global Europe</w:t>
            </w:r>
            <w:r>
              <w:t xml:space="preserve">; insists that </w:t>
            </w:r>
            <w:r>
              <w:rPr>
                <w:b/>
                <w:i/>
              </w:rPr>
              <w:t>the pillars maintain clear and separate budget lines to ensure transparency in allocations</w:t>
            </w:r>
            <w:r>
              <w:t xml:space="preserve">; </w:t>
            </w:r>
            <w:r>
              <w:rPr>
                <w:b/>
                <w:i/>
              </w:rPr>
              <w:t>recalls its position that the needs-based nature of humanitarian aid requires ring-fenced funding delivered through a stand-alone spending programme and dedicated nomenclature and underlines that effective humanitarian aid provision is contingent on predictability through a sufficient annual baseline allocation;</w:t>
            </w:r>
          </w:p>
        </w:tc>
        <w:tc>
          <w:tcPr>
            <w:tcW w:w="4876" w:type="dxa"/>
            <w:tcBorders>
              <w:top w:val="nil"/>
              <w:left w:val="nil"/>
              <w:bottom w:val="nil"/>
              <w:right w:val="nil"/>
            </w:tcBorders>
          </w:tcPr>
          <w:p>
            <w:pPr>
              <w:pStyle w:val="Normal6a"/>
            </w:pPr>
            <w:r>
              <w:t>21.</w:t>
            </w:r>
            <w:r>
              <w:tab/>
            </w:r>
            <w:r>
              <w:t xml:space="preserve">Notes that Heading 3 ‘Global Europe’ is allocated EUR 190 billion in 2025 prices in the 2028-2034 MFF, representing a significant increase from EUR 121.5 billion in the current period while maintaining its 10 % share of the total MFF; </w:t>
            </w:r>
            <w:r>
              <w:rPr>
                <w:b/>
                <w:i/>
              </w:rPr>
              <w:t>rejects the increase in foreign policy</w:t>
            </w:r>
            <w:r>
              <w:t xml:space="preserve"> funding </w:t>
            </w:r>
            <w:r>
              <w:rPr>
                <w:b/>
                <w:i/>
              </w:rPr>
              <w:t>proposed by the Commission;</w:t>
            </w:r>
            <w:r>
              <w:t xml:space="preserve"> </w:t>
            </w:r>
            <w:r>
              <w:rPr>
                <w:b/>
                <w:i/>
              </w:rPr>
              <w:t>takes the view that</w:t>
            </w:r>
            <w:r>
              <w:t xml:space="preserve"> development </w:t>
            </w:r>
            <w:r>
              <w:rPr>
                <w:b/>
                <w:i/>
              </w:rPr>
              <w:t>aid is ineffective and that conditions should be attached to it, in particular with regard to cooperation on migration</w:t>
            </w:r>
            <w:r>
              <w:t xml:space="preserve">; insists that </w:t>
            </w:r>
            <w:r>
              <w:rPr>
                <w:b/>
                <w:i/>
              </w:rPr>
              <w:t>enlargement goes against the Member States’ interests, particularly in economic and social terms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615</w:t>
      </w:r>
      <w:r>
        <w:rPr>
          <w:rStyle w:val="HideTWBExt"/>
        </w:rPr>
        <w:t>&lt;/NumAm&gt;</w:t>
      </w:r>
    </w:p>
    <w:p>
      <w:pPr>
        <w:pStyle w:val="NormalBold"/>
      </w:pPr>
      <w:r>
        <w:rPr>
          <w:rStyle w:val="HideTWBExt"/>
          <w:b w:val="0"/>
        </w:rPr>
        <w:t>&lt;RepeatBlock-By&gt;</w:t>
      </w:r>
      <w:r>
        <w:rPr>
          <w:rStyle w:val="HideTWBExt"/>
          <w:b w:val="0"/>
        </w:rPr>
        <w:t>&lt;Members&gt;</w:t>
      </w:r>
      <w:r>
        <w:t>Janusz Lewandowski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Notes that Heading 3 ‘Global Europe’ is allocated EUR 190 billion in 2025 prices in the 2028-2034 MFF, representing a significant increase from EUR 121.5 billion in the current period while maintaining its 10 % share of the total MFF; considers that this reinforcement of EUR 68.5 billion is positive, as it demonstrates the Union’s commitment to strengthening its role as a global actor in an increasingly complex geopolitical environment; expresses concern, however, that this level of funding remains insufficient given the scale of global challenges including development needs, humanitarian crises and the need to support Ukraine and other partners; calls for the necessary funds to support enlargement and accession processes; warns that the merger of programmes could lead, once again, to weakened parliamentary oversight and involvement and reduced funding visibility for specific priorities, as occurred with NDICI-Global Europe; insists that the pillars maintain clear and separate budget lines to ensure transparency in allocations; recalls its position that the needs-based nature of humanitarian aid requires ring-fenced funding delivered through a stand-alone spending programme and dedicated nomenclature and underlines that effective humanitarian aid provision is contingent on predictability through a sufficient annual baseline allocation;</w:t>
            </w:r>
          </w:p>
        </w:tc>
        <w:tc>
          <w:tcPr>
            <w:tcW w:w="4876" w:type="dxa"/>
            <w:tcBorders>
              <w:top w:val="nil"/>
              <w:left w:val="nil"/>
              <w:bottom w:val="nil"/>
              <w:right w:val="nil"/>
            </w:tcBorders>
          </w:tcPr>
          <w:p>
            <w:pPr>
              <w:pStyle w:val="Normal6a"/>
            </w:pPr>
            <w:r>
              <w:t>21.</w:t>
            </w:r>
            <w:r>
              <w:tab/>
            </w:r>
            <w:r>
              <w:t xml:space="preserve">Notes that Heading 3 ‘Global Europe’ is allocated EUR 190 billion in 2025 prices in the 2028-2034 MFF, representing a significant increase from EUR 121.5 billion in the current period while maintaining its 10 % share of the total MFF; considers that this reinforcement of EUR 68.5 billion is positive, as it demonstrates the Union’s commitment to strengthening its role as a global actor in an increasingly complex geopolitical environment; expresses concern, however, that this level of funding remains insufficient given the scale of global challenges including development needs, humanitarian crises and the need to support Ukraine and other partners; calls for the necessary funds to support enlargement and accession processes; warns that the merger of programmes could lead, once again, to weakened parliamentary oversight and involvement and reduced funding visibility for specific priorities, as occurred with NDICI-Global Europe </w:t>
            </w:r>
            <w:r>
              <w:rPr>
                <w:b/>
                <w:i/>
              </w:rPr>
              <w:t>and the late notification of the European Parliament on the mobilisation of its cushion</w:t>
            </w:r>
            <w:r>
              <w:t xml:space="preserve"> ; insists that the pillars maintain clear and separate budget lines to ensure transparency in allocations; recalls its position that the needs-based nature of humanitarian aid requires ring-fenced funding delivered through a stand-alone spending programme and dedicated nomenclature and underlines that effective humanitarian aid provision is contingent on predictability through a sufficient annual baseline allocation; </w:t>
            </w:r>
            <w:r>
              <w:rPr>
                <w:b/>
                <w:i/>
              </w:rPr>
              <w:t>expresses its concerns on the introduction of policy-based loans, not based on well-defined needs or urgency criteria and adopted through implementing acts, without the involvement of the European Parliament; insists that the debt service costs arising from the borrowing for the Ukraine Support Loan be placed over and above the ceilings of the next Multiannual Financial Framework, as proposed in the Regulation establishing the Ukraine Support Loan for 2026 and 2027</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Regulation (EU) 2024/2773 of the European Parliament and of the Council of 24 October 2024 establishing the Ukraine Loan Cooperation Mechanism and providing exceptional macro-financial assistance to Ukraine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616</w:t>
      </w:r>
      <w:r>
        <w:rPr>
          <w:rStyle w:val="HideTWBExt"/>
        </w:rPr>
        <w:t>&lt;/NumAm&gt;</w:t>
      </w:r>
    </w:p>
    <w:p>
      <w:pPr>
        <w:pStyle w:val="NormalBold"/>
      </w:pPr>
      <w:r>
        <w:rPr>
          <w:rStyle w:val="HideTWBExt"/>
          <w:b w:val="0"/>
        </w:rPr>
        <w:t>&lt;RepeatBlock-By&gt;</w:t>
      </w:r>
      <w:r>
        <w:rPr>
          <w:rStyle w:val="HideTWBExt"/>
          <w:b w:val="0"/>
        </w:rPr>
        <w:t>&lt;Members&gt;</w:t>
      </w:r>
      <w:r>
        <w:t>Nina Carberry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Notes that Heading 3 ‘Global Europe’ is allocated EUR 190 billion in 2025 prices in the 2028-2034 MFF, representing a significant increase from EUR 121.5 billion in the current period while maintaining its 10 % share of the total MFF; considers that this reinforcement of EUR 68.5 billion is positive, as it demonstrates the Union’s commitment to strengthening its role as a global actor in an increasingly complex geopolitical environment; expresses concern, however, that this level of funding remains insufficient given the scale of global challenges including development needs, humanitarian crises and the need to support Ukraine and other partners; calls for the necessary funds to support enlargement and accession processes; warns that the merger of programmes could lead, once again, to weakened parliamentary oversight and involvement and reduced funding visibility for specific priorities, as occurred with NDICI-Global Europe; insists that the pillars maintain clear and separate budget lines to ensure transparency in allocations; recalls its position that the needs-based nature of humanitarian aid requires ring-fenced funding delivered through a stand-alone spending programme and dedicated nomenclature and underlines that effective humanitarian aid provision is contingent on predictability through a sufficient annual baseline allocation;</w:t>
            </w:r>
          </w:p>
        </w:tc>
        <w:tc>
          <w:tcPr>
            <w:tcW w:w="4876" w:type="dxa"/>
            <w:tcBorders>
              <w:top w:val="nil"/>
              <w:left w:val="nil"/>
              <w:bottom w:val="nil"/>
              <w:right w:val="nil"/>
            </w:tcBorders>
          </w:tcPr>
          <w:p>
            <w:pPr>
              <w:pStyle w:val="Normal6a"/>
            </w:pPr>
            <w:r>
              <w:t>21.</w:t>
            </w:r>
            <w:r>
              <w:tab/>
            </w:r>
            <w:r>
              <w:t>Notes that Heading 3 ‘Global Europe’ is allocated EUR 190 billion in 2025 prices in the 2028-2034 MFF, representing a significant increase from EUR 121.5 billion in the current period while maintaining its 10 % share of the total MFF; considers that this reinforcement of EUR 68.5 billion is positive, as it demonstrates the Union’s commitment to strengthening its role as a global actor in an increasingly complex geopolitical environment; expresses concern, however, that this level of funding remains insufficient given the scale of global challenges including development needs, humanitarian crises and the need to support Ukraine and other partners; calls for the necessary funds to support enlargement and accession processes; warns that the merger of programmes could lead, once again, to weakened parliamentary oversight and involvement and reduced funding visibility for specific priorities, as occurred with NDICI-Global Europe; insists that the pillars maintain clear and separate budget lines to ensure transparency in allocations; recalls its position that the needs-based nature of humanitarian aid requires ring-fenced funding delivered through a stand-alone spending programme and dedicated nomenclature and underlines that effective humanitarian aid provision is contingent on predictability through a sufficient annual baseline allocation;</w:t>
            </w:r>
            <w:r>
              <w:rPr>
                <w:b/>
                <w:i/>
              </w:rPr>
              <w:t> stresses that the indicative figure of EUR 25 billion for humanitarian aid over the period 2028-2034 must be regarded as the minimum requirement in view of the increasing humanitarian crises; emphasises the importance of access to the reserve of the cushion for reinforcements in the case of unexpected needs, which should be available in addition to, and outside of, the EUR 25 billion indicative allocation;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617</w:t>
      </w:r>
      <w:r>
        <w:rPr>
          <w:rStyle w:val="HideTWBExt"/>
        </w:rPr>
        <w:t>&lt;/NumAm&gt;</w:t>
      </w:r>
    </w:p>
    <w:p>
      <w:pPr>
        <w:pStyle w:val="NormalBold"/>
      </w:pPr>
      <w:r>
        <w:rPr>
          <w:rStyle w:val="HideTWBExt"/>
          <w:b w:val="0"/>
        </w:rPr>
        <w:t>&lt;RepeatBlock-By&gt;</w:t>
      </w:r>
      <w:r>
        <w:rPr>
          <w:rStyle w:val="HideTWBExt"/>
          <w:b w:val="0"/>
        </w:rPr>
        <w:t>&lt;Members&gt;</w:t>
      </w:r>
      <w:r>
        <w:t>Jens Geier, 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Notes that Heading 3 ‘Global Europe’ is allocated EUR 190 billion in 2025 prices in the 2028-2034 MFF, representing a significant increase from EUR 121.5 billion in the current period while maintaining its 10 % share of the total MFF; considers that this reinforcement of EUR 68.5 billion is positive, as it demonstrates the Union’s commitment to strengthening its role as a global actor in an increasingly complex geopolitical environment; expresses concern, however, that this level of funding remains insufficient given the scale of global challenges including development needs, humanitarian crises and the need to support Ukraine and other partners; calls for the necessary funds to support enlargement and accession processes; warns that the merger of programmes could lead, once again, to weakened parliamentary oversight and involvement and reduced funding visibility for specific priorities, as occurred with NDICI-Global Europe; insists that the pillars maintain clear and separate budget lines to ensure transparency in allocations; recalls its position that the needs-based nature of humanitarian aid requires ring-fenced funding delivered through a stand-alone spending programme and dedicated nomenclature and underlines that effective humanitarian aid provision is contingent on predictability through a sufficient annual baseline allocation;</w:t>
            </w:r>
          </w:p>
        </w:tc>
        <w:tc>
          <w:tcPr>
            <w:tcW w:w="4876" w:type="dxa"/>
            <w:tcBorders>
              <w:top w:val="nil"/>
              <w:left w:val="nil"/>
              <w:bottom w:val="nil"/>
              <w:right w:val="nil"/>
            </w:tcBorders>
          </w:tcPr>
          <w:p>
            <w:pPr>
              <w:pStyle w:val="Normal6a"/>
            </w:pPr>
            <w:r>
              <w:t>21.</w:t>
            </w:r>
            <w:r>
              <w:tab/>
            </w:r>
            <w:r>
              <w:t xml:space="preserve">Notes that Heading 3 ‘Global Europe’ is allocated EUR 190 billion in 2025 prices in the 2028-2034 MFF, representing a significant increase from EUR 121.5 billion in the current period while maintaining its 10 % share of the total MFF; considers that this reinforcement of EUR 68.5 billion is positive, as it demonstrates the Union’s commitment to strengthening its role as a global actor in an increasingly complex geopolitical environment; expresses concern, however, that this level of funding remains insufficient given the scale of global challenges including development needs, humanitarian crises and the need to support Ukraine and other partners; calls for the necessary funds to support enlargement and accession processes; warns that the </w:t>
            </w:r>
            <w:r>
              <w:rPr>
                <w:b/>
                <w:i/>
              </w:rPr>
              <w:t>new Global Europe architecture risks subordinating humanitarian aid and development cooperation to purely economic or strategic self-interests; demands in this respect a clear thematic structure that provides transparency and democratic control, ensuring that the fight against poverty and inequality remains central; warns that the</w:t>
            </w:r>
            <w:r>
              <w:t xml:space="preserve"> merger of programmes could lead, once again, to weakened parliamentary oversight and involvement and reduced funding visibility for specific priorities, as occurred with NDICI-Global Europe; insists that the pillars maintain clear and separate budget lines to ensure transparency in allocations; recalls its position that the needs-based nature of humanitarian aid requires ring-fenced funding delivered through a stand-alone spending programme and dedicated nomenclature and underlines that effective humanitarian aid provision is contingent on predictability through a sufficient annual baseline allocation;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618</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Notes that Heading 3 ‘Global Europe’ is allocated EUR 190 billion in 2025 prices in the 2028-2034 MFF, representing a significant increase from EUR 121.5 billion in the current period while maintaining its 10 % share of the total MFF; considers that this reinforcement of EUR 68.5 billion is positive, as it demonstrates the Union’s commitment to strengthening its role as a global actor in an increasingly complex geopolitical environment; expresses concern, however, that this level of funding remains insufficient given the scale of global challenges including development needs, humanitarian crises and the need to support Ukraine and other partners; calls for the necessary funds to support enlargement and accession processes; warns that the merger of programmes could lead, once again, to weakened parliamentary oversight and involvement and reduced funding visibility for specific priorities, as occurred with NDICI-Global Europe; insists that the pillars maintain clear and separate budget lines to ensure transparency in allocations; recalls its position that the needs-based nature of humanitarian aid requires ring-fenced funding delivered through a stand-alone spending programme and dedicated nomenclature and underlines that effective humanitarian aid provision is contingent on predictability through a sufficient annual baseline allocation;</w:t>
            </w:r>
          </w:p>
        </w:tc>
        <w:tc>
          <w:tcPr>
            <w:tcW w:w="4876" w:type="dxa"/>
            <w:tcBorders>
              <w:top w:val="nil"/>
              <w:left w:val="nil"/>
              <w:bottom w:val="nil"/>
              <w:right w:val="nil"/>
            </w:tcBorders>
          </w:tcPr>
          <w:p>
            <w:pPr>
              <w:pStyle w:val="Normal6a"/>
            </w:pPr>
            <w:r>
              <w:t>21.</w:t>
            </w:r>
            <w:r>
              <w:tab/>
            </w:r>
            <w:r>
              <w:t xml:space="preserve">Notes that Heading 3 ‘Global Europe’ is allocated EUR 190 billion in 2025 prices in the 2028-2034 MFF, representing a significant increase from EUR 121.5 billion in the current period while maintaining its 10 % share of the total MFF; considers that this reinforcement of EUR 68.5 billion is positive, as it demonstrates the Union’s commitment to strengthening its role as a global actor in an increasingly complex geopolitical environment; expresses concern, however, that this level of funding remains insufficient given the scale of global challenges including development needs, humanitarian crises and the need to support Ukraine and other partners; calls for the necessary funds to support enlargement and accession processes; warns that the merger of programmes could lead, once again, to weakened parliamentary oversight and involvement and reduced funding visibility for specific priorities, as occurred with NDICI-Global Europe; insists that the pillars maintain clear and separate budget lines to ensure transparency in allocations; recalls its position that the needs-based nature of humanitarian aid requires ring-fenced funding delivered through a stand-alone spending programme and dedicated nomenclature and underlines that effective humanitarian aid provision is contingent on predictability through a sufficient annual baseline allocation; </w:t>
            </w:r>
            <w:r>
              <w:rPr>
                <w:b/>
                <w:i/>
              </w:rPr>
              <w:t>Recalls that, with regard to defence and security the 2028-2034 MFF should ensure that any third country that poses a threat direct or indirect to a Member State of the European Union, will not be eligible for European Union funding, either directly or indirectly, including through the participation of European companies.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619</w:t>
      </w:r>
      <w:r>
        <w:rPr>
          <w:rStyle w:val="HideTWBExt"/>
        </w:rPr>
        <w:t>&lt;/NumAm&gt;</w:t>
      </w:r>
    </w:p>
    <w:p>
      <w:pPr>
        <w:pStyle w:val="NormalBold"/>
      </w:pPr>
      <w:r>
        <w:rPr>
          <w:rStyle w:val="HideTWBExt"/>
          <w:b w:val="0"/>
        </w:rPr>
        <w:t>&lt;RepeatBlock-By&gt;</w:t>
      </w:r>
      <w:r>
        <w:rPr>
          <w:rStyle w:val="HideTWBExt"/>
          <w:b w:val="0"/>
        </w:rPr>
        <w:t>&lt;Members&gt;</w:t>
      </w:r>
      <w:r>
        <w:t>Fabienne Keller,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Notes that Heading 3 ‘Global Europe’ is allocated EUR 190 billion in 2025 prices in the 2028-2034 MFF, representing a significant increase from EUR 121.5 billion in the current period while maintaining its 10 % share of the total MFF; considers that this reinforcement of EUR 68.5 billion is positive, as it demonstrates the Union’s commitment to strengthening its role as a global actor in an increasingly complex geopolitical environment; expresses concern, however, that this level of funding remains insufficient given the scale of global challenges including development needs, humanitarian crises and the need to support Ukraine and other partners; calls for the necessary funds to support enlargement and accession processes; warns that the merger of programmes could lead, once again, to weakened parliamentary oversight and involvement and reduced funding visibility for specific priorities, as occurred with NDICI-Global Europe; insists that the pillars maintain clear and separate budget lines to ensure transparency in allocations; recalls its position that </w:t>
            </w:r>
            <w:r>
              <w:rPr>
                <w:b/>
                <w:i/>
              </w:rPr>
              <w:t>the needs-based nature of</w:t>
            </w:r>
            <w:r>
              <w:t xml:space="preserve"> humanitarian </w:t>
            </w:r>
            <w:r>
              <w:rPr>
                <w:b/>
                <w:i/>
              </w:rPr>
              <w:t>aid requires ring-fenced funding delivered through a stand-alone spending programme and dedicated nomenclature</w:t>
            </w:r>
            <w:r>
              <w:t xml:space="preserve"> and underlines that effective humanitarian aid provision is contingent on predictability through a sufficient </w:t>
            </w:r>
            <w:r>
              <w:rPr>
                <w:b/>
                <w:i/>
              </w:rPr>
              <w:t>annual</w:t>
            </w:r>
            <w:r>
              <w:t xml:space="preserve"> baseline allocation;</w:t>
            </w:r>
          </w:p>
        </w:tc>
        <w:tc>
          <w:tcPr>
            <w:tcW w:w="4876" w:type="dxa"/>
            <w:tcBorders>
              <w:top w:val="nil"/>
              <w:left w:val="nil"/>
              <w:bottom w:val="nil"/>
              <w:right w:val="nil"/>
            </w:tcBorders>
          </w:tcPr>
          <w:p>
            <w:pPr>
              <w:pStyle w:val="Normal6a"/>
            </w:pPr>
            <w:r>
              <w:t>21.</w:t>
            </w:r>
            <w:r>
              <w:tab/>
            </w:r>
            <w:r>
              <w:t xml:space="preserve">Notes that Heading 3 ‘Global Europe’ is allocated EUR 190 billion in 2025 prices in the 2028-2034 MFF, representing a significant increase from EUR 121.5 billion in the current period while maintaining its 10 % share of the total MFF; considers that this reinforcement of EUR 68.5 billion is positive, as it demonstrates the Union’s commitment to strengthening its role as a global actor in an increasingly complex geopolitical environment; expresses concern, however, that this level of funding remains insufficient given the scale of global challenges including development needs, humanitarian crises </w:t>
            </w:r>
            <w:r>
              <w:rPr>
                <w:b/>
                <w:i/>
              </w:rPr>
              <w:t>aggravated by the withdrawal of USAID</w:t>
            </w:r>
            <w:r>
              <w:t xml:space="preserve"> and the need to support Ukraine and other partners; calls for the necessary funds to support enlargement and accession processes; warns that the merger of programmes could lead, once again, to weakened parliamentary oversight and involvement and reduced funding visibility for specific priorities, as occurred with NDICI-Global Europe; insists that the pillars maintain clear and separate budget lines to ensure transparency in allocations; recalls its position that humanitarian </w:t>
            </w:r>
            <w:r>
              <w:rPr>
                <w:b/>
                <w:i/>
              </w:rPr>
              <w:t>assistance must remain strictly needs-based, neutral and independent</w:t>
            </w:r>
            <w:r>
              <w:t xml:space="preserve"> and underlines that effective humanitarian aid provision is contingent on predictability through a sufficient baseline allocation; </w:t>
            </w:r>
            <w:r>
              <w:rPr>
                <w:b/>
                <w:i/>
              </w:rPr>
              <w:t>underlines that at least 93 % of Global Europe funding should remain ODA-eligible; stresses that any decommitted funds originating from external action programmes must remain within Heading 3 and be reused for external action objectives, in particular development cooperation and humanitarian assistance.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620</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Notes that Heading 3 ‘Global Europe’ is allocated EUR 190 billion in 2025 prices in the 2028-2034 MFF, representing a significant increase from EUR 121.5 billion in the current period while maintaining its 10 % share of the total MFF; considers that this reinforcement of EUR 68.5 billion is positive, as it demonstrates the Union’s commitment to strengthening its role as a global actor in an increasingly complex geopolitical environment; expresses concern, however, that this level of funding remains insufficient given the scale of global challenges including development needs, humanitarian crises and the need to support Ukraine and other partners; calls for the necessary funds to support enlargement and accession processes; warns that the merger of programmes could lead, once again, to weakened parliamentary oversight and involvement and reduced funding visibility for specific priorities, as occurred with NDICI-Global Europe; insists that the pillars maintain clear and separate budget lines to ensure transparency in allocations; recalls its position that the needs-based nature of humanitarian aid requires ring-fenced funding delivered through a stand-alone spending programme and dedicated nomenclature and underlines that effective humanitarian aid provision is contingent on predictability through a sufficient annual baseline allocation;</w:t>
            </w:r>
          </w:p>
        </w:tc>
        <w:tc>
          <w:tcPr>
            <w:tcW w:w="4876" w:type="dxa"/>
            <w:tcBorders>
              <w:top w:val="nil"/>
              <w:left w:val="nil"/>
              <w:bottom w:val="nil"/>
              <w:right w:val="nil"/>
            </w:tcBorders>
          </w:tcPr>
          <w:p>
            <w:pPr>
              <w:pStyle w:val="Normal6a"/>
            </w:pPr>
            <w:r>
              <w:t>21.</w:t>
            </w:r>
            <w:r>
              <w:tab/>
            </w:r>
            <w:r>
              <w:t>Notes that Heading 3 ‘Global Europe’ is allocated EUR 190 billion in 2025 prices in the 2028-2034 MFF, representing a significant increase from EUR 121.5 billion in the current period while maintaining its 10 % share of the total MFF; considers that this reinforcement of EUR 68.5 billion is positive, as it demonstrates the Union’s commitment to strengthening its role as a global actor in an increasingly complex geopolitical environment; expresses concern, however, that this level of funding remains insufficient given the scale of global challenges including development needs, humanitarian crises</w:t>
            </w:r>
            <w:r>
              <w:rPr>
                <w:b/>
                <w:i/>
              </w:rPr>
              <w:t>, the increasingly adversarial behaviour of the United States</w:t>
            </w:r>
            <w:r>
              <w:t xml:space="preserve"> and the need to support Ukraine and other partners; calls for the necessary funds to support enlargement and accession processes</w:t>
            </w:r>
            <w:r>
              <w:rPr>
                <w:b/>
                <w:i/>
              </w:rPr>
              <w:t>; is concerned by the financing structure for Ukraine, which separates pre-accession assistance from the Europe Pillar without a clear distinction between pre-accession and reconstruction needs</w:t>
            </w:r>
            <w:r>
              <w:t>; warns that the merger of programmes could lead, once again, to weakened parliamentary oversight and involvement and reduced funding visibility for specific priorities, as occurred with NDICI-Global Europe; insists that the pillars maintain clear and separate budget lines to ensure transparency in allocations; recalls its position that the needs-based nature of humanitarian aid requires ring-fenced funding delivered through a stand-alone spending programme and dedicated nomenclature and underlines that effective humanitarian aid provision is contingent on predictability through a sufficient annual baseline allocation;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621</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Notes that Heading 3 ‘Global Europe’ is allocated EUR 190 billion in 2025 prices in the 2028-2034 MFF, representing a significant increase from EUR 121.5 billion in the current period while maintaining its 10 % share of the total MFF; considers that this reinforcement of EUR 68.5 billion is positive, as it demonstrates the Union’s commitment to strengthening its role as a global actor in an increasingly complex geopolitical environment; expresses concern, however, that this level of funding remains insufficient given the scale of global challenges including development needs, humanitarian crises and the need to support Ukraine and other partners; calls for the necessary funds to support enlargement and accession processes; warns that the merger of programmes could lead, once again, to weakened parliamentary oversight and involvement and reduced funding visibility for specific priorities, as occurred with NDICI-Global Europe; insists that the pillars maintain clear and separate budget lines to ensure transparency in allocations; recalls its position that the needs-based nature of humanitarian aid requires ring-fenced funding delivered through a stand-alone spending programme and dedicated nomenclature and underlines that effective humanitarian aid provision is contingent on predictability through a sufficient annual baseline allocation;</w:t>
            </w:r>
          </w:p>
        </w:tc>
        <w:tc>
          <w:tcPr>
            <w:tcW w:w="4876" w:type="dxa"/>
            <w:tcBorders>
              <w:top w:val="nil"/>
              <w:left w:val="nil"/>
              <w:bottom w:val="nil"/>
              <w:right w:val="nil"/>
            </w:tcBorders>
          </w:tcPr>
          <w:p>
            <w:pPr>
              <w:pStyle w:val="Normal6a"/>
            </w:pPr>
            <w:r>
              <w:t>21.</w:t>
            </w:r>
            <w:r>
              <w:tab/>
            </w:r>
            <w:r>
              <w:t xml:space="preserve">Notes that Heading 3 ‘Global Europe’ is allocated EUR 190 billion in 2025 prices in the 2028-2034 MFF, representing a significant increase from EUR 121.5 billion in the current period while maintaining its 10 % share of the total MFF; considers that this reinforcement of EUR 68.5 billion is positive, as it demonstrates the Union’s commitment to strengthening its role as a global actor in an increasingly complex geopolitical environment; expresses concern, however, that this level of funding remains insufficient given the scale of global challenges including development needs, humanitarian crises and the need to support Ukraine and other partners; calls for the necessary funds to support enlargement and accession processes; </w:t>
            </w:r>
            <w:r>
              <w:rPr>
                <w:b/>
                <w:i/>
              </w:rPr>
              <w:t>believes that third countries benefiting from EU programmes should respect EU values and contribute fairly to the EU budget, ensuring a balance between the benefits they receive and their financial contributions ;</w:t>
            </w:r>
            <w:r>
              <w:t xml:space="preserve"> warns that the merger of programmes could lead, once again, to weakened parliamentary oversight and involvement and reduced funding visibility for specific priorities, as occurred with NDICI-Global Europe; insists that the pillars maintain clear and separate budget lines to ensure transparency in allocations; recalls its position that the needs-based nature of humanitarian aid requires ring-fenced funding delivered through a stand-alone spending programme and dedicated nomenclature and underlines that effective humanitarian aid provision is contingent on predictability through a sufficient annual baseline allocation;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622</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Notes that Heading 3 ‘Global Europe’ is allocated EUR 190 billion in 2025 prices in the 2028-2034 MFF, representing a significant increase from EUR 121.5 billion in the current period while maintaining its 10 % share of the total MFF; considers that this reinforcement of EUR 68.5 billion is positive, as it demonstrates the Union’s commitment to strengthening its role as a global actor in an increasingly complex geopolitical environment; expresses concern, however, that this level of funding remains insufficient given the scale of global challenges including development needs, humanitarian crises and the need to support Ukraine and other partners; calls for the necessary funds to support enlargement and accession processes; warns that the merger of programmes could lead, once again, to weakened parliamentary oversight and involvement and reduced funding visibility for specific priorities, as occurred with NDICI-Global Europe; insists that the pillars maintain clear and separate budget lines to ensure transparency in allocations; recalls its position that the needs-based nature of humanitarian aid requires ring-fenced funding delivered through a stand-alone spending programme and dedicated nomenclature and underlines that effective humanitarian aid provision is contingent on predictability through a sufficient annual baseline allocation;</w:t>
            </w:r>
          </w:p>
        </w:tc>
        <w:tc>
          <w:tcPr>
            <w:tcW w:w="4876" w:type="dxa"/>
            <w:tcBorders>
              <w:top w:val="nil"/>
              <w:left w:val="nil"/>
              <w:bottom w:val="nil"/>
              <w:right w:val="nil"/>
            </w:tcBorders>
          </w:tcPr>
          <w:p>
            <w:pPr>
              <w:pStyle w:val="Normal6a"/>
            </w:pPr>
            <w:r>
              <w:t>21.</w:t>
            </w:r>
            <w:r>
              <w:tab/>
            </w:r>
            <w:r>
              <w:t>Notes that Heading 3 ‘Global Europe’ is allocated EUR 190 billion in 2025 prices in the 2028-2034 MFF, representing a significant increase from EUR 121.5 billion in the current period while maintaining its 10 % share of the total MFF; considers that this reinforcement of EUR 68.5 billion is positive, as it demonstrates the Union’s commitment to strengthening its role as a global actor in an increasingly complex geopolitical environment;</w:t>
            </w:r>
            <w:r>
              <w:rPr>
                <w:b/>
                <w:i/>
              </w:rPr>
              <w:t> while also being called upon, inter alia, to contribute to the implementation of the Pact for the Mediterranean and the Global Gateway Strategy, and to address the external dimension of migration</w:t>
            </w:r>
            <w:r>
              <w:t xml:space="preserve"> expresses concern, however, that this level of funding remains insufficient given the scale of global challenges including development needs, humanitarian crises and the need to support Ukraine and other partners; calls for the necessary funds to support enlargement and accession processes; warns that the merger of programmes could lead, once again, to weakened parliamentary oversight and involvement and reduced funding visibility for specific priorities, as occurred with NDICI-Global Europe; insists that the pillars maintain clear and separate budget lines to ensure transparency in allocations; recalls its position that the needs-based nature of humanitarian aid requires ring-fenced funding delivered through a stand-alone spending programme and dedicated nomenclature and underlines that effective humanitarian aid provision is contingent on predictability through a sufficient annual baseline allocation;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623</w:t>
      </w:r>
      <w:r>
        <w:rPr>
          <w:rStyle w:val="HideTWBExt"/>
        </w:rPr>
        <w:t>&lt;/NumAm&gt;</w:t>
      </w:r>
    </w:p>
    <w:p>
      <w:pPr>
        <w:pStyle w:val="NormalBold"/>
      </w:pPr>
      <w:r>
        <w:rPr>
          <w:rStyle w:val="HideTWBExt"/>
          <w:b w:val="0"/>
        </w:rPr>
        <w:t>&lt;RepeatBlock-By&gt;</w:t>
      </w:r>
      <w:r>
        <w:rPr>
          <w:rStyle w:val="HideTWBExt"/>
          <w:b w:val="0"/>
        </w:rPr>
        <w:t>&lt;Members&gt;</w:t>
      </w:r>
      <w:r>
        <w:t>Joachim Streit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Notes that Heading 3 ‘Global Europe’ is allocated EUR 190 billion in 2025 prices in the 2028-2034 MFF, representing a significant increase from EUR 121.5 billion in the current period while maintaining its 10 % share of the total MFF; </w:t>
            </w:r>
            <w:r>
              <w:rPr>
                <w:b/>
                <w:i/>
              </w:rPr>
              <w:t>considers</w:t>
            </w:r>
            <w:r>
              <w:t xml:space="preserve"> that this </w:t>
            </w:r>
            <w:r>
              <w:rPr>
                <w:b/>
                <w:i/>
              </w:rPr>
              <w:t>reinforcement of EUR 68.5 billion is positive, as it demonstrates the Union’s commitment to strengthening its role as a global actor</w:t>
            </w:r>
            <w:r>
              <w:t xml:space="preserve"> in an increasingly complex geopolitical environment</w:t>
            </w:r>
            <w:r>
              <w:rPr>
                <w:b/>
                <w:i/>
              </w:rPr>
              <w:t>; expresses concern</w:t>
            </w:r>
            <w:r>
              <w:t xml:space="preserve">, </w:t>
            </w:r>
            <w:r>
              <w:rPr>
                <w:b/>
                <w:i/>
              </w:rPr>
              <w:t>however, that this level of funding remains insufficient given the scale of global challenges</w:t>
            </w:r>
            <w:r>
              <w:t xml:space="preserve"> including development </w:t>
            </w:r>
            <w:r>
              <w:rPr>
                <w:b/>
                <w:i/>
              </w:rPr>
              <w:t>needs</w:t>
            </w:r>
            <w:r>
              <w:t xml:space="preserve">, humanitarian </w:t>
            </w:r>
            <w:r>
              <w:rPr>
                <w:b/>
                <w:i/>
              </w:rPr>
              <w:t>crises and the need to</w:t>
            </w:r>
            <w:r>
              <w:t xml:space="preserve"> support Ukraine and </w:t>
            </w:r>
            <w:r>
              <w:rPr>
                <w:b/>
                <w:i/>
              </w:rPr>
              <w:t>other partners; calls for the necessary funds to support enlargement and accession processes</w:t>
            </w:r>
            <w:r>
              <w:t xml:space="preserve">; warns that the merger of programmes </w:t>
            </w:r>
            <w:r>
              <w:rPr>
                <w:b/>
                <w:i/>
              </w:rPr>
              <w:t>could lead, once again, to weakened</w:t>
            </w:r>
            <w:r>
              <w:t xml:space="preserve"> parliamentary oversight </w:t>
            </w:r>
            <w:r>
              <w:rPr>
                <w:b/>
                <w:i/>
              </w:rPr>
              <w:t>and involvement and reduced</w:t>
            </w:r>
            <w:r>
              <w:t xml:space="preserve"> funding visibility </w:t>
            </w:r>
            <w:r>
              <w:rPr>
                <w:b/>
                <w:i/>
              </w:rPr>
              <w:t>for specific priorities, as occurred with NDICI-Global</w:t>
            </w:r>
            <w:r>
              <w:t xml:space="preserve"> Europe; insists that </w:t>
            </w:r>
            <w:r>
              <w:rPr>
                <w:b/>
                <w:i/>
              </w:rPr>
              <w:t>the pillars</w:t>
            </w:r>
            <w:r>
              <w:t xml:space="preserve"> maintain clear and </w:t>
            </w:r>
            <w:r>
              <w:rPr>
                <w:b/>
                <w:i/>
              </w:rPr>
              <w:t>separate</w:t>
            </w:r>
            <w:r>
              <w:t xml:space="preserve"> budget lines </w:t>
            </w:r>
            <w:r>
              <w:rPr>
                <w:b/>
                <w:i/>
              </w:rPr>
              <w:t>to ensure transparency in allocations</w:t>
            </w:r>
            <w:r>
              <w:t xml:space="preserve">; recalls </w:t>
            </w:r>
            <w:r>
              <w:rPr>
                <w:b/>
                <w:i/>
              </w:rPr>
              <w:t>its position</w:t>
            </w:r>
            <w:r>
              <w:t xml:space="preserve"> that the needs-based nature of humanitarian aid requires </w:t>
            </w:r>
            <w:r>
              <w:rPr>
                <w:b/>
                <w:i/>
              </w:rPr>
              <w:t>ring-fenced</w:t>
            </w:r>
            <w:r>
              <w:t xml:space="preserve"> funding </w:t>
            </w:r>
            <w:r>
              <w:rPr>
                <w:b/>
                <w:i/>
              </w:rPr>
              <w:t>delivered through a stand-alone spending programme and dedicated nomenclature and underlines that effective humanitarian aid provision is contingent on predictability through a sufficient annual</w:t>
            </w:r>
            <w:r>
              <w:t xml:space="preserve"> baseline allocation;</w:t>
            </w:r>
          </w:p>
        </w:tc>
        <w:tc>
          <w:tcPr>
            <w:tcW w:w="4876" w:type="dxa"/>
            <w:tcBorders>
              <w:top w:val="nil"/>
              <w:left w:val="nil"/>
              <w:bottom w:val="nil"/>
              <w:right w:val="nil"/>
            </w:tcBorders>
          </w:tcPr>
          <w:p>
            <w:pPr>
              <w:pStyle w:val="Normal6a"/>
            </w:pPr>
            <w:r>
              <w:t>21.</w:t>
            </w:r>
            <w:r>
              <w:tab/>
            </w:r>
            <w:r>
              <w:t xml:space="preserve">Notes that Heading 3 ‘Global Europe’ is allocated EUR 190 billion in 2025 prices in the 2028-2034 MFF, representing a significant increase from EUR 121.5 billion in the current period while maintaining its 10 % share of the total MFF; </w:t>
            </w:r>
            <w:r>
              <w:rPr>
                <w:b/>
                <w:i/>
              </w:rPr>
              <w:t>acknowledges</w:t>
            </w:r>
            <w:r>
              <w:t xml:space="preserve"> that this </w:t>
            </w:r>
            <w:r>
              <w:rPr>
                <w:b/>
                <w:i/>
              </w:rPr>
              <w:t>reflects a stronger focus on Union external action</w:t>
            </w:r>
            <w:r>
              <w:t xml:space="preserve"> in an increasingly complex geopolitical environment, including </w:t>
            </w:r>
            <w:r>
              <w:rPr>
                <w:b/>
                <w:i/>
              </w:rPr>
              <w:t>with regard to</w:t>
            </w:r>
            <w:r>
              <w:t xml:space="preserve"> development </w:t>
            </w:r>
            <w:r>
              <w:rPr>
                <w:b/>
                <w:i/>
              </w:rPr>
              <w:t>cooperation</w:t>
            </w:r>
            <w:r>
              <w:t xml:space="preserve">, humanitarian </w:t>
            </w:r>
            <w:r>
              <w:rPr>
                <w:b/>
                <w:i/>
              </w:rPr>
              <w:t>assistance,</w:t>
            </w:r>
            <w:r>
              <w:t xml:space="preserve"> support </w:t>
            </w:r>
            <w:r>
              <w:rPr>
                <w:b/>
                <w:i/>
              </w:rPr>
              <w:t>for</w:t>
            </w:r>
            <w:r>
              <w:t xml:space="preserve"> Ukraine and </w:t>
            </w:r>
            <w:r>
              <w:rPr>
                <w:b/>
                <w:i/>
              </w:rPr>
              <w:t>engagement with partner countries; stresses that the effectiveness of Union external action depends on clear prioritisation, coherence and efficient use of available resources</w:t>
            </w:r>
            <w:r>
              <w:t xml:space="preserve">; warns that the merger of programmes </w:t>
            </w:r>
            <w:r>
              <w:rPr>
                <w:b/>
                <w:i/>
              </w:rPr>
              <w:t>must not weaken</w:t>
            </w:r>
            <w:r>
              <w:t xml:space="preserve"> parliamentary oversight</w:t>
            </w:r>
            <w:r>
              <w:rPr>
                <w:b/>
                <w:i/>
              </w:rPr>
              <w:t>, transparency or</w:t>
            </w:r>
            <w:r>
              <w:t xml:space="preserve"> funding visibility</w:t>
            </w:r>
            <w:r>
              <w:rPr>
                <w:b/>
                <w:i/>
              </w:rPr>
              <w:t>, as experienced under NDICI–Global</w:t>
            </w:r>
            <w:r>
              <w:t xml:space="preserve"> Europe; insists that </w:t>
            </w:r>
            <w:r>
              <w:rPr>
                <w:b/>
                <w:i/>
              </w:rPr>
              <w:t>programme structures</w:t>
            </w:r>
            <w:r>
              <w:t xml:space="preserve"> maintain clear and </w:t>
            </w:r>
            <w:r>
              <w:rPr>
                <w:b/>
                <w:i/>
              </w:rPr>
              <w:t>distinct</w:t>
            </w:r>
            <w:r>
              <w:t xml:space="preserve"> budget lines; recalls that the needs-based nature of humanitarian aid requires </w:t>
            </w:r>
            <w:r>
              <w:rPr>
                <w:b/>
                <w:i/>
              </w:rPr>
              <w:t>predictable and transparent</w:t>
            </w:r>
            <w:r>
              <w:t xml:space="preserve"> funding </w:t>
            </w:r>
            <w:r>
              <w:rPr>
                <w:b/>
                <w:i/>
              </w:rPr>
              <w:t>arrangements, including an appropriate</w:t>
            </w:r>
            <w:r>
              <w:t xml:space="preserve"> baseline allocation </w:t>
            </w:r>
            <w:r>
              <w:rPr>
                <w:b/>
                <w:i/>
              </w:rPr>
              <w:t>within the limits of the MFF, and underlines the importance of clear objectives and measurable performance indicators to ensure effectiveness, accountability and value for money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624</w:t>
      </w:r>
      <w:r>
        <w:rPr>
          <w:rStyle w:val="HideTWBExt"/>
        </w:rPr>
        <w:t>&lt;/NumAm&gt;</w:t>
      </w:r>
    </w:p>
    <w:p>
      <w:pPr>
        <w:pStyle w:val="NormalBold"/>
      </w:pPr>
      <w:r>
        <w:rPr>
          <w:rStyle w:val="HideTWBExt"/>
          <w:b w:val="0"/>
        </w:rPr>
        <w:t>&lt;RepeatBlock-By&gt;</w:t>
      </w:r>
      <w:r>
        <w:rPr>
          <w:rStyle w:val="HideTWBExt"/>
          <w:b w:val="0"/>
        </w:rPr>
        <w:t>&lt;Members&gt;</w:t>
      </w:r>
      <w:r>
        <w:t>Stine Bosse, Fabienne Keller,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Notes that Heading 3 ‘Global Europe’ is allocated EUR 190 billion in 2025 prices in the 2028-2034 MFF, representing a significant increase from EUR 121.5 billion in the current period while maintaining its 10 % share of the total MFF; considers that this reinforcement of EUR 68.5 billion is positive, as it demonstrates the Union’s commitment to strengthening its role as a global actor in an increasingly complex geopolitical environment; expresses concern, however, that this level of funding remains insufficient given the scale of global challenges including development needs, humanitarian crises and the need to support Ukraine and other partners; calls for the necessary funds to support enlargement and accession processes; warns that the merger of programmes could lead, once again, to weakened parliamentary oversight and involvement and reduced funding visibility for specific priorities, as occurred with NDICI-Global Europe; insists that the pillars maintain clear and separate budget lines to ensure transparency in allocations; recalls its position that the needs-based nature of humanitarian aid requires ring-fenced funding delivered through a stand-alone spending programme and dedicated nomenclature and underlines that effective humanitarian aid provision is contingent on predictability through a sufficient annual baseline allocation;</w:t>
            </w:r>
          </w:p>
        </w:tc>
        <w:tc>
          <w:tcPr>
            <w:tcW w:w="4876" w:type="dxa"/>
            <w:tcBorders>
              <w:top w:val="nil"/>
              <w:left w:val="nil"/>
              <w:bottom w:val="nil"/>
              <w:right w:val="nil"/>
            </w:tcBorders>
          </w:tcPr>
          <w:p>
            <w:pPr>
              <w:pStyle w:val="Normal6a"/>
            </w:pPr>
            <w:r>
              <w:t>21.</w:t>
            </w:r>
            <w:r>
              <w:tab/>
            </w:r>
            <w:r>
              <w:t xml:space="preserve">Notes that Heading 3 ‘Global Europe’ is allocated EUR 190 billion in 2025 prices in the 2028-2034 MFF, representing a significant increase from EUR 121.5 billion in the current period while maintaining its 10 % share of the total MFF; considers that this reinforcement of EUR 68.5 billion is positive, as it demonstrates the Union’s commitment to strengthening its role as a global actor in an increasingly complex geopolitical environment; expresses concern, however, that this level of funding remains insufficient given the scale of global challenges including </w:t>
            </w:r>
            <w:r>
              <w:rPr>
                <w:b/>
                <w:i/>
              </w:rPr>
              <w:t>decarbonisation, global health and</w:t>
            </w:r>
            <w:r>
              <w:t xml:space="preserve"> development needs, humanitarian crises and the need to support Ukraine and other partners; calls for the necessary funds to support enlargement and accession processes; warns that the merger of programmes could lead, once again, to weakened parliamentary oversight and involvement and reduced funding visibility for specific priorities, as occurred with NDICI-Global Europe; insists that the pillars maintain clear and separate budget lines to ensure transparency in allocations; recalls its position that the needs-based nature of humanitarian aid requires ring-fenced funding delivered through a stand-alone spending programme and dedicated nomenclature and underlines that effective humanitarian aid provision is contingent on predictability through a sufficient annual baseline allocation;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625</w:t>
      </w:r>
      <w:r>
        <w:rPr>
          <w:rStyle w:val="HideTWBExt"/>
        </w:rPr>
        <w:t>&lt;/NumAm&gt;</w:t>
      </w:r>
    </w:p>
    <w:p>
      <w:pPr>
        <w:pStyle w:val="NormalBold"/>
      </w:pPr>
      <w:r>
        <w:rPr>
          <w:rStyle w:val="HideTWBExt"/>
          <w:b w:val="0"/>
        </w:rPr>
        <w:t>&lt;RepeatBlock-By&gt;</w:t>
      </w:r>
      <w:r>
        <w:rPr>
          <w:rStyle w:val="HideTWBExt"/>
          <w:b w:val="0"/>
        </w:rPr>
        <w:t>&lt;Members&gt;</w:t>
      </w:r>
      <w:r>
        <w:t>Anouk Van Brug,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Notes that Heading 3 ‘Global Europe’ is allocated EUR 190 billion in 2025 prices in the 2028-2034 MFF, representing a significant increase from EUR 121.5 billion in the current period while maintaining its 10 % share of the total MFF; considers that this reinforcement of EUR 68.5 billion is </w:t>
            </w:r>
            <w:r>
              <w:rPr>
                <w:b/>
                <w:i/>
              </w:rPr>
              <w:t>positive</w:t>
            </w:r>
            <w:r>
              <w:t>, as it demonstrates the Union’s commitment to strengthening its role as a global actor in an increasingly complex geopolitical environment; expresses concern, however, that this level of funding remains insufficient given the scale of global challenges including development needs, humanitarian crises and the need to support Ukraine and other partners; calls for the necessary funds to support enlargement and accession processes; warns that the merger of programmes could lead, once again, to weakened parliamentary oversight and involvement and reduced funding visibility for specific priorities, as occurred with NDICI-Global Europe; insists that the pillars maintain clear and separate budget lines to ensure transparency in allocations; recalls its position that the needs-based nature of humanitarian aid requires ring-fenced funding delivered through a stand-alone spending programme and dedicated nomenclature and underlines that effective humanitarian aid provision is contingent on predictability through a sufficient annual baseline allocation;</w:t>
            </w:r>
          </w:p>
        </w:tc>
        <w:tc>
          <w:tcPr>
            <w:tcW w:w="4876" w:type="dxa"/>
            <w:tcBorders>
              <w:top w:val="nil"/>
              <w:left w:val="nil"/>
              <w:bottom w:val="nil"/>
              <w:right w:val="nil"/>
            </w:tcBorders>
          </w:tcPr>
          <w:p>
            <w:pPr>
              <w:pStyle w:val="Normal6a"/>
            </w:pPr>
            <w:r>
              <w:t>21.</w:t>
            </w:r>
            <w:r>
              <w:tab/>
            </w:r>
            <w:r>
              <w:t xml:space="preserve">Notes that Heading 3 ‘Global Europe’ is allocated EUR 190 billion in 2025 prices in the 2028-2034 MFF, representing a significant increase from EUR 121.5 billion in the current period while maintaining its 10 % share of the total MFF; considers that this reinforcement of EUR 68.5 billion is </w:t>
            </w:r>
            <w:r>
              <w:rPr>
                <w:b/>
                <w:i/>
              </w:rPr>
              <w:t>absolutely crucial</w:t>
            </w:r>
            <w:r>
              <w:t>, as it demonstrates the Union’s commitment to strengthening its role as a global actor in an increasingly complex geopolitical environment; expresses concern, however, that this level of funding remains insufficient given the scale of global challenges including development needs, humanitarian crises and the need to support Ukraine and other partners; calls for the necessary funds to support enlargement and accession processes; warns that the merger of programmes could lead, once again, to weakened parliamentary oversight and involvement and reduced funding visibility for specific priorities, as occurred with NDICI-Global Europe; insists that the pillars maintain clear and separate budget lines to ensure transparency in allocations; recalls its position that the needs-based nature of humanitarian aid requires ring-fenced funding delivered through a stand-alone spending programme and dedicated nomenclature and underlines that effective humanitarian aid provision is contingent on predictability through a sufficient annual baseline allocation;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626</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Notes that Heading 3 ‘Global Europe’ is allocated EUR 190 billion in 2025 prices in the 2028-2034 MFF, representing a significant increase from EUR 121.5 billion in the current period while maintaining its 10 % share of the total MFF; considers that this reinforcement of EUR 68.5 billion is positive, as it demonstrates the Union’s commitment to strengthening its role as a global actor in an increasingly complex geopolitical environment; expresses concern, however, that this level of funding remains insufficient given the scale of global challenges including development needs, humanitarian crises and the need to support Ukraine and other partners; calls for the necessary funds to support enlargement and accession processes; warns that the merger of programmes could lead, once again, to weakened parliamentary oversight and involvement and reduced funding visibility for specific priorities, as occurred with NDICI-Global Europe; insists that the pillars maintain clear and separate budget lines to ensure transparency in allocations; recalls its position that the needs-based nature of humanitarian aid requires ring-fenced funding </w:t>
            </w:r>
            <w:r>
              <w:rPr>
                <w:b/>
                <w:i/>
              </w:rPr>
              <w:t>delivered through a stand-alone spending programme and</w:t>
            </w:r>
            <w:r>
              <w:t xml:space="preserve"> dedicated nomenclature and underlines that effective humanitarian aid provision is contingent on predictability through a sufficient annual baseline allocation;</w:t>
            </w:r>
          </w:p>
        </w:tc>
        <w:tc>
          <w:tcPr>
            <w:tcW w:w="4876" w:type="dxa"/>
            <w:tcBorders>
              <w:top w:val="nil"/>
              <w:left w:val="nil"/>
              <w:bottom w:val="nil"/>
              <w:right w:val="nil"/>
            </w:tcBorders>
          </w:tcPr>
          <w:p>
            <w:pPr>
              <w:pStyle w:val="Normal6a"/>
            </w:pPr>
            <w:r>
              <w:t>21.</w:t>
            </w:r>
            <w:r>
              <w:tab/>
            </w:r>
            <w:r>
              <w:t xml:space="preserve">Notes that Heading 3 ‘Global Europe’ is allocated EUR 190 billion in 2025 prices in the 2028-2034 MFF, representing a significant increase from EUR 121.5 billion in the current period while maintaining its 10 % share of the total MFF; considers that this reinforcement of EUR 68.5 billion is positive, as it demonstrates the Union’s commitment to strengthening its role as a global actor in an increasingly complex geopolitical environment; expresses concern, however, that this level of funding remains insufficient given the scale of global challenges including </w:t>
            </w:r>
            <w:r>
              <w:rPr>
                <w:b/>
                <w:i/>
              </w:rPr>
              <w:t>the climate and biodiversity crisis,</w:t>
            </w:r>
            <w:r>
              <w:t xml:space="preserve"> development needs, humanitarian crises and the need to support Ukraine and other partners; calls for the necessary funds to support enlargement and accession processes; warns that the merger of programmes could lead, once again, to weakened parliamentary oversight and involvement and reduced funding visibility for specific priorities, as occurred with NDICI-Global Europe; insists that the pillars maintain clear and separate budget lines to ensure transparency in allocations; recalls its position that the needs-based nature of humanitarian aid requires ring-fenced funding dedicated nomenclature </w:t>
            </w:r>
            <w:r>
              <w:rPr>
                <w:b/>
                <w:i/>
              </w:rPr>
              <w:t>and a dedicated reserve</w:t>
            </w:r>
            <w:r>
              <w:t xml:space="preserve"> and underlines that effective humanitarian aid provision is contingent on predictability through a sufficient annual baseline allocation;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627</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a.</w:t>
            </w:r>
            <w:r>
              <w:tab/>
            </w:r>
            <w:r>
              <w:rPr>
                <w:b/>
                <w:i/>
              </w:rPr>
              <w:t>Notes with deep concern that the proposed Regulation dilutes core priorities and commitments that are essential for the EU’s external action to remain values-driven, people-centred, planet responsive, transparent, predictable and effective; in particular, deplores that it removes all thematic targets currently embedded within the NDICI-Global Europe (NDICI-GE) framework; emphasises that these thematic targets—covering critical areas such as human rights, climate action, gender equality, sustainable development, health, education and good governance—serve as essential safeguards to ensure that EU external action remains strategic, accountable, aligned with its fundamental values and its international commitments, notably in terms of delivering Agenda 2030’s objectives, the Paris Agreement and the Kunming-Montréal global biodiversity Framework; to this end, calls for the reinstatement of minimum spending targets for LDCs and fragile and conflict-affected states (FCAS), human development, gender equality, climate and biodiversity as well as CSOs; Calls for dedicated budget lines in all the geographical pillars to ensure these priorities remain; Calls therefore for a strong commitment for Policy Coherence for Sustainable Development (PCSD); urges to reinstate clear spending targets under the Offical Development Assistance (ODA) aiming at poverty alleviation and reducing inequality;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628</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a.</w:t>
            </w:r>
            <w:r>
              <w:tab/>
            </w:r>
            <w:r>
              <w:rPr>
                <w:b/>
                <w:i/>
              </w:rPr>
              <w:t>Stresses that EU’s external action budget is also a strategic investment that boosts the EU’s presence and influence internationally in an increasingly complex geopolitical environment; points out that other global players are increasing investments in partner countries; considers that investments in long-term development and global climate action are strategic enablers that underpin the EU’s competitiveness and security agendas as the EU’s resilience and preparedness are closely linked to those of its regional and global partner countries; emphasizes that strengthening partners’ capacity to withstand and effectively respond to extreme weather events, health crises, hybrid campaigns and conflict also lowers the risk of cascading or spill-over effects for Europe; underlines the need of establishing of clear spending targets and minimum funding levels for strategic priorities in order to predictability for partner countries and to increase transparency while ensuring that flexible funding structures remain accountable and aligned with the Union’s long-term objectives, as well as for the Parliament to exercise effective scrutiny;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629</w:t>
      </w:r>
      <w:r>
        <w:rPr>
          <w:rStyle w:val="HideTWBExt"/>
        </w:rPr>
        <w:t>&lt;/NumAm&gt;</w:t>
      </w:r>
    </w:p>
    <w:p>
      <w:pPr>
        <w:pStyle w:val="NormalBold"/>
      </w:pPr>
      <w:r>
        <w:rPr>
          <w:rStyle w:val="HideTWBExt"/>
          <w:b w:val="0"/>
        </w:rPr>
        <w:t>&lt;RepeatBlock-By&gt;</w:t>
      </w:r>
      <w:r>
        <w:rPr>
          <w:rStyle w:val="HideTWBExt"/>
          <w:b w:val="0"/>
        </w:rPr>
        <w:t>&lt;Members&gt;</w:t>
      </w:r>
      <w:r>
        <w:t>Ruggero Razza, Roberts Zīle,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Stresses the importance, particularly as regards the Mediterranean and Southern neighbourhoods, of an integrated and 360° approach to EU external action that combines development, infrastructure, energy, education and training, and job creation, in line with the Union's priorities;</w:t>
            </w:r>
            <w:r>
              <w:t xml:space="preserve"> </w:t>
            </w:r>
            <w:r>
              <w:rPr>
                <w:b/>
                <w:i/>
              </w:rPr>
              <w:t>welcomes the Pact for the Mediterranean as a strategic Union framework to strengthen structured and lasting partnerships with countries in the Mediterranean neighbourhood, including by means of parliamentary diplomacy;</w:t>
            </w:r>
            <w:r>
              <w:t xml:space="preserve"> </w:t>
            </w:r>
            <w:r>
              <w:rPr>
                <w:b/>
                <w:i/>
              </w:rPr>
              <w:t>highlights, in this regard, the need to adopt a Team Europe approach to ensure synergy and complementarity between Global Gateway and national initiatives with a view to bolstering strategic partnerships and also to contribute to the orderly management of migration flows and the fight against criminal networks;</w:t>
            </w:r>
            <w:r>
              <w:t xml:space="preserve"> </w:t>
            </w:r>
            <w:r>
              <w:rPr>
                <w:b/>
                <w:i/>
              </w:rPr>
              <w:t>calls on the Commission to steer EU action towards achieving measurable and sustainable results, while ensuring the appropriate degree of transparency for allocations and the visibility of financed priorities;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630</w:t>
      </w:r>
      <w:r>
        <w:rPr>
          <w:rStyle w:val="HideTWBExt"/>
        </w:rPr>
        <w:t>&lt;/NumAm&gt;</w:t>
      </w:r>
    </w:p>
    <w:p>
      <w:pPr>
        <w:pStyle w:val="NormalBold"/>
      </w:pPr>
      <w:r>
        <w:rPr>
          <w:rStyle w:val="HideTWBExt"/>
          <w:b w:val="0"/>
        </w:rPr>
        <w:t>&lt;RepeatBlock-By&gt;</w:t>
      </w:r>
      <w:r>
        <w:rPr>
          <w:rStyle w:val="HideTWBExt"/>
          <w:b w:val="0"/>
        </w:rPr>
        <w:t>&lt;Members&gt;</w:t>
      </w:r>
      <w:r>
        <w:t>Céline Imart, Christophe Gomart, Nadine Morano, François-Xavier Bellamy, Lukas Mandl, Sander Smit, Alice Teodorescu Måwe,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a.</w:t>
            </w:r>
            <w:r>
              <w:tab/>
            </w:r>
            <w:r>
              <w:rPr>
                <w:b/>
                <w:i/>
              </w:rPr>
              <w:t>Stresses that serious and well-documented breaches of the principle of neutrality of the United Nations, which is binding on UN agencies, have occurred within the United Nations Relief and Works Agency for Palestine Refugees in the Near East (UNRWA), in particular where the infrastructure or resources of that organisation have been used for terrorist purposes; considers that such facts undermine the fundamental values of the Union, the credibility of international humanitarian action and the principles of sound financial management; takes the view, therefore, that no funding from the Union budget should be granted to UNRWA and calls for the definitive suspension of all European funding to that organisation.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631</w:t>
      </w:r>
      <w:r>
        <w:rPr>
          <w:rStyle w:val="HideTWBExt"/>
        </w:rPr>
        <w:t>&lt;/NumAm&gt;</w:t>
      </w:r>
    </w:p>
    <w:p>
      <w:pPr>
        <w:pStyle w:val="NormalBold"/>
      </w:pPr>
      <w:r>
        <w:rPr>
          <w:rStyle w:val="HideTWBExt"/>
          <w:b w:val="0"/>
        </w:rPr>
        <w:t>&lt;RepeatBlock-By&gt;</w:t>
      </w:r>
      <w:r>
        <w:rPr>
          <w:rStyle w:val="HideTWBExt"/>
          <w:b w:val="0"/>
        </w:rPr>
        <w:t>&lt;Members&gt;</w:t>
      </w:r>
      <w:r>
        <w:t>Isabel Benjumea Benjumea, Carmen Crespo Díaz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Calls for a European Import Control Office to be established, with dedicated staff and technology to verify compliance with trade agreements, quotas and reciprocity in sanitary and phytosanitary rules in imports from third countries;</w:t>
            </w:r>
            <w:r>
              <w:t xml:space="preserve"> </w:t>
            </w:r>
            <w:r>
              <w:rPr>
                <w:b/>
                <w:i/>
              </w:rPr>
              <w:t>warns of the urgent need to step up audits at source and border controls in the EU, while calling on Member States to strengthen these checks;</w:t>
            </w:r>
            <w:r>
              <w:t xml:space="preserve"> </w:t>
            </w:r>
            <w:r>
              <w:rPr>
                <w:b/>
                <w:i/>
              </w:rPr>
              <w:t>emphasises that this mechanism is crucial to guarantee compliance with quotas, to ensure food security for European consumers and to protect EU agricultural production against unfair competition from third countries;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632</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a.</w:t>
            </w:r>
            <w:r>
              <w:tab/>
            </w:r>
            <w:r>
              <w:rPr>
                <w:b/>
                <w:i/>
              </w:rPr>
              <w:t>Demands that the share of non-programmable funding within all Global Europe pillars be set consistently at 25% of the total allocation under the future regulation and that this funding is explicitly dedicated to clearly defined actions including humanitarian assistance, crisis response, peacebuilding, resilience and foreign-policy needs; stresses that, alongside predictability for investment, spending programmes should retain a substantial in-built flexibility reserve, with allocation to specific policy objectives to be decided by the budgetary authority;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633</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a.</w:t>
            </w:r>
            <w:r>
              <w:tab/>
            </w:r>
            <w:r>
              <w:rPr>
                <w:b/>
                <w:i/>
              </w:rPr>
              <w:t>Insist on the need to deploy the necessary funds to support the accession processes of Ukraine and the neighbouring Republic of Moldova as well as the Western Balkans countries; Stresses that separate budget lines should be created for each of the pre-accession countries;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634</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a.</w:t>
            </w:r>
            <w:r>
              <w:tab/>
            </w:r>
            <w:r>
              <w:rPr>
                <w:b/>
                <w:i/>
              </w:rPr>
              <w:t>Considers that the profound changes in Europe’s security and defence considerations warrant that sufficient funding is provided to relevant programmes, such as Common Security and Defence Policy and Rapid Deployment Capacity;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635</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a.</w:t>
            </w:r>
            <w:r>
              <w:tab/>
            </w:r>
            <w:r>
              <w:rPr>
                <w:b/>
                <w:i/>
              </w:rPr>
              <w:t>Underlines that future EU enlargements should be conducted with a view to avoid placing any burden on Cohesion Policy and the CAP, enlargement must in no way come at the expense of EU's current regions and farming system;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636</w:t>
      </w:r>
      <w:r>
        <w:rPr>
          <w:rStyle w:val="HideTWBExt"/>
        </w:rPr>
        <w:t>&lt;/NumAm&gt;</w:t>
      </w:r>
    </w:p>
    <w:p>
      <w:pPr>
        <w:pStyle w:val="NormalBold"/>
      </w:pPr>
      <w:r>
        <w:rPr>
          <w:rStyle w:val="HideTWBExt"/>
          <w:b w:val="0"/>
        </w:rPr>
        <w:t>&lt;RepeatBlock-By&gt;</w:t>
      </w:r>
      <w:r>
        <w:rPr>
          <w:rStyle w:val="HideTWBExt"/>
          <w:b w:val="0"/>
        </w:rPr>
        <w:t>&lt;Members&gt;</w:t>
      </w:r>
      <w:r>
        <w:t>Fabienne Keller,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a.</w:t>
            </w:r>
            <w:r>
              <w:tab/>
            </w:r>
            <w:r>
              <w:rPr>
                <w:b/>
                <w:i/>
              </w:rPr>
              <w:t>Stresses that flexibility in external action cannot undermine predictability, transparency, democratic oversight or the integrity of official development assistance;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637</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a.</w:t>
            </w:r>
            <w:r>
              <w:tab/>
            </w:r>
            <w:r>
              <w:rPr>
                <w:b/>
                <w:i/>
              </w:rPr>
              <w:t>Calls for a more detailed nomenclature that includes specific budget lines for thematic programmes and instruments within each geographic pillar;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638</w:t>
      </w:r>
      <w:r>
        <w:rPr>
          <w:rStyle w:val="HideTWBExt"/>
        </w:rPr>
        <w:t>&lt;/NumAm&gt;</w:t>
      </w:r>
    </w:p>
    <w:p>
      <w:pPr>
        <w:pStyle w:val="NormalBold"/>
      </w:pPr>
      <w:r>
        <w:rPr>
          <w:rStyle w:val="HideTWBExt"/>
          <w:b w:val="0"/>
        </w:rPr>
        <w:t>&lt;RepeatBlock-By&gt;</w:t>
      </w:r>
      <w:r>
        <w:rPr>
          <w:rStyle w:val="HideTWBExt"/>
          <w:b w:val="0"/>
        </w:rPr>
        <w:t>&lt;Members&gt;</w:t>
      </w:r>
      <w:r>
        <w:t>Isabel Benjumea Benjumea, Carmen Crespo Díaz, Francisco José Millán Mon, Gabriel Mato, 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Highlights the strategic importance of the sustainable fisheries partnership agreements (SFPAs) as key EU foreign policy instruments and as a fundamental element in supporting the European fishing fleet operating in third-country waters;</w:t>
            </w:r>
            <w:r>
              <w:t xml:space="preserve"> </w:t>
            </w:r>
            <w:r>
              <w:rPr>
                <w:b/>
                <w:i/>
              </w:rPr>
              <w:t>stresses that these agreements not only ensure legal and sustainable access to fisheries resources, but also directly contribute to the economic, social and food development of partner countries, the promotion of good fisheries governance, the fight against illegal fishing and the strengthening of the EU’s geopolitical presence in key regions;</w:t>
            </w:r>
            <w:r>
              <w:t xml:space="preserve"> </w:t>
            </w:r>
            <w:r>
              <w:rPr>
                <w:b/>
                <w:i/>
              </w:rPr>
              <w:t>calls, therefore, for the 2028-2034 MFF to allocate sufficient, predictable and stable resources for the effective negotiation, renewal and implementation of SFPAs, ensuring that their envelope reflects their strategic value and multiple contribution to EU interests;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639</w:t>
      </w:r>
      <w:r>
        <w:rPr>
          <w:rStyle w:val="HideTWBExt"/>
        </w:rPr>
        <w:t>&lt;/NumAm&gt;</w:t>
      </w:r>
    </w:p>
    <w:p>
      <w:pPr>
        <w:pStyle w:val="NormalBold"/>
      </w:pPr>
      <w:r>
        <w:rPr>
          <w:rStyle w:val="HideTWBExt"/>
          <w:b w:val="0"/>
        </w:rPr>
        <w:t>&lt;RepeatBlock-By&gt;</w:t>
      </w:r>
      <w:r>
        <w:rPr>
          <w:rStyle w:val="HideTWBExt"/>
          <w:b w:val="0"/>
        </w:rPr>
        <w:t>&lt;Members&gt;</w:t>
      </w:r>
      <w:r>
        <w:t>Céline Imart, Christophe Gomart, Nadine Morano, François-Xavier Bellamy, Lukas Mandl, Sander Smit, Alice Teodorescu Måwe, Henrik Dahl, Antonio López-Istúriz White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w:t>
            </w:r>
            <w:r>
              <w:tab/>
            </w:r>
            <w:r>
              <w:rPr>
                <w:b/>
                <w:i/>
              </w:rPr>
              <w:t>Recalls that credible information and documented evidence have highlighted serious risks of diversion, capture or indirect benefit of European Union funds by entities operating in Gaza that are directly or indirectly infiltrated, controlled or subject to the influence of terrorist organisations; notes in particular that a project related to water management and irrigation was used for non-civilian purposes, insofar as it was exploited to the advantage of the military tactics of a terrorist entity; calls therefore for the exclusion of any Union funding to entities directly or indirectly linked to, infiltrated or instrumentalised by terrorist organisations, as well as for a substantial strengthening of screening, monitoring and conditionality mechanisms in order to prevent any diversion or indirect benefit of European funds.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640</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w:t>
            </w:r>
            <w:r>
              <w:tab/>
            </w:r>
            <w:r>
              <w:rPr>
                <w:b/>
                <w:i/>
              </w:rPr>
              <w:t>Reminds that under the current seven-year financial framework, Ukraine receives an amount of EU support that is close to the regional development policy resources available to all EU-27 Member States, expects Ukraine to refrain from attacking the national sovereignty of Member States, their energy infrastructure and from interfering in national elections; condemns that based on the European Commission's plans for the post-2027 MFF, Ukraine would receive 20% of the total resources of the seven year budget and that, according to press reports, the European Commission has already accepted Ukraine's demand for reconstruction and rearmament and would provide an additional EUR 800 billion and EUR 700 billion respectively;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641</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w:t>
            </w:r>
            <w:r>
              <w:tab/>
            </w:r>
            <w:r>
              <w:rPr>
                <w:b/>
                <w:i/>
              </w:rPr>
              <w:t>Welcomes that the Global Europe Reserve mobilisation is to change compared to NDICI-GE, whereby under the next MFF the reserve mobilisation will have to follow Financial Regulation rules and any mobilisation above 10% of the annual allocation will have to be approved by the Parliament and the Council; insists however on its previous calls that the Commission shall meaningfully and in due time inform the co-legislators before any mobilisation of the reserve and take into consideration their observations on the nature, objectives and financial amounts envisaged.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642</w:t>
      </w:r>
      <w:r>
        <w:rPr>
          <w:rStyle w:val="HideTWBExt"/>
        </w:rPr>
        <w:t>&lt;/NumAm&gt;</w:t>
      </w:r>
    </w:p>
    <w:p>
      <w:pPr>
        <w:pStyle w:val="NormalBold"/>
      </w:pPr>
      <w:r>
        <w:rPr>
          <w:rStyle w:val="HideTWBExt"/>
          <w:b w:val="0"/>
        </w:rPr>
        <w:t>&lt;RepeatBlock-By&gt;</w:t>
      </w:r>
      <w:r>
        <w:rPr>
          <w:rStyle w:val="HideTWBExt"/>
          <w:b w:val="0"/>
        </w:rPr>
        <w:t>&lt;Members&gt;</w:t>
      </w:r>
      <w:r>
        <w:t>Ruggero Razza, Roberts Zīle,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w:t>
            </w:r>
            <w:r>
              <w:tab/>
            </w:r>
            <w:r>
              <w:rPr>
                <w:b/>
                <w:i/>
              </w:rPr>
              <w:t>Reiterates the importance of a consistent and results-oriented use of external action instruments to address drivers of migration;</w:t>
            </w:r>
            <w:r>
              <w:t xml:space="preserve"> </w:t>
            </w:r>
            <w:r>
              <w:rPr>
                <w:b/>
                <w:i/>
              </w:rPr>
              <w:t>calls on the Commission to meet and emphasize the objective of earmarking at least 10 % of Global Europe-related resources for action in the area of migration, including prevention, tackling criminal networks, cooperation on returns and readmissions and bolstering the capabilities of countries of origin and transit while ensuring full transparency in the use of funds and that this use is subject to clear criteria and conditionality;</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643</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w:t>
            </w:r>
            <w:r>
              <w:tab/>
            </w:r>
            <w:r>
              <w:rPr>
                <w:b/>
                <w:i/>
              </w:rPr>
              <w:t>Takes note the Commission's proposal that humanitarian aid remains with its own governance structure and accountability mechanism and insists on the need for stable and predictable funding ensuring a minimum level of resources granted given the worsening global situation , and the absolute need to prevent any politicisation that could arise from integrating it into broader external action instruments; Insists at the same time for the need for dedicated flexibility for the unplannable humanitarian needs within the crisis special instrument;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644</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w:t>
            </w:r>
            <w:r>
              <w:tab/>
            </w:r>
            <w:r>
              <w:rPr>
                <w:b/>
                <w:i/>
              </w:rPr>
              <w:t>Underlines that the Overseas countries and territories represent unique and strategic assets that benefit the Union as a whole; believes that the allocation proposed by the Commission does not correspond to the challenges faced by Overseas countries and territories and calls for doubling the Commission proposal to 2.15 bn. EUR in current prices (1.85 bn. EUR in constant prices) taking also into consideration the recent threats to the territorial integrity of Greenland;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645</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w:t>
            </w:r>
            <w:r>
              <w:tab/>
            </w:r>
            <w:r>
              <w:rPr>
                <w:b/>
                <w:i/>
              </w:rPr>
              <w:t>Underscores that grant financing remains an essential component of the EU’s development tool box, particularly in fragile and conflict-affected contexts; insists that EU guarantees must generate additionality over existing market solutions and that scaling guarantees in the Global Europe Instrument is only agreed once a thorough impact assessment has been done on the development impact of the EFSD+;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646</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c.</w:t>
            </w:r>
            <w:r>
              <w:tab/>
            </w:r>
            <w:r>
              <w:rPr>
                <w:b/>
                <w:i/>
              </w:rPr>
              <w:t>Rejects the proposal to establish the implementing rules for pre-accession assistance under the Europe Pillar of Global Europe through implementing acts, given that these rules define the design, content and management of support that is essential for future membership; demands that any elements entailing policy choices including the adoption of multiannual indicative programmes and the mobilisation of the emerging challenges and priorities reserve, be adopted exclusively through delegated acts to ensure Parliament’s systematic involvement in policy decision-making;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647</w:t>
      </w:r>
      <w:r>
        <w:rPr>
          <w:rStyle w:val="HideTWBExt"/>
        </w:rPr>
        <w:t>&lt;/NumAm&gt;</w:t>
      </w:r>
    </w:p>
    <w:p>
      <w:pPr>
        <w:pStyle w:val="NormalBold"/>
      </w:pPr>
      <w:r>
        <w:rPr>
          <w:rStyle w:val="HideTWBExt"/>
          <w:b w:val="0"/>
        </w:rPr>
        <w:t>&lt;RepeatBlock-By&gt;</w:t>
      </w:r>
      <w:r>
        <w:rPr>
          <w:rStyle w:val="HideTWBExt"/>
          <w:b w:val="0"/>
        </w:rPr>
        <w:t>&lt;Members&gt;</w:t>
      </w:r>
      <w:r>
        <w:t>Ruggero Razza,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21c.</w:t>
            </w:r>
            <w:r>
              <w:tab/>
            </w:r>
            <w:r>
              <w:rPr>
                <w:b/>
                <w:i/>
              </w:rPr>
              <w:t>Stresses that the effective management of migration flows requires an integrated 'internal and external' approach;</w:t>
            </w:r>
            <w:r>
              <w:t xml:space="preserve"> </w:t>
            </w:r>
            <w:r>
              <w:rPr>
                <w:b/>
                <w:i/>
              </w:rPr>
              <w:t>calls for the Union to, in parallel, bolster solidarity and support instruments for countries of first entry and innovative solutions with third countries, including operational partnerships and cooperation hubs for the orderly management of flows and returns;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648</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c.</w:t>
            </w:r>
            <w:r>
              <w:tab/>
            </w:r>
            <w:r>
              <w:rPr>
                <w:b/>
                <w:i/>
              </w:rPr>
              <w:t>Insists that the budget for the Global pillar is the minimum amount of funding available for global initiatives, crisis response and conflict prevention during the next budget cycle, and it should not be possible to transfer these funds to other pillars of the Global Europe Instrument;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649</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c.</w:t>
            </w:r>
            <w:r>
              <w:tab/>
            </w:r>
            <w:r>
              <w:rPr>
                <w:b/>
                <w:i/>
              </w:rPr>
              <w:t>Insists that debt service linked to Ukraine shall not be financed from within Heading 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650</w:t>
      </w:r>
      <w:r>
        <w:rPr>
          <w:rStyle w:val="HideTWBExt"/>
        </w:rPr>
        <w:t>&lt;/NumAm&gt;</w:t>
      </w:r>
    </w:p>
    <w:p>
      <w:pPr>
        <w:pStyle w:val="NormalBold"/>
      </w:pPr>
      <w:r>
        <w:rPr>
          <w:rStyle w:val="HideTWBExt"/>
          <w:b w:val="0"/>
        </w:rPr>
        <w:t>&lt;RepeatBlock-By&gt;</w:t>
      </w:r>
      <w:r>
        <w:rPr>
          <w:rStyle w:val="HideTWBExt"/>
          <w:b w:val="0"/>
        </w:rPr>
        <w:t>&lt;Members&gt;</w:t>
      </w:r>
      <w:r>
        <w:t>Ruggero Razza, Roberts Zīle,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 Bogdan Rzońca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21d.</w:t>
            </w:r>
            <w:r>
              <w:tab/>
            </w:r>
            <w:r>
              <w:rPr>
                <w:b/>
                <w:i/>
              </w:rPr>
              <w:t>Stresses the need for coordinated action to reduce pressure on countries of first entry and curb secondary movements;</w:t>
            </w:r>
            <w:r>
              <w:t xml:space="preserve"> </w:t>
            </w:r>
            <w:r>
              <w:rPr>
                <w:b/>
                <w:i/>
              </w:rPr>
              <w:t>calls on the Commission to ensure consistency between external action resources and relevant internal instruments, particularly by means of strengthened cooperation with third countries as regards readmissions and returns, fighting human trafficking and border management while ensuring the transparent reporting of the effectiveness of financed measures;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651</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d.</w:t>
            </w:r>
            <w:r>
              <w:tab/>
            </w:r>
            <w:r>
              <w:rPr>
                <w:b/>
                <w:i/>
              </w:rPr>
              <w:t>Calls for a more detailed nomenclature that includes specific budget lines for thematic programmes and instruments within each geographic pillar;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652</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e.</w:t>
            </w:r>
            <w:r>
              <w:tab/>
            </w:r>
            <w:r>
              <w:rPr>
                <w:b/>
                <w:i/>
              </w:rPr>
              <w:t>Calls for a clearly earmarked budget for human rights, democracy and the rule of law in the MFF, and for minimum targets in all geographical pillars for least- developed and conflict-affected countries, human development, gender equality, climate action and support to civil society organizations, the development and reinforcement of democratic structures and the growth of free media, including in neighbouring countries;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653</w:t>
      </w:r>
      <w:r>
        <w:rPr>
          <w:rStyle w:val="HideTWBExt"/>
        </w:rPr>
        <w:t>&lt;/NumAm&gt;</w:t>
      </w:r>
    </w:p>
    <w:p>
      <w:pPr>
        <w:pStyle w:val="NormalBold"/>
      </w:pPr>
      <w:r>
        <w:rPr>
          <w:rStyle w:val="HideTWBExt"/>
          <w:b w:val="0"/>
        </w:rPr>
        <w:t>&lt;RepeatBlock-By&gt;</w:t>
      </w:r>
      <w:r>
        <w:rPr>
          <w:rStyle w:val="HideTWBExt"/>
          <w:b w:val="0"/>
        </w:rPr>
        <w:t>&lt;Members&gt;</w:t>
      </w:r>
      <w:r>
        <w:t>Ruggero Razza, Roberts Zīle,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21e.</w:t>
            </w:r>
            <w:r>
              <w:tab/>
            </w:r>
            <w:r>
              <w:rPr>
                <w:b/>
                <w:i/>
              </w:rPr>
              <w:t>Stresses that, in order to ensure transparency, democratic control and predictable support for citizens, the budget nomenclature for the annual budgetary procedure should enable clear and specific traceability of EU action in the education, youth, culture, media pluralism, cultural and creative sectors;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654</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f.</w:t>
            </w:r>
            <w:r>
              <w:tab/>
            </w:r>
            <w:r>
              <w:rPr>
                <w:b/>
                <w:i/>
              </w:rPr>
              <w:t>Insists that EU funding in conflict prevention, peacebuilding and post- conflict reconstruction is a direct investment in EU´s long-term stability and security, particularly in its neighbourhood; demands that the EU plays an active role in the reconstruction of Gaza, which has been one of the gravest humanitarian catastrophes of the XXI century, with UN estimates putting the cost of reconstruction at EUR 60 billion; calls, in this regard, for the creation within the MFF of an EU Facility for the reconstruction of Gaza, aimed at providing sufficient and predictable support for, inter alia, the reconstruction of residential neighbourhoods, hospitals, schools and basic civilian infrastructure, while providing agency for the affected population in the reconstruction process; stresses that this instrument should also involve international and regional stakeholders;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655</w:t>
      </w:r>
      <w:r>
        <w:rPr>
          <w:rStyle w:val="HideTWBExt"/>
        </w:rPr>
        <w:t>&lt;/NumAm&gt;</w:t>
      </w:r>
    </w:p>
    <w:p>
      <w:pPr>
        <w:pStyle w:val="NormalBold"/>
      </w:pPr>
      <w:r>
        <w:rPr>
          <w:rStyle w:val="HideTWBExt"/>
          <w:b w:val="0"/>
        </w:rPr>
        <w:t>&lt;RepeatBlock-By&gt;</w:t>
      </w:r>
      <w:r>
        <w:rPr>
          <w:rStyle w:val="HideTWBExt"/>
          <w:b w:val="0"/>
        </w:rPr>
        <w:t>&lt;Members&gt;</w:t>
      </w:r>
      <w:r>
        <w:t>Ruggero Razza, Roberts Zīle,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 Bogdan Rzońca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21f.</w:t>
            </w:r>
            <w:r>
              <w:tab/>
            </w:r>
            <w:r>
              <w:rPr>
                <w:b/>
                <w:i/>
              </w:rPr>
              <w:t>Emphasizes that Heading 3 Global Europe should fully integrate the external dimension of migration as part of a global approach that ensures consistency between internal and external instruments by including the prevention of irregular immigration, the fight against smuggling and trafficking networks, border management and cooperation on returns;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656</w:t>
      </w:r>
      <w:r>
        <w:rPr>
          <w:rStyle w:val="HideTWBExt"/>
        </w:rPr>
        <w:t>&lt;/NumAm&gt;</w:t>
      </w:r>
    </w:p>
    <w:p>
      <w:pPr>
        <w:pStyle w:val="NormalBold"/>
      </w:pPr>
      <w:r>
        <w:rPr>
          <w:rStyle w:val="HideTWBExt"/>
          <w:b w:val="0"/>
        </w:rPr>
        <w:t>&lt;RepeatBlock-By&gt;</w:t>
      </w:r>
      <w:r>
        <w:rPr>
          <w:rStyle w:val="HideTWBExt"/>
          <w:b w:val="0"/>
        </w:rPr>
        <w:t>&lt;Members&gt;</w:t>
      </w:r>
      <w:r>
        <w:t>Ruggero Razza, Roberts Zīle,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21g.</w:t>
            </w:r>
            <w:r>
              <w:tab/>
            </w:r>
            <w:r>
              <w:rPr>
                <w:b/>
                <w:i/>
              </w:rPr>
              <w:t>Asks, with a view to strengthening the EU's capacity to effectively manage migration flows and control its borders, for the budget lines under Heading 3 to be granular and visible enough for the operational instruments needed to implement return and readmission orders and for efforts supporting operational hubs and centres and other facilities for accelerated and border procedures, including those located in third countries;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657</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g.</w:t>
            </w:r>
            <w:r>
              <w:tab/>
            </w:r>
            <w:r>
              <w:rPr>
                <w:b/>
                <w:i/>
              </w:rPr>
              <w:t>Calls for the ‘Middle East, North Africa and the Gulf Pillar’ allocation to be reinforced in at least EUR 15 billion in current prices, in order to cover the wide range of cross-cutting objectives and commitments under this pillar, among which those related to conflict prevention, reconstruction and peacebuilding, and in particular the reconstruction of Gaza;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658</w:t>
      </w:r>
      <w:r>
        <w:rPr>
          <w:rStyle w:val="HideTWBExt"/>
        </w:rPr>
        <w:t>&lt;/NumAm&gt;</w:t>
      </w:r>
    </w:p>
    <w:p>
      <w:pPr>
        <w:pStyle w:val="NormalBold"/>
      </w:pPr>
      <w:r>
        <w:rPr>
          <w:rStyle w:val="HideTWBExt"/>
          <w:b w:val="0"/>
        </w:rPr>
        <w:t>&lt;RepeatBlock-By&gt;</w:t>
      </w:r>
      <w:r>
        <w:rPr>
          <w:rStyle w:val="HideTWBExt"/>
          <w:b w:val="0"/>
        </w:rPr>
        <w:t>&lt;Members&gt;</w:t>
      </w:r>
      <w:r>
        <w:t>Ruggero Razza,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h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21h.</w:t>
            </w:r>
            <w:r>
              <w:tab/>
            </w:r>
            <w:r>
              <w:rPr>
                <w:b/>
                <w:i/>
              </w:rPr>
              <w:t>Calls on the Commission and Member States to ensure a proportionate and verifiable conditionality regime whereby access to EU financial support under Heading 3 and the use of visa instruments are both made contingent upon effective third country cooperation as regards border management, readmissions and returns, the timely issuance of documents and fighting smuggling and trafficking networks;</w:t>
            </w:r>
            <w:r>
              <w:t xml:space="preserve"> </w:t>
            </w:r>
            <w:r>
              <w:rPr>
                <w:b/>
                <w:i/>
              </w:rPr>
              <w:t>calls for this conditionality regime to feature clear indicators, regular monitoring mechanisms and revision clauses;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659</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h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h.</w:t>
            </w:r>
            <w:r>
              <w:tab/>
            </w:r>
            <w:r>
              <w:rPr>
                <w:b/>
                <w:i/>
              </w:rPr>
              <w:t>Commends the role of the UN and its agencies, particularly in conflict zones; calls for the EU to double down on its support to multilateralism by enhancing its political and financial support to the work of the UN and its agencies; demands that the next MFF provides dedicated, adequate and predictable funding to the UN and its agencies, particularly to UNRWA, whose work in Gaza and the West Bank as provider of essential services is fundamental and irreplaceable to the population in the region;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660</w:t>
      </w:r>
      <w:r>
        <w:rPr>
          <w:rStyle w:val="HideTWBExt"/>
        </w:rPr>
        <w:t>&lt;/NumAm&gt;</w:t>
      </w:r>
    </w:p>
    <w:p>
      <w:pPr>
        <w:pStyle w:val="NormalBold"/>
      </w:pPr>
      <w:r>
        <w:rPr>
          <w:rStyle w:val="HideTWBExt"/>
          <w:b w:val="0"/>
        </w:rPr>
        <w:t>&lt;RepeatBlock-By&gt;</w:t>
      </w:r>
      <w:r>
        <w:rPr>
          <w:rStyle w:val="HideTWBExt"/>
          <w:b w:val="0"/>
        </w:rPr>
        <w:t>&lt;Members&gt;</w:t>
      </w:r>
      <w:r>
        <w:t>Ruggero Razza,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i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21i.</w:t>
            </w:r>
            <w:r>
              <w:tab/>
            </w:r>
            <w:r>
              <w:rPr>
                <w:b/>
                <w:i/>
              </w:rPr>
              <w:t>holds that strategic partnerships with third countries and regional organisations should include concrete, measurable commitments as regards returns, border control and tackling smugglers;</w:t>
            </w:r>
            <w:r>
              <w:t xml:space="preserve"> </w:t>
            </w:r>
            <w:r>
              <w:rPr>
                <w:b/>
                <w:i/>
              </w:rPr>
              <w:t>stresses that the credibility of these partnerships hinges on the establishment of a clear link between achievements and support levels and the use of measurable indicators;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661</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i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i.</w:t>
            </w:r>
            <w:r>
              <w:tab/>
            </w:r>
            <w:r>
              <w:rPr>
                <w:b/>
                <w:i/>
              </w:rPr>
              <w:t>Considers that the profound changes in Europe’s security and defence considerations warrant that sufficient funding is provided to relevant programmes, such as Common Security and Defence Policy and Rapid Deployment Capacity;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662</w:t>
      </w:r>
      <w:r>
        <w:rPr>
          <w:rStyle w:val="HideTWBExt"/>
        </w:rPr>
        <w:t>&lt;/NumAm&gt;</w:t>
      </w:r>
    </w:p>
    <w:p>
      <w:pPr>
        <w:pStyle w:val="NormalBold"/>
      </w:pPr>
      <w:r>
        <w:rPr>
          <w:rStyle w:val="HideTWBExt"/>
          <w:b w:val="0"/>
        </w:rPr>
        <w:t>&lt;RepeatBlock-By&gt;</w:t>
      </w:r>
      <w:r>
        <w:rPr>
          <w:rStyle w:val="HideTWBExt"/>
          <w:b w:val="0"/>
        </w:rPr>
        <w:t>&lt;Members&gt;</w:t>
      </w:r>
      <w:r>
        <w:t>Ruggero Razza,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j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21j.</w:t>
            </w:r>
            <w:r>
              <w:tab/>
            </w:r>
            <w:r>
              <w:rPr>
                <w:b/>
                <w:i/>
              </w:rPr>
              <w:t>Supports the objective of earmarking at least 10 % of NDICI-Global Europe funding for action in the area of migration, in accordance with the political guidelines and the need to address drivers of migration, strengthen the orderly management of flows and support the stability of partner countries;</w:t>
            </w:r>
            <w:r>
              <w:t xml:space="preserve"> </w:t>
            </w:r>
            <w:r>
              <w:rPr>
                <w:b/>
                <w:i/>
              </w:rPr>
              <w:t>calls for this objective's implementation to include expenditure tracking, annual reporting and full budget visibility;</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663</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j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j.</w:t>
            </w:r>
            <w:r>
              <w:tab/>
            </w:r>
            <w:r>
              <w:rPr>
                <w:b/>
                <w:i/>
              </w:rPr>
              <w:t>Echoes its concern regarding the widespread use of ‘financing not linked to costs’ in the implementation of the Europe Pillar; stresses that while performance-based plans can accelerate alignment, they must not come at the expense of sound financial management;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664</w:t>
      </w:r>
      <w:r>
        <w:rPr>
          <w:rStyle w:val="HideTWBExt"/>
        </w:rPr>
        <w:t>&lt;/NumAm&gt;</w:t>
      </w:r>
    </w:p>
    <w:p>
      <w:pPr>
        <w:pStyle w:val="NormalBold"/>
      </w:pPr>
      <w:r>
        <w:rPr>
          <w:rStyle w:val="HideTWBExt"/>
          <w:b w:val="0"/>
        </w:rPr>
        <w:t>&lt;RepeatBlock-By&gt;</w:t>
      </w:r>
      <w:r>
        <w:rPr>
          <w:rStyle w:val="HideTWBExt"/>
          <w:b w:val="0"/>
        </w:rPr>
        <w:t>&lt;Members&gt;</w:t>
      </w:r>
      <w:r>
        <w:t>Ruggero Razza,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k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21k.</w:t>
            </w:r>
            <w:r>
              <w:tab/>
            </w:r>
            <w:r>
              <w:rPr>
                <w:b/>
                <w:i/>
              </w:rPr>
              <w:t>Calls for enlargement resources to be strengthened and made more visible by providing for a clearly recognisable budgetary structure for EU candidate countries that are preparing for accession so as to prevent the scope of action under Heading 3 from conflating candidate and non-candidate countries;</w:t>
            </w:r>
            <w:r>
              <w:t xml:space="preserve"> </w:t>
            </w:r>
            <w:r>
              <w:rPr>
                <w:b/>
                <w:i/>
              </w:rPr>
              <w:t>stresses the need for a dedicated pre-accession instrument that includes transparent objectives and award criteria;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665</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k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k.</w:t>
            </w:r>
            <w:r>
              <w:tab/>
            </w:r>
            <w:r>
              <w:rPr>
                <w:b/>
                <w:i/>
              </w:rPr>
              <w:t>Insists that the release of funds under the Europe Pillar be strictly conditional upon the fulfilment of concrete, measurable and qualitative milestones related to the fundamentals of the accession process, in particular the rule of law and the fight against corruption, verified through a rigorous ex ante assessment;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666</w:t>
      </w:r>
      <w:r>
        <w:rPr>
          <w:rStyle w:val="HideTWBExt"/>
        </w:rPr>
        <w:t>&lt;/NumAm&gt;</w:t>
      </w:r>
    </w:p>
    <w:p>
      <w:pPr>
        <w:pStyle w:val="NormalBold"/>
      </w:pPr>
      <w:r>
        <w:rPr>
          <w:rStyle w:val="HideTWBExt"/>
          <w:b w:val="0"/>
        </w:rPr>
        <w:t>&lt;RepeatBlock-By&gt;</w:t>
      </w:r>
      <w:r>
        <w:rPr>
          <w:rStyle w:val="HideTWBExt"/>
          <w:b w:val="0"/>
        </w:rPr>
        <w:t>&lt;Members&gt;</w:t>
      </w:r>
      <w:r>
        <w:t>Ruggero Razza,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l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21l.</w:t>
            </w:r>
            <w:r>
              <w:tab/>
            </w:r>
            <w:r>
              <w:rPr>
                <w:b/>
                <w:i/>
              </w:rPr>
              <w:t>Calls on the Commission to frame the Mediterranean dimension of external action in a coherent geopolitical strategy that is aligned with the Mediterranean Pact and which is geared towards promoting political stability, economic development and the orderly management of migration flows;</w:t>
            </w:r>
            <w:r>
              <w:t xml:space="preserve"> </w:t>
            </w:r>
            <w:r>
              <w:rPr>
                <w:b/>
                <w:i/>
              </w:rPr>
              <w:t>stresses the need to ensure complementarity and coordination between financial instruments, diplomatic initiatives and operational coordination while ensuring the appropriate visibility, transparency and traceability of the resources allocated;</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667</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l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l.</w:t>
            </w:r>
            <w:r>
              <w:tab/>
            </w:r>
            <w:r>
              <w:rPr>
                <w:b/>
                <w:i/>
              </w:rPr>
              <w:t>Underlines that the Europe Pillar, designed to prepare candidate countries for Union membership, must operate under the strictest standards of value compliance; calls for the application of the Rule of Law Conditionality Regulation to all funds allocated under the Europe Pillar, ensuring that breaches of the rule of law principles in candidate countries lead to the immediate suspension of payments, independent of the broader foreign policy discretionary mechanisms;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668</w:t>
      </w:r>
      <w:r>
        <w:rPr>
          <w:rStyle w:val="HideTWBExt"/>
        </w:rPr>
        <w:t>&lt;/NumAm&gt;</w:t>
      </w:r>
    </w:p>
    <w:p>
      <w:pPr>
        <w:pStyle w:val="NormalBold"/>
      </w:pPr>
      <w:r>
        <w:rPr>
          <w:rStyle w:val="HideTWBExt"/>
          <w:b w:val="0"/>
        </w:rPr>
        <w:t>&lt;RepeatBlock-By&gt;</w:t>
      </w:r>
      <w:r>
        <w:rPr>
          <w:rStyle w:val="HideTWBExt"/>
          <w:b w:val="0"/>
        </w:rPr>
        <w:t>&lt;Members&gt;</w:t>
      </w:r>
      <w:r>
        <w:t>Ruggero Razza,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 Bogdan Rzońca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m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21m.</w:t>
            </w:r>
            <w:r>
              <w:tab/>
            </w:r>
            <w:r>
              <w:rPr>
                <w:b/>
                <w:i/>
              </w:rPr>
              <w:t>Stresses that the Global Gateway and complementary initiatives should be geared towards prioritising protecting EU and Member State interests, specifically by</w:t>
            </w:r>
            <w:r>
              <w:t xml:space="preserve"> </w:t>
            </w:r>
            <w:r>
              <w:rPr>
                <w:b/>
                <w:i/>
              </w:rPr>
              <w:t>developing EU competitiveness, bolstering the Union's geopolitical projection and managing migration flows in a more effective and organised manner;</w:t>
            </w:r>
            <w:r>
              <w:t xml:space="preserve"> </w:t>
            </w:r>
            <w:r>
              <w:rPr>
                <w:b/>
                <w:i/>
              </w:rPr>
              <w:t>stresses that the Global Gateway was also set up to prevent resources emanating from EU taxpayers directly or indirectly supporting geopolitical interests which diverge from or run counter to those of the Union;</w:t>
            </w:r>
            <w:r>
              <w:t xml:space="preserve"> </w:t>
            </w:r>
            <w:r>
              <w:rPr>
                <w:b/>
                <w:i/>
              </w:rPr>
              <w:t>calls for Africa and the Mediterranean to be treated as key programming priorities, for clear budget lines to be dedicated to impactful strategic projects and for strengthened and structured coordination between the EU and Member States with a view to maximising impact, reducing duplication and ensuring consistency between EU instruments and national initiatives;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669</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m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m.</w:t>
            </w:r>
            <w:r>
              <w:tab/>
            </w:r>
            <w:r>
              <w:rPr>
                <w:b/>
                <w:i/>
              </w:rPr>
              <w:t>Considers that actions related to humanitarian and developmental aid should be assessed based on an analysis of the country`s or region’s needs and in collaboration with the CSOs, as , in the current international context, they remain key stakeholders and partners; welcomes the intention to involve and consult CSOs in this context and considers they should be involved in the evaluation processes as well;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670</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n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n.</w:t>
            </w:r>
            <w:r>
              <w:tab/>
            </w:r>
            <w:r>
              <w:rPr>
                <w:b/>
                <w:i/>
              </w:rPr>
              <w:t>Calls for an increased resourcing for and meaningful engagement with civil society organisations (CSOs), especially local actors and women’s rights organisations, and for structured dialogue, including through dedicated resourcing and funding streams, tailored to the needs of CSOs, as well as for Human Right Defenders (HRDs); demands that support to CSOs and HRDs in candidate countries remains independent of reform progress or possible democratic backsliding;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671</w:t>
      </w:r>
      <w:r>
        <w:rPr>
          <w:rStyle w:val="HideTWBExt"/>
        </w:rPr>
        <w:t>&lt;/NumAm&gt;</w:t>
      </w:r>
    </w:p>
    <w:p>
      <w:pPr>
        <w:pStyle w:val="NormalBold"/>
      </w:pPr>
      <w:r>
        <w:rPr>
          <w:rStyle w:val="HideTWBExt"/>
          <w:b w:val="0"/>
        </w:rPr>
        <w:t>&lt;RepeatBlock-By&gt;</w:t>
      </w:r>
      <w:r>
        <w:rPr>
          <w:rStyle w:val="HideTWBExt"/>
          <w:b w:val="0"/>
        </w:rPr>
        <w:t>&lt;Members&gt;</w:t>
      </w:r>
      <w:r>
        <w:t>Ruggero Razza,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n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21n.</w:t>
            </w:r>
            <w:r>
              <w:tab/>
            </w:r>
            <w:r>
              <w:rPr>
                <w:b/>
                <w:i/>
              </w:rPr>
              <w:t>Stresses the need to step up Europe's industrial and technological defence base, ensuring that it reflects the diversity of companies in the sector within the Union and the specific characteristics of the Member States' industrial fabric;</w:t>
            </w:r>
            <w:r>
              <w:t xml:space="preserve"> </w:t>
            </w:r>
            <w:r>
              <w:rPr>
                <w:b/>
                <w:i/>
              </w:rPr>
              <w:t>reiterates that EU defence policies and funding must honour national prerogatives and support equal access to opportunities for large companies, SMEs and new entrants;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672</w:t>
      </w:r>
      <w:r>
        <w:rPr>
          <w:rStyle w:val="HideTWBExt"/>
        </w:rPr>
        <w:t>&lt;/NumAm&gt;</w:t>
      </w:r>
    </w:p>
    <w:p>
      <w:pPr>
        <w:pStyle w:val="NormalBold"/>
      </w:pPr>
      <w:r>
        <w:rPr>
          <w:rStyle w:val="HideTWBExt"/>
          <w:b w:val="0"/>
        </w:rPr>
        <w:t>&lt;RepeatBlock-By&gt;</w:t>
      </w:r>
      <w:r>
        <w:rPr>
          <w:rStyle w:val="HideTWBExt"/>
          <w:b w:val="0"/>
        </w:rPr>
        <w:t>&lt;Members&gt;</w:t>
      </w:r>
      <w:r>
        <w:t>Ruggero Razza,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o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21o.</w:t>
            </w:r>
            <w:r>
              <w:tab/>
            </w:r>
            <w:r>
              <w:rPr>
                <w:b/>
                <w:i/>
              </w:rPr>
              <w:t>Takes the view that Europe's security shield must be built by taking a realistic, pragmatic and integrated approach;</w:t>
            </w:r>
            <w:r>
              <w:t xml:space="preserve"> </w:t>
            </w:r>
            <w:r>
              <w:rPr>
                <w:b/>
                <w:i/>
              </w:rPr>
              <w:t>stresses that this approach requires coherence between the internal and external dimensions, between the needs of the eastern and southern flanks, and between civilian and military instruments, preventing fragmented and uncoordinated action;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673</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o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o.</w:t>
            </w:r>
            <w:r>
              <w:tab/>
            </w:r>
            <w:r>
              <w:rPr>
                <w:b/>
                <w:i/>
              </w:rPr>
              <w:t>Emphasises that humanitarian aid, by its very nature, requires substantial flexibility and response capacity; considers, therefore, that, in addition to an adequate baseline figure, humanitarian aid requires significant ring-fenced flexibility in its design to enable an effective response to the growing crises;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674</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p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p.</w:t>
            </w:r>
            <w:r>
              <w:tab/>
            </w:r>
            <w:r>
              <w:rPr>
                <w:b/>
                <w:i/>
              </w:rPr>
              <w:t>Underlines that local and regional governments (LRGs) are fundamental actors in achieving the objectives of Global Europe and in advancing sustainable development, given that approximately 65 % of the Sustainable Development Goals’ (SDGs) targets require significant local action; insists that effective, clear and consistent mechanisms for multilevel governance and partnership be established in the future Global Europe regulation, explicitly recognising LRGs as development actors and key policymakers;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675</w:t>
      </w:r>
      <w:r>
        <w:rPr>
          <w:rStyle w:val="HideTWBExt"/>
        </w:rPr>
        <w:t>&lt;/NumAm&gt;</w:t>
      </w:r>
    </w:p>
    <w:p>
      <w:pPr>
        <w:pStyle w:val="NormalBold"/>
      </w:pPr>
      <w:r>
        <w:rPr>
          <w:rStyle w:val="HideTWBExt"/>
          <w:b w:val="0"/>
        </w:rPr>
        <w:t>&lt;RepeatBlock-By&gt;</w:t>
      </w:r>
      <w:r>
        <w:rPr>
          <w:rStyle w:val="HideTWBExt"/>
          <w:b w:val="0"/>
        </w:rPr>
        <w:t>&lt;Members&gt;</w:t>
      </w:r>
      <w:r>
        <w:t>Ruggero Razza,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p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21p.</w:t>
            </w:r>
            <w:r>
              <w:tab/>
            </w:r>
            <w:r>
              <w:rPr>
                <w:b/>
                <w:i/>
              </w:rPr>
              <w:t>Points out that the objective of the EU initiatives in the defence sector is to achieve genuine operational readiness; </w:t>
            </w:r>
            <w:r>
              <w:t xml:space="preserve"> </w:t>
            </w:r>
            <w:r>
              <w:rPr>
                <w:b/>
                <w:i/>
              </w:rPr>
              <w:t>stresses the need to reduce European fragmentation through interoperability, common standards and industrial cooperation;</w:t>
            </w:r>
            <w:r>
              <w:t xml:space="preserve"> </w:t>
            </w:r>
            <w:r>
              <w:rPr>
                <w:b/>
                <w:i/>
              </w:rPr>
              <w:t>reiterates that these initiatives must complement NATO and bolster its deterrence and collective defence capabilities, avoiding duplication;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676</w:t>
      </w:r>
      <w:r>
        <w:rPr>
          <w:rStyle w:val="HideTWBExt"/>
        </w:rPr>
        <w:t>&lt;/NumAm&gt;</w:t>
      </w:r>
    </w:p>
    <w:p>
      <w:pPr>
        <w:pStyle w:val="NormalBold"/>
      </w:pPr>
      <w:r>
        <w:rPr>
          <w:rStyle w:val="HideTWBExt"/>
          <w:b w:val="0"/>
        </w:rPr>
        <w:t>&lt;RepeatBlock-By&gt;</w:t>
      </w:r>
      <w:r>
        <w:rPr>
          <w:rStyle w:val="HideTWBExt"/>
          <w:b w:val="0"/>
        </w:rPr>
        <w:t>&lt;Members&gt;</w:t>
      </w:r>
      <w:r>
        <w:t>Ruggero Razza,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q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24q.</w:t>
            </w:r>
            <w:r>
              <w:tab/>
            </w:r>
            <w:r>
              <w:rPr>
                <w:b/>
                <w:i/>
              </w:rPr>
              <w:t>Calls for over-centralisation of defence industrial policies at EU level to be prevented and for an open and competitive European industrial ecosystem, in which SMEs and start-ups can play a central role, to be promoted;</w:t>
            </w:r>
            <w:r>
              <w:t xml:space="preserve"> </w:t>
            </w:r>
            <w:r>
              <w:rPr>
                <w:b/>
                <w:i/>
              </w:rPr>
              <w:t>stresses the importance of dual-use technologies as a lever for linking defence, industry and growth;</w:t>
            </w:r>
            <w:r>
              <w:t xml:space="preserve"> </w:t>
            </w:r>
            <w:r>
              <w:rPr>
                <w:b/>
                <w:i/>
              </w:rPr>
              <w:t>stresses that military mobility and the resilience of critical infrastructure are essential pillars for the credibility of European deterrence and the Union's geopolitical projection;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677</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q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q.</w:t>
            </w:r>
            <w:r>
              <w:tab/>
            </w:r>
            <w:r>
              <w:rPr>
                <w:b/>
                <w:i/>
              </w:rPr>
              <w:t>Expresses its opposition to the possibility for the Commission to change the ODA target of 90 % by means of a delegated act; reminds that the ODA spending target is key for the EU international commitments to poverty reduction and eradication and to the principle of policy coherence for development;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678</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r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r.</w:t>
            </w:r>
            <w:r>
              <w:tab/>
            </w:r>
            <w:r>
              <w:rPr>
                <w:b/>
                <w:i/>
              </w:rPr>
              <w:t>Considers that cooperation with Greenland can significantly help the Union to advance in its strategic autonomy; calls for a substantial increase in the budgetary allocation for Greenland in order to respond to geopolitical developments and strengthen its partnership with the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679</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s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s.</w:t>
            </w:r>
            <w:r>
              <w:tab/>
            </w:r>
            <w:r>
              <w:rPr>
                <w:b/>
                <w:i/>
              </w:rPr>
              <w:t>Calls on the next MFF to ensure at least [EUR1.5 billion in current prices] under the Global Europe Fund for dedicated, visible and ambitious ocean-related policies, including, inter alia, the European Ocean Pact, the Mediterranean Pact, support for SFPAs and RFMOs, without prejudice of further contributions from other Union instruments;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680</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21 t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t.</w:t>
            </w:r>
            <w:r>
              <w:tab/>
            </w:r>
            <w:r>
              <w:rPr>
                <w:b/>
                <w:i/>
              </w:rPr>
              <w:t>Insists that the European Investment Bank (EIB) Group be formally anchored as the Union’s primary strategic financial partner within the Global Europe architecture to maximise the impact of Heading 3 resources; calls for a reinforced investment partnership with the EIB to leverage the EU budget, mobilise private investment and enhance the budgetary guarantee and blending framework, ensuring the effective delivery of the instrument’s objectives, particularly relating to competitiveness, resilience and promoting private-sector access to funding in partner countries;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681</w:t>
      </w:r>
      <w:r>
        <w:rPr>
          <w:rStyle w:val="HideTWBExt"/>
        </w:rPr>
        <w:t>&lt;/NumAm&gt;</w:t>
      </w:r>
    </w:p>
    <w:p>
      <w:pPr>
        <w:pStyle w:val="NormalBold"/>
      </w:pPr>
      <w:r>
        <w:rPr>
          <w:rStyle w:val="HideTWBExt"/>
          <w:b w:val="0"/>
        </w:rPr>
        <w:t>&lt;RepeatBlock-By&gt;</w:t>
      </w:r>
      <w:r>
        <w:rPr>
          <w:rStyle w:val="HideTWBExt"/>
          <w:b w:val="0"/>
        </w:rPr>
        <w:t>&lt;Members&gt;</w:t>
      </w:r>
      <w:r>
        <w:t>Alexander Jungbluth, Stanisław Tyszka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Underlines the need for Union policies to be underpinned by a well-functioning administration;</w:t>
            </w:r>
            <w:r>
              <w:t xml:space="preserve"> </w:t>
            </w:r>
            <w:r>
              <w:rPr>
                <w:b/>
                <w:i/>
              </w:rPr>
              <w:t>insists that, post-2027, sufficient financial and staff resources be allocated from the outset and throughout the MFF period so that Union institutions, bodies, decentralised agencies and the European Public Prosecutor’s Office can ensure effective and efficient policy design and high-quality delivery and enforcement, provide technical assistance, continue to attract the best people from all Member States, thus ensuring geographical balance, and have leeway to adjust to changing circumstances;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682</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Underlines the need for Union policies to be underpinned by a well-functioning administration; insists that, post-2027, sufficient financial and staff resources be allocated from the outset and throughout the MFF period so that Union institutions, bodies, decentralised agencies and the European Public Prosecutor’s Office can ensure effective and efficient policy design and high-quality delivery and enforcement, provide technical assistance, continue to attract the best </w:t>
            </w:r>
            <w:r>
              <w:rPr>
                <w:b/>
                <w:i/>
              </w:rPr>
              <w:t>people</w:t>
            </w:r>
            <w:r>
              <w:t xml:space="preserve"> from all Member States, thus ensuring geographical balance, and have leeway to adjust to changing circumstances;</w:t>
            </w:r>
          </w:p>
        </w:tc>
        <w:tc>
          <w:tcPr>
            <w:tcW w:w="4876" w:type="dxa"/>
            <w:tcBorders>
              <w:top w:val="nil"/>
              <w:left w:val="nil"/>
              <w:bottom w:val="nil"/>
              <w:right w:val="nil"/>
            </w:tcBorders>
          </w:tcPr>
          <w:p>
            <w:pPr>
              <w:pStyle w:val="Normal6a"/>
            </w:pPr>
            <w:r>
              <w:t>22.</w:t>
            </w:r>
            <w:r>
              <w:tab/>
            </w:r>
            <w:r>
              <w:t xml:space="preserve">Underlines the need for Union policies to be underpinned by a well-functioning administration; insists that, post-2027, sufficient financial and staff resources be allocated from the outset and throughout the MFF period so that Union institutions, bodies, decentralised agencies and the European Public Prosecutor’s Office can ensure effective and efficient policy design and high-quality delivery and enforcement, provide technical assistance, continue to attract the best </w:t>
            </w:r>
            <w:r>
              <w:rPr>
                <w:b/>
                <w:i/>
              </w:rPr>
              <w:t>professionals</w:t>
            </w:r>
            <w:r>
              <w:t xml:space="preserve"> from all Member States, thus ensuring geographical balance, and have leeway to adjust to changing circumstances; </w:t>
            </w:r>
            <w:r>
              <w:rPr>
                <w:b/>
                <w:i/>
              </w:rPr>
              <w:t>further stresses, in line with the objective of budgetary efficiency and the proper use of public resources, the need to assess the impact of each of the existing agencies in order to ascertain the true needs of each of them in terms of resources, strengthening where necessary and seeking to avoid unnecessary duplication or projects that are not consistent with the Union's priorities or fail to strengthen it;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683</w:t>
      </w:r>
      <w:r>
        <w:rPr>
          <w:rStyle w:val="HideTWBExt"/>
        </w:rPr>
        <w:t>&lt;/NumAm&gt;</w:t>
      </w:r>
    </w:p>
    <w:p>
      <w:pPr>
        <w:pStyle w:val="NormalBold"/>
      </w:pPr>
      <w:r>
        <w:rPr>
          <w:rStyle w:val="HideTWBExt"/>
          <w:b w:val="0"/>
        </w:rPr>
        <w:t>&lt;RepeatBlock-By&gt;</w:t>
      </w:r>
      <w:r>
        <w:rPr>
          <w:rStyle w:val="HideTWBExt"/>
          <w:b w:val="0"/>
        </w:rPr>
        <w:t>&lt;Members&gt;</w:t>
      </w:r>
      <w:r>
        <w:t>Fabienne Keller,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Underlines the need for Union policies to be underpinned by a well-functioning administration; insists that, post-2027, sufficient financial and staff resources be allocated from the outset and throughout the MFF period so that Union institutions, bodies, decentralised agencies and the European Public Prosecutor’s Office can ensure effective and efficient policy design and high-quality delivery and enforcement, provide technical assistance, continue to attract the best people from all Member States, thus ensuring geographical balance, and have leeway to adjust to changing circumstances;</w:t>
            </w:r>
          </w:p>
        </w:tc>
        <w:tc>
          <w:tcPr>
            <w:tcW w:w="4876" w:type="dxa"/>
            <w:tcBorders>
              <w:top w:val="nil"/>
              <w:left w:val="nil"/>
              <w:bottom w:val="nil"/>
              <w:right w:val="nil"/>
            </w:tcBorders>
          </w:tcPr>
          <w:p>
            <w:pPr>
              <w:pStyle w:val="Normal6a"/>
            </w:pPr>
            <w:r>
              <w:t>22.</w:t>
            </w:r>
            <w:r>
              <w:tab/>
            </w:r>
            <w:r>
              <w:t>Underlines the need for Union policies to be underpinned by a well-functioning administration; insists that, post-2027, sufficient financial and staff resources be allocated from the outset and throughout the MFF period so that Union institutions, bodies, decentralised agencies and the European Public Prosecutor’s Office</w:t>
            </w:r>
            <w:r>
              <w:rPr>
                <w:b/>
                <w:i/>
              </w:rPr>
              <w:t>, notbaly when their mandate is extended,</w:t>
            </w:r>
            <w:r>
              <w:t xml:space="preserve"> can ensure effective and efficient policy design and high-quality delivery and enforcement, provide technical assistance, continue to attract the best people from all Member States, thus ensuring geographical balance, and have leeway to adjust to changing circumstances;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684</w:t>
      </w:r>
      <w:r>
        <w:rPr>
          <w:rStyle w:val="HideTWBExt"/>
        </w:rPr>
        <w:t>&lt;/NumAm&gt;</w:t>
      </w:r>
    </w:p>
    <w:p>
      <w:pPr>
        <w:pStyle w:val="NormalBold"/>
      </w:pPr>
      <w:r>
        <w:rPr>
          <w:rStyle w:val="HideTWBExt"/>
          <w:b w:val="0"/>
        </w:rPr>
        <w:t>&lt;RepeatBlock-By&gt;</w:t>
      </w:r>
      <w:r>
        <w:rPr>
          <w:rStyle w:val="HideTWBExt"/>
          <w:b w:val="0"/>
        </w:rPr>
        <w:t>&lt;Members&gt;</w:t>
      </w:r>
      <w:r>
        <w:t>Joachim Streit, Anouk Van Brug,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Underlines the need for Union policies to be </w:t>
            </w:r>
            <w:r>
              <w:rPr>
                <w:b/>
                <w:i/>
              </w:rPr>
              <w:t>underpinned</w:t>
            </w:r>
            <w:r>
              <w:t xml:space="preserve"> by a well-functioning administration; </w:t>
            </w:r>
            <w:r>
              <w:rPr>
                <w:b/>
                <w:i/>
              </w:rPr>
              <w:t>insists that, post-2027, sufficient financial and staff</w:t>
            </w:r>
            <w:r>
              <w:t xml:space="preserve"> resources </w:t>
            </w:r>
            <w:r>
              <w:rPr>
                <w:b/>
                <w:i/>
              </w:rPr>
              <w:t>be allocated from the outset and throughout the MFF period so that</w:t>
            </w:r>
            <w:r>
              <w:t xml:space="preserve"> Union institutions, bodies, decentralised agencies and the European Public Prosecutor’s Office </w:t>
            </w:r>
            <w:r>
              <w:rPr>
                <w:b/>
                <w:i/>
              </w:rPr>
              <w:t>can ensure effective and efficient policy design and high-quality delivery and enforcement, provide technical assistance, continue to attract the best people from all Member States, thus ensuring geographical balance, and have leeway to adjust</w:t>
            </w:r>
            <w:r>
              <w:t xml:space="preserve"> to changing circumstances;</w:t>
            </w:r>
          </w:p>
        </w:tc>
        <w:tc>
          <w:tcPr>
            <w:tcW w:w="4876" w:type="dxa"/>
            <w:tcBorders>
              <w:top w:val="nil"/>
              <w:left w:val="nil"/>
              <w:bottom w:val="nil"/>
              <w:right w:val="nil"/>
            </w:tcBorders>
          </w:tcPr>
          <w:p>
            <w:pPr>
              <w:pStyle w:val="Normal6a"/>
            </w:pPr>
            <w:r>
              <w:t>22.</w:t>
            </w:r>
            <w:r>
              <w:tab/>
            </w:r>
            <w:r>
              <w:t xml:space="preserve">Underlines the need for Union policies to be </w:t>
            </w:r>
            <w:r>
              <w:rPr>
                <w:b/>
                <w:i/>
              </w:rPr>
              <w:t>supported</w:t>
            </w:r>
            <w:r>
              <w:t xml:space="preserve"> by a well-functioning </w:t>
            </w:r>
            <w:r>
              <w:rPr>
                <w:b/>
                <w:i/>
              </w:rPr>
              <w:t>and efficient</w:t>
            </w:r>
            <w:r>
              <w:t xml:space="preserve"> administration; </w:t>
            </w:r>
            <w:r>
              <w:rPr>
                <w:b/>
                <w:i/>
              </w:rPr>
              <w:t>stresses that administrative</w:t>
            </w:r>
            <w:r>
              <w:t xml:space="preserve"> resources </w:t>
            </w:r>
            <w:r>
              <w:rPr>
                <w:b/>
                <w:i/>
              </w:rPr>
              <w:t>should be planned and used in accordance with the principles of sound financial management and efficiency, enabling</w:t>
            </w:r>
            <w:r>
              <w:t xml:space="preserve"> Union institutions, bodies, decentralised agencies and the European Public Prosecutor’s Office </w:t>
            </w:r>
            <w:r>
              <w:rPr>
                <w:b/>
                <w:i/>
              </w:rPr>
              <w:t>to fulfil their mandates effectively, making full use of existing resources and internal redeployment before considering additional financial or staff needs, while retaining sufficient flexibility to adapt</w:t>
            </w:r>
            <w:r>
              <w:t xml:space="preserve"> to changing circumstances;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685</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a.</w:t>
            </w:r>
            <w:r>
              <w:tab/>
            </w:r>
            <w:r>
              <w:rPr>
                <w:b/>
                <w:i/>
              </w:rPr>
              <w:t>Call on the Commission to provide additional information on the funding and staff proposed for EU decentralized in the next MFF; Considers that, for some Agencies, the proposal of stable funding and staff, in the next MFF, will continue to undermine their ability to fulfil their mandates; Reiterates Parliaments longstanding position that any new tasks entrusted to decentralised agencies should be financed through fresh appropriations, and that redeployments from programmes and other priorities must be exceptional, limited and examined with due care;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686</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a.</w:t>
            </w:r>
            <w:r>
              <w:tab/>
            </w:r>
            <w:r>
              <w:rPr>
                <w:b/>
                <w:i/>
              </w:rPr>
              <w:t>Emphasises that a safer and more secure Europe can only be achieved if EU decentralised agencies supporting law enforcement and judicial authorities are provided with adequate resources; stresses the need to strengthen cross-border police, judicial and inter-agency cooperation to enhance coordinated responses to transnational crime and security threats, including hybrid attacks from hostile actors; underlines the importance of ensuring sufficient funding for the relevant agencies to effectively protect European citizens;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687</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a.</w:t>
            </w:r>
            <w:r>
              <w:tab/>
            </w:r>
            <w:r>
              <w:rPr>
                <w:b/>
                <w:i/>
              </w:rPr>
              <w:t>Expects that the Commission proposal duly reflects the actual needs across all institutions, bodies and agencies under Heading 4 and, for that reason, does not propose a further increase; fully intends, however, to defend the Commission proposal as presented and to secure the necessary funding for a strong, efficient and high-quality European public administration at the service of all Europeans;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688</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a.</w:t>
            </w:r>
            <w:r>
              <w:tab/>
            </w:r>
            <w:r>
              <w:rPr>
                <w:b/>
                <w:i/>
              </w:rPr>
              <w:t>Reminds that the rule of law applies equally to the institutions, bodies, offices, and agencies of the Union, in order to ensure that they themselves are bound by the same principles of transparency, accountability, and legality which are demanded of the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689</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22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b.</w:t>
            </w:r>
            <w:r>
              <w:tab/>
            </w:r>
            <w:r>
              <w:rPr>
                <w:b/>
                <w:i/>
              </w:rPr>
              <w:t>Stresses the important role of European Schools and their mission to become a beacon for high-quality multilingual and multicultural education in Europe; reiterates its call for an adequate financial allocation that will allow them to undergo the necessary reforms, in line with the recommendations set out in its resolution of 12 September 2023, and respond positively to the challenges ahead; welcomes the Commission proposal in that respect;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690</w:t>
      </w:r>
      <w:r>
        <w:rPr>
          <w:rStyle w:val="HideTWBExt"/>
        </w:rPr>
        <w:t>&lt;/NumAm&gt;</w:t>
      </w:r>
    </w:p>
    <w:p>
      <w:pPr>
        <w:pStyle w:val="NormalBold"/>
      </w:pPr>
      <w:r>
        <w:rPr>
          <w:rStyle w:val="HideTWBExt"/>
          <w:b w:val="0"/>
        </w:rPr>
        <w:t>&lt;RepeatBlock-By&gt;</w:t>
      </w:r>
      <w:r>
        <w:rPr>
          <w:rStyle w:val="HideTWBExt"/>
          <w:b w:val="0"/>
        </w:rPr>
        <w:t>&lt;Members&gt;</w:t>
      </w:r>
      <w:r>
        <w:t>Alexander Jungbluth, Stanisław Tyszka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23.</w:t>
            </w:r>
            <w:r>
              <w:tab/>
            </w:r>
            <w:r>
              <w:rPr>
                <w:b/>
                <w:i/>
              </w:rPr>
              <w:t>Notes with concern that the Commission’s self-imposed stable staffing has proven inadequate to meet operational requirements;</w:t>
            </w:r>
            <w:r>
              <w:t xml:space="preserve"> </w:t>
            </w:r>
            <w:r>
              <w:rPr>
                <w:b/>
                <w:i/>
              </w:rPr>
              <w:t>acknowledges that, for the 2028-2034 MFF, the Commission has requested additional posts;</w:t>
            </w:r>
            <w:r>
              <w:t xml:space="preserve"> </w:t>
            </w:r>
            <w:r>
              <w:rPr>
                <w:b/>
                <w:i/>
              </w:rPr>
              <w:t>insists that the staffing needs of all institutions and bodies have to be taken into account when establishing additional posts;</w:t>
            </w:r>
            <w:r>
              <w:t xml:space="preserve"> </w:t>
            </w:r>
            <w:r>
              <w:rPr>
                <w:b/>
                <w:i/>
              </w:rPr>
              <w:t>highlights the particularly alarming situation whereby some EU agencies receive inadequate operational funding, severely limiting their capacity to fulfil their mandates and deliver on policy objectives;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691</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23.</w:t>
            </w:r>
            <w:r>
              <w:tab/>
            </w:r>
            <w:r>
              <w:rPr>
                <w:b/>
                <w:i/>
              </w:rPr>
              <w:t>Notes with concern that the Commission’s self-imposed stable staffing has proven inadequate to meet operational requirements;</w:t>
            </w:r>
            <w:r>
              <w:t xml:space="preserve"> </w:t>
            </w:r>
            <w:r>
              <w:rPr>
                <w:b/>
                <w:i/>
              </w:rPr>
              <w:t>acknowledges that, for the 2028-2034 MFF, the Commission has requested additional posts;</w:t>
            </w:r>
            <w:r>
              <w:t xml:space="preserve"> </w:t>
            </w:r>
            <w:r>
              <w:rPr>
                <w:b/>
                <w:i/>
              </w:rPr>
              <w:t>insists that the staffing needs of all institutions and bodies have to be taken into account when establishing additional posts;</w:t>
            </w:r>
            <w:r>
              <w:t xml:space="preserve"> </w:t>
            </w:r>
            <w:r>
              <w:rPr>
                <w:b/>
                <w:i/>
              </w:rPr>
              <w:t>highlights the particularly alarming situation whereby some EU agencies receive inadequate operational funding, severely limiting their capacity to fulfil their mandates and deliver on policy objectives;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692</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23.</w:t>
            </w:r>
            <w:r>
              <w:tab/>
            </w:r>
            <w:r>
              <w:rPr>
                <w:b/>
                <w:i/>
              </w:rPr>
              <w:t>Notes with concern that the Commission’s self-imposed stable staffing has proven inadequate to meet operational requirements;</w:t>
            </w:r>
            <w:r>
              <w:t xml:space="preserve"> </w:t>
            </w:r>
            <w:r>
              <w:rPr>
                <w:b/>
                <w:i/>
              </w:rPr>
              <w:t>acknowledges that, for the 2028-2034 MFF, the Commission has requested additional posts;</w:t>
            </w:r>
            <w:r>
              <w:t xml:space="preserve"> </w:t>
            </w:r>
            <w:r>
              <w:rPr>
                <w:b/>
                <w:i/>
              </w:rPr>
              <w:t>insists that the staffing needs of all institutions and bodies have to be taken into account when establishing additional posts;</w:t>
            </w:r>
            <w:r>
              <w:t xml:space="preserve"> </w:t>
            </w:r>
            <w:r>
              <w:rPr>
                <w:b/>
                <w:i/>
              </w:rPr>
              <w:t>highlights the particularly alarming situation whereby some EU agencies receive inadequate operational funding, severely limiting their capacity to fulfil their mandates and deliver on policy objectives;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693</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Notes with concern that the Commission’s self-imposed stable staffing has proven inadequate to meet operational requirements; acknowledges that, for the 2028-2034 MFF, the Commission has requested additional posts; insists that the staffing needs of all institutions and bodies have to be taken into account when establishing additional posts; highlights the particularly alarming situation whereby some EU agencies receive inadequate operational funding, severely limiting their capacity to fulfil their mandates and deliver on policy objectives;</w:t>
            </w:r>
          </w:p>
        </w:tc>
        <w:tc>
          <w:tcPr>
            <w:tcW w:w="4876" w:type="dxa"/>
            <w:tcBorders>
              <w:top w:val="nil"/>
              <w:left w:val="nil"/>
              <w:bottom w:val="nil"/>
              <w:right w:val="nil"/>
            </w:tcBorders>
          </w:tcPr>
          <w:p>
            <w:pPr>
              <w:pStyle w:val="Normal6a"/>
            </w:pPr>
            <w:r>
              <w:t>23.</w:t>
            </w:r>
            <w:r>
              <w:tab/>
            </w:r>
            <w:r>
              <w:t>Notes with concern that the Commission’s self-imposed stable staffing has proven inadequate to meet operational requirements; acknowledges that, for the 2028-2034 MFF, the Commission has requested additional posts; insists that the staffing needs of all institutions and bodies have to be taken into account when establishing additional posts</w:t>
            </w:r>
            <w:r>
              <w:rPr>
                <w:b/>
                <w:i/>
              </w:rPr>
              <w:t>, particularly regarding the cibersecurity requirements in terms of staff</w:t>
            </w:r>
            <w:r>
              <w:t>; highlights the particularly alarming situation whereby some EU agencies receive inadequate operational funding, severely limiting their capacity to fulfil their mandates</w:t>
            </w:r>
            <w:r>
              <w:rPr>
                <w:b/>
                <w:i/>
              </w:rPr>
              <w:t>, to comply with the Regulation for Cybersecurity of EU Institutions[1]</w:t>
            </w:r>
            <w:r>
              <w:t xml:space="preserve"> and deliver on policy objectives;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Regulation (EU, Euratom) 2023/2841 of the European Parliament and of the Council of 13 December 2023 laying down measures for a high common level of cybersecurity at the institutions, bodies, offices and agencies of the Union; OJ L, 2023/2841, 18.12.2023, ELI: http://data.europa.eu/eli/reg/2023/2841/oj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694</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Notes with concern that the Commission’s self-imposed stable staffing has proven inadequate to meet operational requirements; acknowledges that, for the 2028-2034 MFF, the Commission has requested additional posts; insists that the staffing needs of all institutions and bodies have to be taken into account when establishing additional posts; highlights the particularly alarming situation whereby some EU agencies receive inadequate operational funding, severely limiting their capacity to fulfil their mandates and deliver on policy objectives;</w:t>
            </w:r>
          </w:p>
        </w:tc>
        <w:tc>
          <w:tcPr>
            <w:tcW w:w="4876" w:type="dxa"/>
            <w:tcBorders>
              <w:top w:val="nil"/>
              <w:left w:val="nil"/>
              <w:bottom w:val="nil"/>
              <w:right w:val="nil"/>
            </w:tcBorders>
          </w:tcPr>
          <w:p>
            <w:pPr>
              <w:pStyle w:val="Normal6a"/>
            </w:pPr>
            <w:r>
              <w:t>23.</w:t>
            </w:r>
            <w:r>
              <w:tab/>
            </w:r>
            <w:r>
              <w:t>Notes with concern that the Commission’s self-imposed stable staffing has proven inadequate to meet operational requirements; acknowledges that, for the 2028-2034 MFF, the Commission has requested additional posts</w:t>
            </w:r>
            <w:r>
              <w:rPr>
                <w:b/>
                <w:i/>
              </w:rPr>
              <w:t>; emphasises that, if programmes and headings are reduced and simplified, this should also be reflected in the Commission’s proposals on staffing levels and human resources allocations; calls on the Commission to carry out a thorough audit in this area</w:t>
            </w:r>
            <w:r>
              <w:t>; insists that the staffing needs of all institutions and bodies have to be taken into account when establishing additional posts; highlights the particularly alarming situation whereby some EU agencies receive inadequate operational funding, severely limiting their capacity to fulfil their mandates and deliver on policy objectives;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695</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Notes with concern that the Commission’s self-imposed stable staffing has proven inadequate to meet operational requirements; acknowledges that, for the 2028-2034 MFF, the Commission has requested additional posts; insists that the staffing needs of all institutions and bodies have to be taken into account when establishing additional posts; highlights the particularly alarming situation whereby some EU agencies receive inadequate operational funding, severely limiting their capacity to fulfil their mandates and deliver on policy objectives;</w:t>
            </w:r>
          </w:p>
        </w:tc>
        <w:tc>
          <w:tcPr>
            <w:tcW w:w="4876" w:type="dxa"/>
            <w:tcBorders>
              <w:top w:val="nil"/>
              <w:left w:val="nil"/>
              <w:bottom w:val="nil"/>
              <w:right w:val="nil"/>
            </w:tcBorders>
          </w:tcPr>
          <w:p>
            <w:pPr>
              <w:pStyle w:val="Normal6a"/>
            </w:pPr>
            <w:r>
              <w:t>23.</w:t>
            </w:r>
            <w:r>
              <w:tab/>
            </w:r>
            <w:r>
              <w:t xml:space="preserve">Notes with concern that the Commission’s self-imposed stable staffing has proven inadequate to meet operational requirements; acknowledges that, for the 2028-2034 MFF, the Commission has requested additional posts; insists that the staffing needs of all institutions and bodies have to be taken into account when establishing additional posts; highlights the particularly alarming situation whereby some EU agencies receive inadequate operational funding, severely limiting their capacity to fulfil their mandates and deliver on policy objectives; </w:t>
            </w:r>
            <w:r>
              <w:rPr>
                <w:b/>
                <w:i/>
              </w:rPr>
              <w:t>stresses that measures should be explored to ensure that an agile and motivated workforce is available and ready to be deployed in areas that are key to addressing challenges facing the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696</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Notes with concern that the Commission’s self-imposed stable staffing has proven inadequate to meet operational requirements; acknowledges that, for the 2028-2034 MFF, the Commission has requested additional posts; insists that the staffing needs of all institutions and bodies </w:t>
            </w:r>
            <w:r>
              <w:rPr>
                <w:b/>
                <w:i/>
              </w:rPr>
              <w:t>have to be taken into account</w:t>
            </w:r>
            <w:r>
              <w:t xml:space="preserve"> when establishing additional posts; highlights the particularly alarming situation whereby some EU agencies receive inadequate operational funding, severely limiting their capacity to fulfil their mandates and deliver on policy objectives;</w:t>
            </w:r>
          </w:p>
        </w:tc>
        <w:tc>
          <w:tcPr>
            <w:tcW w:w="4876" w:type="dxa"/>
            <w:tcBorders>
              <w:top w:val="nil"/>
              <w:left w:val="nil"/>
              <w:bottom w:val="nil"/>
              <w:right w:val="nil"/>
            </w:tcBorders>
          </w:tcPr>
          <w:p>
            <w:pPr>
              <w:pStyle w:val="Normal6a"/>
            </w:pPr>
            <w:r>
              <w:t>23.</w:t>
            </w:r>
            <w:r>
              <w:tab/>
            </w:r>
            <w:r>
              <w:t xml:space="preserve">Notes with concern that the Commission’s self-imposed stable staffing has proven inadequate to meet operational requirements; acknowledges that, for the 2028-2034 MFF, the Commission has requested additional posts; insists that </w:t>
            </w:r>
            <w:r>
              <w:rPr>
                <w:b/>
                <w:i/>
              </w:rPr>
              <w:t>impact assessments conducted on each of the existing agencies must be taken into account in order to identify</w:t>
            </w:r>
            <w:r>
              <w:t xml:space="preserve"> the staffing needs of all institutions and bodies when establishing additional posts; highlights the particularly alarming situation whereby some EU agencies receive inadequate operational funding, severely limiting their capacity to fulfil their mandates and deliver on policy objectives;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697</w:t>
      </w:r>
      <w:r>
        <w:rPr>
          <w:rStyle w:val="HideTWBExt"/>
        </w:rPr>
        <w:t>&lt;/NumAm&gt;</w:t>
      </w:r>
    </w:p>
    <w:p>
      <w:pPr>
        <w:pStyle w:val="NormalBold"/>
      </w:pPr>
      <w:r>
        <w:rPr>
          <w:rStyle w:val="HideTWBExt"/>
          <w:b w:val="0"/>
        </w:rPr>
        <w:t>&lt;RepeatBlock-By&gt;</w:t>
      </w:r>
      <w:r>
        <w:rPr>
          <w:rStyle w:val="HideTWBExt"/>
          <w:b w:val="0"/>
        </w:rPr>
        <w:t>&lt;Members&gt;</w:t>
      </w:r>
      <w:r>
        <w:t>Joachim Streit,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Notes </w:t>
            </w:r>
            <w:r>
              <w:rPr>
                <w:b/>
                <w:i/>
              </w:rPr>
              <w:t>with concern</w:t>
            </w:r>
            <w:r>
              <w:t xml:space="preserve"> that the </w:t>
            </w:r>
            <w:r>
              <w:rPr>
                <w:b/>
                <w:i/>
              </w:rPr>
              <w:t>Commission’s</w:t>
            </w:r>
            <w:r>
              <w:t xml:space="preserve"> self-imposed stable staffing </w:t>
            </w:r>
            <w:r>
              <w:rPr>
                <w:b/>
                <w:i/>
              </w:rPr>
              <w:t>has proven inadequate to meet operational requirements; acknowledges that,</w:t>
            </w:r>
            <w:r>
              <w:t xml:space="preserve"> for the 2028-2034 MFF, </w:t>
            </w:r>
            <w:r>
              <w:rPr>
                <w:b/>
                <w:i/>
              </w:rPr>
              <w:t>the Commission has requested additional posts; insists that</w:t>
            </w:r>
            <w:r>
              <w:t xml:space="preserve"> the staffing </w:t>
            </w:r>
            <w:r>
              <w:rPr>
                <w:b/>
                <w:i/>
              </w:rPr>
              <w:t>needs</w:t>
            </w:r>
            <w:r>
              <w:t xml:space="preserve"> of all institutions and bodies </w:t>
            </w:r>
            <w:r>
              <w:rPr>
                <w:b/>
                <w:i/>
              </w:rPr>
              <w:t>have to be taken into account when establishing additional posts; highlights the particularly alarming situation whereby some EU</w:t>
            </w:r>
            <w:r>
              <w:t xml:space="preserve"> agencies </w:t>
            </w:r>
            <w:r>
              <w:rPr>
                <w:b/>
                <w:i/>
              </w:rPr>
              <w:t>receive inadequate</w:t>
            </w:r>
            <w:r>
              <w:t xml:space="preserve"> operational funding</w:t>
            </w:r>
            <w:r>
              <w:rPr>
                <w:b/>
                <w:i/>
              </w:rPr>
              <w:t>, severely limiting their capacity to fulfil their mandates and deliver on policy</w:t>
            </w:r>
            <w:r>
              <w:t xml:space="preserve"> objectives;</w:t>
            </w:r>
          </w:p>
        </w:tc>
        <w:tc>
          <w:tcPr>
            <w:tcW w:w="4876" w:type="dxa"/>
            <w:tcBorders>
              <w:top w:val="nil"/>
              <w:left w:val="nil"/>
              <w:bottom w:val="nil"/>
              <w:right w:val="nil"/>
            </w:tcBorders>
          </w:tcPr>
          <w:p>
            <w:pPr>
              <w:pStyle w:val="Normal6a"/>
            </w:pPr>
            <w:r>
              <w:t>23.</w:t>
            </w:r>
            <w:r>
              <w:tab/>
            </w:r>
            <w:r>
              <w:t xml:space="preserve">Notes that the </w:t>
            </w:r>
            <w:r>
              <w:rPr>
                <w:b/>
                <w:i/>
              </w:rPr>
              <w:t>Commission has identified operational challenges linked to its</w:t>
            </w:r>
            <w:r>
              <w:t xml:space="preserve"> self-imposed stable staffing </w:t>
            </w:r>
            <w:r>
              <w:rPr>
                <w:b/>
                <w:i/>
              </w:rPr>
              <w:t>policy; recalls that any requests for additional posts</w:t>
            </w:r>
            <w:r>
              <w:t xml:space="preserve"> for the 2028-2034 MFF, </w:t>
            </w:r>
            <w:r>
              <w:rPr>
                <w:b/>
                <w:i/>
              </w:rPr>
              <w:t>must be based on demonstrated needs, objective workload assessments and efficiency considerations, and must take into account</w:t>
            </w:r>
            <w:r>
              <w:t xml:space="preserve"> the staffing </w:t>
            </w:r>
            <w:r>
              <w:rPr>
                <w:b/>
                <w:i/>
              </w:rPr>
              <w:t>requirements</w:t>
            </w:r>
            <w:r>
              <w:t xml:space="preserve"> of all </w:t>
            </w:r>
            <w:r>
              <w:rPr>
                <w:b/>
                <w:i/>
              </w:rPr>
              <w:t>Union</w:t>
            </w:r>
            <w:r>
              <w:t xml:space="preserve"> institutions and bodies</w:t>
            </w:r>
            <w:r>
              <w:rPr>
                <w:b/>
                <w:i/>
              </w:rPr>
              <w:t>; stresses that the mandates, performance and resource allocation of Union</w:t>
            </w:r>
            <w:r>
              <w:t xml:space="preserve"> agencies </w:t>
            </w:r>
            <w:r>
              <w:rPr>
                <w:b/>
                <w:i/>
              </w:rPr>
              <w:t>should be regularly reviewed to ensure that</w:t>
            </w:r>
            <w:r>
              <w:t xml:space="preserve"> operational funding </w:t>
            </w:r>
            <w:r>
              <w:rPr>
                <w:b/>
                <w:i/>
              </w:rPr>
              <w:t>is aligned with clearly defined tasks, measurable</w:t>
            </w:r>
            <w:r>
              <w:t xml:space="preserve"> objectives </w:t>
            </w:r>
            <w:r>
              <w:rPr>
                <w:b/>
                <w:i/>
              </w:rPr>
              <w:t>and available budgetary resources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698</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Notes with concern that the Commission’s self-imposed stable staffing has proven inadequate to meet operational requirements; acknowledges that, for the 2028-2034 MFF, the Commission has requested additional posts; insists that the staffing needs of all institutions and bodies have to be taken into account when establishing additional posts; highlights the particularly alarming situation whereby some EU agencies receive inadequate operational funding, severely limiting their capacity to fulfil their mandates and deliver on policy objectives;</w:t>
            </w:r>
          </w:p>
        </w:tc>
        <w:tc>
          <w:tcPr>
            <w:tcW w:w="4876" w:type="dxa"/>
            <w:tcBorders>
              <w:top w:val="nil"/>
              <w:left w:val="nil"/>
              <w:bottom w:val="nil"/>
              <w:right w:val="nil"/>
            </w:tcBorders>
          </w:tcPr>
          <w:p>
            <w:pPr>
              <w:pStyle w:val="Normal6a"/>
            </w:pPr>
            <w:r>
              <w:t>23.</w:t>
            </w:r>
            <w:r>
              <w:tab/>
            </w:r>
            <w:r>
              <w:t xml:space="preserve">Notes with concern that the Commission’s self-imposed stable staffing has proven inadequate to meet operational requirements; acknowledges that, for the 2028-2034 MFF, the Commission has requested additional posts; insists that the staffing needs of all institutions and bodies have to be taken into account when establishing additional posts; highlights the particularly alarming situation whereby some EU agencies receive inadequate operational funding, severely limiting their capacity to fulfil their mandates and deliver on policy objectives </w:t>
            </w:r>
            <w:r>
              <w:rPr>
                <w:b/>
                <w:i/>
              </w:rPr>
              <w:t>and enforcement as well as their regulatory obligations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699</w:t>
      </w:r>
      <w:r>
        <w:rPr>
          <w:rStyle w:val="HideTWBExt"/>
        </w:rPr>
        <w:t>&lt;/NumAm&gt;</w:t>
      </w:r>
    </w:p>
    <w:p>
      <w:pPr>
        <w:pStyle w:val="NormalBold"/>
      </w:pPr>
      <w:r>
        <w:rPr>
          <w:rStyle w:val="HideTWBExt"/>
          <w:b w:val="0"/>
        </w:rPr>
        <w:t>&lt;RepeatBlock-By&gt;</w:t>
      </w:r>
      <w:r>
        <w:rPr>
          <w:rStyle w:val="HideTWBExt"/>
          <w:b w:val="0"/>
        </w:rPr>
        <w:t>&lt;Members&gt;</w:t>
      </w:r>
      <w:r>
        <w:t>Isabelle Le Callenec, 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Notes with concern that the Commission’s self-imposed stable staffing has proven inadequate to meet operational requirements; acknowledges that, for the 2028-2034 MFF, the Commission has requested additional posts; insists that the staffing needs of all institutions and bodies have to be taken into account when establishing additional posts; highlights </w:t>
            </w:r>
            <w:r>
              <w:rPr>
                <w:b/>
                <w:i/>
              </w:rPr>
              <w:t>the particularly alarming situation whereby</w:t>
            </w:r>
            <w:r>
              <w:t xml:space="preserve"> some EU agencies </w:t>
            </w:r>
            <w:r>
              <w:rPr>
                <w:b/>
                <w:i/>
              </w:rPr>
              <w:t>receive inadequate operational funding, severely limiting their capacity to fulfil</w:t>
            </w:r>
            <w:r>
              <w:t xml:space="preserve"> their </w:t>
            </w:r>
            <w:r>
              <w:rPr>
                <w:b/>
                <w:i/>
              </w:rPr>
              <w:t>mandates and deliver on policy objectives</w:t>
            </w:r>
            <w:r>
              <w:t>;</w:t>
            </w:r>
          </w:p>
        </w:tc>
        <w:tc>
          <w:tcPr>
            <w:tcW w:w="4876" w:type="dxa"/>
            <w:tcBorders>
              <w:top w:val="nil"/>
              <w:left w:val="nil"/>
              <w:bottom w:val="nil"/>
              <w:right w:val="nil"/>
            </w:tcBorders>
          </w:tcPr>
          <w:p>
            <w:pPr>
              <w:pStyle w:val="Normal6a"/>
            </w:pPr>
            <w:r>
              <w:t>23.</w:t>
            </w:r>
            <w:r>
              <w:tab/>
            </w:r>
            <w:r>
              <w:t xml:space="preserve">Notes with concern that the Commission’s self-imposed stable staffing has proven inadequate to meet operational requirements; acknowledges that, for the 2028-2034 MFF, the Commission has requested additional posts; insists that the staffing needs of all institutions and bodies have to be taken into account when establishing additional posts; highlights </w:t>
            </w:r>
            <w:r>
              <w:rPr>
                <w:b/>
                <w:i/>
              </w:rPr>
              <w:t>that</w:t>
            </w:r>
            <w:r>
              <w:t xml:space="preserve"> some EU agencies </w:t>
            </w:r>
            <w:r>
              <w:rPr>
                <w:b/>
                <w:i/>
              </w:rPr>
              <w:t>could be merged to make them more efficient, streamlining</w:t>
            </w:r>
            <w:r>
              <w:t xml:space="preserve"> their </w:t>
            </w:r>
            <w:r>
              <w:rPr>
                <w:b/>
                <w:i/>
              </w:rPr>
              <w:t>actions and unlocking savings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700</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Notes with concern that the Commission’s self-imposed stable staffing has proven </w:t>
            </w:r>
            <w:r>
              <w:rPr>
                <w:b/>
                <w:i/>
              </w:rPr>
              <w:t>inadequate</w:t>
            </w:r>
            <w:r>
              <w:t xml:space="preserve"> to meet operational requirements; acknowledges that, for the 2028-2034 MFF, the Commission has requested additional posts; insists that the staffing needs of all institutions and bodies have to be taken into account when establishing additional posts; highlights the particularly alarming situation whereby some EU agencies receive inadequate operational funding, severely limiting their capacity to fulfil their mandates and deliver on policy objectives;</w:t>
            </w:r>
          </w:p>
        </w:tc>
        <w:tc>
          <w:tcPr>
            <w:tcW w:w="4876" w:type="dxa"/>
            <w:tcBorders>
              <w:top w:val="nil"/>
              <w:left w:val="nil"/>
              <w:bottom w:val="nil"/>
              <w:right w:val="nil"/>
            </w:tcBorders>
          </w:tcPr>
          <w:p>
            <w:pPr>
              <w:pStyle w:val="Normal6a"/>
            </w:pPr>
            <w:r>
              <w:t>23.</w:t>
            </w:r>
            <w:r>
              <w:tab/>
            </w:r>
            <w:r>
              <w:t xml:space="preserve">Notes with concern that the Commission’s self-imposed stable staffing has proven </w:t>
            </w:r>
            <w:r>
              <w:rPr>
                <w:b/>
                <w:i/>
              </w:rPr>
              <w:t>counterproductive</w:t>
            </w:r>
            <w:r>
              <w:t xml:space="preserve"> to meet operational requirements; acknowledges that, for the 2028-2034 MFF, the Commission has requested additional posts; insists that the staffing needs of all institutions and bodies have to be taken into account when establishing additional posts; highlights the particularly alarming situation whereby some EU agencies receive inadequate operational funding, severely limiting their capacity to fulfil their mandates and deliver on policy objectives;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701</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a.</w:t>
            </w:r>
            <w:r>
              <w:tab/>
            </w:r>
            <w:r>
              <w:rPr>
                <w:b/>
                <w:i/>
              </w:rPr>
              <w:t>Stresses that the increased security challenges facing Europe require strengthened cross-border police, judicial and inter-agency cooperation to address transnational crime, security threats and hybrid attacks; recalls that a safer Europe depends on adequately resourced EU decentralised agencies, ensuring that reinforcements in law enforcement cooperation are accompanied by reinforcements in judicial cooperation;underlines the need to provide appropriate resources to these agencies; highlights the need to strengthen the funding and operational capacity of Eurojust, given its key role in cross-border judicial cooperation, including the support for Joint Investigative Teams, through sufficient and stable financial resources ; emphasises the need to ensure adequate, stable and long-term funding for Union agencies with a central role in migration management and border security, in particular Frontex and Europol, enabling them to fully exercise their mandates; underlines that sufficient human, technical and financial resources are indispensable for strengthening operational support to Member States, enhancing border surveillance and control, combating migrant smuggling and trafficking networks, and improving coordination, information exchange and joint operations at Union level;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702</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23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w:t>
            </w:r>
            <w:r>
              <w:tab/>
            </w:r>
            <w:r>
              <w:rPr>
                <w:b/>
                <w:i/>
              </w:rPr>
              <w:t>Highlights the need to ensure adequate and reinforced funding for the European Public Prosecutor’s Office, in order to strengthen its capacity to investigate and prosecute crimes affecting the Union’s financial interests, including cross-border and organised fraud;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703</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24.</w:t>
            </w:r>
            <w:r>
              <w:tab/>
            </w:r>
            <w:r>
              <w:rPr>
                <w:b/>
                <w:i/>
              </w:rPr>
              <w:t>Welcomes the Commission’s proposal for a Flexibility Instrument to be constituted not only of a fixed amount but also of additional funds from revenue relating to fines and decommitments;</w:t>
            </w:r>
            <w:r>
              <w:t xml:space="preserve"> </w:t>
            </w:r>
            <w:r>
              <w:rPr>
                <w:b/>
                <w:i/>
              </w:rPr>
              <w:t>considers, in the light of its position of 7 May 2025, that the Flexibility Instrument should receive funds from additional sources, namely unspent margins from previous years, the annual surplus from the previous year and reflows from financial instruments, together with current and future margins as a last resort;</w:t>
            </w:r>
            <w:r>
              <w:t xml:space="preserve"> </w:t>
            </w:r>
            <w:r>
              <w:rPr>
                <w:b/>
                <w:i/>
              </w:rPr>
              <w:t>considers also that it should be heavily frontloaded;</w:t>
            </w:r>
            <w:r>
              <w:t xml:space="preserve"> </w:t>
            </w:r>
            <w:r>
              <w:rPr>
                <w:b/>
                <w:i/>
              </w:rPr>
              <w:t>considers that external assigned revenue and amounts made available again under specific revenue and decommitment rules in programme-specific provisions could be exempted from this general rule;</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704</w:t>
      </w:r>
      <w:r>
        <w:rPr>
          <w:rStyle w:val="HideTWBExt"/>
        </w:rPr>
        <w:t>&lt;/NumAm&gt;</w:t>
      </w:r>
    </w:p>
    <w:p>
      <w:pPr>
        <w:pStyle w:val="NormalBold"/>
      </w:pPr>
      <w:r>
        <w:rPr>
          <w:rStyle w:val="HideTWBExt"/>
          <w:b w:val="0"/>
        </w:rPr>
        <w:t>&lt;RepeatBlock-By&gt;</w:t>
      </w:r>
      <w:r>
        <w:rPr>
          <w:rStyle w:val="HideTWBExt"/>
          <w:b w:val="0"/>
        </w:rPr>
        <w:t>&lt;Members&gt;</w:t>
      </w:r>
      <w:r>
        <w:t>Alexander Jungbluth, Stanisław Tyszka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24.</w:t>
            </w:r>
            <w:r>
              <w:tab/>
            </w:r>
            <w:r>
              <w:rPr>
                <w:b/>
                <w:i/>
              </w:rPr>
              <w:t>Welcomes the Commission’s proposal for a Flexibility Instrument to be constituted not only of a fixed amount but also of additional funds from revenue relating to fines and decommitments;</w:t>
            </w:r>
            <w:r>
              <w:t xml:space="preserve"> </w:t>
            </w:r>
            <w:r>
              <w:rPr>
                <w:b/>
                <w:i/>
              </w:rPr>
              <w:t>considers, in the light of its position of 7 May 2025, that the Flexibility Instrument should receive funds from additional sources, namely unspent margins from previous years, the annual surplus from the previous year and reflows from financial instruments, together with current and future margins as a last resort;</w:t>
            </w:r>
            <w:r>
              <w:t xml:space="preserve"> </w:t>
            </w:r>
            <w:r>
              <w:rPr>
                <w:b/>
                <w:i/>
              </w:rPr>
              <w:t>considers also that it should be heavily frontloaded;</w:t>
            </w:r>
            <w:r>
              <w:t xml:space="preserve"> </w:t>
            </w:r>
            <w:r>
              <w:rPr>
                <w:b/>
                <w:i/>
              </w:rPr>
              <w:t>considers that external assigned revenue and amounts made available again under specific revenue and decommitment rules in programme-specific provisions could be exempted from this general rule;</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705</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rPr>
                <w:b/>
                <w:i/>
              </w:rPr>
              <w:t>Welcomes</w:t>
            </w:r>
            <w:r>
              <w:t xml:space="preserve"> the Commission’s proposal for a Flexibility Instrument to be constituted </w:t>
            </w:r>
            <w:r>
              <w:rPr>
                <w:b/>
                <w:i/>
              </w:rPr>
              <w:t>not only</w:t>
            </w:r>
            <w:r>
              <w:t xml:space="preserve"> of a fixed amount </w:t>
            </w:r>
            <w:r>
              <w:rPr>
                <w:b/>
                <w:i/>
              </w:rPr>
              <w:t>but also of</w:t>
            </w:r>
            <w:r>
              <w:t xml:space="preserve"> additional funds from revenue relating to fines and decommitments</w:t>
            </w:r>
            <w:r>
              <w:rPr>
                <w:b/>
                <w:i/>
              </w:rPr>
              <w:t>;</w:t>
            </w:r>
            <w:r>
              <w:t xml:space="preserve"> </w:t>
            </w:r>
            <w:r>
              <w:rPr>
                <w:b/>
                <w:i/>
              </w:rPr>
              <w:t>considers, in the light of its position of 7 May 2025</w:t>
            </w:r>
            <w:r>
              <w:t xml:space="preserve">, </w:t>
            </w:r>
            <w:r>
              <w:rPr>
                <w:b/>
                <w:i/>
              </w:rPr>
              <w:t>that</w:t>
            </w:r>
            <w:r>
              <w:t xml:space="preserve"> the Flexibility Instrument should </w:t>
            </w:r>
            <w:r>
              <w:rPr>
                <w:b/>
                <w:i/>
              </w:rPr>
              <w:t>receive funds from additional sources, namely</w:t>
            </w:r>
            <w:r>
              <w:t xml:space="preserve"> unspent margins from previous years, the annual surplus </w:t>
            </w:r>
            <w:r>
              <w:rPr>
                <w:b/>
                <w:i/>
              </w:rPr>
              <w:t>from the previous year and reflows from financial</w:t>
            </w:r>
            <w:r>
              <w:t xml:space="preserve"> instruments</w:t>
            </w:r>
            <w:r>
              <w:rPr>
                <w:b/>
                <w:i/>
              </w:rPr>
              <w:t>, together with current and future margins as a last resort;</w:t>
            </w:r>
            <w:r>
              <w:t xml:space="preserve"> </w:t>
            </w:r>
            <w:r>
              <w:rPr>
                <w:b/>
                <w:i/>
              </w:rPr>
              <w:t>considers also that it should be heavily frontloaded;</w:t>
            </w:r>
            <w:r>
              <w:t xml:space="preserve"> </w:t>
            </w:r>
            <w:r>
              <w:rPr>
                <w:b/>
                <w:i/>
              </w:rPr>
              <w:t>considers that external assigned revenue and amounts made available again under specific</w:t>
            </w:r>
            <w:r>
              <w:t xml:space="preserve"> revenue </w:t>
            </w:r>
            <w:r>
              <w:rPr>
                <w:b/>
                <w:i/>
              </w:rPr>
              <w:t>and decommitment rules in programme-specific provisions could be exempted from this general rule</w:t>
            </w:r>
            <w:r>
              <w:t>;</w:t>
            </w:r>
          </w:p>
        </w:tc>
        <w:tc>
          <w:tcPr>
            <w:tcW w:w="4876" w:type="dxa"/>
            <w:tcBorders>
              <w:top w:val="nil"/>
              <w:left w:val="nil"/>
              <w:bottom w:val="nil"/>
              <w:right w:val="nil"/>
            </w:tcBorders>
          </w:tcPr>
          <w:p>
            <w:pPr>
              <w:pStyle w:val="Normal6a"/>
            </w:pPr>
            <w:r>
              <w:t>24.</w:t>
            </w:r>
            <w:r>
              <w:tab/>
            </w:r>
            <w:r>
              <w:rPr>
                <w:b/>
                <w:i/>
              </w:rPr>
              <w:t>Notes</w:t>
            </w:r>
            <w:r>
              <w:t xml:space="preserve"> the Commission’s proposal for a Flexibility Instrument to be constituted of a fixed amount </w:t>
            </w:r>
            <w:r>
              <w:rPr>
                <w:b/>
                <w:i/>
              </w:rPr>
              <w:t>supplemented by</w:t>
            </w:r>
            <w:r>
              <w:t xml:space="preserve"> additional funds from revenue relating to fines and decommitments</w:t>
            </w:r>
            <w:r>
              <w:rPr>
                <w:b/>
                <w:i/>
              </w:rPr>
              <w:t>, while pointing out that, according to the European Court of Auditors, the current budget flexibility framework is overly complex</w:t>
            </w:r>
            <w:r>
              <w:t xml:space="preserve">, </w:t>
            </w:r>
            <w:r>
              <w:rPr>
                <w:b/>
                <w:i/>
              </w:rPr>
              <w:t>insufficiently justified and marked by overlaps among the various tools;</w:t>
            </w:r>
            <w:r>
              <w:t xml:space="preserve"> </w:t>
            </w:r>
            <w:r>
              <w:rPr>
                <w:b/>
                <w:i/>
              </w:rPr>
              <w:t>emphasises that, as the Court pointed out in its Special Report No 18/2025, the Commission has not carried out any ex ante or retrospective assessments of the way the margins work, of the Single Margin Instrument or of</w:t>
            </w:r>
            <w:r>
              <w:t xml:space="preserve"> the Flexibility Instrument</w:t>
            </w:r>
            <w:r>
              <w:rPr>
                <w:b/>
                <w:i/>
              </w:rPr>
              <w:t>, which means it is not possible to gauge the actual effectiveness of these mechanisms, or to learn anything from them for the future;</w:t>
            </w:r>
            <w:r>
              <w:t xml:space="preserve"> </w:t>
            </w:r>
            <w:r>
              <w:rPr>
                <w:b/>
                <w:i/>
              </w:rPr>
              <w:t>emphasises that priority</w:t>
            </w:r>
            <w:r>
              <w:t xml:space="preserve"> should </w:t>
            </w:r>
            <w:r>
              <w:rPr>
                <w:b/>
                <w:i/>
              </w:rPr>
              <w:t>be given to</w:t>
            </w:r>
            <w:r>
              <w:t xml:space="preserve"> unspent margins from previous years, </w:t>
            </w:r>
            <w:r>
              <w:rPr>
                <w:b/>
                <w:i/>
              </w:rPr>
              <w:t>to</w:t>
            </w:r>
            <w:r>
              <w:t xml:space="preserve"> the annual </w:t>
            </w:r>
            <w:r>
              <w:rPr>
                <w:b/>
                <w:i/>
              </w:rPr>
              <w:t>budget</w:t>
            </w:r>
            <w:r>
              <w:t xml:space="preserve"> surplus </w:t>
            </w:r>
            <w:r>
              <w:rPr>
                <w:b/>
                <w:i/>
              </w:rPr>
              <w:t>and to internal redeployments before any use of special</w:t>
            </w:r>
            <w:r>
              <w:t xml:space="preserve"> instruments </w:t>
            </w:r>
            <w:r>
              <w:rPr>
                <w:b/>
                <w:i/>
              </w:rPr>
              <w:t>beyond the MFF ceilings;</w:t>
            </w:r>
            <w:r>
              <w:t xml:space="preserve"> </w:t>
            </w:r>
            <w:r>
              <w:rPr>
                <w:b/>
                <w:i/>
              </w:rPr>
              <w:t>is opposed to excessive frontloading of the Flexibility Instrument, which might prematurely exhaust its resources and render the EU less able to respond to genuine unforeseen events during the MFF period;</w:t>
            </w:r>
            <w:r>
              <w:t xml:space="preserve"> </w:t>
            </w:r>
            <w:r>
              <w:rPr>
                <w:b/>
                <w:i/>
              </w:rPr>
              <w:t>takes the view that</w:t>
            </w:r>
            <w:r>
              <w:t xml:space="preserve"> revenue </w:t>
            </w:r>
            <w:r>
              <w:rPr>
                <w:b/>
                <w:i/>
              </w:rPr>
              <w:t>relating to fines and decommitments should make it possible to reduce the contributions of net-contributor Member States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706</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Welcomes the Commission’s proposal for a Flexibility Instrument to be constituted not only of a fixed amount but also of additional funds from revenue relating to fines and decommitments; considers, in the light of its position of 7 May 2025, that the Flexibility Instrument should receive funds from additional sources, namely unspent margins from previous years, the annual surplus from the previous year and reflows from financial instruments, together with current and future margins as a last resort; considers also that it should be heavily frontloaded; considers that external assigned revenue and amounts made available again under specific revenue and decommitment rules in programme-specific provisions could be exempted from this general rule;</w:t>
            </w:r>
          </w:p>
        </w:tc>
        <w:tc>
          <w:tcPr>
            <w:tcW w:w="4876" w:type="dxa"/>
            <w:tcBorders>
              <w:top w:val="nil"/>
              <w:left w:val="nil"/>
              <w:bottom w:val="nil"/>
              <w:right w:val="nil"/>
            </w:tcBorders>
          </w:tcPr>
          <w:p>
            <w:pPr>
              <w:pStyle w:val="Normal6a"/>
            </w:pPr>
            <w:r>
              <w:t>24.</w:t>
            </w:r>
            <w:r>
              <w:tab/>
            </w:r>
            <w:r>
              <w:t xml:space="preserve">Welcomes the Commission’s proposal for a Flexibility Instrument to be constituted not only of a fixed amount but also of additional funds from revenue relating to fines and decommitments; considers, in the light of its position of 7 May 2025, that the Flexibility Instrument should receive funds from additional sources, namely unspent margins from previous years, the annual surplus from the previous year and reflows from financial instruments, together with current and future margins as a last resort; considers also that it should be heavily frontloaded; </w:t>
            </w:r>
            <w:r>
              <w:rPr>
                <w:b/>
                <w:i/>
              </w:rPr>
              <w:t>calls for a simplification and rationalisation of procedures in the mobilisation of Special Instruments, therefore, considers the existence of the Single Margin Instrument to be obsolete and calls for its features to be incorporated into the Flexibility Instrument;</w:t>
            </w:r>
            <w:r>
              <w:t xml:space="preserve"> considers that external assigned revenue and amounts made available again under specific revenue and decommitment rules in programme-specific provisions could be exempted from this general rule;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707</w:t>
      </w:r>
      <w:r>
        <w:rPr>
          <w:rStyle w:val="HideTWBExt"/>
        </w:rPr>
        <w:t>&lt;/NumAm&gt;</w:t>
      </w:r>
    </w:p>
    <w:p>
      <w:pPr>
        <w:pStyle w:val="NormalBold"/>
      </w:pPr>
      <w:r>
        <w:rPr>
          <w:rStyle w:val="HideTWBExt"/>
          <w:b w:val="0"/>
        </w:rPr>
        <w:t>&lt;RepeatBlock-By&gt;</w:t>
      </w:r>
      <w:r>
        <w:rPr>
          <w:rStyle w:val="HideTWBExt"/>
          <w:b w:val="0"/>
        </w:rPr>
        <w:t>&lt;Members&gt;</w:t>
      </w:r>
      <w:r>
        <w:t>Ruggero Razza,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 Bogdan Rzońca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Welcomes the Commission’s proposal for a Flexibility Instrument to be constituted not only of a fixed amount but also of additional funds from revenue relating to fines and decommitments; considers, in the light of its position of 7 May 2025, that the Flexibility Instrument should receive funds from additional sources, namely unspent margins from previous years, the annual surplus from the previous year and reflows from financial instruments, together with current and future margins as a last resort; considers also that it should be heavily frontloaded; considers that external assigned revenue and amounts made available again under specific revenue and decommitment rules in programme-specific provisions could be exempted from this general rule;</w:t>
            </w:r>
          </w:p>
        </w:tc>
        <w:tc>
          <w:tcPr>
            <w:tcW w:w="4876" w:type="dxa"/>
            <w:tcBorders>
              <w:top w:val="nil"/>
              <w:left w:val="nil"/>
              <w:bottom w:val="nil"/>
              <w:right w:val="nil"/>
            </w:tcBorders>
          </w:tcPr>
          <w:p>
            <w:pPr>
              <w:pStyle w:val="Normal6a"/>
            </w:pPr>
            <w:r>
              <w:t>24.</w:t>
            </w:r>
            <w:r>
              <w:tab/>
            </w:r>
            <w:r>
              <w:t xml:space="preserve">Welcomes the Commission’s proposal for a Flexibility Instrument to be constituted not only of a fixed amount but also of additional funds from revenue relating to fines and decommitments; considers, in the light of its position of 7 May 2025, that the Flexibility Instrument should receive funds from additional sources, namely unspent margins from previous years, the annual surplus from the previous year and reflows from financial instruments, together with current and future margins as a last resort; considers also that it should be heavily frontloaded; considers that external assigned revenue and amounts made available again under specific revenue and decommitment rules in programme-specific provisions could be exempted from this general rule; </w:t>
            </w:r>
            <w:r>
              <w:rPr>
                <w:b/>
                <w:i/>
              </w:rPr>
              <w:t>believes that it should be possible for special and flexible tools to be used, as a priority, to ensure the availability of essential health supplies and to bolster critical supply chains in the event of health crises;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708</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Welcomes the Commission’s proposal for a Flexibility Instrument to be constituted not only of a fixed amount but also of additional funds from revenue relating to fines and decommitments; considers, in the light of its position of 7 May 2025, that the Flexibility Instrument should receive funds from additional sources, namely unspent margins from previous years, the annual surplus from the previous year and reflows from financial instruments, together with current and future margins as a last resort; considers also that it should be heavily frontloaded; considers that external assigned revenue and amounts made available again under specific revenue and decommitment rules in programme-specific provisions could be exempted from this general rule;</w:t>
            </w:r>
          </w:p>
        </w:tc>
        <w:tc>
          <w:tcPr>
            <w:tcW w:w="4876" w:type="dxa"/>
            <w:tcBorders>
              <w:top w:val="nil"/>
              <w:left w:val="nil"/>
              <w:bottom w:val="nil"/>
              <w:right w:val="nil"/>
            </w:tcBorders>
          </w:tcPr>
          <w:p>
            <w:pPr>
              <w:pStyle w:val="Normal6a"/>
            </w:pPr>
            <w:r>
              <w:t>24.</w:t>
            </w:r>
            <w:r>
              <w:tab/>
            </w:r>
            <w:r>
              <w:t xml:space="preserve">Welcomes the Commission’s proposal for a Flexibility Instrument to be constituted not only of a fixed amount but also of additional funds from revenue relating to fines and decommitments; considers, in the light of its position of 7 May 2025, that the Flexibility Instrument should receive funds from additional sources, namely unspent margins from previous years, the annual surplus from the previous year and reflows from financial instruments, together with current and future margins as a last resort; considers also that it should be heavily frontloaded; considers that external assigned revenue and amounts made available again under specific revenue and decommitment rules in programme-specific provisions could be exempted from this general rule; </w:t>
            </w:r>
            <w:r>
              <w:rPr>
                <w:b/>
                <w:i/>
              </w:rPr>
              <w:t>recalls that the precedent for decommitments flowing back to the budget line of origin in the NDICI was a condition of the European Parliament for budgetizing the European Development Fund during negotiations for the current budget cycle, and must be protected;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709</w:t>
      </w:r>
      <w:r>
        <w:rPr>
          <w:rStyle w:val="HideTWBExt"/>
        </w:rPr>
        <w:t>&lt;/NumAm&gt;</w:t>
      </w:r>
    </w:p>
    <w:p>
      <w:pPr>
        <w:pStyle w:val="NormalBold"/>
      </w:pPr>
      <w:r>
        <w:rPr>
          <w:rStyle w:val="HideTWBExt"/>
          <w:b w:val="0"/>
        </w:rPr>
        <w:t>&lt;RepeatBlock-By&gt;</w:t>
      </w:r>
      <w:r>
        <w:rPr>
          <w:rStyle w:val="HideTWBExt"/>
          <w:b w:val="0"/>
        </w:rPr>
        <w:t>&lt;Members&gt;</w:t>
      </w:r>
      <w:r>
        <w:t>Fabienne Keller,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Welcomes the Commission’s proposal for a Flexibility Instrument to be constituted not only of a fixed amount but also of additional funds from revenue relating to fines and decommitments; </w:t>
            </w:r>
            <w:r>
              <w:rPr>
                <w:b/>
                <w:i/>
              </w:rPr>
              <w:t>considers,</w:t>
            </w:r>
            <w:r>
              <w:t xml:space="preserve"> in the light of its position of 7 May 2025, that the Flexibility Instrument should receive funds from additional sources, namely unspent margins from previous years, the annual surplus from the previous year and reflows from financial instruments, together with current and future margins as a last resort; considers also that it should be heavily frontloaded; considers that external assigned revenue and amounts made available again under specific revenue and decommitment rules in programme-specific provisions could be exempted from this general rule;</w:t>
            </w:r>
          </w:p>
        </w:tc>
        <w:tc>
          <w:tcPr>
            <w:tcW w:w="4876" w:type="dxa"/>
            <w:tcBorders>
              <w:top w:val="nil"/>
              <w:left w:val="nil"/>
              <w:bottom w:val="nil"/>
              <w:right w:val="nil"/>
            </w:tcBorders>
          </w:tcPr>
          <w:p>
            <w:pPr>
              <w:pStyle w:val="Normal6a"/>
            </w:pPr>
            <w:r>
              <w:t>24.</w:t>
            </w:r>
            <w:r>
              <w:tab/>
            </w:r>
            <w:r>
              <w:t xml:space="preserve">Welcomes the Commission’s proposal for a Flexibility Instrument to be constituted not only of a fixed amount but also of additional funds from revenue relating to fines and decommitments; </w:t>
            </w:r>
            <w:r>
              <w:rPr>
                <w:b/>
                <w:i/>
              </w:rPr>
              <w:t>insists</w:t>
            </w:r>
            <w:r>
              <w:t xml:space="preserve"> in the light of its position of 7 May 2025, that the Flexibility Instrument should receive funds from additional sources, namely unspent margins from previous years, the annual surplus from the previous year and reflows from financial instruments, together with current and future margins as a last resort; considers also that it should be heavily frontloaded; considers that external assigned revenue and amounts made available again under specific revenue and decommitment rules in programme-specific provisions could be exempted from this general rule; </w:t>
            </w:r>
            <w:r>
              <w:rPr>
                <w:b/>
                <w:i/>
              </w:rPr>
              <w:t>in the same spirit, proposes to ensure that reflows and surplus provisioning stemming from financial instruments and budgetary guarantees remain within the EU budget for re-use;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710</w:t>
      </w:r>
      <w:r>
        <w:rPr>
          <w:rStyle w:val="HideTWBExt"/>
        </w:rPr>
        <w:t>&lt;/NumAm&gt;</w:t>
      </w:r>
    </w:p>
    <w:p>
      <w:pPr>
        <w:pStyle w:val="NormalBold"/>
      </w:pPr>
      <w:r>
        <w:rPr>
          <w:rStyle w:val="HideTWBExt"/>
          <w:b w:val="0"/>
        </w:rPr>
        <w:t>&lt;RepeatBlock-By&gt;</w:t>
      </w:r>
      <w:r>
        <w:rPr>
          <w:rStyle w:val="HideTWBExt"/>
          <w:b w:val="0"/>
        </w:rPr>
        <w:t>&lt;Members&gt;</w:t>
      </w:r>
      <w:r>
        <w:t>Joachim Streit, Anouk Van Brug,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rPr>
                <w:b/>
                <w:i/>
              </w:rPr>
              <w:t>Welcomes</w:t>
            </w:r>
            <w:r>
              <w:t xml:space="preserve"> the Commission’s proposal </w:t>
            </w:r>
            <w:r>
              <w:rPr>
                <w:b/>
                <w:i/>
              </w:rPr>
              <w:t>for a Flexibility Instrument to be constituted not only of a fixed amount but also of additional funds from revenue relating to fines and decommitments; considers, in the light of its position of 7 May 2025, that</w:t>
            </w:r>
            <w:r>
              <w:t xml:space="preserve"> the Flexibility Instrument </w:t>
            </w:r>
            <w:r>
              <w:rPr>
                <w:b/>
                <w:i/>
              </w:rPr>
              <w:t>should receive funds from additional sources, namely</w:t>
            </w:r>
            <w:r>
              <w:t xml:space="preserve"> unspent margins </w:t>
            </w:r>
            <w:r>
              <w:rPr>
                <w:b/>
                <w:i/>
              </w:rPr>
              <w:t>from previous years, the annual surplus from the previous year and reflows from financial instruments, together with current and future margins as a last resort; considers also that it should be heavily frontloaded; considers that external assigned revenue and</w:t>
            </w:r>
            <w:r>
              <w:t xml:space="preserve"> amounts </w:t>
            </w:r>
            <w:r>
              <w:rPr>
                <w:b/>
                <w:i/>
              </w:rPr>
              <w:t>made available again under specific revenue and decommitment rules in programme-specific provisions could be exempted from this general rule</w:t>
            </w:r>
            <w:r>
              <w:t>;</w:t>
            </w:r>
          </w:p>
        </w:tc>
        <w:tc>
          <w:tcPr>
            <w:tcW w:w="4876" w:type="dxa"/>
            <w:tcBorders>
              <w:top w:val="nil"/>
              <w:left w:val="nil"/>
              <w:bottom w:val="nil"/>
              <w:right w:val="nil"/>
            </w:tcBorders>
          </w:tcPr>
          <w:p>
            <w:pPr>
              <w:pStyle w:val="Normal6a"/>
            </w:pPr>
            <w:r>
              <w:t>24.</w:t>
            </w:r>
            <w:r>
              <w:tab/>
            </w:r>
            <w:r>
              <w:rPr>
                <w:b/>
                <w:i/>
              </w:rPr>
              <w:t>Takes note of</w:t>
            </w:r>
            <w:r>
              <w:t xml:space="preserve"> the Commission’s proposal </w:t>
            </w:r>
            <w:r>
              <w:rPr>
                <w:b/>
                <w:i/>
              </w:rPr>
              <w:t>concerning</w:t>
            </w:r>
            <w:r>
              <w:t xml:space="preserve"> the Flexibility Instrument</w:t>
            </w:r>
            <w:r>
              <w:rPr>
                <w:b/>
                <w:i/>
              </w:rPr>
              <w:t>; recalls that</w:t>
            </w:r>
            <w:r>
              <w:t xml:space="preserve"> unspent margins</w:t>
            </w:r>
            <w:r>
              <w:rPr>
                <w:b/>
                <w:i/>
              </w:rPr>
              <w:t>, surpluses and decommitments primarily serve as safeguards of budgetary discipline within the MFF; stresses that the use of such</w:t>
            </w:r>
            <w:r>
              <w:t xml:space="preserve"> amounts </w:t>
            </w:r>
            <w:r>
              <w:rPr>
                <w:b/>
                <w:i/>
              </w:rPr>
              <w:t>for flexibility purposes must remain exceptional, clearly justified and limited in scope, and must not undermine the expenditure ceilings or lead to the systematic creation of additional spending capacity through frontloading or the accumulation of multiple funding sources</w:t>
            </w:r>
            <w:r>
              <w:t xml:space="preserve">; </w:t>
            </w:r>
            <w:r>
              <w:rPr>
                <w:b/>
                <w:i/>
              </w:rPr>
              <w:t>underlines the need for full transparency and robust parliamentary scrutiny;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711</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a.</w:t>
            </w:r>
            <w:r>
              <w:tab/>
            </w:r>
            <w:r>
              <w:rPr>
                <w:b/>
                <w:i/>
              </w:rPr>
              <w:t>Proposes that revenues from fines imposed under Council Regulations (EC) No 2022/2065, (EC) No 2022/1925, and (EC) No 2024/1689 be made available as an additional allocation of commitment and payment appropriations to AgoraEU, following the precedent of the programme-specific adjustment established under the 2021–2027 MFF, and taking into account the significant risks and negative effects that digital market dominance poses to culture, media, democracy, and fundamental rights, including job losses, market distortion, and the spread of information manipulation and disinformation;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712</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Warns the Commission about the level of corruption in Ukraine;</w:t>
            </w:r>
            <w:r>
              <w:t xml:space="preserve"> </w:t>
            </w:r>
            <w:r>
              <w:rPr>
                <w:b/>
                <w:i/>
              </w:rPr>
              <w:t>reaffirms its opposition to Ukraine’s accession to the European Union, as the current climate in the country is incompatible with the principles of conditionality linked to the rule of law;</w:t>
            </w:r>
            <w:r>
              <w:t xml:space="preserve"> </w:t>
            </w:r>
            <w:r>
              <w:rPr>
                <w:b/>
                <w:i/>
              </w:rPr>
              <w:t>points out that Ukraine’s accession to the European Union would lead to the destruction of European agriculture as we know it, which we must protect and safeguard;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713</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Restates also its view that there should be a second special instrument, the Solidarity Reserve for Natural Disasters, dedicated to ensuring solidarity in the event of natural disasters;</w:t>
            </w:r>
            <w:r>
              <w:t xml:space="preserve"> </w:t>
            </w:r>
            <w:r>
              <w:rPr>
                <w:b/>
                <w:i/>
              </w:rPr>
              <w:t>considers that both special instruments should be able to carry over unspent amounts throughout the MFF period, to guarantee flexibility;</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714</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Restates also its view that there should be a second special instrument, the Solidarity Reserve for Natural Disasters, dedicated to ensuring solidarity in the event of natural disasters;</w:t>
            </w:r>
            <w:r>
              <w:t xml:space="preserve"> </w:t>
            </w:r>
            <w:r>
              <w:rPr>
                <w:b/>
                <w:i/>
              </w:rPr>
              <w:t>considers that both special instruments should be able to carry over unspent amounts throughout the MFF period, to guarantee flexibility;</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715</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Restates also its view that there should be a second special instrument, the Solidarity Reserve for Natural Disasters, dedicated to ensuring solidarity in the event of natural disasters; considers that both special instruments should be able to carry over unspent amounts throughout the MFF period, to guarantee flexibility;</w:t>
            </w:r>
          </w:p>
        </w:tc>
        <w:tc>
          <w:tcPr>
            <w:tcW w:w="4876" w:type="dxa"/>
            <w:tcBorders>
              <w:top w:val="nil"/>
              <w:left w:val="nil"/>
              <w:bottom w:val="nil"/>
              <w:right w:val="nil"/>
            </w:tcBorders>
          </w:tcPr>
          <w:p>
            <w:pPr>
              <w:pStyle w:val="Normal6a"/>
            </w:pPr>
            <w:r>
              <w:t>25.</w:t>
            </w:r>
            <w:r>
              <w:tab/>
            </w:r>
            <w:r>
              <w:t xml:space="preserve">Restates also its view that there should be a second special instrument, the Solidarity Reserve for Natural Disasters, </w:t>
            </w:r>
            <w:r>
              <w:rPr>
                <w:b/>
                <w:i/>
              </w:rPr>
              <w:t>endowed with substantial financial resources; recalls that, according to the 2024 European Climate Risk Assessment Report, cumulative economic losses could reach EUR 175 billion (around 1.4 % of EU GDP); Believes that the instrument should be</w:t>
            </w:r>
            <w:r>
              <w:t xml:space="preserve"> dedicated to ensuring solidarity in the event of natural disasters </w:t>
            </w:r>
            <w:r>
              <w:rPr>
                <w:b/>
                <w:i/>
              </w:rPr>
              <w:t>and should be governed by rules allowing for rapid disbursement and higher advance payments</w:t>
            </w:r>
            <w:r>
              <w:t xml:space="preserve"> ; considers that both special instruments should be able to carry over unspent amounts throughout the MFF period, to guarantee flexibility;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716</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Restates also its view that there should be a second special instrument, the Solidarity Reserve for Natural Disasters, dedicated to ensuring solidarity in the event of natural disasters; considers that both special instruments should be able to carry over unspent amounts throughout the MFF period, to guarantee flexibility;</w:t>
            </w:r>
          </w:p>
        </w:tc>
        <w:tc>
          <w:tcPr>
            <w:tcW w:w="4876" w:type="dxa"/>
            <w:tcBorders>
              <w:top w:val="nil"/>
              <w:left w:val="nil"/>
              <w:bottom w:val="nil"/>
              <w:right w:val="nil"/>
            </w:tcBorders>
          </w:tcPr>
          <w:p>
            <w:pPr>
              <w:pStyle w:val="Normal6a"/>
            </w:pPr>
            <w:r>
              <w:t>25.</w:t>
            </w:r>
            <w:r>
              <w:tab/>
            </w:r>
            <w:r>
              <w:t xml:space="preserve">Restates also its view that there should be a second special instrument, the Solidarity Reserve for Natural Disasters </w:t>
            </w:r>
            <w:r>
              <w:rPr>
                <w:b/>
                <w:i/>
              </w:rPr>
              <w:t>of 3.3 bn. EUR/year in current prices (3 bn. EUR/year in constant prices) to be mobilised over and above the MFF ceilings</w:t>
            </w:r>
            <w:r>
              <w:t xml:space="preserve">, dedicated to ensuring solidarity in the event of natural disasters </w:t>
            </w:r>
            <w:r>
              <w:rPr>
                <w:b/>
                <w:i/>
              </w:rPr>
              <w:t>which should complement the existing cascade mechanism for crisis situations, such as the flexibility provisions in the NRPPs and the EU Facility</w:t>
            </w:r>
            <w:r>
              <w:t>; considers that both special instruments should be able to carry over unspent amounts throughout the MFF period, to guarantee flexibility;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717</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Restates also its view that there should be a second special instrument, the Solidarity Reserve for Natural Disasters, dedicated to ensuring solidarity in the event of natural disasters; considers that both special instruments should be able to carry over unspent amounts throughout the MFF period, to guarantee flexibility;</w:t>
            </w:r>
          </w:p>
        </w:tc>
        <w:tc>
          <w:tcPr>
            <w:tcW w:w="4876" w:type="dxa"/>
            <w:tcBorders>
              <w:top w:val="nil"/>
              <w:left w:val="nil"/>
              <w:bottom w:val="nil"/>
              <w:right w:val="nil"/>
            </w:tcBorders>
          </w:tcPr>
          <w:p>
            <w:pPr>
              <w:pStyle w:val="Normal6a"/>
            </w:pPr>
            <w:r>
              <w:t>25.</w:t>
            </w:r>
            <w:r>
              <w:tab/>
            </w:r>
            <w:r>
              <w:rPr>
                <w:b/>
                <w:i/>
              </w:rPr>
              <w:t>Reiterates its call for the post-2027 MFF to ensure adequate funding for preparedness and rapid crisis response, ensuring the UCPM will remain the primary EU-level framework for general-purpose crisis response;</w:t>
            </w:r>
            <w:r>
              <w:t xml:space="preserve"> restates also its view that there should be a second special instrument, the Solidarity Reserve for Natural Disasters, dedicated to ensuring solidarity in the event of natural disasters; considers that both special instruments should be able to carry over unspent amounts throughout the MFF period, to guarantee flexibility;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718</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Restates also its view that there should be a second special instrument, the Solidarity Reserve for Natural Disasters, dedicated to ensuring solidarity in the event of natural disasters; considers that both special instruments should be able to carry over unspent amounts throughout the MFF period, to guarantee flexibility;</w:t>
            </w:r>
          </w:p>
        </w:tc>
        <w:tc>
          <w:tcPr>
            <w:tcW w:w="4876" w:type="dxa"/>
            <w:tcBorders>
              <w:top w:val="nil"/>
              <w:left w:val="nil"/>
              <w:bottom w:val="nil"/>
              <w:right w:val="nil"/>
            </w:tcBorders>
          </w:tcPr>
          <w:p>
            <w:pPr>
              <w:pStyle w:val="Normal6a"/>
            </w:pPr>
            <w:r>
              <w:t>25.</w:t>
            </w:r>
            <w:r>
              <w:tab/>
            </w:r>
            <w:r>
              <w:t xml:space="preserve">Restates also its view that there should be a second special instrument, the Solidarity Reserve for Natural Disasters, dedicated to ensuring solidarity in the event of natural disasters; considers that both special instruments should be able to carry over unspent amounts throughout the MFF period, to guarantee flexibility; </w:t>
            </w:r>
            <w:r>
              <w:rPr>
                <w:b/>
                <w:i/>
              </w:rPr>
              <w:t>Underlines that the Solidarity Reserve Fund shall ensure that individuals, entities, islands, and regions facing natural disasters related challenges will be compensated within a period of twelve weeks.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719</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Restates also its view that there should be a second special instrument, the Solidarity Reserve for </w:t>
            </w:r>
            <w:r>
              <w:rPr>
                <w:b/>
                <w:i/>
              </w:rPr>
              <w:t>Natural Disasters</w:t>
            </w:r>
            <w:r>
              <w:t>, dedicated to ensuring solidarity in the event of natural disasters; considers that both special instruments should be able to carry over unspent amounts throughout the MFF period, to guarantee flexibility;</w:t>
            </w:r>
          </w:p>
        </w:tc>
        <w:tc>
          <w:tcPr>
            <w:tcW w:w="4876" w:type="dxa"/>
            <w:tcBorders>
              <w:top w:val="nil"/>
              <w:left w:val="nil"/>
              <w:bottom w:val="nil"/>
              <w:right w:val="nil"/>
            </w:tcBorders>
          </w:tcPr>
          <w:p>
            <w:pPr>
              <w:pStyle w:val="Normal6a"/>
            </w:pPr>
            <w:r>
              <w:t>25.</w:t>
            </w:r>
            <w:r>
              <w:tab/>
            </w:r>
            <w:r>
              <w:t xml:space="preserve">Restates also its view that there should be a second special instrument, the Solidarity Reserve for </w:t>
            </w:r>
            <w:r>
              <w:rPr>
                <w:b/>
                <w:i/>
              </w:rPr>
              <w:t>Crisis</w:t>
            </w:r>
            <w:r>
              <w:t xml:space="preserve">, dedicated to ensuring solidarity in the event of natural disasters </w:t>
            </w:r>
            <w:r>
              <w:rPr>
                <w:b/>
                <w:i/>
              </w:rPr>
              <w:t>based on a ‘build back better’ approach and building resilience prioritising nature-based solutions in reconstruction as well as for humanitarian aid needs</w:t>
            </w:r>
            <w:r>
              <w:t>; considers that both special instruments should be able to carry over unspent amounts throughout the MFF period, to guarantee flexibility;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720</w:t>
      </w:r>
      <w:r>
        <w:rPr>
          <w:rStyle w:val="HideTWBExt"/>
        </w:rPr>
        <w:t>&lt;/NumAm&gt;</w:t>
      </w:r>
    </w:p>
    <w:p>
      <w:pPr>
        <w:pStyle w:val="NormalBold"/>
      </w:pPr>
      <w:r>
        <w:rPr>
          <w:rStyle w:val="HideTWBExt"/>
          <w:b w:val="0"/>
        </w:rPr>
        <w:t>&lt;RepeatBlock-By&gt;</w:t>
      </w:r>
      <w:r>
        <w:rPr>
          <w:rStyle w:val="HideTWBExt"/>
          <w:b w:val="0"/>
        </w:rPr>
        <w:t>&lt;Members&gt;</w:t>
      </w:r>
      <w:r>
        <w:t>Fabienne Keller,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rPr>
                <w:b/>
                <w:i/>
              </w:rPr>
              <w:t>Restates</w:t>
            </w:r>
            <w:r>
              <w:t xml:space="preserve"> also its view </w:t>
            </w:r>
            <w:r>
              <w:rPr>
                <w:b/>
                <w:i/>
              </w:rPr>
              <w:t>that there should be</w:t>
            </w:r>
            <w:r>
              <w:t xml:space="preserve"> a second special instrument, the Solidarity Reserve for Natural Disasters, dedicated to ensuring solidarity in the event of natural disasters; considers that both special instruments should be able to carry over unspent amounts throughout the MFF period, to guarantee flexibility;</w:t>
            </w:r>
          </w:p>
        </w:tc>
        <w:tc>
          <w:tcPr>
            <w:tcW w:w="4876" w:type="dxa"/>
            <w:tcBorders>
              <w:top w:val="nil"/>
              <w:left w:val="nil"/>
              <w:bottom w:val="nil"/>
              <w:right w:val="nil"/>
            </w:tcBorders>
          </w:tcPr>
          <w:p>
            <w:pPr>
              <w:pStyle w:val="Normal6a"/>
            </w:pPr>
            <w:r>
              <w:t>25.</w:t>
            </w:r>
            <w:r>
              <w:tab/>
            </w:r>
            <w:r>
              <w:rPr>
                <w:b/>
                <w:i/>
              </w:rPr>
              <w:t>Reiterates</w:t>
            </w:r>
            <w:r>
              <w:t xml:space="preserve"> also its view </w:t>
            </w:r>
            <w:r>
              <w:rPr>
                <w:b/>
                <w:i/>
              </w:rPr>
              <w:t>of the strong necessity of</w:t>
            </w:r>
            <w:r>
              <w:t xml:space="preserve"> a second special instrument, the Solidarity Reserve for Natural Disasters, dedicated to ensuring solidarity in the event of natural disasters </w:t>
            </w:r>
            <w:r>
              <w:rPr>
                <w:b/>
                <w:i/>
              </w:rPr>
              <w:t>which have become more frequent and more destructive in the past years and those events only increase in the upcoming years</w:t>
            </w:r>
            <w:r>
              <w:t>; considers that both special instruments should be able to carry over unspent amounts throughout the MFF period, to guarantee flexibility;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721</w:t>
      </w:r>
      <w:r>
        <w:rPr>
          <w:rStyle w:val="HideTWBExt"/>
        </w:rPr>
        <w:t>&lt;/NumAm&gt;</w:t>
      </w:r>
    </w:p>
    <w:p>
      <w:pPr>
        <w:pStyle w:val="NormalBold"/>
      </w:pPr>
      <w:r>
        <w:rPr>
          <w:rStyle w:val="HideTWBExt"/>
          <w:b w:val="0"/>
        </w:rPr>
        <w:t>&lt;RepeatBlock-By&gt;</w:t>
      </w:r>
      <w:r>
        <w:rPr>
          <w:rStyle w:val="HideTWBExt"/>
          <w:b w:val="0"/>
        </w:rPr>
        <w:t>&lt;Members&gt;</w:t>
      </w:r>
      <w:r>
        <w:t>Joachim Streit, Anouk Van Brug,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Restates </w:t>
            </w:r>
            <w:r>
              <w:rPr>
                <w:b/>
                <w:i/>
              </w:rPr>
              <w:t>also</w:t>
            </w:r>
            <w:r>
              <w:t xml:space="preserve"> its view that </w:t>
            </w:r>
            <w:r>
              <w:rPr>
                <w:b/>
                <w:i/>
              </w:rPr>
              <w:t>there should be a second special instrument, the</w:t>
            </w:r>
            <w:r>
              <w:t xml:space="preserve"> Solidarity Reserve for Natural Disasters</w:t>
            </w:r>
            <w:r>
              <w:rPr>
                <w:b/>
                <w:i/>
              </w:rPr>
              <w:t>, dedicated to ensuring solidarity</w:t>
            </w:r>
            <w:r>
              <w:t xml:space="preserve"> in the event of natural disasters; </w:t>
            </w:r>
            <w:r>
              <w:rPr>
                <w:b/>
                <w:i/>
              </w:rPr>
              <w:t>considers that both special instruments should be able to carry over</w:t>
            </w:r>
            <w:r>
              <w:t xml:space="preserve"> unspent amounts </w:t>
            </w:r>
            <w:r>
              <w:rPr>
                <w:b/>
                <w:i/>
              </w:rPr>
              <w:t>throughout the MFF period, to guarantee flexibility</w:t>
            </w:r>
            <w:r>
              <w:t>;</w:t>
            </w:r>
          </w:p>
        </w:tc>
        <w:tc>
          <w:tcPr>
            <w:tcW w:w="4876" w:type="dxa"/>
            <w:tcBorders>
              <w:top w:val="nil"/>
              <w:left w:val="nil"/>
              <w:bottom w:val="nil"/>
              <w:right w:val="nil"/>
            </w:tcBorders>
          </w:tcPr>
          <w:p>
            <w:pPr>
              <w:pStyle w:val="Normal6a"/>
            </w:pPr>
            <w:r>
              <w:t>25.</w:t>
            </w:r>
            <w:r>
              <w:tab/>
            </w:r>
            <w:r>
              <w:t xml:space="preserve">Restates its view that </w:t>
            </w:r>
            <w:r>
              <w:rPr>
                <w:b/>
                <w:i/>
              </w:rPr>
              <w:t>a</w:t>
            </w:r>
            <w:r>
              <w:t xml:space="preserve"> Solidarity Reserve for Natural Disasters </w:t>
            </w:r>
            <w:r>
              <w:rPr>
                <w:b/>
                <w:i/>
              </w:rPr>
              <w:t>can play a role in supporting Member States</w:t>
            </w:r>
            <w:r>
              <w:t xml:space="preserve"> in the event of </w:t>
            </w:r>
            <w:r>
              <w:rPr>
                <w:b/>
                <w:i/>
              </w:rPr>
              <w:t>major</w:t>
            </w:r>
            <w:r>
              <w:t xml:space="preserve"> natural disasters; </w:t>
            </w:r>
            <w:r>
              <w:rPr>
                <w:b/>
                <w:i/>
              </w:rPr>
              <w:t>stresses that the use of such an instrument must remain strictly needs-based, transparent and time-limited, and that any carry-over of</w:t>
            </w:r>
            <w:r>
              <w:t xml:space="preserve"> unspent amounts </w:t>
            </w:r>
            <w:r>
              <w:rPr>
                <w:b/>
                <w:i/>
              </w:rPr>
              <w:t>should be clearly justified and limited, in order to preserve budgetary discipline and avoid the accumulation of permanent reserves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722</w:t>
      </w:r>
      <w:r>
        <w:rPr>
          <w:rStyle w:val="HideTWBExt"/>
        </w:rPr>
        <w:t>&lt;/NumAm&gt;</w:t>
      </w:r>
    </w:p>
    <w:p>
      <w:pPr>
        <w:pStyle w:val="NormalBold"/>
      </w:pPr>
      <w:r>
        <w:rPr>
          <w:rStyle w:val="HideTWBExt"/>
          <w:b w:val="0"/>
        </w:rPr>
        <w:t>&lt;RepeatBlock-By&gt;</w:t>
      </w:r>
      <w:r>
        <w:rPr>
          <w:rStyle w:val="HideTWBExt"/>
          <w:b w:val="0"/>
        </w:rPr>
        <w:t>&lt;Members&gt;</w:t>
      </w:r>
      <w:r>
        <w:t>Ruggero Razza, Carlo Fidanza, Nicola Procaccini, Francesco Ventola, Francesco Torselli, Denis Nesci, Lara Magoni, Mariateresa Vivaldini, Daniele Polato, Stefano Cavedagna, Sergio Berlato, Carlo Ciccioli, Mario Mantovani, Elena Donazzan, Michele Picaro, Giovanni Crosetto, Alessandro Ciriani, Alberico Gambino, Paolo Inselvini,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 – subparagraph 1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Stresses that the proposed budget allocation of EUR 10.67 billion for the Union civil protection mechanism (UCPM) is insufficient to address the scale and complexity of current and emerging threats, including the increasing frequency and severity of natural and man-made disasters;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723</w:t>
      </w:r>
      <w:r>
        <w:rPr>
          <w:rStyle w:val="HideTWBExt"/>
        </w:rPr>
        <w:t>&lt;/NumAm&gt;</w:t>
      </w:r>
    </w:p>
    <w:p>
      <w:pPr>
        <w:pStyle w:val="NormalBold"/>
      </w:pPr>
      <w:r>
        <w:rPr>
          <w:rStyle w:val="HideTWBExt"/>
          <w:b w:val="0"/>
        </w:rPr>
        <w:t>&lt;RepeatBlock-By&gt;</w:t>
      </w:r>
      <w:r>
        <w:rPr>
          <w:rStyle w:val="HideTWBExt"/>
          <w:b w:val="0"/>
        </w:rPr>
        <w:t>&lt;Members&gt;</w:t>
      </w:r>
      <w:r>
        <w:t>Jean-Marc Germain, Gabriele Bischoff,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a.</w:t>
            </w:r>
            <w:r>
              <w:tab/>
            </w:r>
            <w:r>
              <w:rPr>
                <w:b/>
                <w:i/>
              </w:rPr>
              <w:t>Strongly deplores the discontinuation of the European Globalisation Adjustment Fund for Displaced Workers (EGF) in the Commission’s proposal; recalls the importance of active labour market and social protection measures in reintegrating displaced workers into the labour market following major restructuring events; calls on the Commission to ensure continued dedicated support for workers at risk from or displaced by major restructuring events through a permanent instrument in the 2028-2034 MFF, with a budgetary envelope that is at least double the size of the current one, given the scale and frequency of recent restructuring;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724</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a.</w:t>
            </w:r>
            <w:r>
              <w:tab/>
            </w:r>
            <w:r>
              <w:rPr>
                <w:b/>
                <w:i/>
              </w:rPr>
              <w:t>Proposes that revenues from fines imposed under Council Regulations (EC) No 2022/2065, (EC) No 2022/1925, and (EC) No 2024/1689 be made available as an additional allocation of commitment and payment appropriations to AgoraEU, following the precedent of the programme-specific adjustment established under the 2021–2027 MFF, and taking into account the significant risks and negative effects that digital market dominance poses to culture, media, democracy, and fundamental rights, including job losses, market distortion, and the spread of information manipulation and disinformation;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725</w:t>
      </w:r>
      <w:r>
        <w:rPr>
          <w:rStyle w:val="HideTWBExt"/>
        </w:rPr>
        <w:t>&lt;/NumAm&gt;</w:t>
      </w:r>
    </w:p>
    <w:p>
      <w:pPr>
        <w:pStyle w:val="NormalBold"/>
      </w:pPr>
      <w:r>
        <w:rPr>
          <w:rStyle w:val="HideTWBExt"/>
          <w:b w:val="0"/>
        </w:rPr>
        <w:t>&lt;RepeatBlock-By&gt;</w:t>
      </w:r>
      <w:r>
        <w:rPr>
          <w:rStyle w:val="HideTWBExt"/>
          <w:b w:val="0"/>
        </w:rPr>
        <w:t>&lt;Members&gt;</w:t>
      </w:r>
      <w:r>
        <w:t>Fabienne Keller,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a.</w:t>
            </w:r>
            <w:r>
              <w:tab/>
            </w:r>
            <w:r>
              <w:rPr>
                <w:b/>
                <w:i/>
              </w:rPr>
              <w:t>25a. Proposes that revenues from fines imposed under Council Regulations (EC) No 2022/2065, (EC) No 2022/1925, and (EC) No 2024/1689 be made available as an additional allocation of commitment and payment appropriations to AgoraEU, following the precedent of the programme-specific adjustment established under the 2021–2027 MFF, and taking into account the significant risks and negative effects that digital market dominance poses to culture, media, democracy, and fundamental rights, including job losses, market distortion, and the spread of information manipulation and disinformation.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726</w:t>
      </w:r>
      <w:r>
        <w:rPr>
          <w:rStyle w:val="HideTWBExt"/>
        </w:rPr>
        <w:t>&lt;/NumAm&gt;</w:t>
      </w:r>
    </w:p>
    <w:p>
      <w:pPr>
        <w:pStyle w:val="NormalBold"/>
      </w:pPr>
      <w:r>
        <w:rPr>
          <w:rStyle w:val="HideTWBExt"/>
          <w:b w:val="0"/>
        </w:rPr>
        <w:t>&lt;RepeatBlock-By&gt;</w:t>
      </w:r>
      <w:r>
        <w:rPr>
          <w:rStyle w:val="HideTWBExt"/>
          <w:b w:val="0"/>
        </w:rPr>
        <w:t>&lt;Members&gt;</w:t>
      </w:r>
      <w:r>
        <w:t>Ruggero Razza,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Stresses that the solidarity reserve for natural disasters must provide a rapid, simple, and predictable response;</w:t>
            </w:r>
            <w:r>
              <w:t xml:space="preserve"> </w:t>
            </w:r>
            <w:r>
              <w:rPr>
                <w:b/>
                <w:i/>
              </w:rPr>
              <w:t>calls on the Commission, with a view to preventing overlap and maximising the effectiveness of action on the ground, to set out streamlined deployment procedures and timeframes, providing, where appropriate, pre-financing mechanisms and clear coordination with UCPM+ and rescEU and other relevant instruments;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727</w:t>
      </w:r>
      <w:r>
        <w:rPr>
          <w:rStyle w:val="HideTWBExt"/>
        </w:rPr>
        <w:t>&lt;/NumAm&gt;</w:t>
      </w:r>
    </w:p>
    <w:p>
      <w:pPr>
        <w:pStyle w:val="NormalBold"/>
      </w:pPr>
      <w:r>
        <w:rPr>
          <w:rStyle w:val="HideTWBExt"/>
          <w:b w:val="0"/>
        </w:rPr>
        <w:t>&lt;RepeatBlock-By&gt;</w:t>
      </w:r>
      <w:r>
        <w:rPr>
          <w:rStyle w:val="HideTWBExt"/>
          <w:b w:val="0"/>
        </w:rPr>
        <w:t>&lt;Members&gt;</w:t>
      </w:r>
      <w:r>
        <w:t>Ruggero Razza, Carlo Fidanza, Nicola Procaccini, Francesco Ventola, Francesco Torselli, Denis Nesci, Lara Magoni, Mariateresa Vivaldini, Daniele Polato, Stefano Cavedagna, Sergio Berlato, Carlo Ciccioli, Mario Mantovani, Elena Donazzan, Michele Picaro, Giovanni Crosetto, Alessandro Ciriani, Alberico Gambino, Paolo Inselvini,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25b.</w:t>
            </w:r>
            <w:r>
              <w:tab/>
            </w:r>
            <w:r>
              <w:rPr>
                <w:b/>
                <w:i/>
              </w:rPr>
              <w:t>Notes that aligning EU funding with national preparedness and response plans (NPRPs) for the 2028-2034 programming period makes the Union civil protection mechanism (UCPM) more effective;</w:t>
            </w:r>
            <w:r>
              <w:t xml:space="preserve"> </w:t>
            </w:r>
            <w:r>
              <w:rPr>
                <w:b/>
                <w:i/>
              </w:rPr>
              <w:t>calls for the establishment, with a view to providing sufficient resources to address simultaneous and increasingly complex risks, and within the framework of the UCPM, of a larger and linked financial allocation, through thematic concentration for disaster management based on a multi-risk and cross-sectoral approach and an EU-level risk assessment;</w:t>
            </w:r>
            <w:r>
              <w:t xml:space="preserve"> </w:t>
            </w:r>
            <w:r>
              <w:rPr>
                <w:b/>
                <w:i/>
              </w:rPr>
              <w:t>stresses that thematic concentration in that manner would improve preparedness and Member States' coordination, and increase resilience in the face of multi-faceted crises;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728</w:t>
      </w:r>
      <w:r>
        <w:rPr>
          <w:rStyle w:val="HideTWBExt"/>
        </w:rPr>
        <w:t>&lt;/NumAm&gt;</w:t>
      </w:r>
    </w:p>
    <w:p>
      <w:pPr>
        <w:pStyle w:val="NormalBold"/>
      </w:pPr>
      <w:r>
        <w:rPr>
          <w:rStyle w:val="HideTWBExt"/>
          <w:b w:val="0"/>
        </w:rPr>
        <w:t>&lt;RepeatBlock-By&gt;</w:t>
      </w:r>
      <w:r>
        <w:rPr>
          <w:rStyle w:val="HideTWBExt"/>
          <w:b w:val="0"/>
        </w:rPr>
        <w:t>&lt;Members&gt;</w:t>
      </w:r>
      <w:r>
        <w:t>Jean-Marc Germain, Gabriele Bischoff, Estelle Ceulemans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b.</w:t>
            </w:r>
            <w:r>
              <w:tab/>
            </w:r>
            <w:r>
              <w:rPr>
                <w:b/>
                <w:i/>
              </w:rPr>
              <w:t>Underlines the crucial role played by the European instrument for temporary Support to mitigate Unemployment Risks in an Emergency (SURE) to protect workers and mitigate the severely negative socio-economic impacts of the COVID-19 pandemic; stresses the need to support short-time work schemes building on the positive experience of SURE; calls for a reinforced SURE mechanism, as it believes that supporting such employment-protection measures can stabilise public expenditure dedicated to employment policies and just transition measures to mitigate the immediate impacts on jobs of the necessary transformation of the EU economy, and for a European industrial policy for quality jobs and the reinforcement of the EU’s economic and social resilience;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729</w:t>
      </w:r>
      <w:r>
        <w:rPr>
          <w:rStyle w:val="HideTWBExt"/>
        </w:rPr>
        <w:t>&lt;/NumAm&gt;</w:t>
      </w:r>
    </w:p>
    <w:p>
      <w:pPr>
        <w:pStyle w:val="NormalBold"/>
      </w:pPr>
      <w:r>
        <w:rPr>
          <w:rStyle w:val="HideTWBExt"/>
          <w:b w:val="0"/>
        </w:rPr>
        <w:t>&lt;RepeatBlock-By&gt;</w:t>
      </w:r>
      <w:r>
        <w:rPr>
          <w:rStyle w:val="HideTWBExt"/>
          <w:b w:val="0"/>
        </w:rPr>
        <w:t>&lt;Members&gt;</w:t>
      </w:r>
      <w:r>
        <w:t>Ruggero Razza,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55c.</w:t>
            </w:r>
            <w:r>
              <w:tab/>
            </w:r>
            <w:r>
              <w:rPr>
                <w:b/>
                <w:i/>
              </w:rPr>
              <w:t>Points out the need to provide sufficient, stable, and predictable funding for professional firefighters and healthcare personnel with a view to maintaining operational efficiency and rapid response capacity within the UCPM;</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730</w:t>
      </w:r>
      <w:r>
        <w:rPr>
          <w:rStyle w:val="HideTWBExt"/>
        </w:rPr>
        <w:t>&lt;/NumAm&gt;</w:t>
      </w:r>
    </w:p>
    <w:p>
      <w:pPr>
        <w:pStyle w:val="NormalBold"/>
      </w:pPr>
      <w:r>
        <w:rPr>
          <w:rStyle w:val="HideTWBExt"/>
          <w:b w:val="0"/>
        </w:rPr>
        <w:t>&lt;RepeatBlock-By&gt;</w:t>
      </w:r>
      <w:r>
        <w:rPr>
          <w:rStyle w:val="HideTWBExt"/>
          <w:b w:val="0"/>
        </w:rPr>
        <w:t>&lt;Members&gt;</w:t>
      </w:r>
      <w:r>
        <w:t>Ruggero Razza, Carlo Fidanza, Nicola Procaccini, Francesco Ventola, Francesco Torselli, Denis Nesci, Lara Magoni, Mariateresa Vivaldini, Daniele Polato, Stefano Cavedagna, Sergio Berlato, Carlo Ciccioli, Mario Mantovani, Elena Donazzan, Michele Picaro, Giovanni Crosetto, Alessandro Ciriani, Alberico Gambino, Paolo Inselvini,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25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55d.</w:t>
            </w:r>
            <w:r>
              <w:tab/>
            </w:r>
            <w:r>
              <w:rPr>
                <w:b/>
                <w:i/>
              </w:rPr>
              <w:t>Calls for the UCPM to be bolstered through supplementary funding, paying particular attention to regional needs, including those of outermost regions and regions near armed conflicts;</w:t>
            </w:r>
            <w:r>
              <w:t xml:space="preserve"> </w:t>
            </w:r>
            <w:r>
              <w:rPr>
                <w:b/>
                <w:i/>
              </w:rPr>
              <w:t>stresses that the distribution of funds should integrate the principle of territoriality in a cross-cutting manner, ensuring that geographical, structural, and security-related specificities are duly taken into account;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731</w:t>
      </w:r>
      <w:r>
        <w:rPr>
          <w:rStyle w:val="HideTWBExt"/>
        </w:rPr>
        <w:t>&lt;/NumAm&gt;</w:t>
      </w:r>
    </w:p>
    <w:p>
      <w:pPr>
        <w:pStyle w:val="NormalBold"/>
      </w:pPr>
      <w:r>
        <w:rPr>
          <w:rStyle w:val="HideTWBExt"/>
          <w:b w:val="0"/>
        </w:rPr>
        <w:t>&lt;RepeatBlock-By&gt;</w:t>
      </w:r>
      <w:r>
        <w:rPr>
          <w:rStyle w:val="HideTWBExt"/>
          <w:b w:val="0"/>
        </w:rPr>
        <w:t>&lt;Members&gt;</w:t>
      </w:r>
      <w:r>
        <w:t>Alexander Jungbluth, Stanisław Tyszka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26.</w:t>
            </w:r>
            <w:r>
              <w:tab/>
            </w:r>
            <w:r>
              <w:rPr>
                <w:b/>
                <w:i/>
              </w:rPr>
              <w:t>Notes that the Commission proposes EUR 88 billion for the Ukraine Reserve within the MFF regulation to finance pre-accession assistance, recovery and reconstruction efforts;</w:t>
            </w:r>
            <w:r>
              <w:t xml:space="preserve"> </w:t>
            </w:r>
            <w:r>
              <w:rPr>
                <w:b/>
                <w:i/>
              </w:rPr>
              <w:t>considers that this amount could provide substantial support;</w:t>
            </w:r>
            <w:r>
              <w:t xml:space="preserve"> </w:t>
            </w:r>
            <w:r>
              <w:rPr>
                <w:b/>
                <w:i/>
              </w:rPr>
              <w:t>observes, however, that should the conflict continue, this allocation would be insufficient to meet Ukraine’s needs;</w:t>
            </w:r>
            <w:r>
              <w:t xml:space="preserve"> </w:t>
            </w:r>
            <w:r>
              <w:rPr>
                <w:b/>
                <w:i/>
              </w:rPr>
              <w:t>calls for an increase and frontloading of the Reserve, with a view to providing additional support to Ukraine;</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732</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26.</w:t>
            </w:r>
            <w:r>
              <w:tab/>
            </w:r>
            <w:r>
              <w:rPr>
                <w:b/>
                <w:i/>
              </w:rPr>
              <w:t>Notes that the Commission proposes EUR 88 billion for the Ukraine Reserve within the MFF regulation to finance pre-accession assistance, recovery and reconstruction efforts;</w:t>
            </w:r>
            <w:r>
              <w:t xml:space="preserve"> </w:t>
            </w:r>
            <w:r>
              <w:rPr>
                <w:b/>
                <w:i/>
              </w:rPr>
              <w:t>considers that this amount could provide substantial support;</w:t>
            </w:r>
            <w:r>
              <w:t xml:space="preserve"> </w:t>
            </w:r>
            <w:r>
              <w:rPr>
                <w:b/>
                <w:i/>
              </w:rPr>
              <w:t>observes, however, that should the conflict continue, this allocation would be insufficient to meet Ukraine’s needs;</w:t>
            </w:r>
            <w:r>
              <w:t xml:space="preserve"> </w:t>
            </w:r>
            <w:r>
              <w:rPr>
                <w:b/>
                <w:i/>
              </w:rPr>
              <w:t>calls for an increase and frontloading of the Reserve, with a view to providing additional support to Ukraine;</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733</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26.</w:t>
            </w:r>
            <w:r>
              <w:tab/>
            </w:r>
            <w:r>
              <w:rPr>
                <w:b/>
                <w:i/>
              </w:rPr>
              <w:t>Notes that the Commission proposes EUR 88 billion for the Ukraine Reserve within the MFF regulation to finance pre-accession assistance, recovery and reconstruction efforts;</w:t>
            </w:r>
            <w:r>
              <w:t xml:space="preserve"> </w:t>
            </w:r>
            <w:r>
              <w:rPr>
                <w:b/>
                <w:i/>
              </w:rPr>
              <w:t>considers that this amount could provide substantial support;</w:t>
            </w:r>
            <w:r>
              <w:t xml:space="preserve"> </w:t>
            </w:r>
            <w:r>
              <w:rPr>
                <w:b/>
                <w:i/>
              </w:rPr>
              <w:t>observes, however, that should the conflict continue, this allocation would be insufficient to meet Ukraine’s needs;</w:t>
            </w:r>
            <w:r>
              <w:t xml:space="preserve"> </w:t>
            </w:r>
            <w:r>
              <w:rPr>
                <w:b/>
                <w:i/>
              </w:rPr>
              <w:t>calls for an increase and frontloading of the Reserve, with a view to providing additional support to Ukraine;</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734</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26.</w:t>
            </w:r>
            <w:r>
              <w:tab/>
            </w:r>
            <w:r>
              <w:rPr>
                <w:b/>
                <w:i/>
              </w:rPr>
              <w:t>Notes that the Commission proposes EUR 88 billion for the Ukraine Reserve within the MFF regulation to finance pre-accession assistance, recovery and reconstruction efforts; considers that this amount could provide substantial support; observes, however, that should the conflict continue, this allocation would be insufficient to meet Ukraine’s needs; calls for an increase and frontloading of the Reserve, with a view to providing additional support to Ukraine;</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735</w:t>
      </w:r>
      <w:r>
        <w:rPr>
          <w:rStyle w:val="HideTWBExt"/>
        </w:rPr>
        <w:t>&lt;/NumAm&gt;</w:t>
      </w:r>
    </w:p>
    <w:p>
      <w:pPr>
        <w:pStyle w:val="NormalBold"/>
      </w:pPr>
      <w:r>
        <w:rPr>
          <w:rStyle w:val="HideTWBExt"/>
          <w:b w:val="0"/>
        </w:rPr>
        <w:t>&lt;RepeatBlock-By&gt;</w:t>
      </w:r>
      <w:r>
        <w:rPr>
          <w:rStyle w:val="HideTWBExt"/>
          <w:b w:val="0"/>
        </w:rPr>
        <w:t>&lt;Members&gt;</w:t>
      </w:r>
      <w:r>
        <w:t>Danuše Nerudová, Jan Farský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Notes that the Commission proposes EUR 88 billion for the Ukraine Reserve within the MFF regulation to finance pre-accession assistance, recovery and reconstruction efforts; considers that this amount could provide substantial support; observes, however, that should the conflict continue, this allocation would be insufficient to meet Ukraine’s needs; calls for an increase and frontloading of the Reserve, with a view to providing additional support to Ukraine;</w:t>
            </w:r>
          </w:p>
        </w:tc>
        <w:tc>
          <w:tcPr>
            <w:tcW w:w="4876" w:type="dxa"/>
            <w:tcBorders>
              <w:top w:val="nil"/>
              <w:left w:val="nil"/>
              <w:bottom w:val="nil"/>
              <w:right w:val="nil"/>
            </w:tcBorders>
          </w:tcPr>
          <w:p>
            <w:pPr>
              <w:pStyle w:val="Normal6a"/>
            </w:pPr>
            <w:r>
              <w:t>26.</w:t>
            </w:r>
            <w:r>
              <w:tab/>
            </w:r>
            <w:r>
              <w:t xml:space="preserve">Notes that the Commission proposes EUR 88 billion for the Ukraine Reserve within the MFF regulation to finance pre-accession assistance, recovery and reconstruction efforts; considers that this amount could provide substantial support; observes, however, that should the conflict continue, this allocation would be insufficient to meet Ukraine’s needs; calls for an increase and frontloading of the Reserve, with a view to providing additional support to Ukraine; </w:t>
            </w:r>
            <w:r>
              <w:rPr>
                <w:b/>
                <w:i/>
              </w:rPr>
              <w:t>believes that Hungary, the Czech Republic and Slovakia should participate in all EU budgetary solidarity instruments supporting Ukraine in its fight against the Putin regime, and should not act as free riders when it comes to European budgetary liabilities in this area and the defence of the continent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736</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Notes that the Commission proposes EUR 88 billion for the Ukraine Reserve within the MFF regulation to finance pre-accession assistance, recovery and reconstruction efforts; considers that this amount could provide substantial support; observes, however, that should the conflict continue, this allocation would be insufficient to meet Ukraine’s needs; calls for an increase and frontloading of the Reserve, with a view to providing additional support to Ukraine;</w:t>
            </w:r>
          </w:p>
        </w:tc>
        <w:tc>
          <w:tcPr>
            <w:tcW w:w="4876" w:type="dxa"/>
            <w:tcBorders>
              <w:top w:val="nil"/>
              <w:left w:val="nil"/>
              <w:bottom w:val="nil"/>
              <w:right w:val="nil"/>
            </w:tcBorders>
          </w:tcPr>
          <w:p>
            <w:pPr>
              <w:pStyle w:val="Normal6a"/>
            </w:pPr>
            <w:r>
              <w:t>26.</w:t>
            </w:r>
            <w:r>
              <w:tab/>
            </w:r>
            <w:r>
              <w:t xml:space="preserve">Notes that the Commission proposes EUR 88 billion for the Ukraine Reserve within the MFF regulation to finance pre-accession assistance, recovery and reconstruction efforts; considers that this amount could provide substantial support; </w:t>
            </w:r>
            <w:r>
              <w:rPr>
                <w:b/>
                <w:i/>
              </w:rPr>
              <w:t>welcomes the placing of the Ukraine Reserve over and above the MFF ceiling to cater for Ukraine’s exceptional and unpredictable needs while ensuring that support to Ukraine will not be to the detriment of other partner countries and regions;</w:t>
            </w:r>
            <w:r>
              <w:t xml:space="preserve"> observes, however, that should the conflict continue, this allocation would be insufficient to meet Ukraine’s needs; calls for an increase and frontloading of the Reserve, with a view to providing additional support to Ukraine;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737</w:t>
      </w:r>
      <w:r>
        <w:rPr>
          <w:rStyle w:val="HideTWBExt"/>
        </w:rPr>
        <w:t>&lt;/NumAm&gt;</w:t>
      </w:r>
    </w:p>
    <w:p>
      <w:pPr>
        <w:pStyle w:val="NormalBold"/>
      </w:pPr>
      <w:r>
        <w:rPr>
          <w:rStyle w:val="HideTWBExt"/>
          <w:b w:val="0"/>
        </w:rPr>
        <w:t>&lt;RepeatBlock-By&gt;</w:t>
      </w:r>
      <w:r>
        <w:rPr>
          <w:rStyle w:val="HideTWBExt"/>
          <w:b w:val="0"/>
        </w:rPr>
        <w:t>&lt;Members&gt;</w:t>
      </w:r>
      <w:r>
        <w:t>Fabienne Keller,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Notes that the Commission proposes EUR 88 billion for the Ukraine Reserve within the MFF regulation to finance pre-accession assistance, recovery and reconstruction efforts; considers that this amount could provide substantial support; observes, however, that should the conflict continue, this allocation would be insufficient to meet Ukraine’s needs; calls for an increase and frontloading of the Reserve, with a view to providing additional support to Ukraine;</w:t>
            </w:r>
          </w:p>
        </w:tc>
        <w:tc>
          <w:tcPr>
            <w:tcW w:w="4876" w:type="dxa"/>
            <w:tcBorders>
              <w:top w:val="nil"/>
              <w:left w:val="nil"/>
              <w:bottom w:val="nil"/>
              <w:right w:val="nil"/>
            </w:tcBorders>
          </w:tcPr>
          <w:p>
            <w:pPr>
              <w:pStyle w:val="Normal6a"/>
            </w:pPr>
            <w:r>
              <w:t>26.</w:t>
            </w:r>
            <w:r>
              <w:tab/>
            </w:r>
            <w:r>
              <w:t xml:space="preserve">Notes that the Commission proposes EUR 88 billion for the Ukraine Reserve within the MFF regulation to finance pre-accession assistance, recovery and reconstruction efforts; considers that this amount could provide substantial support; observes, however, that should the conflict continue, this allocation would be insufficient to meet Ukraine’s needs; </w:t>
            </w:r>
            <w:r>
              <w:rPr>
                <w:b/>
                <w:i/>
              </w:rPr>
              <w:t>in addition, deplores the lack of clarity of the financing structure for Ukraine between pre-accession support and support for reconstruction; calls therefore for a change in its nomenclature; moreover,</w:t>
            </w:r>
            <w:r>
              <w:t xml:space="preserve"> calls for an increase and frontloading of the Reserve, with a view to providing additional support to Ukraine;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738</w:t>
      </w:r>
      <w:r>
        <w:rPr>
          <w:rStyle w:val="HideTWBExt"/>
        </w:rPr>
        <w:t>&lt;/NumAm&gt;</w:t>
      </w:r>
    </w:p>
    <w:p>
      <w:pPr>
        <w:pStyle w:val="NormalBold"/>
      </w:pPr>
      <w:r>
        <w:rPr>
          <w:rStyle w:val="HideTWBExt"/>
          <w:b w:val="0"/>
        </w:rPr>
        <w:t>&lt;RepeatBlock-By&gt;</w:t>
      </w:r>
      <w:r>
        <w:rPr>
          <w:rStyle w:val="HideTWBExt"/>
          <w:b w:val="0"/>
        </w:rPr>
        <w:t>&lt;Members&gt;</w:t>
      </w:r>
      <w:r>
        <w:t>Isabelle Le Callenec, 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Notes that the Commission proposes EUR 88 billion for the Ukraine Reserve within the MFF regulation to finance pre-accession assistance, recovery and reconstruction efforts; considers that this amount could provide substantial support; observes, however, that should the conflict continue, this allocation would be insufficient to meet Ukraine’s needs; calls for an increase and frontloading of the Reserve, with a view to providing additional support to Ukraine;</w:t>
            </w:r>
          </w:p>
        </w:tc>
        <w:tc>
          <w:tcPr>
            <w:tcW w:w="4876" w:type="dxa"/>
            <w:tcBorders>
              <w:top w:val="nil"/>
              <w:left w:val="nil"/>
              <w:bottom w:val="nil"/>
              <w:right w:val="nil"/>
            </w:tcBorders>
          </w:tcPr>
          <w:p>
            <w:pPr>
              <w:pStyle w:val="Normal6a"/>
            </w:pPr>
            <w:r>
              <w:t>26.</w:t>
            </w:r>
            <w:r>
              <w:tab/>
            </w:r>
            <w:r>
              <w:t xml:space="preserve">Notes that the Commission proposes EUR 88 billion for the Ukraine Reserve within the MFF regulation to finance pre-accession assistance, recovery and reconstruction efforts; considers that this amount could provide substantial support; </w:t>
            </w:r>
            <w:r>
              <w:rPr>
                <w:b/>
                <w:i/>
              </w:rPr>
              <w:t>encourages the efforts to put an end to the conflict and reach a peace agreement;</w:t>
            </w:r>
            <w:r>
              <w:t xml:space="preserve"> observes, however, that should the conflict continue, this allocation would be insufficient to meet Ukraine’s needs; calls for an increase and frontloading of the Reserve, with a view to providing additional support to Ukraine;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739</w:t>
      </w:r>
      <w:r>
        <w:rPr>
          <w:rStyle w:val="HideTWBExt"/>
        </w:rPr>
        <w:t>&lt;/NumAm&gt;</w:t>
      </w:r>
    </w:p>
    <w:p>
      <w:pPr>
        <w:pStyle w:val="NormalBold"/>
      </w:pPr>
      <w:r>
        <w:rPr>
          <w:rStyle w:val="HideTWBExt"/>
          <w:b w:val="0"/>
        </w:rPr>
        <w:t>&lt;RepeatBlock-By&gt;</w:t>
      </w:r>
      <w:r>
        <w:rPr>
          <w:rStyle w:val="HideTWBExt"/>
          <w:b w:val="0"/>
        </w:rPr>
        <w:t>&lt;Members&gt;</w:t>
      </w:r>
      <w:r>
        <w:t>Joachim Streit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Notes that the Commission proposes EUR 88 billion for the Ukraine Reserve within the MFF regulation to finance pre-accession assistance, recovery and reconstruction efforts; considers that this amount could provide substantial support; </w:t>
            </w:r>
            <w:r>
              <w:rPr>
                <w:b/>
                <w:i/>
              </w:rPr>
              <w:t>observes, however, that should the conflict continue, this allocation would be insufficient to meet Ukraine’s needs; calls for an increase and frontloading of the Reserve, with a view to providing additional</w:t>
            </w:r>
            <w:r>
              <w:t xml:space="preserve"> support </w:t>
            </w:r>
            <w:r>
              <w:rPr>
                <w:b/>
                <w:i/>
              </w:rPr>
              <w:t>to Ukraine</w:t>
            </w:r>
            <w:r>
              <w:t>;</w:t>
            </w:r>
          </w:p>
        </w:tc>
        <w:tc>
          <w:tcPr>
            <w:tcW w:w="4876" w:type="dxa"/>
            <w:tcBorders>
              <w:top w:val="nil"/>
              <w:left w:val="nil"/>
              <w:bottom w:val="nil"/>
              <w:right w:val="nil"/>
            </w:tcBorders>
          </w:tcPr>
          <w:p>
            <w:pPr>
              <w:pStyle w:val="Normal6a"/>
            </w:pPr>
            <w:r>
              <w:t>26.</w:t>
            </w:r>
            <w:r>
              <w:tab/>
            </w:r>
            <w:r>
              <w:t xml:space="preserve">Notes that the Commission proposes EUR 88 billion for the Ukraine Reserve within the MFF regulation to finance pre-accession assistance, recovery and reconstruction efforts; considers that this amount could provide substantial support; </w:t>
            </w:r>
            <w:r>
              <w:rPr>
                <w:b/>
                <w:i/>
              </w:rPr>
              <w:t>stresses that such</w:t>
            </w:r>
            <w:r>
              <w:t xml:space="preserve"> support </w:t>
            </w:r>
            <w:r>
              <w:rPr>
                <w:b/>
                <w:i/>
              </w:rPr>
              <w:t>must be clearly targeted, transparent and subject to strict conditionality and effective oversight, and without creating permanent or open-ended budgetary commitments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740</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Notes that the Commission proposes EUR 88 billion for the Ukraine Reserve within the MFF regulation to finance pre-accession assistance, recovery and reconstruction efforts;</w:t>
            </w:r>
            <w:r>
              <w:t xml:space="preserve"> considers that </w:t>
            </w:r>
            <w:r>
              <w:rPr>
                <w:b/>
                <w:i/>
              </w:rPr>
              <w:t>this amount could provide substantial support;</w:t>
            </w:r>
            <w:r>
              <w:t xml:space="preserve"> </w:t>
            </w:r>
            <w:r>
              <w:rPr>
                <w:b/>
                <w:i/>
              </w:rPr>
              <w:t>observes, however, that</w:t>
            </w:r>
            <w:r>
              <w:t xml:space="preserve"> should </w:t>
            </w:r>
            <w:r>
              <w:rPr>
                <w:b/>
                <w:i/>
              </w:rPr>
              <w:t>the conflict continue, this allocation would be insufficient to meet Ukraine’s needs;</w:t>
            </w:r>
            <w:r>
              <w:t xml:space="preserve"> </w:t>
            </w:r>
            <w:r>
              <w:rPr>
                <w:b/>
                <w:i/>
              </w:rPr>
              <w:t>calls for an increase and frontloading</w:t>
            </w:r>
            <w:r>
              <w:t xml:space="preserve"> of the </w:t>
            </w:r>
            <w:r>
              <w:rPr>
                <w:b/>
                <w:i/>
              </w:rPr>
              <w:t>Reserve, with a view to providing additional support to</w:t>
            </w:r>
            <w:r>
              <w:t xml:space="preserve"> Ukraine;</w:t>
            </w:r>
          </w:p>
        </w:tc>
        <w:tc>
          <w:tcPr>
            <w:tcW w:w="4876" w:type="dxa"/>
            <w:tcBorders>
              <w:top w:val="nil"/>
              <w:left w:val="nil"/>
              <w:bottom w:val="nil"/>
              <w:right w:val="nil"/>
            </w:tcBorders>
          </w:tcPr>
          <w:p>
            <w:pPr>
              <w:pStyle w:val="Normal6a"/>
            </w:pPr>
            <w:r>
              <w:t>26.</w:t>
            </w:r>
            <w:r>
              <w:tab/>
            </w:r>
            <w:r>
              <w:t xml:space="preserve">Considers that </w:t>
            </w:r>
            <w:r>
              <w:rPr>
                <w:b/>
                <w:i/>
              </w:rPr>
              <w:t>the EU budget</w:t>
            </w:r>
            <w:r>
              <w:t xml:space="preserve"> should </w:t>
            </w:r>
            <w:r>
              <w:rPr>
                <w:b/>
                <w:i/>
              </w:rPr>
              <w:t>reflect political decisions designed to defend peace and respect for the principles of international law, creating common security solutions and cooperation among peoples and states;</w:t>
            </w:r>
            <w:r>
              <w:t xml:space="preserve"> </w:t>
            </w:r>
            <w:r>
              <w:rPr>
                <w:b/>
                <w:i/>
              </w:rPr>
              <w:t>rejects the use</w:t>
            </w:r>
            <w:r>
              <w:t xml:space="preserve"> of the </w:t>
            </w:r>
            <w:r>
              <w:rPr>
                <w:b/>
                <w:i/>
              </w:rPr>
              <w:t>EU budget to promote policies of confrontation and war, including the deployment of EU budgetary resources, for instance by way of special instruments, to prolong the war being waged in</w:t>
            </w:r>
            <w:r>
              <w:t xml:space="preserve"> Ukraine;</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741</w:t>
      </w:r>
      <w:r>
        <w:rPr>
          <w:rStyle w:val="HideTWBExt"/>
        </w:rPr>
        <w:t>&lt;/NumAm&gt;</w:t>
      </w:r>
    </w:p>
    <w:p>
      <w:pPr>
        <w:pStyle w:val="NormalBold"/>
      </w:pPr>
      <w:r>
        <w:rPr>
          <w:rStyle w:val="HideTWBExt"/>
          <w:b w:val="0"/>
        </w:rPr>
        <w:t>&lt;RepeatBlock-By&gt;</w:t>
      </w:r>
      <w:r>
        <w:rPr>
          <w:rStyle w:val="HideTWBExt"/>
          <w:b w:val="0"/>
        </w:rPr>
        <w:t>&lt;Members&gt;</w:t>
      </w:r>
      <w:r>
        <w:t>Isabel Benjumea Benjumea, Gabriel Mato, Younous Omarjee, André Rodrigues, Paulo Do Nascimento Cabral, Sérgio Gonçalves, Juan Fernando López Aguilar, Marie-Luce Brasier-Clain, Rody Tolassy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1.</w:t>
            </w:r>
            <w:r>
              <w:rPr>
                <w:b/>
                <w:i/>
              </w:rPr>
              <w:t>Stresses the importance of ensuring the full application of Article 349 of the Treaty on the Functioning of the European Union and of enshrining the Union’s permanent commitment to the outermost regions;</w:t>
            </w:r>
            <w:r>
              <w:rPr>
                <w:b/>
                <w:i/>
              </w:rPr>
              <w:t>calls for the establishment, within the Multiannual Financial Framework 2028–2034, of a dedicated and specific budgetary line for these regions;</w:t>
            </w:r>
            <w:r>
              <w:rPr>
                <w:b/>
                <w:i/>
              </w:rPr>
              <w:t>underlines that this budgetary line must ensure the preservation of the EU acquis applicable to the outermost regions and adequately address their permanent structural constraints;</w:t>
            </w:r>
            <w:r>
              <w:rPr>
                <w:b/>
                <w:i/>
              </w:rPr>
              <w:t>insists that the level of this budgetary allocation shall not be lower than EUR 2 562 000 000 (at 2025 prices).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COMPENSATION FUNDS:</w:t>
            </w:r>
            <w:r>
              <w:rPr>
                <w:b/>
                <w:i/>
              </w:rPr>
              <w:t>specific allocations under the ERDF (Article 14) and the ESF+ (Article 5), EMFAF (Article 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Calls for, under a separate budgetary line outside the National and Regional Partnership Plans, a specific financial allocation to be provided to ensure the continuity of the POSEI programme, under the same conditions as those laid down in Regulation (EU) No 228/2013;</w:t>
            </w:r>
            <w:r>
              <w:t xml:space="preserve"> </w:t>
            </w:r>
            <w:r>
              <w:rPr>
                <w:b/>
                <w:i/>
              </w:rPr>
              <w:t>insists that this allocation shall be set at no less than EUR 9 142 000 000 (at 2025 prices). [2][2] REGULATION (EU) No 228/2013 OF THE EUROPEAN PARLIAMENT AND OF THE COUNCIL of 13 March 2013 laying down specific measures in the agricultural sector for the benefit of the outermost regions of the Union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742</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a.</w:t>
            </w:r>
            <w:r>
              <w:tab/>
            </w:r>
            <w:r>
              <w:rPr>
                <w:b/>
                <w:i/>
              </w:rPr>
              <w:t>Believes that the MFF should also ensure support for Member States not only bordering Ukraine but also significantly affected by the war in Ukraine, whether through humanitarian and migratory consequences; recalls, in this regard, that more than 4 million people displaced from Ukraine currently were granted temporary protection in the Union, with several Member States hosting numbers equivalent to over 2–3 % of their total population, thereby facing sustained pressure on public services, housing, education, healthcare and local budgets, while acknowledging the positive economic impact of Ukrainian workers and employees in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743</w:t>
      </w:r>
      <w:r>
        <w:rPr>
          <w:rStyle w:val="HideTWBExt"/>
        </w:rPr>
        <w:t>&lt;/NumAm&gt;</w:t>
      </w:r>
    </w:p>
    <w:p>
      <w:pPr>
        <w:pStyle w:val="NormalBold"/>
      </w:pPr>
      <w:r>
        <w:rPr>
          <w:rStyle w:val="HideTWBExt"/>
          <w:b w:val="0"/>
        </w:rPr>
        <w:t>&lt;RepeatBlock-By&gt;</w:t>
      </w:r>
      <w:r>
        <w:rPr>
          <w:rStyle w:val="HideTWBExt"/>
          <w:b w:val="0"/>
        </w:rPr>
        <w:t>&lt;Members&gt;</w:t>
      </w:r>
      <w:r>
        <w:t>Emma Fourreau, Younous Omarjee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a.</w:t>
            </w:r>
            <w:r>
              <w:tab/>
            </w:r>
            <w:r>
              <w:rPr>
                <w:b/>
                <w:i/>
              </w:rPr>
              <w:t>Expresses its conviction that the Do Not Significant Harm Principle needs to be operationalised and implemented in a coherent manner to avoid loopholes and ensure that environmentally harmful subsidies are phased out;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744</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rPr>
                <w:b/>
                <w:i/>
              </w:rPr>
              <w:t>Recalls</w:t>
            </w:r>
            <w:r>
              <w:t xml:space="preserve"> that the </w:t>
            </w:r>
            <w:r>
              <w:rPr>
                <w:b/>
                <w:i/>
              </w:rPr>
              <w:t>current MFF has been underfunded, which required an MFF revision in 2024;</w:t>
            </w:r>
            <w:r>
              <w:t xml:space="preserve"> </w:t>
            </w:r>
            <w:r>
              <w:rPr>
                <w:b/>
                <w:i/>
              </w:rPr>
              <w:t>notes that while there is increased</w:t>
            </w:r>
            <w:r>
              <w:t xml:space="preserve"> flexibility </w:t>
            </w:r>
            <w:r>
              <w:rPr>
                <w:b/>
                <w:i/>
              </w:rPr>
              <w:t>in</w:t>
            </w:r>
            <w:r>
              <w:t xml:space="preserve"> the 2028-2034 MFF </w:t>
            </w:r>
            <w:r>
              <w:rPr>
                <w:b/>
                <w:i/>
              </w:rPr>
              <w:t>proposal</w:t>
            </w:r>
            <w:r>
              <w:t xml:space="preserve">, the overall amounts in the </w:t>
            </w:r>
            <w:r>
              <w:rPr>
                <w:b/>
                <w:i/>
              </w:rPr>
              <w:t>Commission proposal are still not sufficient</w:t>
            </w:r>
            <w:r>
              <w:t>;</w:t>
            </w:r>
          </w:p>
        </w:tc>
        <w:tc>
          <w:tcPr>
            <w:tcW w:w="4876" w:type="dxa"/>
            <w:tcBorders>
              <w:top w:val="nil"/>
              <w:left w:val="nil"/>
              <w:bottom w:val="nil"/>
              <w:right w:val="nil"/>
            </w:tcBorders>
          </w:tcPr>
          <w:p>
            <w:pPr>
              <w:pStyle w:val="Normal6a"/>
            </w:pPr>
            <w:r>
              <w:t>27.</w:t>
            </w:r>
            <w:r>
              <w:tab/>
            </w:r>
            <w:r>
              <w:rPr>
                <w:b/>
                <w:i/>
              </w:rPr>
              <w:t>Points out</w:t>
            </w:r>
            <w:r>
              <w:t xml:space="preserve"> that the </w:t>
            </w:r>
            <w:r>
              <w:rPr>
                <w:b/>
                <w:i/>
              </w:rPr>
              <w:t>increase in</w:t>
            </w:r>
            <w:r>
              <w:t xml:space="preserve"> flexibility </w:t>
            </w:r>
            <w:r>
              <w:rPr>
                <w:b/>
                <w:i/>
              </w:rPr>
              <w:t>cannot replace prudent, predictable and transparent budget planning;</w:t>
            </w:r>
            <w:r>
              <w:t xml:space="preserve"> </w:t>
            </w:r>
            <w:r>
              <w:rPr>
                <w:b/>
                <w:i/>
              </w:rPr>
              <w:t>takes the view that the Commission’s proposal for</w:t>
            </w:r>
            <w:r>
              <w:t xml:space="preserve"> the 2028-2034 MFF</w:t>
            </w:r>
            <w:r>
              <w:rPr>
                <w:b/>
                <w:i/>
              </w:rPr>
              <w:t>, far from correcting these structural weaknesses</w:t>
            </w:r>
            <w:r>
              <w:t xml:space="preserve">, </w:t>
            </w:r>
            <w:r>
              <w:rPr>
                <w:b/>
                <w:i/>
              </w:rPr>
              <w:t>is perpetuating an approach based on excessive recourse to flexibility without guaranteeing greater efficiency of spending or enhanced oversight;</w:t>
            </w:r>
            <w:r>
              <w:t xml:space="preserve"> </w:t>
            </w:r>
            <w:r>
              <w:rPr>
                <w:b/>
                <w:i/>
              </w:rPr>
              <w:t>emphasises, lastly, that the response to future challenges must be based on better allocation of existing resources and targeted savings, rather than on an increase in</w:t>
            </w:r>
            <w:r>
              <w:t xml:space="preserve"> the overall amounts in the </w:t>
            </w:r>
            <w:r>
              <w:rPr>
                <w:b/>
                <w:i/>
              </w:rPr>
              <w:t>MFF</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745</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Recalls that the current MFF has been underfunded, which required an MFF revision in 2024; notes that while there is increased flexibility in the 2028-2034 MFF proposal, the overall amounts in the Commission proposal are still not sufficient;</w:t>
            </w:r>
          </w:p>
        </w:tc>
        <w:tc>
          <w:tcPr>
            <w:tcW w:w="4876" w:type="dxa"/>
            <w:tcBorders>
              <w:top w:val="nil"/>
              <w:left w:val="nil"/>
              <w:bottom w:val="nil"/>
              <w:right w:val="nil"/>
            </w:tcBorders>
          </w:tcPr>
          <w:p>
            <w:pPr>
              <w:pStyle w:val="Normal6a"/>
            </w:pPr>
            <w:r>
              <w:t>27.</w:t>
            </w:r>
            <w:r>
              <w:tab/>
            </w:r>
            <w:r>
              <w:t xml:space="preserve">Recalls that the current MFF has been underfunded, which required an MFF revision in 2024; notes that while there is increased flexibility in the 2028-2034 MFF proposal, </w:t>
            </w:r>
            <w:r>
              <w:rPr>
                <w:b/>
                <w:i/>
              </w:rPr>
              <w:t>is however deeply concern about the depletion of flexibility as outlined in the letter from the President of European Commissin letter of the 6th January</w:t>
            </w:r>
            <w:r>
              <w:t xml:space="preserve"> the overall amounts in the Commission proposal are still not sufficient;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746</w:t>
      </w:r>
      <w:r>
        <w:rPr>
          <w:rStyle w:val="HideTWBExt"/>
        </w:rPr>
        <w:t>&lt;/NumAm&gt;</w:t>
      </w:r>
    </w:p>
    <w:p>
      <w:pPr>
        <w:pStyle w:val="NormalBold"/>
      </w:pPr>
      <w:r>
        <w:rPr>
          <w:rStyle w:val="HideTWBExt"/>
          <w:b w:val="0"/>
        </w:rPr>
        <w:t>&lt;RepeatBlock-By&gt;</w:t>
      </w:r>
      <w:r>
        <w:rPr>
          <w:rStyle w:val="HideTWBExt"/>
          <w:b w:val="0"/>
        </w:rPr>
        <w:t>&lt;Members&gt;</w:t>
      </w:r>
      <w:r>
        <w:t>Joachim Streit,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Recalls that the current MFF </w:t>
            </w:r>
            <w:r>
              <w:rPr>
                <w:b/>
                <w:i/>
              </w:rPr>
              <w:t>has been underfunded, which required an MFF revision</w:t>
            </w:r>
            <w:r>
              <w:t xml:space="preserve"> in 2024; notes that while </w:t>
            </w:r>
            <w:r>
              <w:rPr>
                <w:b/>
                <w:i/>
              </w:rPr>
              <w:t>there is</w:t>
            </w:r>
            <w:r>
              <w:t xml:space="preserve"> increased flexibility </w:t>
            </w:r>
            <w:r>
              <w:rPr>
                <w:b/>
                <w:i/>
              </w:rPr>
              <w:t>in the 2028-2034 MFF proposal, the overall amounts in the Commission proposal are still not sufficient</w:t>
            </w:r>
            <w:r>
              <w:t>;</w:t>
            </w:r>
          </w:p>
        </w:tc>
        <w:tc>
          <w:tcPr>
            <w:tcW w:w="4876" w:type="dxa"/>
            <w:tcBorders>
              <w:top w:val="nil"/>
              <w:left w:val="nil"/>
              <w:bottom w:val="nil"/>
              <w:right w:val="nil"/>
            </w:tcBorders>
          </w:tcPr>
          <w:p>
            <w:pPr>
              <w:pStyle w:val="Normal6a"/>
            </w:pPr>
            <w:r>
              <w:t>27.</w:t>
            </w:r>
            <w:r>
              <w:tab/>
            </w:r>
            <w:r>
              <w:t xml:space="preserve">Recalls that the current MFF </w:t>
            </w:r>
            <w:r>
              <w:rPr>
                <w:b/>
                <w:i/>
              </w:rPr>
              <w:t>was revised</w:t>
            </w:r>
            <w:r>
              <w:t xml:space="preserve"> in 2024; notes that while </w:t>
            </w:r>
            <w:r>
              <w:rPr>
                <w:b/>
                <w:i/>
              </w:rPr>
              <w:t>the Commission’s proposal for the 2028–2034 MFF provides for</w:t>
            </w:r>
            <w:r>
              <w:t xml:space="preserve"> increased flexibility</w:t>
            </w:r>
            <w:r>
              <w:rPr>
                <w:b/>
                <w:i/>
              </w:rPr>
              <w:t>, any consideration of additional financial resources must be preceded by clear prioritisation, efficient use of available resources and effective implementation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747</w:t>
      </w:r>
      <w:r>
        <w:rPr>
          <w:rStyle w:val="HideTWBExt"/>
        </w:rPr>
        <w:t>&lt;/NumAm&gt;</w:t>
      </w:r>
    </w:p>
    <w:p>
      <w:pPr>
        <w:pStyle w:val="NormalBold"/>
      </w:pPr>
      <w:r>
        <w:rPr>
          <w:rStyle w:val="HideTWBExt"/>
          <w:b w:val="0"/>
        </w:rPr>
        <w:t>&lt;RepeatBlock-By&gt;</w:t>
      </w:r>
      <w:r>
        <w:rPr>
          <w:rStyle w:val="HideTWBExt"/>
          <w:b w:val="0"/>
        </w:rPr>
        <w:t>&lt;Members&gt;</w:t>
      </w:r>
      <w:r>
        <w:t>Alexander Jungbluth, Stanisław Tyszka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rPr>
                <w:b/>
                <w:i/>
              </w:rPr>
              <w:t>Recalls that the current MFF has been underfunded, which required an MFF revision in 2024;</w:t>
            </w:r>
            <w:r>
              <w:t xml:space="preserve"> notes that </w:t>
            </w:r>
            <w:r>
              <w:rPr>
                <w:b/>
                <w:i/>
              </w:rPr>
              <w:t>while there is increased</w:t>
            </w:r>
            <w:r>
              <w:t xml:space="preserve"> flexibility </w:t>
            </w:r>
            <w:r>
              <w:rPr>
                <w:b/>
                <w:i/>
              </w:rPr>
              <w:t>in</w:t>
            </w:r>
            <w:r>
              <w:t xml:space="preserve"> the 2028-2034 MFF proposal</w:t>
            </w:r>
            <w:r>
              <w:rPr>
                <w:b/>
                <w:i/>
              </w:rPr>
              <w:t>,</w:t>
            </w:r>
            <w:r>
              <w:t xml:space="preserve"> the overall amounts </w:t>
            </w:r>
            <w:r>
              <w:rPr>
                <w:b/>
                <w:i/>
              </w:rPr>
              <w:t>in the Commission proposal are still not sufficient</w:t>
            </w:r>
            <w:r>
              <w:t>;</w:t>
            </w:r>
          </w:p>
        </w:tc>
        <w:tc>
          <w:tcPr>
            <w:tcW w:w="4876" w:type="dxa"/>
            <w:tcBorders>
              <w:top w:val="nil"/>
              <w:left w:val="nil"/>
              <w:bottom w:val="nil"/>
              <w:right w:val="nil"/>
            </w:tcBorders>
          </w:tcPr>
          <w:p>
            <w:pPr>
              <w:pStyle w:val="Normal6a"/>
            </w:pPr>
            <w:r>
              <w:t>27.</w:t>
            </w:r>
            <w:r>
              <w:tab/>
            </w:r>
            <w:r>
              <w:t>Notes that</w:t>
            </w:r>
            <w:r>
              <w:rPr>
                <w:b/>
                <w:i/>
              </w:rPr>
              <w:t>, despite its</w:t>
            </w:r>
            <w:r>
              <w:t xml:space="preserve"> flexibility</w:t>
            </w:r>
            <w:r>
              <w:rPr>
                <w:b/>
                <w:i/>
              </w:rPr>
              <w:t>,</w:t>
            </w:r>
            <w:r>
              <w:t xml:space="preserve"> the 2028-2034 MFF proposal </w:t>
            </w:r>
            <w:r>
              <w:rPr>
                <w:b/>
                <w:i/>
              </w:rPr>
              <w:t>provides for a disproportionate increase in the EU budget and that</w:t>
            </w:r>
            <w:r>
              <w:t xml:space="preserve"> the overall amounts </w:t>
            </w:r>
            <w:r>
              <w:rPr>
                <w:b/>
                <w:i/>
              </w:rPr>
              <w:t>proposed are excessive</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748</w:t>
      </w:r>
      <w:r>
        <w:rPr>
          <w:rStyle w:val="HideTWBExt"/>
        </w:rPr>
        <w:t>&lt;/NumAm&gt;</w:t>
      </w:r>
    </w:p>
    <w:p>
      <w:pPr>
        <w:pStyle w:val="NormalBold"/>
      </w:pPr>
      <w:r>
        <w:rPr>
          <w:rStyle w:val="HideTWBExt"/>
          <w:b w:val="0"/>
        </w:rPr>
        <w:t>&lt;RepeatBlock-By&gt;</w:t>
      </w:r>
      <w:r>
        <w:rPr>
          <w:rStyle w:val="HideTWBExt"/>
          <w:b w:val="0"/>
        </w:rPr>
        <w:t>&lt;Members&gt;</w:t>
      </w:r>
      <w:r>
        <w:t>Fabienne Keller,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Recalls that the current MFF has been underfunded, which required </w:t>
            </w:r>
            <w:r>
              <w:rPr>
                <w:b/>
                <w:i/>
              </w:rPr>
              <w:t>an</w:t>
            </w:r>
            <w:r>
              <w:t xml:space="preserve"> MFF revision in 2024; notes that while there is increased flexibility in the 2028-2034 MFF proposal, the overall amounts in the Commission proposal are still not sufficient;</w:t>
            </w:r>
          </w:p>
        </w:tc>
        <w:tc>
          <w:tcPr>
            <w:tcW w:w="4876" w:type="dxa"/>
            <w:tcBorders>
              <w:top w:val="nil"/>
              <w:left w:val="nil"/>
              <w:bottom w:val="nil"/>
              <w:right w:val="nil"/>
            </w:tcBorders>
          </w:tcPr>
          <w:p>
            <w:pPr>
              <w:pStyle w:val="Normal6a"/>
            </w:pPr>
            <w:r>
              <w:t>27.</w:t>
            </w:r>
            <w:r>
              <w:tab/>
            </w:r>
            <w:r>
              <w:t xml:space="preserve">Recalls that the current MFF has been underfunded </w:t>
            </w:r>
            <w:r>
              <w:rPr>
                <w:b/>
                <w:i/>
              </w:rPr>
              <w:t>and not equipped to face crises and unforeseen events</w:t>
            </w:r>
            <w:r>
              <w:t xml:space="preserve">, which required </w:t>
            </w:r>
            <w:r>
              <w:rPr>
                <w:b/>
                <w:i/>
              </w:rPr>
              <w:t>a significant</w:t>
            </w:r>
            <w:r>
              <w:t xml:space="preserve"> MFF revision in 2024; notes that while there is increased flexibility in the 2028-2034 MFF proposal, the overall amounts in the Commission proposal are still not sufficient;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749</w:t>
      </w:r>
      <w:r>
        <w:rPr>
          <w:rStyle w:val="HideTWBExt"/>
        </w:rPr>
        <w:t>&lt;/NumAm&gt;</w:t>
      </w:r>
    </w:p>
    <w:p>
      <w:pPr>
        <w:pStyle w:val="NormalBold"/>
      </w:pPr>
      <w:r>
        <w:rPr>
          <w:rStyle w:val="HideTWBExt"/>
          <w:b w:val="0"/>
        </w:rPr>
        <w:t>&lt;RepeatBlock-By&gt;</w:t>
      </w:r>
      <w:r>
        <w:rPr>
          <w:rStyle w:val="HideTWBExt"/>
          <w:b w:val="0"/>
        </w:rPr>
        <w:t>&lt;Members&gt;</w:t>
      </w:r>
      <w:r>
        <w:t>Anouk Van Brug, Katri Kulmuni,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Recalls that the current MFF </w:t>
            </w:r>
            <w:r>
              <w:rPr>
                <w:b/>
                <w:i/>
              </w:rPr>
              <w:t>has</w:t>
            </w:r>
            <w:r>
              <w:t xml:space="preserve"> been underfunded, which required an MFF revision in 2024; notes that </w:t>
            </w:r>
            <w:r>
              <w:rPr>
                <w:b/>
                <w:i/>
              </w:rPr>
              <w:t>while</w:t>
            </w:r>
            <w:r>
              <w:t xml:space="preserve"> there is increased flexibility in the 2028-2034 MFF proposal</w:t>
            </w:r>
            <w:r>
              <w:rPr>
                <w:b/>
                <w:i/>
              </w:rPr>
              <w:t>, the overall amounts in the Commission proposal are still not sufficient</w:t>
            </w:r>
            <w:r>
              <w:t>;</w:t>
            </w:r>
          </w:p>
        </w:tc>
        <w:tc>
          <w:tcPr>
            <w:tcW w:w="4876" w:type="dxa"/>
            <w:tcBorders>
              <w:top w:val="nil"/>
              <w:left w:val="nil"/>
              <w:bottom w:val="nil"/>
              <w:right w:val="nil"/>
            </w:tcBorders>
          </w:tcPr>
          <w:p>
            <w:pPr>
              <w:pStyle w:val="Normal6a"/>
            </w:pPr>
            <w:r>
              <w:t>27.</w:t>
            </w:r>
            <w:r>
              <w:tab/>
            </w:r>
            <w:r>
              <w:t xml:space="preserve">Recalls that the </w:t>
            </w:r>
            <w:r>
              <w:rPr>
                <w:b/>
                <w:i/>
              </w:rPr>
              <w:t>certain policy areas within the</w:t>
            </w:r>
            <w:r>
              <w:t xml:space="preserve"> current MFF </w:t>
            </w:r>
            <w:r>
              <w:rPr>
                <w:b/>
                <w:i/>
              </w:rPr>
              <w:t>have</w:t>
            </w:r>
            <w:r>
              <w:t xml:space="preserve"> been underfunded, which required an MFF revision in 2024; notes that </w:t>
            </w:r>
            <w:r>
              <w:rPr>
                <w:b/>
                <w:i/>
              </w:rPr>
              <w:t>therefore</w:t>
            </w:r>
            <w:r>
              <w:t xml:space="preserve"> there is increased flexibility in the 2028-2034 MFF proposal;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750</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Insists that the MFF regulation must require the Commission to present a review of the functioning of the MFF, by July 2031 at the latest, taking full account of the economic situation at that time, as well as the latest macroeconomic projections; is also of the view that such a compulsory review should, as appropriate, be accompanied by a legislative proposal for the revision of this Regulation in accordance with the procedures set out in the TFEU; stresses that any such revision should not reduce pre-allocated national envelopes, as set out in the NRPP Regulation;</w:t>
            </w:r>
          </w:p>
        </w:tc>
        <w:tc>
          <w:tcPr>
            <w:tcW w:w="4876" w:type="dxa"/>
            <w:tcBorders>
              <w:top w:val="nil"/>
              <w:left w:val="nil"/>
              <w:bottom w:val="nil"/>
              <w:right w:val="nil"/>
            </w:tcBorders>
          </w:tcPr>
          <w:p>
            <w:pPr>
              <w:pStyle w:val="Normal6a"/>
            </w:pPr>
            <w:r>
              <w:t>28.</w:t>
            </w:r>
            <w:r>
              <w:tab/>
            </w:r>
            <w:r>
              <w:t xml:space="preserve">Insists that the MFF regulation must require the Commission to present a review of the functioning of the MFF, by July 2031 at the latest, taking full account of the economic situation at that time, as well as the latest macroeconomic projections; is also of the view that such a compulsory review should, as appropriate, be accompanied by a legislative proposal for the revision of this Regulation in accordance with the procedures set out in the TFEU; stresses that any such revision should not reduce pre-allocated national envelopes, as set out in the NRPP Regulation; </w:t>
            </w:r>
            <w:r>
              <w:rPr>
                <w:b/>
                <w:i/>
              </w:rPr>
              <w:t>stresses that, in the case of external action, agreeing a limited number of spending targets and ring-fencing strategic investments such as humanitarian aid is essential for protecting long-term investments in the case of a mid-term revision; emphasises that minimum levels for key priorities, spending targets and clarity on the balance between programmable and non-programmable funding are therefore necessary to ensure transparency, continuity and effective parliamentary scrutiny during any future revision of the MFF;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751</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Insists that the MFF regulation must require the Commission to present a review of the functioning of the MFF, by July 2031 at the latest, taking full account of the economic situation at that time, as well as the latest macroeconomic projections; is also of the view that such a compulsory review should, as appropriate, be accompanied by a legislative proposal for the revision of this Regulation in accordance with the procedures set out in the TFEU; stresses that any such revision should not reduce pre-allocated national envelopes, as set out in the NRPP Regulation;</w:t>
            </w:r>
          </w:p>
        </w:tc>
        <w:tc>
          <w:tcPr>
            <w:tcW w:w="4876" w:type="dxa"/>
            <w:tcBorders>
              <w:top w:val="nil"/>
              <w:left w:val="nil"/>
              <w:bottom w:val="nil"/>
              <w:right w:val="nil"/>
            </w:tcBorders>
          </w:tcPr>
          <w:p>
            <w:pPr>
              <w:pStyle w:val="Normal6a"/>
            </w:pPr>
            <w:r>
              <w:t>28.</w:t>
            </w:r>
            <w:r>
              <w:tab/>
            </w:r>
            <w:r>
              <w:rPr>
                <w:b/>
                <w:i/>
              </w:rPr>
              <w:t>Regrets that the proposed MFF regulation does not include a mid-term review clause;</w:t>
            </w:r>
            <w:r>
              <w:t xml:space="preserve"> insists that the MFF regulation must require the Commission to present a review of the functioning of the MFF, by July 2031 at the latest, taking full account of the economic situation at that time, as well as the latest macroeconomic projections; is also of the view that such a compulsory review should, as appropriate, be accompanied by a legislative proposal for the revision of this Regulation in accordance with the procedures set out in the TFEU; stresses that any such revision should not reduce pre-allocated national envelopes, as set out in the NRPP Regulation; </w:t>
            </w:r>
            <w:r>
              <w:rPr>
                <w:b/>
                <w:i/>
              </w:rPr>
              <w:t>recalls the mandatory mid-term revision clause that was adopted in the 2014-2020 MFF Regulation and regrets that this was omitted in the 2021-2027 period;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752</w:t>
      </w:r>
      <w:r>
        <w:rPr>
          <w:rStyle w:val="HideTWBExt"/>
        </w:rPr>
        <w:t>&lt;/NumAm&gt;</w:t>
      </w:r>
    </w:p>
    <w:p>
      <w:pPr>
        <w:pStyle w:val="NormalBold"/>
      </w:pPr>
      <w:r>
        <w:rPr>
          <w:rStyle w:val="HideTWBExt"/>
          <w:b w:val="0"/>
        </w:rPr>
        <w:t>&lt;RepeatBlock-By&gt;</w:t>
      </w:r>
      <w:r>
        <w:rPr>
          <w:rStyle w:val="HideTWBExt"/>
          <w:b w:val="0"/>
        </w:rPr>
        <w:t>&lt;Members&gt;</w:t>
      </w:r>
      <w:r>
        <w:t>Anouk Van Brug, Katri Kulmuni,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Insists that the MFF regulation must require the Commission to present a review of the functioning of the MFF, by July 2031 at the latest, taking full account of the economic situation at that time, as well as the latest macroeconomic projections; is also of the view that such a compulsory review should, </w:t>
            </w:r>
            <w:r>
              <w:rPr>
                <w:b/>
                <w:i/>
              </w:rPr>
              <w:t>as</w:t>
            </w:r>
            <w:r>
              <w:t xml:space="preserve"> appropriate, be accompanied by a legislative proposal for the revision of this Regulation in accordance with the procedures set out in the TFEU; </w:t>
            </w:r>
            <w:r>
              <w:rPr>
                <w:b/>
                <w:i/>
              </w:rPr>
              <w:t>stresses that any such revision should not reduce pre-allocated national envelopes, as set out in the NRPP Regulation;</w:t>
            </w:r>
          </w:p>
        </w:tc>
        <w:tc>
          <w:tcPr>
            <w:tcW w:w="4876" w:type="dxa"/>
            <w:tcBorders>
              <w:top w:val="nil"/>
              <w:left w:val="nil"/>
              <w:bottom w:val="nil"/>
              <w:right w:val="nil"/>
            </w:tcBorders>
          </w:tcPr>
          <w:p>
            <w:pPr>
              <w:pStyle w:val="Normal6a"/>
            </w:pPr>
            <w:r>
              <w:t>28.</w:t>
            </w:r>
            <w:r>
              <w:tab/>
            </w:r>
            <w:r>
              <w:t xml:space="preserve">Insists that the MFF regulation must require the Commission to present a review of the functioning of the MFF, by July 2031 at the latest, taking full account of the economic situation at that time, as well as the latest macroeconomic projections; is also of the view that such a compulsory review should, </w:t>
            </w:r>
            <w:r>
              <w:rPr>
                <w:b/>
                <w:i/>
              </w:rPr>
              <w:t>if and when</w:t>
            </w:r>
            <w:r>
              <w:t xml:space="preserve"> appropriate, be accompanied by a legislative proposal for the revision of this Regulation in accordance with the procedures set out in the TFEU;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753</w:t>
      </w:r>
      <w:r>
        <w:rPr>
          <w:rStyle w:val="HideTWBExt"/>
        </w:rPr>
        <w:t>&lt;/NumAm&gt;</w:t>
      </w:r>
    </w:p>
    <w:p>
      <w:pPr>
        <w:pStyle w:val="NormalBold"/>
      </w:pPr>
      <w:r>
        <w:rPr>
          <w:rStyle w:val="HideTWBExt"/>
          <w:b w:val="0"/>
        </w:rPr>
        <w:t>&lt;RepeatBlock-By&gt;</w:t>
      </w:r>
      <w:r>
        <w:rPr>
          <w:rStyle w:val="HideTWBExt"/>
          <w:b w:val="0"/>
        </w:rPr>
        <w:t>&lt;Members&gt;</w:t>
      </w:r>
      <w:r>
        <w:t>Jana Nagyová, Klara Dostalova, Ondřej Knotek, Jaroslava Pokorná Jermanová, Jaroslav Bžoch, Jaroslav Knot,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Insists that the MFF regulation must require the Commission to present a review of the functioning of the MFF, by July 2031 at the latest, taking full account of the economic situation at that time, as well as the latest macroeconomic projections; is also of the view that such a compulsory review should, as appropriate, be accompanied by a legislative proposal for the revision of this Regulation in accordance with the procedures set out in the TFEU; stresses that any such revision should not reduce pre-allocated national envelopes, as set out in the NRPP Regulation;</w:t>
            </w:r>
          </w:p>
        </w:tc>
        <w:tc>
          <w:tcPr>
            <w:tcW w:w="4876" w:type="dxa"/>
            <w:tcBorders>
              <w:top w:val="nil"/>
              <w:left w:val="nil"/>
              <w:bottom w:val="nil"/>
              <w:right w:val="nil"/>
            </w:tcBorders>
          </w:tcPr>
          <w:p>
            <w:pPr>
              <w:pStyle w:val="Normal6a"/>
            </w:pPr>
            <w:r>
              <w:t>28.</w:t>
            </w:r>
            <w:r>
              <w:tab/>
            </w:r>
            <w:r>
              <w:t xml:space="preserve">Insists that the MFF regulation must require the Commission to present a review of the functioning of the MFF, by July 2031 at the latest, taking full account of the economic situation at that time, as well as the latest macroeconomic projections; is also of the view that such a compulsory review should, as appropriate, be accompanied by a legislative proposal for the revision of this Regulation in accordance with the procedures set out in the TFEU; stresses that any such revision should not reduce pre-allocated national envelopes, </w:t>
            </w:r>
            <w:r>
              <w:rPr>
                <w:b/>
                <w:i/>
              </w:rPr>
              <w:t>particularly important for balanced EU growth,</w:t>
            </w:r>
            <w:r>
              <w:t xml:space="preserve"> as set out in the NRPP Regulation;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754</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Insists that the MFF regulation must require the Commission to present a review of the functioning of the MFF, by July 2031 at the latest, taking full account of the economic situation at that time, as well as the latest macroeconomic projections; is also of the view that such a compulsory review should, as appropriate, be accompanied by a legislative proposal for the revision of this Regulation in accordance with the procedures set out in the TFEU; stresses that any such revision should not reduce pre-allocated national envelopes, as set out in the NRPP Regulation;</w:t>
            </w:r>
          </w:p>
        </w:tc>
        <w:tc>
          <w:tcPr>
            <w:tcW w:w="4876" w:type="dxa"/>
            <w:tcBorders>
              <w:top w:val="nil"/>
              <w:left w:val="nil"/>
              <w:bottom w:val="nil"/>
              <w:right w:val="nil"/>
            </w:tcBorders>
          </w:tcPr>
          <w:p>
            <w:pPr>
              <w:pStyle w:val="Normal6a"/>
            </w:pPr>
            <w:r>
              <w:t>28.</w:t>
            </w:r>
            <w:r>
              <w:tab/>
            </w:r>
            <w:r>
              <w:t xml:space="preserve">Insists that the MFF regulation must require the Commission to present a review of the functioning of the MFF, by July 2031 at the latest, taking full account of the economic situation at that time, as well as the latest macroeconomic projections </w:t>
            </w:r>
            <w:r>
              <w:rPr>
                <w:b/>
                <w:i/>
              </w:rPr>
              <w:t>and relevant global developments</w:t>
            </w:r>
            <w:r>
              <w:t>; is also of the view that such a compulsory review should, as appropriate, be accompanied by a legislative proposal for the revision of this Regulation in accordance with the procedures set out in the TFEU; stresses that any such revision should not reduce pre-allocated national envelopes, as set out in the NRPP Regulation;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755</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29.</w:t>
            </w:r>
            <w:r>
              <w:tab/>
            </w:r>
            <w:r>
              <w:rPr>
                <w:b/>
                <w:i/>
              </w:rPr>
              <w:t>Recalls that European elections will take place in 2034;</w:t>
            </w:r>
            <w:r>
              <w:t xml:space="preserve"> </w:t>
            </w:r>
            <w:r>
              <w:rPr>
                <w:b/>
                <w:i/>
              </w:rPr>
              <w:t>considers that the date of publication of the proposal for the following MFF Regulation, i.e. 1 July 2033, is significantly later than usual in the MFF life cycle;</w:t>
            </w:r>
            <w:r>
              <w:t xml:space="preserve"> </w:t>
            </w:r>
            <w:r>
              <w:rPr>
                <w:b/>
                <w:i/>
              </w:rPr>
              <w:t>calls for the proposal for the post-2034 MFF to be published by July 2032;</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756</w:t>
      </w:r>
      <w:r>
        <w:rPr>
          <w:rStyle w:val="HideTWBExt"/>
        </w:rPr>
        <w:t>&lt;/NumAm&gt;</w:t>
      </w:r>
    </w:p>
    <w:p>
      <w:pPr>
        <w:pStyle w:val="NormalBold"/>
      </w:pPr>
      <w:r>
        <w:rPr>
          <w:rStyle w:val="HideTWBExt"/>
          <w:b w:val="0"/>
        </w:rPr>
        <w:t>&lt;RepeatBlock-By&gt;</w:t>
      </w:r>
      <w:r>
        <w:rPr>
          <w:rStyle w:val="HideTWBExt"/>
          <w:b w:val="0"/>
        </w:rPr>
        <w:t>&lt;Members&gt;</w:t>
      </w:r>
      <w:r>
        <w:t>Fabienne Keller, Stine Bosse, Lucia Yar, Joachim Streit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Recalls that European elections will take place in 2034; considers that the date of publication of the proposal for the following MFF Regulation, i.e. 1 July 2033, is significantly later than usual in the MFF life cycle; calls for the proposal for the post-2034 MFF to be published by July 2032;</w:t>
            </w:r>
          </w:p>
        </w:tc>
        <w:tc>
          <w:tcPr>
            <w:tcW w:w="4876" w:type="dxa"/>
            <w:tcBorders>
              <w:top w:val="nil"/>
              <w:left w:val="nil"/>
              <w:bottom w:val="nil"/>
              <w:right w:val="nil"/>
            </w:tcBorders>
          </w:tcPr>
          <w:p>
            <w:pPr>
              <w:pStyle w:val="Normal6a"/>
            </w:pPr>
            <w:r>
              <w:t>29.</w:t>
            </w:r>
            <w:r>
              <w:tab/>
            </w:r>
            <w:r>
              <w:t xml:space="preserve">Recalls that European elections will take place in 2034; considers that the date of publication of the proposal for the following MFF Regulation, i.e. 1 July 2033, is significantly later than usual in the MFF life cycle; calls for the proposal for the post-2034 MFF to be published by July 2032 </w:t>
            </w:r>
            <w:r>
              <w:rPr>
                <w:b/>
                <w:i/>
              </w:rPr>
              <w:t>at the latest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757</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Takes note of the Commission’s narrative that its proposals seek to increase flexibility and simplification in the next MFF; recalls that Parliament has consistently argued for simplification for final beneficiaries; acknowledges the need for flexibility but firmly rejects any approach that sacrifices transparency under the guise of efficiency; regrets that the Commission’s simplification proposals primarily benefit its own processes rather than final beneficiaries, thereby exacerbating the democratic deficit in the Union; insists that simplification must not compromise programme quality, or democratic accountability; stresses that Parliament will put forward all the transparency mechanisms necessary to fulfil its role as the guardian of citizens’ interests; warns that flexibility without transparency would widen the democratic accountability gap and undermine public trust in the EU;</w:t>
            </w:r>
          </w:p>
        </w:tc>
        <w:tc>
          <w:tcPr>
            <w:tcW w:w="4876" w:type="dxa"/>
            <w:tcBorders>
              <w:top w:val="nil"/>
              <w:left w:val="nil"/>
              <w:bottom w:val="nil"/>
              <w:right w:val="nil"/>
            </w:tcBorders>
          </w:tcPr>
          <w:p>
            <w:pPr>
              <w:pStyle w:val="Normal6a"/>
            </w:pPr>
            <w:r>
              <w:t>30.</w:t>
            </w:r>
            <w:r>
              <w:tab/>
            </w:r>
            <w:r>
              <w:t xml:space="preserve">Takes note of the Commission’s narrative that its proposals seek to increase flexibility and simplification in the next MFF; recalls that Parliament has consistently argued for simplification for final beneficiaries </w:t>
            </w:r>
            <w:r>
              <w:rPr>
                <w:b/>
                <w:i/>
              </w:rPr>
              <w:t>lowering administrative burden to accessing the EU budget and making spending more efficient</w:t>
            </w:r>
            <w:r>
              <w:t>; acknowledges the need for flexibility but firmly rejects any approach that sacrifices transparency under the guise of efficiency</w:t>
            </w:r>
            <w:r>
              <w:rPr>
                <w:b/>
                <w:i/>
              </w:rPr>
              <w:t>; stresses that the proposed performance framework may lead to additional burdens for managing authorities and final beneficiaries</w:t>
            </w:r>
            <w:r>
              <w:t xml:space="preserve">; regrets that the Commission’s simplification proposals primarily benefit its own processes rather than final beneficiaries, thereby exacerbating the democratic deficit in the Union; insists that simplification must not compromise programme quality, or democratic accountability; stresses that Parliament will put forward all the transparency mechanisms necessary to fulfil its role as the guardian of citizens’ interests; warns that flexibility without transparency would widen the democratic accountability gap and undermine public trust in the EU; </w:t>
            </w:r>
            <w:r>
              <w:rPr>
                <w:b/>
                <w:i/>
              </w:rPr>
              <w:t>insists that simplification must not be used as pretext for undermining the multi-level governance and partnership principles, as taking their proper application into account will increase the effectiveness of EU spending and will be essential for the success of the EU’s MFF;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758</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Takes note of the Commission’s narrative that its proposals seek to increase flexibility and simplification in the next MFF; recalls that Parliament has consistently argued for simplification for final beneficiaries; acknowledges the need for flexibility but firmly rejects any approach that sacrifices transparency under the guise of efficiency; regrets that the Commission’s simplification proposals primarily benefit its own processes rather than final beneficiaries, thereby exacerbating the democratic deficit in the Union; insists that simplification must not compromise programme quality, or democratic accountability; stresses that Parliament will put forward all the transparency mechanisms necessary to fulfil its role as the guardian of citizens’ interests; warns that flexibility without transparency would widen the democratic accountability gap and undermine public trust in the EU;</w:t>
            </w:r>
          </w:p>
        </w:tc>
        <w:tc>
          <w:tcPr>
            <w:tcW w:w="4876" w:type="dxa"/>
            <w:tcBorders>
              <w:top w:val="nil"/>
              <w:left w:val="nil"/>
              <w:bottom w:val="nil"/>
              <w:right w:val="nil"/>
            </w:tcBorders>
          </w:tcPr>
          <w:p>
            <w:pPr>
              <w:pStyle w:val="Normal6a"/>
            </w:pPr>
            <w:r>
              <w:t>30.</w:t>
            </w:r>
            <w:r>
              <w:tab/>
            </w:r>
            <w:r>
              <w:t>Takes note of the Commission’s narrative that its proposals seek to increase flexibility and simplification in the next MFF; recalls that Parliament has consistently argued for simplification for final beneficiaries; acknowledges the need for flexibility but firmly rejects any approach that sacrifices transparency under the guise of efficiency</w:t>
            </w:r>
            <w:r>
              <w:rPr>
                <w:b/>
                <w:i/>
              </w:rPr>
              <w:t>;</w:t>
            </w:r>
            <w:r>
              <w:t xml:space="preserve"> </w:t>
            </w:r>
            <w:r>
              <w:rPr>
                <w:b/>
                <w:i/>
              </w:rPr>
              <w:t>calls for rules for final beneficiaries, especially SMEs, to be considerably simplified in order to reduce disproportionate administrative burdens, risks of double funding and fraud, while ensuring the ex ante and ex post evaluation of modifications, in line with the recommendations of the European Court of Auditors, in particular with regard to reforms and investments included in the NRPPs</w:t>
            </w:r>
            <w:r>
              <w:t>; regrets that the Commission’s simplification proposals primarily benefit its own processes rather than final beneficiaries, thereby exacerbating the democratic deficit in the Union; insists that simplification must not compromise programme quality, or democratic accountability; stresses that Parliament will put forward all the transparency mechanisms necessary to fulfil its role as the guardian of citizens’ interests; warns that flexibility without transparency would widen the democratic accountability gap and undermine public trust in the EU;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759</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Takes note of the Commission’s narrative that its proposals seek to increase flexibility and simplification in the next MFF; recalls that Parliament has consistently argued for simplification for final beneficiaries; acknowledges the need for flexibility but firmly rejects any approach that sacrifices transparency under the guise of efficiency; </w:t>
            </w:r>
            <w:r>
              <w:rPr>
                <w:b/>
                <w:i/>
              </w:rPr>
              <w:t>regrets that the Commission’s simplification proposals primarily benefit its own processes rather than final beneficiaries, thereby exacerbating the democratic deficit in the Union; insists</w:t>
            </w:r>
            <w:r>
              <w:t xml:space="preserve"> that simplification </w:t>
            </w:r>
            <w:r>
              <w:rPr>
                <w:b/>
                <w:i/>
              </w:rPr>
              <w:t>must not compromise programme quality, or democratic accountability; stresses that Parliament will put forward all the transparency mechanisms necessary to fulfil its role as the guardian of citizens’ interests; warns that</w:t>
            </w:r>
            <w:r>
              <w:t xml:space="preserve"> flexibility </w:t>
            </w:r>
            <w:r>
              <w:rPr>
                <w:b/>
                <w:i/>
              </w:rPr>
              <w:t>without transparency would widen the</w:t>
            </w:r>
            <w:r>
              <w:t xml:space="preserve"> democratic </w:t>
            </w:r>
            <w:r>
              <w:rPr>
                <w:b/>
                <w:i/>
              </w:rPr>
              <w:t>accountability gap and undermine public trust in the EU</w:t>
            </w:r>
            <w:r>
              <w:t>;</w:t>
            </w:r>
          </w:p>
        </w:tc>
        <w:tc>
          <w:tcPr>
            <w:tcW w:w="4876" w:type="dxa"/>
            <w:tcBorders>
              <w:top w:val="nil"/>
              <w:left w:val="nil"/>
              <w:bottom w:val="nil"/>
              <w:right w:val="nil"/>
            </w:tcBorders>
          </w:tcPr>
          <w:p>
            <w:pPr>
              <w:pStyle w:val="Normal6a"/>
            </w:pPr>
            <w:r>
              <w:t>30.</w:t>
            </w:r>
            <w:r>
              <w:tab/>
            </w:r>
            <w:r>
              <w:t>Takes note of the Commission’s narrative that its proposals seek to increase flexibility and simplification in the next MFF</w:t>
            </w:r>
            <w:r>
              <w:rPr>
                <w:b/>
                <w:i/>
              </w:rPr>
              <w:t>; acknowledges that flexibility is essential for responding to unforeseen challenges, but it must be anchored in a framework that guarantees accountability, predictability, transparency and policy coherence</w:t>
            </w:r>
            <w:r>
              <w:t xml:space="preserve">; recalls that Parliament has consistently argued for simplification for final beneficiaries; acknowledges the need for flexibility but firmly rejects any approach that sacrifices transparency </w:t>
            </w:r>
            <w:r>
              <w:rPr>
                <w:b/>
                <w:i/>
              </w:rPr>
              <w:t>and democratic oversight</w:t>
            </w:r>
            <w:r>
              <w:t xml:space="preserve"> under the guise of efficiency; </w:t>
            </w:r>
            <w:r>
              <w:rPr>
                <w:b/>
                <w:i/>
              </w:rPr>
              <w:t>observes</w:t>
            </w:r>
            <w:r>
              <w:t xml:space="preserve"> that simplification </w:t>
            </w:r>
            <w:r>
              <w:rPr>
                <w:b/>
                <w:i/>
              </w:rPr>
              <w:t>measures should entail a balance between the need for better accessibility to funds and the protection of the EU budget and should take into due consideration concerns and inputs from institutional and non-institutional stakeholders; reiterates that draft amending budgets and autonomous transfers by the Commission on the lowest level of the nomenclature have provided budgetary</w:t>
            </w:r>
            <w:r>
              <w:t xml:space="preserve"> flexibility </w:t>
            </w:r>
            <w:r>
              <w:rPr>
                <w:b/>
                <w:i/>
              </w:rPr>
              <w:t>in between the annual budgetary procedure; calls for a more granular nomenclature to allow for a meaningful annual budgetary procedure and draft amending budgets; reiterates that the annual budgetary procedure is the core</w:t>
            </w:r>
            <w:r>
              <w:t xml:space="preserve"> democratic </w:t>
            </w:r>
            <w:r>
              <w:rPr>
                <w:b/>
                <w:i/>
              </w:rPr>
              <w:t>mechanism to allocate funds within the Multiannual Financial Framework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760</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Takes note of the Commission’s narrative that its proposals seek to increase flexibility and simplification in the next MFF; recalls that Parliament has consistently argued for simplification for final beneficiaries; acknowledges the need for flexibility but firmly rejects any approach that sacrifices transparency under the guise of efficiency; regrets that the Commission’s simplification proposals primarily benefit its own processes rather than final beneficiaries, thereby exacerbating the democratic deficit in the Union; insists that simplification must not compromise programme quality, or democratic accountability; stresses that Parliament will put forward all the transparency mechanisms necessary to fulfil its role as the guardian of citizens’ interests; warns that flexibility without transparency would widen the democratic accountability gap and undermine public trust in the EU;</w:t>
            </w:r>
          </w:p>
        </w:tc>
        <w:tc>
          <w:tcPr>
            <w:tcW w:w="4876" w:type="dxa"/>
            <w:tcBorders>
              <w:top w:val="nil"/>
              <w:left w:val="nil"/>
              <w:bottom w:val="nil"/>
              <w:right w:val="nil"/>
            </w:tcBorders>
          </w:tcPr>
          <w:p>
            <w:pPr>
              <w:pStyle w:val="Normal6a"/>
            </w:pPr>
            <w:r>
              <w:t>30.</w:t>
            </w:r>
            <w:r>
              <w:tab/>
            </w:r>
            <w:r>
              <w:t xml:space="preserve">Takes note of the Commission’s narrative that its proposals seek to increase flexibility and simplification </w:t>
            </w:r>
            <w:r>
              <w:rPr>
                <w:b/>
                <w:i/>
              </w:rPr>
              <w:t>and deregulation</w:t>
            </w:r>
            <w:r>
              <w:t xml:space="preserve"> in the next MFF; recalls that Parliament has consistently argued for simplification for final beneficiaries </w:t>
            </w:r>
            <w:r>
              <w:rPr>
                <w:b/>
                <w:i/>
              </w:rPr>
              <w:t>and for facilitating access for beneficiaries including SME's to all EU funding and advisory services</w:t>
            </w:r>
            <w:r>
              <w:t xml:space="preserve">; acknowledges the need for flexibility but firmly rejects any approach that sacrifices transparency under the guise of efficiency; regrets that the Commission’s simplification proposals primarily benefit its own processes rather than final beneficiaries, thereby exacerbating the democratic deficit in the Union; insists that simplification </w:t>
            </w:r>
            <w:r>
              <w:rPr>
                <w:b/>
                <w:i/>
              </w:rPr>
              <w:t>including deregulation</w:t>
            </w:r>
            <w:r>
              <w:t xml:space="preserve"> must not compromise programme quality, or democratic accountability; stresses that Parliament will put forward all the transparency mechanisms necessary to fulfil its role as the guardian of citizens’ interests; warns that flexibility without transparency would widen the democratic accountability gap and undermine public trust in the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761</w:t>
      </w:r>
      <w:r>
        <w:rPr>
          <w:rStyle w:val="HideTWBExt"/>
        </w:rPr>
        <w:t>&lt;/NumAm&gt;</w:t>
      </w:r>
    </w:p>
    <w:p>
      <w:pPr>
        <w:pStyle w:val="NormalBold"/>
      </w:pPr>
      <w:r>
        <w:rPr>
          <w:rStyle w:val="HideTWBExt"/>
          <w:b w:val="0"/>
        </w:rPr>
        <w:t>&lt;RepeatBlock-By&gt;</w:t>
      </w:r>
      <w:r>
        <w:rPr>
          <w:rStyle w:val="HideTWBExt"/>
          <w:b w:val="0"/>
        </w:rPr>
        <w:t>&lt;Members&gt;</w:t>
      </w:r>
      <w:r>
        <w:t>Jana Nagyová, Klara Dostalova, Ondřej Knotek, Jaroslava Pokorná Jermanová, Jaroslav Bžoch, Jaroslav Knot,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Takes note of the Commission’s narrative that its proposals seek to increase flexibility and simplification in the next MFF; recalls that Parliament has consistently argued for simplification for final beneficiaries; acknowledges the need for flexibility but firmly rejects any approach that sacrifices transparency under the guise of efficiency; regrets that the Commission’s simplification proposals primarily benefit its own processes rather than final beneficiaries, thereby exacerbating the democratic deficit in the Union; insists that simplification must not compromise programme quality, or democratic accountability; stresses that Parliament will put forward all the transparency mechanisms necessary to fulfil its role as the guardian of citizens’ interests; warns that flexibility without transparency would widen the democratic accountability gap and undermine public trust in the EU;</w:t>
            </w:r>
          </w:p>
        </w:tc>
        <w:tc>
          <w:tcPr>
            <w:tcW w:w="4876" w:type="dxa"/>
            <w:tcBorders>
              <w:top w:val="nil"/>
              <w:left w:val="nil"/>
              <w:bottom w:val="nil"/>
              <w:right w:val="nil"/>
            </w:tcBorders>
          </w:tcPr>
          <w:p>
            <w:pPr>
              <w:pStyle w:val="Normal6a"/>
            </w:pPr>
            <w:r>
              <w:t>30.</w:t>
            </w:r>
            <w:r>
              <w:tab/>
            </w:r>
            <w:r>
              <w:t xml:space="preserve">Takes note of the Commission’s narrative that its proposals seek to increase flexibility and simplification in the next MFF; recalls that Parliament has consistently argued for simplification for final beneficiaries; acknowledges the need for flexibility but firmly rejects any approach that sacrifices transparency under the guise of efficiency; regrets that the Commission’s simplification proposals primarily benefit its own processes rather than final beneficiaries, thereby exacerbating the democratic deficit in the Union; insists that simplification must not compromise programme quality, or democratic accountability; </w:t>
            </w:r>
            <w:r>
              <w:rPr>
                <w:b/>
                <w:i/>
              </w:rPr>
              <w:t>notes that vague general frameworks risk compliance disputes, eroding predictability and trust in implementation;</w:t>
            </w:r>
            <w:r>
              <w:t xml:space="preserve"> stresses that Parliament will put forward all the transparency mechanisms necessary to fulfil its role as the guardian of citizens’ interests; warns that flexibility without transparency would widen the democratic accountability gap and undermine public trust in the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762</w:t>
      </w:r>
      <w:r>
        <w:rPr>
          <w:rStyle w:val="HideTWBExt"/>
        </w:rPr>
        <w:t>&lt;/NumAm&gt;</w:t>
      </w:r>
    </w:p>
    <w:p>
      <w:pPr>
        <w:pStyle w:val="NormalBold"/>
      </w:pPr>
      <w:r>
        <w:rPr>
          <w:rStyle w:val="HideTWBExt"/>
          <w:b w:val="0"/>
        </w:rPr>
        <w:t>&lt;RepeatBlock-By&gt;</w:t>
      </w:r>
      <w:r>
        <w:rPr>
          <w:rStyle w:val="HideTWBExt"/>
          <w:b w:val="0"/>
        </w:rPr>
        <w:t>&lt;Members&gt;</w:t>
      </w:r>
      <w:r>
        <w:t>Fabienne Keller,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Takes note of the Commission’s narrative that its proposals seek to increase flexibility and simplification in the next MFF; recalls that Parliament has consistently argued for simplification for final beneficiaries; acknowledges the need for flexibility but firmly rejects any approach that sacrifices transparency under the guise of efficiency; regrets that the Commission’s simplification proposals primarily benefit its own processes rather than final beneficiaries, thereby exacerbating the democratic deficit in the Union; insists that simplification must not compromise programme quality, or democratic accountability; stresses that Parliament will put forward all the transparency mechanisms necessary to fulfil its role as the guardian of citizens’ interests; warns that flexibility without transparency would widen the democratic accountability gap and undermine public trust in the EU;</w:t>
            </w:r>
          </w:p>
        </w:tc>
        <w:tc>
          <w:tcPr>
            <w:tcW w:w="4876" w:type="dxa"/>
            <w:tcBorders>
              <w:top w:val="nil"/>
              <w:left w:val="nil"/>
              <w:bottom w:val="nil"/>
              <w:right w:val="nil"/>
            </w:tcBorders>
          </w:tcPr>
          <w:p>
            <w:pPr>
              <w:pStyle w:val="Normal6a"/>
            </w:pPr>
            <w:r>
              <w:t>30.</w:t>
            </w:r>
            <w:r>
              <w:tab/>
            </w:r>
            <w:r>
              <w:t xml:space="preserve">Takes note of the Commission’s narrative that its proposals seek to increase flexibility and simplification in the next MFF; recalls that Parliament has consistently argued for simplification for final beneficiaries; acknowledges the need for flexibility but firmly rejects any approach that sacrifices transparency under the guise of efficiency; regrets that the Commission’s simplification proposals primarily benefit its own processes rather than final beneficiaries, thereby exacerbating the democratic deficit in the Union; insists that simplification must not compromise programme quality, or democratic accountability; stresses that Parliament will put forward all the transparency mechanisms necessary to fulfil its role as the guardian of citizens’ interests; warns that flexibility without transparency would </w:t>
            </w:r>
            <w:r>
              <w:rPr>
                <w:b/>
                <w:i/>
              </w:rPr>
              <w:t>not only</w:t>
            </w:r>
            <w:r>
              <w:t xml:space="preserve"> widen the democratic accountability gap and undermine public trust in the EU </w:t>
            </w:r>
            <w:r>
              <w:rPr>
                <w:b/>
                <w:i/>
              </w:rPr>
              <w:t>but also cause an important lack of predictability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763</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Takes note of the Commission’s narrative that its proposals seek to increase flexibility and simplification in the next MFF; recalls that Parliament has consistently argued for simplification for final beneficiaries; acknowledges the need for flexibility but firmly rejects any approach that sacrifices transparency under the guise of efficiency; regrets that the Commission’s simplification proposals primarily benefit its own processes rather than final beneficiaries, thereby exacerbating the democratic deficit in the Union; insists that simplification must not compromise programme quality, or democratic accountability; stresses that Parliament will put forward all the transparency mechanisms necessary to fulfil its role as the guardian of citizens’ interests; warns that flexibility without transparency would widen the democratic accountability gap and undermine public trust in the EU;</w:t>
            </w:r>
          </w:p>
        </w:tc>
        <w:tc>
          <w:tcPr>
            <w:tcW w:w="4876" w:type="dxa"/>
            <w:tcBorders>
              <w:top w:val="nil"/>
              <w:left w:val="nil"/>
              <w:bottom w:val="nil"/>
              <w:right w:val="nil"/>
            </w:tcBorders>
          </w:tcPr>
          <w:p>
            <w:pPr>
              <w:pStyle w:val="Normal6a"/>
            </w:pPr>
            <w:r>
              <w:t>30.</w:t>
            </w:r>
            <w:r>
              <w:tab/>
            </w:r>
            <w:r>
              <w:t>Takes note of the Commission’s narrative that its proposals seek to increase flexibility and simplification in the next MFF; recalls that Parliament has consistently argued for simplification for final beneficiaries</w:t>
            </w:r>
            <w:r>
              <w:rPr>
                <w:b/>
                <w:i/>
              </w:rPr>
              <w:t>, in particular for SMEs</w:t>
            </w:r>
            <w:r>
              <w:t>; acknowledges the need for flexibility but firmly rejects any approach that sacrifices transparency under the guise of efficiency; regrets that the Commission’s simplification proposals primarily benefit its own processes rather than final beneficiaries, thereby exacerbating the democratic deficit in the Union; insists that simplification must not compromise programme quality, or democratic accountability; stresses that Parliament will put forward all the transparency mechanisms necessary to fulfil its role as the guardian of citizens’ interests; warns that flexibility without transparency would widen the democratic accountability gap and undermine public trust in the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764</w:t>
      </w:r>
      <w:r>
        <w:rPr>
          <w:rStyle w:val="HideTWBExt"/>
        </w:rPr>
        <w:t>&lt;/NumAm&gt;</w:t>
      </w:r>
    </w:p>
    <w:p>
      <w:pPr>
        <w:pStyle w:val="NormalBold"/>
      </w:pPr>
      <w:r>
        <w:rPr>
          <w:rStyle w:val="HideTWBExt"/>
          <w:b w:val="0"/>
        </w:rPr>
        <w:t>&lt;RepeatBlock-By&gt;</w:t>
      </w:r>
      <w:r>
        <w:rPr>
          <w:rStyle w:val="HideTWBExt"/>
          <w:b w:val="0"/>
        </w:rPr>
        <w:t>&lt;Members&gt;</w:t>
      </w:r>
      <w:r>
        <w:t>Céline Imart, Isabelle Le Callennec, Christophe Gomart, Nadine Morano,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Emphasises that the budgetary nomenclature is not granular enough, and that this, combined with increased use of flexibility mechanisms, is likely to result in substantial reallocations of appropriations at the budget implementation stage, to the detriment of the clarity, traceability and democratic scrutiny of European public spending, without due regard for the budgetary prerogatives of the European Parliament and the Council as laid down in the Treaties;</w:t>
            </w:r>
            <w:r>
              <w:t xml:space="preserve"> </w:t>
            </w:r>
            <w:r>
              <w:rPr>
                <w:b/>
                <w:i/>
              </w:rPr>
              <w:t>takes the view that the use of NRPPs must not render the EU’s long-standing and structural sector-specific policies any less clear, comparable or effective;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765</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 a.</w:t>
            </w:r>
            <w:r>
              <w:tab/>
            </w:r>
            <w:r>
              <w:rPr>
                <w:b/>
                <w:i/>
              </w:rPr>
              <w:t>Insists that simplification must not compromise programme quality, predictability or democratic accountability neither the proper involvement of relevant actors, in particular local and regional authorities, social partners and civil sociery; stresses that Parliament will put forward all the oversight and transparency mechanisms necessary to fulfil its role as the guardian of citizens’ interests; warns that flexibility without proper involvement of the Budgetary Authority in decision making and transparency would widen the democratic accountability gap and undermine public trust in the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766</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Rejects the introduction of the ‘payment for reform’ principle, which makes the disbursement of funds conditional on meeting reforms and policies imposed by the European Commission;</w:t>
            </w:r>
            <w:r>
              <w:t xml:space="preserve"> </w:t>
            </w:r>
            <w:r>
              <w:rPr>
                <w:b/>
                <w:i/>
              </w:rPr>
              <w:t>rejects, moreover, the link between imposing reforms, targets and milestones and economic governance instruments, including country-specific recommendations issued as part of the European Semester;</w:t>
            </w:r>
            <w:r>
              <w:t xml:space="preserve"> </w:t>
            </w:r>
            <w:r>
              <w:rPr>
                <w:b/>
                <w:i/>
              </w:rPr>
              <w:t>calls, instead, for MFF funds to be used to address each country’s sovereign development needs;</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767</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 a.</w:t>
            </w:r>
            <w:r>
              <w:tab/>
            </w:r>
            <w:r>
              <w:rPr>
                <w:b/>
                <w:i/>
              </w:rPr>
              <w:t>Believes that the current proposals of the MFF package could lead to the “re-nationalisation” of EU policies, due to a lack of a horizontal approach and increased flexibility for the Member States in implementing the Union budget based on a national approach; calls on ensuring the budget remains an investment budget which maintains a focus on EU added value and ensures a strong horizontal approach;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768</w:t>
      </w:r>
      <w:r>
        <w:rPr>
          <w:rStyle w:val="HideTWBExt"/>
        </w:rPr>
        <w:t>&lt;/NumAm&gt;</w:t>
      </w:r>
    </w:p>
    <w:p>
      <w:pPr>
        <w:pStyle w:val="NormalBold"/>
      </w:pPr>
      <w:r>
        <w:rPr>
          <w:rStyle w:val="HideTWBExt"/>
          <w:b w:val="0"/>
        </w:rPr>
        <w:t>&lt;RepeatBlock-By&gt;</w:t>
      </w:r>
      <w:r>
        <w:rPr>
          <w:rStyle w:val="HideTWBExt"/>
          <w:b w:val="0"/>
        </w:rPr>
        <w:t>&lt;Members&gt;</w:t>
      </w:r>
      <w:r>
        <w:t>Fabienne Keller, Stine Bosse, Lucia Yar, Joachim Streit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 a.</w:t>
            </w:r>
            <w:r>
              <w:tab/>
            </w:r>
            <w:r>
              <w:rPr>
                <w:b/>
                <w:i/>
              </w:rPr>
              <w:t>Insists that simplification must primarily reduce administrative burden for final beneficiaries, apply proportionality in controls, and widen access for SMEs, small farmers and smaller applicants, without undermining accountability;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769</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30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 b.</w:t>
            </w:r>
            <w:r>
              <w:tab/>
            </w:r>
            <w:r>
              <w:rPr>
                <w:b/>
                <w:i/>
              </w:rPr>
              <w:t>Underlines that the widespread use of flexibility and performance-based instruments in the next MFF must be accompanied by strengthened multilevel governance; considers that the meaningful involvement of local and regional authorities in the design, implementation and monitoring of Union-funded actions is essential to counterbalance Commission-centric implementation, reduce the democratic accountability gap and ensure that spending responds to real territorial needs;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770</w:t>
      </w:r>
      <w:r>
        <w:rPr>
          <w:rStyle w:val="HideTWBExt"/>
        </w:rPr>
        <w:t>&lt;/NumAm&gt;</w:t>
      </w:r>
    </w:p>
    <w:p>
      <w:pPr>
        <w:pStyle w:val="NormalBold"/>
      </w:pPr>
      <w:r>
        <w:rPr>
          <w:rStyle w:val="HideTWBExt"/>
          <w:b w:val="0"/>
        </w:rPr>
        <w:t>&lt;RepeatBlock-By&gt;</w:t>
      </w:r>
      <w:r>
        <w:rPr>
          <w:rStyle w:val="HideTWBExt"/>
          <w:b w:val="0"/>
        </w:rPr>
        <w:t>&lt;Members&gt;</w:t>
      </w:r>
      <w:r>
        <w:t>Céline Imart, Isabelle Le Callennec, Christophe Gomart, Nadine Morano,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30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30b.</w:t>
            </w:r>
            <w:r>
              <w:tab/>
            </w:r>
            <w:r>
              <w:rPr>
                <w:b/>
                <w:i/>
              </w:rPr>
              <w:t>Points out that the EU’s competitiveness compass means that EU funding must be fully consistent with the EU’s economic and industrial interests and must not be of benefit, directly or indirectly, to entities, organisations or activities that undermine Europe’s competitiveness, resilience or strategic sectors;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771</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Notes with concern that the MFF proposals include widespread use of financing not linked to costs for a substantial portion of the instruments under the next MFF; </w:t>
            </w:r>
            <w:r>
              <w:rPr>
                <w:b/>
                <w:i/>
              </w:rPr>
              <w:t>draws attention to the fact that without adequate safeguards to ensure sound financial management in the implementation of Union funding or clear steps to address the shortcomings identified in previous or existing</w:t>
            </w:r>
            <w:r>
              <w:t xml:space="preserve"> performance-based instruments</w:t>
            </w:r>
            <w:r>
              <w:rPr>
                <w:b/>
                <w:i/>
              </w:rPr>
              <w:t>, this approach entails substantial risks</w:t>
            </w:r>
            <w:r>
              <w:t xml:space="preserve">; considers that any possible increase in efficiencies cannot come at the expense of the protection of the financial interests of the Union; </w:t>
            </w:r>
            <w:r>
              <w:rPr>
                <w:b/>
                <w:i/>
              </w:rPr>
              <w:t>calls for appropriate oversight</w:t>
            </w:r>
            <w:r>
              <w:t xml:space="preserve"> and accountability </w:t>
            </w:r>
            <w:r>
              <w:rPr>
                <w:b/>
                <w:i/>
              </w:rPr>
              <w:t>mechanisms to be established in all relevant legal acts</w:t>
            </w:r>
            <w:r>
              <w:t>;</w:t>
            </w:r>
          </w:p>
        </w:tc>
        <w:tc>
          <w:tcPr>
            <w:tcW w:w="4876" w:type="dxa"/>
            <w:tcBorders>
              <w:top w:val="nil"/>
              <w:left w:val="nil"/>
              <w:bottom w:val="nil"/>
              <w:right w:val="nil"/>
            </w:tcBorders>
          </w:tcPr>
          <w:p>
            <w:pPr>
              <w:pStyle w:val="Normal6a"/>
            </w:pPr>
            <w:r>
              <w:t>31.</w:t>
            </w:r>
            <w:r>
              <w:tab/>
            </w:r>
            <w:r>
              <w:t xml:space="preserve">Notes with concern that the MFF proposals include widespread use of financing not linked to costs for a substantial portion of the instruments under the next MFF; </w:t>
            </w:r>
            <w:r>
              <w:rPr>
                <w:b/>
                <w:i/>
              </w:rPr>
              <w:t>believes that the FNLC model for</w:t>
            </w:r>
            <w:r>
              <w:t xml:space="preserve"> performance-based instruments </w:t>
            </w:r>
            <w:r>
              <w:rPr>
                <w:b/>
                <w:i/>
              </w:rPr>
              <w:t>should not be used as a generalised method of implementation or reimbursement between the Member States and beneficiaries, except for smaller beneficiaries implementing projects under certain financial thresholds</w:t>
            </w:r>
            <w:r>
              <w:t xml:space="preserve">; considers that any possible increase in efficiencies cannot come at the expense of the protection of the financial interests of the Union; </w:t>
            </w:r>
            <w:r>
              <w:rPr>
                <w:b/>
                <w:i/>
              </w:rPr>
              <w:t>underlines in particular that large-scale and complex projects should remain cost-based, as their scope, duration and multi-level financing require detailed financial reporting and verifiable expenditure data to ensure proper monitoring</w:t>
            </w:r>
            <w:r>
              <w:t xml:space="preserve"> and accountability</w:t>
            </w:r>
            <w:r>
              <w:rPr>
                <w:b/>
                <w:i/>
              </w:rPr>
              <w:t>; calls for the continued and expanded use of lump sums and simplified cost options, in particular for smaller or medium-scale investments, as effective and proportionate tools to reduce administrative burdens, increase accessibility for smaller beneficiaries, and maintain accountability and traceability in the use of Union funds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772</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Notes with concern that the MFF proposals include widespread use of financing not linked to costs for a substantial portion of the instruments under the next MFF; draws attention to the fact that without adequate safeguards to ensure sound financial management in the implementation of Union funding or clear steps to address the shortcomings identified in previous or existing </w:t>
            </w:r>
            <w:r>
              <w:rPr>
                <w:b/>
                <w:i/>
              </w:rPr>
              <w:t>performance-based</w:t>
            </w:r>
            <w:r>
              <w:t xml:space="preserve"> instruments, this approach entails substantial risks; </w:t>
            </w:r>
            <w:r>
              <w:rPr>
                <w:b/>
                <w:i/>
              </w:rPr>
              <w:t>considers</w:t>
            </w:r>
            <w:r>
              <w:t xml:space="preserve"> that any possible increase in efficiencies cannot come at the expense of the protection of the financial interests of the Union; calls for appropriate oversight and accountability mechanisms to be established in all relevant legal acts;</w:t>
            </w:r>
          </w:p>
        </w:tc>
        <w:tc>
          <w:tcPr>
            <w:tcW w:w="4876" w:type="dxa"/>
            <w:tcBorders>
              <w:top w:val="nil"/>
              <w:left w:val="nil"/>
              <w:bottom w:val="nil"/>
              <w:right w:val="nil"/>
            </w:tcBorders>
          </w:tcPr>
          <w:p>
            <w:pPr>
              <w:pStyle w:val="Normal6a"/>
            </w:pPr>
            <w:r>
              <w:t>31.</w:t>
            </w:r>
            <w:r>
              <w:tab/>
            </w:r>
            <w:r>
              <w:t xml:space="preserve">Notes with concern that the MFF proposals include widespread use of financing not linked to costs for a substantial portion of the instruments under the next MFF; draws attention to the fact that without adequate safeguards to ensure sound financial management in the implementation of Union funding or clear steps to address the shortcomings identified in previous or existing instruments, this approach entails substantial risks; </w:t>
            </w:r>
            <w:r>
              <w:rPr>
                <w:b/>
                <w:i/>
              </w:rPr>
              <w:t>underlines that a solution needs to be found to address the divergences of cost-estimates connected to milestones and targets and the real costs of a project needs to be found; insists</w:t>
            </w:r>
            <w:r>
              <w:t xml:space="preserve"> that any possible increase in efficiencies </w:t>
            </w:r>
            <w:r>
              <w:rPr>
                <w:b/>
                <w:i/>
              </w:rPr>
              <w:t>and or simplification</w:t>
            </w:r>
            <w:r>
              <w:t xml:space="preserve"> cannot come at the expense of the protection of the financial interests of the Union; calls for appropriate oversight and accountability </w:t>
            </w:r>
            <w:r>
              <w:rPr>
                <w:b/>
                <w:i/>
              </w:rPr>
              <w:t>and audit</w:t>
            </w:r>
            <w:r>
              <w:t xml:space="preserve"> mechanisms to be established in all relevant legal acts;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773</w:t>
      </w:r>
      <w:r>
        <w:rPr>
          <w:rStyle w:val="HideTWBExt"/>
        </w:rPr>
        <w:t>&lt;/NumAm&gt;</w:t>
      </w:r>
    </w:p>
    <w:p>
      <w:pPr>
        <w:pStyle w:val="NormalBold"/>
      </w:pPr>
      <w:r>
        <w:rPr>
          <w:rStyle w:val="HideTWBExt"/>
          <w:b w:val="0"/>
        </w:rPr>
        <w:t>&lt;RepeatBlock-By&gt;</w:t>
      </w:r>
      <w:r>
        <w:rPr>
          <w:rStyle w:val="HideTWBExt"/>
          <w:b w:val="0"/>
        </w:rPr>
        <w:t>&lt;Members&gt;</w:t>
      </w:r>
      <w:r>
        <w:t>Jens Geier, 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rPr>
                <w:b/>
                <w:i/>
              </w:rPr>
              <w:t>Notes with</w:t>
            </w:r>
            <w:r>
              <w:t xml:space="preserve"> concern </w:t>
            </w:r>
            <w:r>
              <w:rPr>
                <w:b/>
                <w:i/>
              </w:rPr>
              <w:t>that the MFF proposals include</w:t>
            </w:r>
            <w:r>
              <w:t xml:space="preserve"> widespread use of financing not linked to costs for a substantial portion of the instruments under the next MFF; draws attention to the fact that without adequate safeguards to ensure sound financial management in the implementation of Union funding or clear steps to address the shortcomings identified in previous or existing performance-based instruments, this approach entails substantial risks; considers that any possible increase in efficiencies cannot come at the expense of the protection of the financial interests of the Union; calls for appropriate oversight and accountability mechanisms to be established in all relevant legal acts;</w:t>
            </w:r>
          </w:p>
        </w:tc>
        <w:tc>
          <w:tcPr>
            <w:tcW w:w="4876" w:type="dxa"/>
            <w:tcBorders>
              <w:top w:val="nil"/>
              <w:left w:val="nil"/>
              <w:bottom w:val="nil"/>
              <w:right w:val="nil"/>
            </w:tcBorders>
          </w:tcPr>
          <w:p>
            <w:pPr>
              <w:pStyle w:val="Normal6a"/>
            </w:pPr>
            <w:r>
              <w:t>31.</w:t>
            </w:r>
            <w:r>
              <w:tab/>
            </w:r>
            <w:r>
              <w:rPr>
                <w:b/>
                <w:i/>
              </w:rPr>
              <w:t>Expresses deep</w:t>
            </w:r>
            <w:r>
              <w:t xml:space="preserve"> concern </w:t>
            </w:r>
            <w:r>
              <w:rPr>
                <w:b/>
                <w:i/>
              </w:rPr>
              <w:t>over the</w:t>
            </w:r>
            <w:r>
              <w:t xml:space="preserve"> widespread use of financing not linked to costs for a substantial portion of the instruments under the next MFF; draws attention to the fact that without adequate safeguards to ensure sound financial management in the implementation of Union funding or clear steps to address the shortcomings identified in previous or existing performance-based instruments, this approach entails substantial risks; </w:t>
            </w:r>
            <w:r>
              <w:rPr>
                <w:b/>
                <w:i/>
              </w:rPr>
              <w:t>warns that this disconnects funding from actual needs and costs, thereby undermining the implementation of agreed political priorities;</w:t>
            </w:r>
            <w:r>
              <w:t xml:space="preserve"> considers that any possible increase in efficiencies cannot come at the expense of the protection of the financial interests of the Union; calls for appropriate oversight and accountability mechanisms to be established in all relevant legal acts;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774</w:t>
      </w:r>
      <w:r>
        <w:rPr>
          <w:rStyle w:val="HideTWBExt"/>
        </w:rPr>
        <w:t>&lt;/NumAm&gt;</w:t>
      </w:r>
    </w:p>
    <w:p>
      <w:pPr>
        <w:pStyle w:val="NormalBold"/>
      </w:pPr>
      <w:r>
        <w:rPr>
          <w:rStyle w:val="HideTWBExt"/>
          <w:b w:val="0"/>
        </w:rPr>
        <w:t>&lt;RepeatBlock-By&gt;</w:t>
      </w:r>
      <w:r>
        <w:rPr>
          <w:rStyle w:val="HideTWBExt"/>
          <w:b w:val="0"/>
        </w:rPr>
        <w:t>&lt;Members&gt;</w:t>
      </w:r>
      <w:r>
        <w:t>Jana Nagyová, Klara Dostalova, Ondřej Knotek, Jaroslava Pokorná Jermanová, Jaroslav Bžoch, Jaroslav Knot,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Notes with concern that the MFF proposals include widespread use of financing not linked to costs for a substantial portion of the instruments under the next MFF; draws attention to the fact that without adequate safeguards to ensure sound financial management in the implementation of Union funding or clear steps to address the shortcomings identified in previous or existing performance-based instruments, this approach entails substantial risks; considers that any possible increase in efficiencies cannot come at the expense of the protection of the financial interests of the Union; calls for appropriate oversight and accountability mechanisms to be established in all relevant legal acts;</w:t>
            </w:r>
          </w:p>
        </w:tc>
        <w:tc>
          <w:tcPr>
            <w:tcW w:w="4876" w:type="dxa"/>
            <w:tcBorders>
              <w:top w:val="nil"/>
              <w:left w:val="nil"/>
              <w:bottom w:val="nil"/>
              <w:right w:val="nil"/>
            </w:tcBorders>
          </w:tcPr>
          <w:p>
            <w:pPr>
              <w:pStyle w:val="Normal6a"/>
            </w:pPr>
            <w:r>
              <w:t>31.</w:t>
            </w:r>
            <w:r>
              <w:tab/>
            </w:r>
            <w:r>
              <w:t xml:space="preserve">Notes with concern that the MFF proposals include widespread use of financing not linked to costs for a substantial portion of the instruments under the next MFF; draws attention to the fact that without adequate safeguards to ensure sound financial management in the implementation of Union funding or clear steps to address the shortcomings identified in previous or existing performance-based instruments, </w:t>
            </w:r>
            <w:r>
              <w:rPr>
                <w:b/>
                <w:i/>
              </w:rPr>
              <w:t>as highlighted by ECA critiques of RRF compliance gaps and variable cost verification,</w:t>
            </w:r>
            <w:r>
              <w:t xml:space="preserve"> this approach entails substantial risks; considers that any possible increase in efficiencies cannot come at the expense of the protection of the financial interests of the Union; calls for appropriate oversight and accountability mechanisms to be established in all relevant legal acts;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775</w:t>
      </w:r>
      <w:r>
        <w:rPr>
          <w:rStyle w:val="HideTWBExt"/>
        </w:rPr>
        <w:t>&lt;/NumAm&gt;</w:t>
      </w:r>
    </w:p>
    <w:p>
      <w:pPr>
        <w:pStyle w:val="NormalBold"/>
      </w:pPr>
      <w:r>
        <w:rPr>
          <w:rStyle w:val="HideTWBExt"/>
          <w:b w:val="0"/>
        </w:rPr>
        <w:t>&lt;RepeatBlock-By&gt;</w:t>
      </w:r>
      <w:r>
        <w:rPr>
          <w:rStyle w:val="HideTWBExt"/>
          <w:b w:val="0"/>
        </w:rPr>
        <w:t>&lt;Members&gt;</w:t>
      </w:r>
      <w:r>
        <w:t>Isabelle Le Callenec, 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Notes with concern that the MFF proposals include widespread use of financing not linked to costs for a substantial portion of the instruments under the next MFF; draws attention to the fact that without adequate safeguards to ensure sound financial management in the implementation of Union funding or clear steps to address the shortcomings identified in previous or existing performance-based instruments, this approach entails substantial risks; considers that any possible increase in efficiencies cannot come at the expense of the protection of the financial interests of the Union; calls for appropriate oversight and accountability mechanisms to be established in all relevant legal acts;</w:t>
            </w:r>
          </w:p>
        </w:tc>
        <w:tc>
          <w:tcPr>
            <w:tcW w:w="4876" w:type="dxa"/>
            <w:tcBorders>
              <w:top w:val="nil"/>
              <w:left w:val="nil"/>
              <w:bottom w:val="nil"/>
              <w:right w:val="nil"/>
            </w:tcBorders>
          </w:tcPr>
          <w:p>
            <w:pPr>
              <w:pStyle w:val="Normal6a"/>
            </w:pPr>
            <w:r>
              <w:t>31.</w:t>
            </w:r>
            <w:r>
              <w:tab/>
            </w:r>
            <w:r>
              <w:t>Notes with concern that the MFF proposals include widespread use of financing not linked to costs for a substantial portion of the instruments under the next MFF; draws attention to the fact that without adequate safeguards to ensure sound financial management in the implementation of Union funding or clear steps to address the shortcomings identified in previous or existing performance-based instruments, this approach entails substantial risks</w:t>
            </w:r>
            <w:r>
              <w:rPr>
                <w:b/>
                <w:i/>
              </w:rPr>
              <w:t>, especially in terms of the complex nature of performance indicators</w:t>
            </w:r>
            <w:r>
              <w:t>; considers that any possible increase in efficiencies cannot come at the expense of the protection of the financial interests of the Union; calls for appropriate oversight and accountability mechanisms to be established in all relevant legal acts;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776</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Notes with concern that the MFF proposals include widespread use of financing not linked to costs for a substantial portion of the instruments under the next MFF; </w:t>
            </w:r>
            <w:r>
              <w:rPr>
                <w:b/>
                <w:i/>
              </w:rPr>
              <w:t>draws attention to the fact that</w:t>
            </w:r>
            <w:r>
              <w:t xml:space="preserve"> without adequate safeguards to ensure sound financial management in the implementation of Union funding or clear steps to address the shortcomings identified in previous or existing performance-based instruments, this approach entails substantial risks; considers that any possible increase in efficiencies cannot come at the expense of the protection of the financial interests of the Union; calls for appropriate oversight and accountability mechanisms to be established in all relevant legal acts;</w:t>
            </w:r>
          </w:p>
        </w:tc>
        <w:tc>
          <w:tcPr>
            <w:tcW w:w="4876" w:type="dxa"/>
            <w:tcBorders>
              <w:top w:val="nil"/>
              <w:left w:val="nil"/>
              <w:bottom w:val="nil"/>
              <w:right w:val="nil"/>
            </w:tcBorders>
          </w:tcPr>
          <w:p>
            <w:pPr>
              <w:pStyle w:val="Normal6a"/>
            </w:pPr>
            <w:r>
              <w:t>31.</w:t>
            </w:r>
            <w:r>
              <w:tab/>
            </w:r>
            <w:r>
              <w:t xml:space="preserve">Notes with concern that the MFF proposals include widespread use of financing not linked to costs for a substantial portion of the instruments under the next MFF; </w:t>
            </w:r>
            <w:r>
              <w:rPr>
                <w:b/>
                <w:i/>
              </w:rPr>
              <w:t>is extremely concerned about such a major shift towards a new model of implementation</w:t>
            </w:r>
            <w:r>
              <w:t xml:space="preserve"> without adequate safeguards to ensure sound financial management in the implementation of Union funding or clear steps to address the shortcomings identified in previous or existing performance-based instruments, this approach entails substantial risks; considers that any possible increase in efficiencies cannot come at the expense of the protection of the financial interests of the Union; calls for appropriate oversight and accountability mechanisms to be established in all relevant legal acts;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777</w:t>
      </w:r>
      <w:r>
        <w:rPr>
          <w:rStyle w:val="HideTWBExt"/>
        </w:rPr>
        <w:t>&lt;/NumAm&gt;</w:t>
      </w:r>
    </w:p>
    <w:p>
      <w:pPr>
        <w:pStyle w:val="NormalBold"/>
      </w:pPr>
      <w:r>
        <w:rPr>
          <w:rStyle w:val="HideTWBExt"/>
          <w:b w:val="0"/>
        </w:rPr>
        <w:t>&lt;RepeatBlock-By&gt;</w:t>
      </w:r>
      <w:r>
        <w:rPr>
          <w:rStyle w:val="HideTWBExt"/>
          <w:b w:val="0"/>
        </w:rPr>
        <w:t>&lt;Members&gt;</w:t>
      </w:r>
      <w:r>
        <w:t>Stine Bosse, Fabienne Keller,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Notes with concern that the MFF proposals include widespread use of financing not linked to costs for a substantial portion of the instruments under the next MFF; draws attention to the fact that without adequate safeguards to ensure sound financial management in the implementation of Union funding or clear steps to address the shortcomings identified in previous or existing performance-based instruments, this approach entails substantial risks; considers that any possible increase in efficiencies cannot come at the expense of the protection of the financial interests of the Union; calls for appropriate oversight and accountability mechanisms to be established in all relevant legal acts;</w:t>
            </w:r>
          </w:p>
        </w:tc>
        <w:tc>
          <w:tcPr>
            <w:tcW w:w="4876" w:type="dxa"/>
            <w:tcBorders>
              <w:top w:val="nil"/>
              <w:left w:val="nil"/>
              <w:bottom w:val="nil"/>
              <w:right w:val="nil"/>
            </w:tcBorders>
          </w:tcPr>
          <w:p>
            <w:pPr>
              <w:pStyle w:val="Normal6a"/>
            </w:pPr>
            <w:r>
              <w:t>31.</w:t>
            </w:r>
            <w:r>
              <w:tab/>
            </w:r>
            <w:r>
              <w:t xml:space="preserve">Notes with concern that the MFF proposals include widespread use of financing not linked to costs for a substantial portion of the instruments under the next MFF; draws attention to the fact that without adequate safeguards to ensure sound financial management in the implementation of Union funding or clear steps to address the shortcomings identified in previous or existing performance-based instruments, this approach entails substantial risks; considers that any possible increase in efficiencies cannot come at the expense of the protection of the financial interests of the Union; calls for appropriate oversight and accountability mechanisms to be </w:t>
            </w:r>
            <w:r>
              <w:rPr>
                <w:b/>
                <w:i/>
              </w:rPr>
              <w:t>firmly</w:t>
            </w:r>
            <w:r>
              <w:t xml:space="preserve"> established in all relevant legal acts;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778</w:t>
      </w:r>
      <w:r>
        <w:rPr>
          <w:rStyle w:val="HideTWBExt"/>
        </w:rPr>
        <w:t>&lt;/NumAm&gt;</w:t>
      </w:r>
    </w:p>
    <w:p>
      <w:pPr>
        <w:pStyle w:val="NormalBold"/>
      </w:pPr>
      <w:r>
        <w:rPr>
          <w:rStyle w:val="HideTWBExt"/>
          <w:b w:val="0"/>
        </w:rPr>
        <w:t>&lt;RepeatBlock-By&gt;</w:t>
      </w:r>
      <w:r>
        <w:rPr>
          <w:rStyle w:val="HideTWBExt"/>
          <w:b w:val="0"/>
        </w:rPr>
        <w:t>&lt;Members&gt;</w:t>
      </w:r>
      <w:r>
        <w:t>Hélder Sousa Silva, Paulo Cunha, 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31a.</w:t>
            </w:r>
            <w:r>
              <w:tab/>
            </w:r>
            <w:r>
              <w:rPr>
                <w:b/>
                <w:i/>
              </w:rPr>
              <w:t>Opposes the application of overly rigid performance frameworks similar to the RRP model for access to funds since they constrain funding, leading to delays in payments and implementation;</w:t>
            </w:r>
            <w:r>
              <w:t xml:space="preserve"> </w:t>
            </w:r>
            <w:r>
              <w:rPr>
                <w:b/>
                <w:i/>
              </w:rPr>
              <w:t>warns that less developed regions with small-scale administrative authorities, such as the outermost regions, are an even greater cause for concern, since it is an even greater challenge for them to reach certain benchmarks and targets, especially those not concerning cohesion;</w:t>
            </w:r>
            <w:r>
              <w:t xml:space="preserve"> </w:t>
            </w:r>
            <w:r>
              <w:rPr>
                <w:b/>
                <w:i/>
              </w:rPr>
              <w:t>stresses the importance of ensuring a methodology that guarantees flexibility and is aligned with the objectives of the Treaty and real needs at local and regional level;</w:t>
            </w:r>
            <w:r>
              <w:t xml:space="preserve"> </w:t>
            </w:r>
            <w:r>
              <w:rPr>
                <w:b/>
                <w:i/>
              </w:rPr>
              <w:t>recalls that regional policy already has a comprehensive performance methodology in place, based on horizontal and specific authorisation conditions, including reforms, with milestones and targets often linked to those reforms;</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779</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 a.</w:t>
            </w:r>
            <w:r>
              <w:tab/>
            </w:r>
            <w:r>
              <w:rPr>
                <w:b/>
                <w:i/>
              </w:rPr>
              <w:t>Stresses that Union financing should be granted only for measures directly linked to concrete, verifiable projects that demonstrate tangible progress, measurable results, contribute to Union policy objectives, and can be effectively monitored and audited; warns that the lack of cost verification under FNLC weakens auditability; stresses that the milestones and targets in the current proposal are vague and barely auditable; recalls the ECA’s findings on incomplete audit trails and persistent shortcomings in several national audit authorities; underlines that, without credible national controls and compliance with audit standards, EU audit bodies must step in to safeguard sound financial management and the credibility of the discharge procedure;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780</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 a.</w:t>
            </w:r>
            <w:r>
              <w:tab/>
            </w:r>
            <w:r>
              <w:rPr>
                <w:b/>
                <w:i/>
              </w:rPr>
              <w:t>Recalls, and firmly stands by, the Parliament’s repeated objections against international agreements on the participation of third countries other than EFTA/EEA countries, Candidate countries, or Neighbourhood Policy countries in Union programmes which undermine the Parliament’s prerogative to consent to these countries joining specific programmes; demands that the Commission and Council respect the Parliament’s call and maintain the institutional balance set out in the Treaties by restructuring existing agreements so that the Parliament has to consent to the participation of a third country to each Union programme to which that third country wants to associate;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781</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 a.</w:t>
            </w:r>
            <w:r>
              <w:tab/>
            </w:r>
            <w:r>
              <w:rPr>
                <w:b/>
                <w:i/>
              </w:rPr>
              <w:t>Is concerned by the proposed governance of the pillar 1 of the next MFF and the lack of regional authorities' involvement; underlines that the NRPP cannot strip off local and regional authorities from their competences when these competences are recognized in the national and constitutional framework; demands therefore that the NRPP regulation foresees a clear 'multilevel governance assessment' and a legally-binding subsidiarity clause to allow regions and relevant local authorities within their respective national competence an effective participation in the design, allocation, implementation and monitoring of NRPP funds;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782</w:t>
      </w:r>
      <w:r>
        <w:rPr>
          <w:rStyle w:val="HideTWBExt"/>
        </w:rPr>
        <w:t>&lt;/NumAm&gt;</w:t>
      </w:r>
    </w:p>
    <w:p>
      <w:pPr>
        <w:pStyle w:val="NormalBold"/>
      </w:pPr>
      <w:r>
        <w:rPr>
          <w:rStyle w:val="HideTWBExt"/>
          <w:b w:val="0"/>
        </w:rPr>
        <w:t>&lt;RepeatBlock-By&gt;</w:t>
      </w:r>
      <w:r>
        <w:rPr>
          <w:rStyle w:val="HideTWBExt"/>
          <w:b w:val="0"/>
        </w:rPr>
        <w:t>&lt;Members&gt;</w:t>
      </w:r>
      <w:r>
        <w:t>Jens Geier, 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 a.</w:t>
            </w:r>
            <w:r>
              <w:tab/>
            </w:r>
            <w:r>
              <w:rPr>
                <w:b/>
                <w:i/>
              </w:rPr>
              <w:t>Insists that data on incurred costs must remain available to the discharge authority to verify efficiency and 'value for money' in the Union budget; warns that without cost transparency, parliamentary scrutiny becomes a formalistic exercise unable to safeguard the sound financial management of the budget;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783</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 b.</w:t>
            </w:r>
            <w:r>
              <w:tab/>
            </w:r>
            <w:r>
              <w:rPr>
                <w:b/>
                <w:i/>
              </w:rPr>
              <w:t>Stresses that EU budget plays a vital role in supporting EU fundamental values of democracy and pluralism enshrined in Article 2 of the TEU; welcomes the recently published EU Civil Society Strategy which recognises the fundamental role of civil society organisations (CSOs) in the development, implementation, monitoring and enforcement of EU legislation and policies; underlines, in this regard, the necessity of ensuring long-term, predictable and sufficient funding to CSOs through framework partnership agreements and operating grants rather than action grants aimed to finance individual projects; calls for such funding to be under direct management, in order to ensure greater accountability and direct EU support to civil society; warns however that leaving EU financial support to civil society organisations in the sole discretion of the Commission would undermine democratic accountability would be against the aims of EU Civil Society Strategy;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784</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32.</w:t>
            </w:r>
            <w:r>
              <w:tab/>
            </w:r>
            <w:r>
              <w:rPr>
                <w:b/>
                <w:i/>
              </w:rPr>
              <w:t>Acknowledges the proposal for a Performance Regulation as a first step in putting in place a horizontal expenditure tracking and performance monitoring framework for the budget;</w:t>
            </w:r>
            <w:r>
              <w:t xml:space="preserve"> </w:t>
            </w:r>
            <w:r>
              <w:rPr>
                <w:b/>
                <w:i/>
              </w:rPr>
              <w:t>considers that this approach can lead to greater coherence in the monitoring and implementation of EU spending programmes and in the mainstreaming of important EU objectives;</w:t>
            </w:r>
            <w:r>
              <w:t xml:space="preserve"> </w:t>
            </w:r>
            <w:r>
              <w:rPr>
                <w:b/>
                <w:i/>
              </w:rPr>
              <w:t>stresses that the inclusion of horizontal principles in a single framework must enable more effective tracking methodologies and parliamentary scrutiny without creating additional burdens;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785</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rPr>
                <w:b/>
                <w:i/>
              </w:rPr>
              <w:t>Acknowledges</w:t>
            </w:r>
            <w:r>
              <w:t xml:space="preserve"> the proposal for a Performance Regulation as a first step in putting in place a horizontal expenditure tracking and performance monitoring framework for the budget; considers that this approach </w:t>
            </w:r>
            <w:r>
              <w:rPr>
                <w:b/>
                <w:i/>
              </w:rPr>
              <w:t>can lead to</w:t>
            </w:r>
            <w:r>
              <w:t xml:space="preserve"> greater coherence in the monitoring and implementation of EU spending programmes and in the mainstreaming of important EU objectives; stresses that the </w:t>
            </w:r>
            <w:r>
              <w:rPr>
                <w:b/>
                <w:i/>
              </w:rPr>
              <w:t>inclusion of</w:t>
            </w:r>
            <w:r>
              <w:t xml:space="preserve"> horizontal principles in a single framework </w:t>
            </w:r>
            <w:r>
              <w:rPr>
                <w:b/>
                <w:i/>
              </w:rPr>
              <w:t>must enable</w:t>
            </w:r>
            <w:r>
              <w:t xml:space="preserve"> more effective </w:t>
            </w:r>
            <w:r>
              <w:rPr>
                <w:b/>
                <w:i/>
              </w:rPr>
              <w:t>tracking methodologies and parliamentary scrutiny without creating additional burdens</w:t>
            </w:r>
            <w:r>
              <w:t>;</w:t>
            </w:r>
          </w:p>
        </w:tc>
        <w:tc>
          <w:tcPr>
            <w:tcW w:w="4876" w:type="dxa"/>
            <w:tcBorders>
              <w:top w:val="nil"/>
              <w:left w:val="nil"/>
              <w:bottom w:val="nil"/>
              <w:right w:val="nil"/>
            </w:tcBorders>
          </w:tcPr>
          <w:p>
            <w:pPr>
              <w:pStyle w:val="Normal6a"/>
            </w:pPr>
            <w:r>
              <w:t>32.</w:t>
            </w:r>
            <w:r>
              <w:tab/>
            </w:r>
            <w:r>
              <w:rPr>
                <w:b/>
                <w:i/>
              </w:rPr>
              <w:t>Welcomes</w:t>
            </w:r>
            <w:r>
              <w:t xml:space="preserve"> the proposal for a Performance Regulation as a first step in putting in place a horizontal expenditure tracking and performance monitoring framework for the budget </w:t>
            </w:r>
            <w:r>
              <w:rPr>
                <w:b/>
                <w:i/>
              </w:rPr>
              <w:t>that will reduce administrative burden compared to the current status quo</w:t>
            </w:r>
            <w:r>
              <w:t xml:space="preserve">; considers that this approach </w:t>
            </w:r>
            <w:r>
              <w:rPr>
                <w:b/>
                <w:i/>
              </w:rPr>
              <w:t>strengthens democratic oversight and provides</w:t>
            </w:r>
            <w:r>
              <w:t xml:space="preserve"> greater coherence in the monitoring and implementation of EU spending programmes and in the mainstreaming of important EU objectives </w:t>
            </w:r>
            <w:r>
              <w:rPr>
                <w:b/>
                <w:i/>
              </w:rPr>
              <w:t>and commitments, namely gender equality, investments in line with the pillar of social rights, and climate and biodiversity targets to achieve; considers it therefore essential to continue tracking the biodiversity spending, as well as setting more ambitious mainstreaming targets both for climate and biodiversity spending in the next MFF</w:t>
            </w:r>
            <w:r>
              <w:t xml:space="preserve">; stresses that the </w:t>
            </w:r>
            <w:r>
              <w:rPr>
                <w:b/>
                <w:i/>
              </w:rPr>
              <w:t>ultimate objective of tracking the performance and of investments for</w:t>
            </w:r>
            <w:r>
              <w:t xml:space="preserve"> horizontal principles in a single framework </w:t>
            </w:r>
            <w:r>
              <w:rPr>
                <w:b/>
                <w:i/>
              </w:rPr>
              <w:t>is to make the Union budget</w:t>
            </w:r>
            <w:r>
              <w:t xml:space="preserve"> more effective </w:t>
            </w:r>
            <w:r>
              <w:rPr>
                <w:b/>
                <w:i/>
              </w:rPr>
              <w:t>in achieving its policy objectives, while limiting administrative burden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786</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Acknowledges the proposal for a Performance Regulation as a first step in putting in place a horizontal expenditure tracking and performance monitoring framework for the budget; considers that this approach can lead to greater coherence in the monitoring and implementation of EU spending programmes and in the mainstreaming of important EU objectives; stresses that the inclusion of horizontal principles in a single framework </w:t>
            </w:r>
            <w:r>
              <w:rPr>
                <w:b/>
                <w:i/>
              </w:rPr>
              <w:t>must</w:t>
            </w:r>
            <w:r>
              <w:t xml:space="preserve"> enable more effective tracking methodologies and parliamentary scrutiny without creating additional burdens;</w:t>
            </w:r>
          </w:p>
        </w:tc>
        <w:tc>
          <w:tcPr>
            <w:tcW w:w="4876" w:type="dxa"/>
            <w:tcBorders>
              <w:top w:val="nil"/>
              <w:left w:val="nil"/>
              <w:bottom w:val="nil"/>
              <w:right w:val="nil"/>
            </w:tcBorders>
          </w:tcPr>
          <w:p>
            <w:pPr>
              <w:pStyle w:val="Normal6a"/>
            </w:pPr>
            <w:r>
              <w:t>32.</w:t>
            </w:r>
            <w:r>
              <w:tab/>
            </w:r>
            <w:r>
              <w:t xml:space="preserve">Acknowledges the proposal for a Performance Regulation as a first step in putting in place a horizontal expenditure tracking and performance monitoring framework for the budget; considers that this approach can lead to greater coherence in the monitoring and implementation of EU spending programmes and in the mainstreaming of important EU objectives; stresses that the inclusion of horizontal principles in a single framework </w:t>
            </w:r>
            <w:r>
              <w:rPr>
                <w:b/>
                <w:i/>
              </w:rPr>
              <w:t>should simplify administrative procedures and reduce unnecessary bureaucracy, reflect the Union's new political priorities, such as competitiveness and preparedness, ensure that performance indicators focus on the effectiveness, results and impact of EU funding measures and reconsider environmental principles, including the practical application of ‘do no significant harm’ (DNSH) criteria, as well as</w:t>
            </w:r>
            <w:r>
              <w:t xml:space="preserve"> enable more effective tracking methodologies and parliamentary scrutiny without creating additional burdens;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787</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Acknowledges the proposal for a Performance Regulation as a first step in putting in place a horizontal expenditure tracking and performance monitoring framework for the budget; considers that this approach can lead to greater coherence in the monitoring and implementation of EU spending programmes and in the mainstreaming of important EU objectives; stresses that the inclusion of horizontal principles in a single framework must enable more effective tracking methodologies and parliamentary scrutiny </w:t>
            </w:r>
            <w:r>
              <w:rPr>
                <w:b/>
                <w:i/>
              </w:rPr>
              <w:t>without creating additional burdens</w:t>
            </w:r>
            <w:r>
              <w:t>;</w:t>
            </w:r>
          </w:p>
        </w:tc>
        <w:tc>
          <w:tcPr>
            <w:tcW w:w="4876" w:type="dxa"/>
            <w:tcBorders>
              <w:top w:val="nil"/>
              <w:left w:val="nil"/>
              <w:bottom w:val="nil"/>
              <w:right w:val="nil"/>
            </w:tcBorders>
          </w:tcPr>
          <w:p>
            <w:pPr>
              <w:pStyle w:val="Normal6a"/>
            </w:pPr>
            <w:r>
              <w:t>32.</w:t>
            </w:r>
            <w:r>
              <w:tab/>
            </w:r>
            <w:r>
              <w:t>Acknowledges the proposal for a Performance Regulation as a first step in putting in place a horizontal expenditure tracking and performance monitoring framework for the budget; considers that this approach can lead to greater coherence in the monitoring and implementation of EU spending programmes and in the mainstreaming of important EU objectives; stresses that the inclusion of horizontal principles in a single framework must enable more effective tracking methodologies and parliamentary scrutiny</w:t>
            </w:r>
            <w:r>
              <w:rPr>
                <w:b/>
                <w:i/>
              </w:rPr>
              <w:t>; Is concerned that the proposed climate and environment spending target of 35% is insufficient to ensure that the Union budget is an essential contributor to achieving climate neutrality by 2050</w:t>
            </w:r>
            <w:r>
              <w:t xml:space="preserve">; </w:t>
            </w:r>
            <w:r>
              <w:rPr>
                <w:b/>
                <w:i/>
              </w:rPr>
              <w:t>calls, therefore, for an increase of the target to at least 50%; reminds the horizontal nature of the target and that not applying the target to the entire budget reduce its transparency;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788</w:t>
      </w:r>
      <w:r>
        <w:rPr>
          <w:rStyle w:val="HideTWBExt"/>
        </w:rPr>
        <w:t>&lt;/NumAm&gt;</w:t>
      </w:r>
    </w:p>
    <w:p>
      <w:pPr>
        <w:pStyle w:val="NormalBold"/>
      </w:pPr>
      <w:r>
        <w:rPr>
          <w:rStyle w:val="HideTWBExt"/>
          <w:b w:val="0"/>
        </w:rPr>
        <w:t>&lt;RepeatBlock-By&gt;</w:t>
      </w:r>
      <w:r>
        <w:rPr>
          <w:rStyle w:val="HideTWBExt"/>
          <w:b w:val="0"/>
        </w:rPr>
        <w:t>&lt;Members&gt;</w:t>
      </w:r>
      <w:r>
        <w:t>Jens Geier, 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Acknowledges the proposal for a Performance Regulation as a first step in putting in place a horizontal expenditure tracking and performance monitoring framework for the budget; considers that this approach can lead to greater coherence in the monitoring and implementation of EU spending programmes and in the mainstreaming of important EU objectives; stresses that the inclusion of horizontal principles in a single framework must enable more effective tracking methodologies and parliamentary scrutiny without creating additional burdens;</w:t>
            </w:r>
          </w:p>
        </w:tc>
        <w:tc>
          <w:tcPr>
            <w:tcW w:w="4876" w:type="dxa"/>
            <w:tcBorders>
              <w:top w:val="nil"/>
              <w:left w:val="nil"/>
              <w:bottom w:val="nil"/>
              <w:right w:val="nil"/>
            </w:tcBorders>
          </w:tcPr>
          <w:p>
            <w:pPr>
              <w:pStyle w:val="Normal6a"/>
            </w:pPr>
            <w:r>
              <w:t>32.</w:t>
            </w:r>
            <w:r>
              <w:tab/>
            </w:r>
            <w:r>
              <w:t xml:space="preserve">Acknowledges the proposal for a Performance Regulation as a first step in putting in place a horizontal expenditure tracking and performance monitoring framework for the budget; considers that this approach can lead to greater coherence in the monitoring and implementation of EU spending programmes and in the mainstreaming of important EU objectives; stresses that the inclusion of horizontal principles in a single framework must enable more effective tracking methodologies and parliamentary scrutiny without creating additional burdens; </w:t>
            </w:r>
            <w:r>
              <w:rPr>
                <w:b/>
                <w:i/>
              </w:rPr>
              <w:t>notes, however, that performance must not be defined merely by the speed of spending or the administrative completion of milestones; insists that the framework allows for a qualitative assessments of whether funded measures deliver tangible benefits to citizens and a European added value;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789</w:t>
      </w:r>
      <w:r>
        <w:rPr>
          <w:rStyle w:val="HideTWBExt"/>
        </w:rPr>
        <w:t>&lt;/NumAm&gt;</w:t>
      </w:r>
    </w:p>
    <w:p>
      <w:pPr>
        <w:pStyle w:val="NormalBold"/>
      </w:pPr>
      <w:r>
        <w:rPr>
          <w:rStyle w:val="HideTWBExt"/>
          <w:b w:val="0"/>
        </w:rPr>
        <w:t>&lt;RepeatBlock-By&gt;</w:t>
      </w:r>
      <w:r>
        <w:rPr>
          <w:rStyle w:val="HideTWBExt"/>
          <w:b w:val="0"/>
        </w:rPr>
        <w:t>&lt;Members&gt;</w:t>
      </w:r>
      <w:r>
        <w:t>Jana Nagyová, Klara Dostalova, Ondřej Knotek, Jaroslava Pokorná Jermanová, Jaroslav Bžoch, Jaroslav Knot,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Acknowledges the proposal for a Performance Regulation as a first step in putting in place a horizontal expenditure tracking and performance monitoring framework for the budget; considers that this approach can lead to greater coherence in the monitoring and implementation of EU spending programmes and in the mainstreaming of important EU objectives; stresses that the inclusion of horizontal principles in a single framework must enable more effective tracking methodologies and parliamentary scrutiny without creating additional burdens;</w:t>
            </w:r>
          </w:p>
        </w:tc>
        <w:tc>
          <w:tcPr>
            <w:tcW w:w="4876" w:type="dxa"/>
            <w:tcBorders>
              <w:top w:val="nil"/>
              <w:left w:val="nil"/>
              <w:bottom w:val="nil"/>
              <w:right w:val="nil"/>
            </w:tcBorders>
          </w:tcPr>
          <w:p>
            <w:pPr>
              <w:pStyle w:val="Normal6a"/>
            </w:pPr>
            <w:r>
              <w:t>32.</w:t>
            </w:r>
            <w:r>
              <w:tab/>
            </w:r>
            <w:r>
              <w:t>Acknowledges the proposal for a Performance Regulation as a first step in putting in place a horizontal expenditure tracking and performance monitoring framework for the budget</w:t>
            </w:r>
            <w:r>
              <w:rPr>
                <w:b/>
                <w:i/>
              </w:rPr>
              <w:t>, but regrets its overly general and vague formulation, which, as the Commission’s own NRPP impact assessment admits due to methodological limitations, leaves key impacts and robust indicators undefined</w:t>
            </w:r>
            <w:r>
              <w:t>; considers that this approach can lead to greater coherence in the monitoring and implementation of EU spending programmes and in the mainstreaming of important EU objectives</w:t>
            </w:r>
            <w:r>
              <w:rPr>
                <w:b/>
                <w:i/>
              </w:rPr>
              <w:t>, only if risks of audit disputes and implementation unpredictability are addressed</w:t>
            </w:r>
            <w:r>
              <w:t>; stresses that the inclusion of horizontal principles in a single framework must enable more effective tracking methodologies and parliamentary scrutiny without creating additional burdens;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790</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Acknowledges the proposal for a Performance Regulation as a first step in putting in place a horizontal expenditure tracking and performance monitoring framework for the budget; considers that this approach can lead to greater coherence in the monitoring and implementation of EU spending programmes and in the mainstreaming of important EU objectives; stresses that the inclusion of horizontal principles in a single framework must enable more effective tracking methodologies and parliamentary scrutiny without creating additional burdens;</w:t>
            </w:r>
          </w:p>
        </w:tc>
        <w:tc>
          <w:tcPr>
            <w:tcW w:w="4876" w:type="dxa"/>
            <w:tcBorders>
              <w:top w:val="nil"/>
              <w:left w:val="nil"/>
              <w:bottom w:val="nil"/>
              <w:right w:val="nil"/>
            </w:tcBorders>
          </w:tcPr>
          <w:p>
            <w:pPr>
              <w:pStyle w:val="Normal6a"/>
            </w:pPr>
            <w:r>
              <w:t>32.</w:t>
            </w:r>
            <w:r>
              <w:tab/>
            </w:r>
            <w:r>
              <w:t xml:space="preserve">Acknowledges the proposal for a Performance Regulation as a first step in putting in place a horizontal expenditure tracking and performance monitoring framework for the budget; considers that this approach can lead to greater coherence in the monitoring and implementation of EU spending programmes and in the mainstreaming of important EU objectives; stresses that the inclusion of horizontal principles in a single framework must enable more effective tracking methodologies and parliamentary scrutiny without creating additional burdens; </w:t>
            </w:r>
            <w:r>
              <w:rPr>
                <w:b/>
                <w:i/>
              </w:rPr>
              <w:t>notes the introduction of mandatory horizontal targets on climate, environment, biodiversity and gender objectives; demands the establishment of targets supporting competitiveness, preparedness, innovation and debureaucratisation into the Performance Regulation;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791</w:t>
      </w:r>
      <w:r>
        <w:rPr>
          <w:rStyle w:val="HideTWBExt"/>
        </w:rPr>
        <w:t>&lt;/NumAm&gt;</w:t>
      </w:r>
    </w:p>
    <w:p>
      <w:pPr>
        <w:pStyle w:val="NormalBold"/>
      </w:pPr>
      <w:r>
        <w:rPr>
          <w:rStyle w:val="HideTWBExt"/>
          <w:b w:val="0"/>
        </w:rPr>
        <w:t>&lt;RepeatBlock-By&gt;</w:t>
      </w:r>
      <w:r>
        <w:rPr>
          <w:rStyle w:val="HideTWBExt"/>
          <w:b w:val="0"/>
        </w:rPr>
        <w:t>&lt;Members&gt;</w:t>
      </w:r>
      <w:r>
        <w:t>Stine Bosse, Fabienne Keller,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Acknowledges the proposal for a Performance Regulation as a first step in putting in place a horizontal expenditure tracking and performance monitoring framework for the budget; considers that this approach can lead to greater coherence in the monitoring and implementation of EU spending programmes and in the mainstreaming of important EU objectives; stresses that the inclusion of horizontal principles in a single framework must enable more effective tracking methodologies and parliamentary scrutiny without creating additional burdens;</w:t>
            </w:r>
          </w:p>
        </w:tc>
        <w:tc>
          <w:tcPr>
            <w:tcW w:w="4876" w:type="dxa"/>
            <w:tcBorders>
              <w:top w:val="nil"/>
              <w:left w:val="nil"/>
              <w:bottom w:val="nil"/>
              <w:right w:val="nil"/>
            </w:tcBorders>
          </w:tcPr>
          <w:p>
            <w:pPr>
              <w:pStyle w:val="Normal6a"/>
            </w:pPr>
            <w:r>
              <w:t>32.</w:t>
            </w:r>
            <w:r>
              <w:tab/>
            </w:r>
            <w:r>
              <w:t xml:space="preserve">Acknowledges the proposal for a Performance Regulation as a first step in putting in place a horizontal expenditure tracking and performance monitoring framework for the budget; considers that this approach can lead to greater coherence in the monitoring and implementation of EU spending programmes and in the mainstreaming of important EU objectives; </w:t>
            </w:r>
            <w:r>
              <w:rPr>
                <w:b/>
                <w:i/>
              </w:rPr>
              <w:t>however insists that significant improvement in climate and biodiversity mainstreaming methodologies is needed to accurately monitor and assess the impact of EU funding;</w:t>
            </w:r>
            <w:r>
              <w:t xml:space="preserve"> stresses that the inclusion of horizontal principles in a single framework must enable more effective tracking methodologies and parliamentary scrutiny without creating additional burdens;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792</w:t>
      </w:r>
      <w:r>
        <w:rPr>
          <w:rStyle w:val="HideTWBExt"/>
        </w:rPr>
        <w:t>&lt;/NumAm&gt;</w:t>
      </w:r>
    </w:p>
    <w:p>
      <w:pPr>
        <w:pStyle w:val="NormalBold"/>
      </w:pPr>
      <w:r>
        <w:rPr>
          <w:rStyle w:val="HideTWBExt"/>
          <w:b w:val="0"/>
        </w:rPr>
        <w:t>&lt;RepeatBlock-By&gt;</w:t>
      </w:r>
      <w:r>
        <w:rPr>
          <w:rStyle w:val="HideTWBExt"/>
          <w:b w:val="0"/>
        </w:rPr>
        <w:t>&lt;Members&gt;</w:t>
      </w:r>
      <w:r>
        <w:t>Fabienne Keller,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Acknowledges the proposal for a Performance Regulation as a first step in putting in place a horizontal expenditure tracking and performance monitoring framework for the budget; considers that this approach can lead to greater coherence in the monitoring and implementation of EU spending programmes and in the mainstreaming of important EU objectives; stresses that the inclusion of horizontal principles in a single framework must enable more effective tracking methodologies and parliamentary scrutiny without creating additional burdens;</w:t>
            </w:r>
          </w:p>
        </w:tc>
        <w:tc>
          <w:tcPr>
            <w:tcW w:w="4876" w:type="dxa"/>
            <w:tcBorders>
              <w:top w:val="nil"/>
              <w:left w:val="nil"/>
              <w:bottom w:val="nil"/>
              <w:right w:val="nil"/>
            </w:tcBorders>
          </w:tcPr>
          <w:p>
            <w:pPr>
              <w:pStyle w:val="Normal6a"/>
            </w:pPr>
            <w:r>
              <w:t>32.</w:t>
            </w:r>
            <w:r>
              <w:tab/>
            </w:r>
            <w:r>
              <w:t xml:space="preserve">Acknowledges the proposal for a Performance Regulation as a first step in putting in place a horizontal expenditure tracking and performance monitoring framework for the budget; considers that this approach can lead to greater coherence in the monitoring and implementation of EU spending programmes and in the mainstreaming of important EU objectives; </w:t>
            </w:r>
            <w:r>
              <w:rPr>
                <w:b/>
                <w:i/>
              </w:rPr>
              <w:t>underlines that a solution needs to be found to address the divergences of cost-estimates connected to milestones and targets and the real costs of a project needs to be found;</w:t>
            </w:r>
            <w:r>
              <w:t xml:space="preserve"> stresses that the inclusion of horizontal principles in a single framework must enable more effective tracking methodologies and parliamentary scrutiny without creating additional burdens;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793</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Acknowledges the proposal for a Performance Regulation as a first step in putting in place a horizontal expenditure tracking and performance monitoring framework for the budget; considers that this approach </w:t>
            </w:r>
            <w:r>
              <w:rPr>
                <w:b/>
                <w:i/>
              </w:rPr>
              <w:t>can lead</w:t>
            </w:r>
            <w:r>
              <w:t xml:space="preserve"> to greater coherence in the monitoring and implementation of EU spending programmes and in the mainstreaming of important EU objectives; stresses that the inclusion of horizontal principles in a single framework must enable more effective tracking methodologies and parliamentary scrutiny without creating additional burdens;</w:t>
            </w:r>
          </w:p>
        </w:tc>
        <w:tc>
          <w:tcPr>
            <w:tcW w:w="4876" w:type="dxa"/>
            <w:tcBorders>
              <w:top w:val="nil"/>
              <w:left w:val="nil"/>
              <w:bottom w:val="nil"/>
              <w:right w:val="nil"/>
            </w:tcBorders>
          </w:tcPr>
          <w:p>
            <w:pPr>
              <w:pStyle w:val="Normal6a"/>
            </w:pPr>
            <w:r>
              <w:t>32.</w:t>
            </w:r>
            <w:r>
              <w:tab/>
            </w:r>
            <w:r>
              <w:t xml:space="preserve">Acknowledges the proposal for a Performance Regulation as a first step in putting in place a horizontal expenditure tracking and performance monitoring framework for the budget; considers that this approach </w:t>
            </w:r>
            <w:r>
              <w:rPr>
                <w:b/>
                <w:i/>
              </w:rPr>
              <w:t>may lead, if adequately implemented,</w:t>
            </w:r>
            <w:r>
              <w:t xml:space="preserve"> to greater coherence in the monitoring and implementation of EU spending programmes and in the mainstreaming of important EU objectives; stresses that the inclusion of horizontal principles in a single framework must enable more effective tracking methodologies and parliamentary scrutiny without creating additional burdens;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794</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 a.</w:t>
            </w:r>
            <w:r>
              <w:tab/>
            </w:r>
            <w:r>
              <w:rPr>
                <w:b/>
                <w:i/>
              </w:rPr>
              <w:t>Questions, nevertheless, several aspects of the proposal, such as the choice of the horizontal principles and the duplications with the Financial Regulations, the absence of impact indicators and the overlaps between the output and result indicators, the flexibility offered to Member States in choosing reporting indicators, which will generate a lack of comparability of performance, the monitoring of the implementation of commitment appropriations and not payment appropriations, which will not provide a real outlook of the performance of the Union programmes and therefore risk focusing primarily on monitoring implementation progress rather than enabling an assessment of effectiveness, efficiency and value for money; believes that a horizontal focus should be placed on competitiveness and digitalisation, as part of the priorities for the next MFF;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795</w:t>
      </w:r>
      <w:r>
        <w:rPr>
          <w:rStyle w:val="HideTWBExt"/>
        </w:rPr>
        <w:t>&lt;/NumAm&gt;</w:t>
      </w:r>
    </w:p>
    <w:p>
      <w:pPr>
        <w:pStyle w:val="NormalBold"/>
      </w:pPr>
      <w:r>
        <w:rPr>
          <w:rStyle w:val="HideTWBExt"/>
          <w:b w:val="0"/>
        </w:rPr>
        <w:t>&lt;RepeatBlock-By&gt;</w:t>
      </w:r>
      <w:r>
        <w:rPr>
          <w:rStyle w:val="HideTWBExt"/>
          <w:b w:val="0"/>
        </w:rPr>
        <w:t>&lt;Members&gt;</w:t>
      </w:r>
      <w:r>
        <w:t>Anouk Van Brug, Katri Kulmuni, Moritz Körner, Joachim Streit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 a.</w:t>
            </w:r>
            <w:r>
              <w:tab/>
            </w:r>
            <w:r>
              <w:rPr>
                <w:b/>
                <w:i/>
              </w:rPr>
              <w:t>Notes with great concern that in the last annual report, the Court of Auditors’ estimated level of error in EU budget expenditure was material at 3.6 %, and in the last five annual reports the estimated level of error is above the materiality threshold of 2 %; underlines the need to strengthen the role of the European Court of Auditors in order to ensure transparency and accountability; calls on the Commission to ensure regular dialogue and cooperation with the Court of Auditors in liaison with the national audit bodies of the Member States, or, if these do not have the necessary powers, with the competent national departments;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796</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 a.</w:t>
            </w:r>
            <w:r>
              <w:tab/>
            </w:r>
            <w:r>
              <w:rPr>
                <w:b/>
                <w:i/>
              </w:rPr>
              <w:t>Stresses that an appropriate gender mainstreaming methodology needs to ensure that gender equality is promoted throughout the preparation, implementation, monitoring, reporting, and evaluation of programmes and activities; calls on the Commission to define the guidance on the methodology for the application of these principles by involving the relevant stakeholders according to the principles of civil dialogue; calls on the Commission to introduce specific and quantifiable targets contributing to gender equality across the specific programmes;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797</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 a.</w:t>
            </w:r>
            <w:r>
              <w:tab/>
            </w:r>
            <w:r>
              <w:rPr>
                <w:b/>
                <w:i/>
              </w:rPr>
              <w:t>Is concerned that the proposed tracking methodology in the performance regulation de-facto discontinues the dedicated tracking of biodiversity expenditure; stresses that without a dedicated tracking of biodiversity expenditure the Union could fail to meet its international reporting obligations under the Kunming-Montreal Global Biodiversity Framework; insists therefore on a dedicated tracking of all six environmental objectives;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798</w:t>
      </w:r>
      <w:r>
        <w:rPr>
          <w:rStyle w:val="HideTWBExt"/>
        </w:rPr>
        <w:t>&lt;/NumAm&gt;</w:t>
      </w:r>
    </w:p>
    <w:p>
      <w:pPr>
        <w:pStyle w:val="NormalBold"/>
      </w:pPr>
      <w:r>
        <w:rPr>
          <w:rStyle w:val="HideTWBExt"/>
          <w:b w:val="0"/>
        </w:rPr>
        <w:t>&lt;RepeatBlock-By&gt;</w:t>
      </w:r>
      <w:r>
        <w:rPr>
          <w:rStyle w:val="HideTWBExt"/>
          <w:b w:val="0"/>
        </w:rPr>
        <w:t>&lt;Members&gt;</w:t>
      </w:r>
      <w:r>
        <w:t>Stine Bosse, Fabienne Keller,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 a.</w:t>
            </w:r>
            <w:r>
              <w:tab/>
            </w:r>
            <w:r>
              <w:rPr>
                <w:b/>
                <w:i/>
              </w:rPr>
              <w:t>Is concerned that the proposed climate and environment spending target of 35% is insufficient to ensure that the Union budget is an essential contributor to achieving climate neutrality by 2050; calls, therefore, for an increase of the target; recalls the horizontal nature of the target and underlines that not applying the target to the entire budget reduces its transparency and impact;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799</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32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 b.</w:t>
            </w:r>
            <w:r>
              <w:tab/>
            </w:r>
            <w:r>
              <w:rPr>
                <w:b/>
                <w:i/>
              </w:rPr>
              <w:t>Recalls the Commission’s commitment to phase out all fossil fuel subsidies and environmentally harmful subsidies in the next MFF and strongly regrets that the Commission has failed to come forward with its planned roadmap in this regard despite the very clear ask of the Parliament for the planned roadmap as part of its proposal for the next MFF; Calls on the Commission to do so without delay;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800</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32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 b.</w:t>
            </w:r>
            <w:r>
              <w:tab/>
            </w:r>
            <w:r>
              <w:rPr>
                <w:b/>
                <w:i/>
              </w:rPr>
              <w:t>Stresses that the next MFF must enshrine social conditionality, so that all EU programmes and instruments contribute to promoting quality jobs and collective bargaining, ensuring respect of workers and trade union rights and supporting a socially just green and digital transition;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801</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rPr>
                <w:b/>
                <w:i/>
              </w:rPr>
              <w:t>Notes</w:t>
            </w:r>
            <w:r>
              <w:t xml:space="preserve"> the overall structure of four MFF headings, as proposed by the Commission, down from seven headings in the current MFF; notes with concern that the Commission proposes to reduce the number of EU programmes from 60 to 19, introducing a lack of clarity regarding objectives and budgetary nomenclature; </w:t>
            </w:r>
            <w:r>
              <w:rPr>
                <w:b/>
                <w:i/>
              </w:rPr>
              <w:t>stresses that Parliament’s position on the structure of these new MFF programmes will be determined during the co-decision procedure for the relevant sectoral legislative acts;</w:t>
            </w:r>
            <w:r>
              <w:t xml:space="preserve"> insists that the proposed budget nomenclature must reflect the specific objectives of each programme, with a view to ensuring transparency and accountability and providing the budgetary authority with the information necessary to establish the annual budget and oversee its implementation;</w:t>
            </w:r>
          </w:p>
        </w:tc>
        <w:tc>
          <w:tcPr>
            <w:tcW w:w="4876" w:type="dxa"/>
            <w:tcBorders>
              <w:top w:val="nil"/>
              <w:left w:val="nil"/>
              <w:bottom w:val="nil"/>
              <w:right w:val="nil"/>
            </w:tcBorders>
          </w:tcPr>
          <w:p>
            <w:pPr>
              <w:pStyle w:val="Normal6a"/>
            </w:pPr>
            <w:r>
              <w:t>33.</w:t>
            </w:r>
            <w:r>
              <w:tab/>
            </w:r>
            <w:r>
              <w:rPr>
                <w:b/>
                <w:i/>
              </w:rPr>
              <w:t>Condemns</w:t>
            </w:r>
            <w:r>
              <w:t xml:space="preserve"> the overall structure of four MFF headings, as proposed by the Commission, down from seven headings in the current MFF; notes with concern that the Commission proposes to reduce the number of EU programmes from 60 to 19, introducing a lack of clarity regarding objectives and budgetary nomenclature; insists that the proposed budget nomenclature must reflect the specific objectives of each programme, with a view to ensuring transparency and accountability and providing the budgetary authority with the information necessary to establish the annual budget and oversee its implementation;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802</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Notes the overall structure of four MFF headings, as proposed by the Commission, down from seven headings in the current MFF; notes </w:t>
            </w:r>
            <w:r>
              <w:rPr>
                <w:b/>
                <w:i/>
              </w:rPr>
              <w:t>with concern</w:t>
            </w:r>
            <w:r>
              <w:t xml:space="preserve"> that the Commission proposes to reduce the number of EU programmes from 60 to 19, introducing a lack of clarity </w:t>
            </w:r>
            <w:r>
              <w:rPr>
                <w:b/>
                <w:i/>
              </w:rPr>
              <w:t>regarding</w:t>
            </w:r>
            <w:r>
              <w:t xml:space="preserve"> objectives and budgetary nomenclature; stresses that Parliament’s position on the structure of these new MFF programmes will be determined during the co-decision procedure for the relevant sectoral legislative acts; insists that the proposed budget nomenclature must reflect the specific objectives of each programme, with a view to ensuring transparency and accountability and providing the budgetary authority with the information necessary to establish the annual budget and oversee its implementation;</w:t>
            </w:r>
          </w:p>
        </w:tc>
        <w:tc>
          <w:tcPr>
            <w:tcW w:w="4876" w:type="dxa"/>
            <w:tcBorders>
              <w:top w:val="nil"/>
              <w:left w:val="nil"/>
              <w:bottom w:val="nil"/>
              <w:right w:val="nil"/>
            </w:tcBorders>
          </w:tcPr>
          <w:p>
            <w:pPr>
              <w:pStyle w:val="Normal6a"/>
            </w:pPr>
            <w:r>
              <w:t>33.</w:t>
            </w:r>
            <w:r>
              <w:tab/>
            </w:r>
            <w:r>
              <w:t xml:space="preserve">Notes the overall structure of four MFF headings, as proposed by the Commission, down from seven headings in the current MFF; notes that the Commission proposes to reduce the number of EU programmes from 60 to 19, introducing a lack of clarity </w:t>
            </w:r>
            <w:r>
              <w:rPr>
                <w:b/>
                <w:i/>
              </w:rPr>
              <w:t>between</w:t>
            </w:r>
            <w:r>
              <w:t xml:space="preserve"> objectives and budgetary nomenclature; stresses that Parliament’s position on the structure of these new MFF programmes will be determined during the co-decision procedure for the relevant sectoral legislative acts; insists that the proposed budget nomenclature </w:t>
            </w:r>
            <w:r>
              <w:rPr>
                <w:b/>
                <w:i/>
              </w:rPr>
              <w:t>as well as the amounts programmed on the lines</w:t>
            </w:r>
            <w:r>
              <w:t xml:space="preserve"> must reflect </w:t>
            </w:r>
            <w:r>
              <w:rPr>
                <w:b/>
                <w:i/>
              </w:rPr>
              <w:t>all</w:t>
            </w:r>
            <w:r>
              <w:t xml:space="preserve"> the specific objectives of </w:t>
            </w:r>
            <w:r>
              <w:rPr>
                <w:b/>
                <w:i/>
              </w:rPr>
              <w:t>and within</w:t>
            </w:r>
            <w:r>
              <w:t xml:space="preserve"> each programme, with a view to ensuring transparency </w:t>
            </w:r>
            <w:r>
              <w:rPr>
                <w:b/>
                <w:i/>
              </w:rPr>
              <w:t>predictability</w:t>
            </w:r>
            <w:r>
              <w:t xml:space="preserve"> and accountability and providing the budgetary authority with the information necessary to establish the annual budget and oversee its implementation;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803</w:t>
      </w:r>
      <w:r>
        <w:rPr>
          <w:rStyle w:val="HideTWBExt"/>
        </w:rPr>
        <w:t>&lt;/NumAm&gt;</w:t>
      </w:r>
    </w:p>
    <w:p>
      <w:pPr>
        <w:pStyle w:val="NormalBold"/>
      </w:pPr>
      <w:r>
        <w:rPr>
          <w:rStyle w:val="HideTWBExt"/>
          <w:b w:val="0"/>
        </w:rPr>
        <w:t>&lt;RepeatBlock-By&gt;</w:t>
      </w:r>
      <w:r>
        <w:rPr>
          <w:rStyle w:val="HideTWBExt"/>
          <w:b w:val="0"/>
        </w:rPr>
        <w:t>&lt;Members&gt;</w:t>
      </w:r>
      <w:r>
        <w:t>Fabienne Keller,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Notes the overall structure of four MFF headings, as proposed by the Commission, down from seven headings in the current MFF; notes with concern that the Commission proposes to reduce the number of EU programmes from 60 to 19, introducing a lack of clarity regarding objectives and budgetary nomenclature; stresses that Parliament’s position on the structure of these new MFF programmes will be determined during the co-decision procedure for the relevant sectoral legislative acts; insists that the proposed budget nomenclature must reflect </w:t>
            </w:r>
            <w:r>
              <w:rPr>
                <w:b/>
                <w:i/>
              </w:rPr>
              <w:t>the</w:t>
            </w:r>
            <w:r>
              <w:t xml:space="preserve"> specific objectives </w:t>
            </w:r>
            <w:r>
              <w:rPr>
                <w:b/>
                <w:i/>
              </w:rPr>
              <w:t>of</w:t>
            </w:r>
            <w:r>
              <w:t xml:space="preserve"> each programme, with a view to ensuring transparency and accountability and providing the budgetary authority with the information necessary to establish the annual budget and oversee its implementation;</w:t>
            </w:r>
          </w:p>
        </w:tc>
        <w:tc>
          <w:tcPr>
            <w:tcW w:w="4876" w:type="dxa"/>
            <w:tcBorders>
              <w:top w:val="nil"/>
              <w:left w:val="nil"/>
              <w:bottom w:val="nil"/>
              <w:right w:val="nil"/>
            </w:tcBorders>
          </w:tcPr>
          <w:p>
            <w:pPr>
              <w:pStyle w:val="Normal6a"/>
            </w:pPr>
            <w:r>
              <w:t>33.</w:t>
            </w:r>
            <w:r>
              <w:tab/>
            </w:r>
            <w:r>
              <w:t xml:space="preserve">Notes the overall structure of four MFF headings, as proposed by the Commission, down from seven headings in the current MFF; notes with concern that the Commission proposes to reduce the number of EU programmes from 60 to 19, introducing a lack of clarity regarding objectives and budgetary nomenclature; stresses that Parliament’s position on the structure of these new MFF programmes will be determined during the co-decision procedure for the relevant sectoral legislative acts; insists that the proposed budget nomenclature must reflect </w:t>
            </w:r>
            <w:r>
              <w:rPr>
                <w:b/>
                <w:i/>
              </w:rPr>
              <w:t>all</w:t>
            </w:r>
            <w:r>
              <w:t xml:space="preserve"> specific objectives </w:t>
            </w:r>
            <w:r>
              <w:rPr>
                <w:b/>
                <w:i/>
              </w:rPr>
              <w:t>as well as amounts programmed in budget lines for</w:t>
            </w:r>
            <w:r>
              <w:t xml:space="preserve"> each programme, with a view to ensuring transparency and accountability and providing the budgetary authority with the information necessary to establish the annual budget and oversee its implementation;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804</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rPr>
                <w:b/>
                <w:i/>
              </w:rPr>
              <w:t>Notes</w:t>
            </w:r>
            <w:r>
              <w:t xml:space="preserve"> the overall structure of four MFF headings, as proposed by the Commission, down from seven headings in the current MFF; notes with concern that the Commission proposes to reduce the number of EU programmes from 60 to 19, introducing a lack of clarity regarding objectives and budgetary nomenclature; stresses that Parliament’s position on the structure of these new MFF programmes will be determined during the co-decision procedure for the relevant sectoral legislative acts; insists that the proposed budget nomenclature must reflect the specific objectives of each programme, with a view to ensuring transparency and accountability and providing the budgetary authority with the information necessary to establish the annual budget and oversee its implementation;</w:t>
            </w:r>
          </w:p>
        </w:tc>
        <w:tc>
          <w:tcPr>
            <w:tcW w:w="4876" w:type="dxa"/>
            <w:tcBorders>
              <w:top w:val="nil"/>
              <w:left w:val="nil"/>
              <w:bottom w:val="nil"/>
              <w:right w:val="nil"/>
            </w:tcBorders>
          </w:tcPr>
          <w:p>
            <w:pPr>
              <w:pStyle w:val="Normal6a"/>
            </w:pPr>
            <w:r>
              <w:t>33.</w:t>
            </w:r>
            <w:r>
              <w:tab/>
            </w:r>
            <w:r>
              <w:rPr>
                <w:b/>
                <w:i/>
              </w:rPr>
              <w:t>Opposes</w:t>
            </w:r>
            <w:r>
              <w:t xml:space="preserve"> the overall structure of four MFF headings, as proposed by the Commission, down from seven headings in the current MFF; notes with concern that the Commission proposes to reduce the number of EU programmes from 60 to 19, introducing a lack of clarity regarding objectives and budgetary nomenclature; stresses that Parliament’s position on the structure of these new MFF programmes will be determined during the co-decision procedure for the relevant sectoral legislative acts; insists that the proposed budget nomenclature must reflect the specific objectives of each programme, with a view to ensuring transparency and accountability and providing the budgetary authority with the information necessary to establish the annual budget and oversee its implementation;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805</w:t>
      </w:r>
      <w:r>
        <w:rPr>
          <w:rStyle w:val="HideTWBExt"/>
        </w:rPr>
        <w:t>&lt;/NumAm&gt;</w:t>
      </w:r>
    </w:p>
    <w:p>
      <w:pPr>
        <w:pStyle w:val="NormalBold"/>
      </w:pPr>
      <w:r>
        <w:rPr>
          <w:rStyle w:val="HideTWBExt"/>
          <w:b w:val="0"/>
        </w:rPr>
        <w:t>&lt;RepeatBlock-By&gt;</w:t>
      </w:r>
      <w:r>
        <w:rPr>
          <w:rStyle w:val="HideTWBExt"/>
          <w:b w:val="0"/>
        </w:rPr>
        <w:t>&lt;Members&gt;</w:t>
      </w:r>
      <w:r>
        <w:t>Anouk Van Brug,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rPr>
                <w:b/>
                <w:i/>
              </w:rPr>
              <w:t>Notes the</w:t>
            </w:r>
            <w:r>
              <w:t xml:space="preserve"> overall structure of four MFF headings, as proposed by the Commission, down from seven headings in the current MFF; notes </w:t>
            </w:r>
            <w:r>
              <w:rPr>
                <w:b/>
                <w:i/>
              </w:rPr>
              <w:t>with concern</w:t>
            </w:r>
            <w:r>
              <w:t xml:space="preserve"> that the Commission proposes to reduce the number of EU programmes from 60 to 19, introducing a lack of clarity regarding objectives and budgetary nomenclature; stresses that Parliament’s position on the structure of these new MFF programmes will be determined during the co-decision procedure for the relevant sectoral legislative acts; insists that the proposed budget nomenclature must reflect the specific objectives of each programme, with a view to ensuring transparency and accountability and providing the budgetary authority with the information necessary to establish the annual budget and oversee its implementation;</w:t>
            </w:r>
          </w:p>
        </w:tc>
        <w:tc>
          <w:tcPr>
            <w:tcW w:w="4876" w:type="dxa"/>
            <w:tcBorders>
              <w:top w:val="nil"/>
              <w:left w:val="nil"/>
              <w:bottom w:val="nil"/>
              <w:right w:val="nil"/>
            </w:tcBorders>
          </w:tcPr>
          <w:p>
            <w:pPr>
              <w:pStyle w:val="Normal6a"/>
            </w:pPr>
            <w:r>
              <w:t>33.</w:t>
            </w:r>
            <w:r>
              <w:tab/>
            </w:r>
            <w:r>
              <w:rPr>
                <w:b/>
                <w:i/>
              </w:rPr>
              <w:t>Welcomes the simplified</w:t>
            </w:r>
            <w:r>
              <w:t xml:space="preserve"> overall structure of four MFF headings, as proposed by the Commission, down from seven headings in the current MFF; notes that the Commission proposes to reduce the number of EU programmes from 60 to 19, introducing a lack of clarity regarding objectives and budgetary nomenclature; stresses that Parliament’s position on the structure of these new MFF programmes will be determined during the co-decision procedure for the relevant sectoral legislative acts; insists that the proposed budget nomenclature must reflect the specific objectives of each programme, with a view to ensuring transparency and accountability and providing the budgetary authority with the information necessary to establish the annual budget and oversee its implementation;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806</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Deplores, in this regard, the fact that the budgetary nomenclature proposed in the sectoral legislation is woefully inadequate; </w:t>
            </w:r>
            <w:r>
              <w:rPr>
                <w:b/>
                <w:i/>
              </w:rPr>
              <w:t>calls on the Commission to take note of the detailed nomenclature for the four headings accompanying this report to be used as a basis for further discussions, without pre-empting the outcome of the respective ordinary legislative procedures;</w:t>
            </w:r>
          </w:p>
        </w:tc>
        <w:tc>
          <w:tcPr>
            <w:tcW w:w="4876" w:type="dxa"/>
            <w:tcBorders>
              <w:top w:val="nil"/>
              <w:left w:val="nil"/>
              <w:bottom w:val="nil"/>
              <w:right w:val="nil"/>
            </w:tcBorders>
          </w:tcPr>
          <w:p>
            <w:pPr>
              <w:pStyle w:val="Normal6a"/>
            </w:pPr>
            <w:r>
              <w:t>34.</w:t>
            </w:r>
            <w:r>
              <w:tab/>
            </w:r>
            <w:r>
              <w:t>Deplores, in this regard, the fact that the budgetary nomenclature proposed in the sectoral legislation is woefully inadequate;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807</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Deplores, in this regard, the fact that the budgetary nomenclature proposed in the sectoral legislation is woefully inadequate; </w:t>
            </w:r>
            <w:r>
              <w:rPr>
                <w:b/>
                <w:i/>
              </w:rPr>
              <w:t>calls on the Commission to take note of the detailed nomenclature for the four headings accompanying this report to be used as a basis for further discussions, without pre-empting the outcome of the respective ordinary legislative procedures;</w:t>
            </w:r>
          </w:p>
        </w:tc>
        <w:tc>
          <w:tcPr>
            <w:tcW w:w="4876" w:type="dxa"/>
            <w:tcBorders>
              <w:top w:val="nil"/>
              <w:left w:val="nil"/>
              <w:bottom w:val="nil"/>
              <w:right w:val="nil"/>
            </w:tcBorders>
          </w:tcPr>
          <w:p>
            <w:pPr>
              <w:pStyle w:val="Normal6a"/>
            </w:pPr>
            <w:r>
              <w:t>34.</w:t>
            </w:r>
            <w:r>
              <w:tab/>
            </w:r>
            <w:r>
              <w:t>Deplores, in this regard, the fact that the budgetary nomenclature proposed in the sectoral legislation is woefully inadequate;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808</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Deplores, in this regard, the fact that the budgetary nomenclature proposed in the sectoral legislation is woefully inadequate; calls on the Commission to take note of the detailed nomenclature for the four headings accompanying this report to be used as a basis for further discussions, without pre-empting the outcome of the respective ordinary legislative procedures;</w:t>
            </w:r>
          </w:p>
        </w:tc>
        <w:tc>
          <w:tcPr>
            <w:tcW w:w="4876" w:type="dxa"/>
            <w:tcBorders>
              <w:top w:val="nil"/>
              <w:left w:val="nil"/>
              <w:bottom w:val="nil"/>
              <w:right w:val="nil"/>
            </w:tcBorders>
          </w:tcPr>
          <w:p>
            <w:pPr>
              <w:pStyle w:val="Normal6a"/>
            </w:pPr>
            <w:r>
              <w:t>34.</w:t>
            </w:r>
            <w:r>
              <w:tab/>
            </w:r>
            <w:r>
              <w:t>Deplores, in this regard, the fact that the budgetary nomenclature proposed in the sectoral legislation is woefully inadequate</w:t>
            </w:r>
            <w:r>
              <w:rPr>
                <w:b/>
                <w:i/>
              </w:rPr>
              <w:t>, stresses that budgetary nomenclature is not merely a technical issue, but also a political instrument that directly shapes the level of transparency and accountability</w:t>
            </w:r>
            <w:r>
              <w:t>; calls on the Commission to take note of the detailed nomenclature for the four headings accompanying this report to be used as a basis for further discussions, without pre-empting the outcome of the respective ordinary legislative procedures;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809</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 a.</w:t>
            </w:r>
            <w:r>
              <w:tab/>
            </w:r>
            <w:r>
              <w:rPr>
                <w:b/>
                <w:i/>
              </w:rPr>
              <w:t>Insists that the nomenclature must remain sufficiently detailed to reflect programme objectives set out in the basic acts, preserve the visibility of EU actions in all policy objetives and priorities and enable Parliament to fully exercise its scrutiny role throughout the annual budgetary procedure, during implementation and discharge procedure; underlines that in all programmes, particularly for Erasmus+ and AgoraEU, this requires budget lines structured by area or strand, comparable to the 2021 - 2027 MFF, and the addition of clearly identifiable lines for resilience, security and defence, in all relevant programmes;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810</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 a.</w:t>
            </w:r>
            <w:r>
              <w:tab/>
            </w:r>
            <w:r>
              <w:rPr>
                <w:b/>
                <w:i/>
              </w:rPr>
              <w:t>Deplores, in this regard, the fact that the budgetary nomenclature proposed in the sectoral legislation is woefully inadequate; calls on the Commission to take note of the detailed nomenclature to be used as a basis for further discussions, without pre-empting the outcome of the respective ordinary legislative procedures; underlines that the simplification of the budgetary structure must not come at the expense of transparency or the ability of the budgetary authority to exert efficient scrutiny and to take informed decisions;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811</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 b.</w:t>
            </w:r>
            <w:r>
              <w:tab/>
            </w:r>
            <w:r>
              <w:rPr>
                <w:b/>
                <w:i/>
              </w:rPr>
              <w:t>Stresses that, in the case of Global Europe, the budgetary nomenclature should sufficiently reflect the specific objectives of the different policies constituting the Instrument; requests a more detailed nomenclature on enlargement with as a minimum one budget line per country; reminds that the main approach for actions financed under Global Europe should be through geographic programmable actions and therefore the proportion of geographic programmable funding should reflect this principle in order to reinforce predictability while the applicable proportions should be defined in the Global Europe Regulation; recalls that non-programmable actions should be complementary to programmable actions, while humanitarian aid is to retain its neutrality, impartiality, independence and needs-based nature;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812</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Notes that budgetary transfers under the Financial Regulation</w:t>
            </w:r>
            <w:r>
              <w:rPr>
                <w:vertAlign w:val="superscript"/>
              </w:rPr>
              <w:t>3</w:t>
            </w:r>
            <w:r>
              <w:t xml:space="preserve">already provide flexibility during budget implementation; stresses that the Commission can currently transfer considerable amounts between policy areas without budgetary authority approval, limiting oversight; in the absence of a sufficiently detailed budget structure, calls for new rules setting both a maximum amount and percentage per budget line for transfers without approval; </w:t>
            </w:r>
            <w:r>
              <w:rPr>
                <w:b/>
                <w:i/>
              </w:rPr>
              <w:t>considers</w:t>
            </w:r>
            <w:r>
              <w:t xml:space="preserve"> that transfers from other Union institutions below a certain threshold </w:t>
            </w:r>
            <w:r>
              <w:rPr>
                <w:b/>
                <w:i/>
              </w:rPr>
              <w:t>could be exempted</w:t>
            </w:r>
            <w:r>
              <w:t xml:space="preserve"> from the objection procedure </w:t>
            </w:r>
            <w:r>
              <w:rPr>
                <w:b/>
                <w:i/>
              </w:rPr>
              <w:t>as a</w:t>
            </w:r>
            <w:r>
              <w:t xml:space="preserve"> simplification </w:t>
            </w:r>
            <w:r>
              <w:rPr>
                <w:b/>
                <w:i/>
              </w:rPr>
              <w:t>measure</w:t>
            </w:r>
            <w:r>
              <w:t>;</w:t>
            </w:r>
          </w:p>
        </w:tc>
        <w:tc>
          <w:tcPr>
            <w:tcW w:w="4876" w:type="dxa"/>
            <w:tcBorders>
              <w:top w:val="nil"/>
              <w:left w:val="nil"/>
              <w:bottom w:val="nil"/>
              <w:right w:val="nil"/>
            </w:tcBorders>
          </w:tcPr>
          <w:p>
            <w:pPr>
              <w:pStyle w:val="Normal6a"/>
            </w:pPr>
            <w:r>
              <w:t>35.</w:t>
            </w:r>
            <w:r>
              <w:tab/>
            </w:r>
            <w:r>
              <w:t>Notes that budgetary transfers under the Financial Regulation</w:t>
            </w:r>
            <w:r>
              <w:rPr>
                <w:vertAlign w:val="superscript"/>
              </w:rPr>
              <w:t>3</w:t>
            </w:r>
            <w:r>
              <w:t xml:space="preserve"> already provide flexibility during budget implementation; stresses that the Commission can currently transfer considerable amounts between policy areas without budgetary authority approval, limiting oversight; in the absence of a sufficiently detailed budget structure, calls for new rules setting both a maximum amount and percentage per budget line for transfers without approval; </w:t>
            </w:r>
            <w:r>
              <w:rPr>
                <w:b/>
                <w:i/>
              </w:rPr>
              <w:t>emphasises</w:t>
            </w:r>
            <w:r>
              <w:t xml:space="preserve"> that transfers from other Union institutions</w:t>
            </w:r>
            <w:r>
              <w:rPr>
                <w:b/>
                <w:i/>
              </w:rPr>
              <w:t>, including those</w:t>
            </w:r>
            <w:r>
              <w:t xml:space="preserve"> below a certain threshold</w:t>
            </w:r>
            <w:r>
              <w:rPr>
                <w:b/>
                <w:i/>
              </w:rPr>
              <w:t>, must remain fully subject to strict requirements as regards transparency, traceability and reporting to the budgetary authority;</w:t>
            </w:r>
            <w:r>
              <w:t xml:space="preserve"> </w:t>
            </w:r>
            <w:r>
              <w:rPr>
                <w:b/>
                <w:i/>
              </w:rPr>
              <w:t>takes the view that any exemption</w:t>
            </w:r>
            <w:r>
              <w:t xml:space="preserve"> from the objection procedure</w:t>
            </w:r>
            <w:r>
              <w:rPr>
                <w:b/>
                <w:i/>
              </w:rPr>
              <w:t>, even for reasons of administrative</w:t>
            </w:r>
            <w:r>
              <w:t xml:space="preserve"> simplification</w:t>
            </w:r>
            <w:r>
              <w:rPr>
                <w:b/>
                <w:i/>
              </w:rPr>
              <w:t>, might weaken parliamentary scrutiny and the transparency of budget implementation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Regulation (EU, Euratom) 2018/1046 of the European Parliament and of the Council of 18 July 2018 on the financial rules applicable to the general budget of the Union, amending Regulations (EU) No 1296/2013, (EU) No 1301/2013, (EU) No 1303/2013, (EU) No 1304/2013, (EU) No 1309/2013, (EU) No 1316/2013, (EU) No 223/2014, (EU) No 283/2014, and Decision No 541/2014/EU and repealing Regulation (EU, Euratom) No 966/2012 (OJ L 193, 30.7.2018, p. 1, ELI: http://data.europa.eu/eli/reg/2018/1046/oj).</w:t>
            </w:r>
          </w:p>
        </w:tc>
        <w:tc>
          <w:tcPr>
            <w:tcW w:w="4876" w:type="dxa"/>
            <w:tcBorders>
              <w:top w:val="nil"/>
              <w:left w:val="nil"/>
              <w:bottom w:val="nil"/>
              <w:right w:val="nil"/>
            </w:tcBorders>
          </w:tcPr>
          <w:p>
            <w:pPr>
              <w:pStyle w:val="Normal6a"/>
            </w:pPr>
            <w:r>
              <w:rPr>
                <w:vertAlign w:val="superscript"/>
              </w:rPr>
              <w:t>3</w:t>
            </w:r>
            <w:r>
              <w:t xml:space="preserve"> </w:t>
            </w:r>
            <w:r>
              <w:t>Regulation (EU, Euratom) 2018/1046 of the European Parliament and of the Council of 18 July 2018 on the financial rules applicable to the general budget of the Union, amending Regulations (EU) No 1296/2013, (EU) No 1301/2013, (EU) No 1303/2013, (EU) No 1304/2013, (EU) No 1309/2013, (EU) No 1316/2013, (EU) No 223/2014, (EU) No 283/2014, and Decision No 541/2014/EU and repealing Regulation (EU, Euratom) No 966/2012 (OJ L 193, 30.7.2018, p. 1, ELI: http://data.europa.eu/eli/reg/2018/1046/oj).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813</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Notes that budgetary transfers under the Financial Regulation</w:t>
            </w:r>
            <w:r>
              <w:rPr>
                <w:vertAlign w:val="superscript"/>
              </w:rPr>
              <w:t>3</w:t>
            </w:r>
            <w:r>
              <w:t xml:space="preserve"> already provide flexibility during budget implementation; stresses that the Commission can currently transfer considerable amounts between policy areas without budgetary authority approval, limiting oversight; </w:t>
            </w:r>
            <w:r>
              <w:rPr>
                <w:b/>
                <w:i/>
              </w:rPr>
              <w:t>in the absence of a sufficiently detailed budget structure,</w:t>
            </w:r>
            <w:r>
              <w:t xml:space="preserve"> calls for new rules setting both a maximum amount and percentage per budget line for transfers without approval; considers that transfers from other Union institutions below a certain threshold could be exempted from the objection procedure as a simplification measure;</w:t>
            </w:r>
          </w:p>
        </w:tc>
        <w:tc>
          <w:tcPr>
            <w:tcW w:w="4876" w:type="dxa"/>
            <w:tcBorders>
              <w:top w:val="nil"/>
              <w:left w:val="nil"/>
              <w:bottom w:val="nil"/>
              <w:right w:val="nil"/>
            </w:tcBorders>
          </w:tcPr>
          <w:p>
            <w:pPr>
              <w:pStyle w:val="Normal6a"/>
            </w:pPr>
            <w:r>
              <w:t>35.</w:t>
            </w:r>
            <w:r>
              <w:tab/>
            </w:r>
            <w:r>
              <w:t>Notes that budgetary transfers under the Financial Regulation</w:t>
            </w:r>
            <w:r>
              <w:rPr>
                <w:vertAlign w:val="superscript"/>
              </w:rPr>
              <w:t>3</w:t>
            </w:r>
            <w:r>
              <w:t xml:space="preserve"> already provide flexibility during budget implementation; stresses that the Commission can currently transfer considerable amounts between policy areas without budgetary authority approval, limiting oversight; calls for new rules setting both a maximum amount and percentage per budget line for transfers without approval </w:t>
            </w:r>
            <w:r>
              <w:rPr>
                <w:b/>
                <w:i/>
              </w:rPr>
              <w:t>to accompany the more detailed budgetary nomenclature as indicatively set out in Annex 3 of this report</w:t>
            </w:r>
            <w:r>
              <w:t>; considers that transfers from other Union institutions below a certain threshold could be exempted from the objection procedure as a simplification measure;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Regulation (EU, Euratom) 2018/1046 of the European Parliament and of the Council of 18 July 2018 on the financial rules applicable to the general budget of the Union, amending Regulations (EU) No 1296/2013, (EU) No 1301/2013, (EU) No 1303/2013, (EU) No 1304/2013, (EU) No 1309/2013, (EU) No 1316/2013, (EU) No 223/2014, (EU) No 283/2014, and Decision No 541/2014/EU and repealing Regulation (EU, Euratom) No 966/2012 (OJ L 193, 30.7.2018, p. 1, ELI: http://data.europa.eu/eli/reg/2018/1046/oj).</w:t>
            </w:r>
          </w:p>
        </w:tc>
        <w:tc>
          <w:tcPr>
            <w:tcW w:w="4876" w:type="dxa"/>
            <w:tcBorders>
              <w:top w:val="nil"/>
              <w:left w:val="nil"/>
              <w:bottom w:val="nil"/>
              <w:right w:val="nil"/>
            </w:tcBorders>
          </w:tcPr>
          <w:p>
            <w:pPr>
              <w:pStyle w:val="Normal6a"/>
            </w:pPr>
            <w:r>
              <w:rPr>
                <w:vertAlign w:val="superscript"/>
              </w:rPr>
              <w:t>3</w:t>
            </w:r>
            <w:r>
              <w:t xml:space="preserve"> </w:t>
            </w:r>
            <w:r>
              <w:t>Regulation (EU, Euratom) 2018/1046 of the European Parliament and of the Council of 18 July 2018 on the financial rules applicable to the general budget of the Union, amending Regulations (EU) No 1296/2013, (EU) No 1301/2013, (EU) No 1303/2013, (EU) No 1304/2013, (EU) No 1309/2013, (EU) No 1316/2013, (EU) No 223/2014, (EU) No 283/2014, and Decision No 541/2014/EU and repealing Regulation (EU, Euratom) No 966/2012 (OJ L 193, 30.7.2018, p. 1, ELI: http://data.europa.eu/eli/reg/2018/1046/oj).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814</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Notes that budgetary transfers under the Financial Regulation</w:t>
            </w:r>
            <w:r>
              <w:rPr>
                <w:vertAlign w:val="superscript"/>
              </w:rPr>
              <w:t>3</w:t>
            </w:r>
            <w:r>
              <w:t xml:space="preserve">already provide flexibility during budget implementation; stresses that the Commission can currently transfer considerable amounts between policy areas without budgetary authority approval, limiting oversight; </w:t>
            </w:r>
            <w:r>
              <w:rPr>
                <w:b/>
                <w:i/>
              </w:rPr>
              <w:t>in the absence of</w:t>
            </w:r>
            <w:r>
              <w:t xml:space="preserve"> a sufficiently detailed budget structure, </w:t>
            </w:r>
            <w:r>
              <w:rPr>
                <w:b/>
                <w:i/>
              </w:rPr>
              <w:t>calls for</w:t>
            </w:r>
            <w:r>
              <w:t xml:space="preserve"> new rules setting both a maximum amount and percentage per budget line for transfers without approval; considers that transfers from other Union institutions below a certain threshold could be exempted from the objection procedure as a simplification measure;</w:t>
            </w:r>
          </w:p>
        </w:tc>
        <w:tc>
          <w:tcPr>
            <w:tcW w:w="4876" w:type="dxa"/>
            <w:tcBorders>
              <w:top w:val="nil"/>
              <w:left w:val="nil"/>
              <w:bottom w:val="nil"/>
              <w:right w:val="nil"/>
            </w:tcBorders>
          </w:tcPr>
          <w:p>
            <w:pPr>
              <w:pStyle w:val="Normal6a"/>
            </w:pPr>
            <w:r>
              <w:t>35.</w:t>
            </w:r>
            <w:r>
              <w:tab/>
            </w:r>
            <w:r>
              <w:t>Notes that budgetary transfers under the Financial Regulation</w:t>
            </w:r>
            <w:r>
              <w:rPr>
                <w:vertAlign w:val="superscript"/>
              </w:rPr>
              <w:t>3</w:t>
            </w:r>
            <w:r>
              <w:t xml:space="preserve"> already provide flexibility during budget implementation; stresses that the Commission can currently transfer considerable amounts between policy areas without budgetary authority approval, limiting oversight; </w:t>
            </w:r>
            <w:r>
              <w:rPr>
                <w:b/>
                <w:i/>
              </w:rPr>
              <w:t>calls for</w:t>
            </w:r>
            <w:r>
              <w:t xml:space="preserve"> a sufficiently detailed budget structure, </w:t>
            </w:r>
            <w:r>
              <w:rPr>
                <w:b/>
                <w:i/>
              </w:rPr>
              <w:t>which should be adopted without prejudice to</w:t>
            </w:r>
            <w:r>
              <w:t xml:space="preserve"> new rules setting both a maximum amount and percentage per budget line for transfers without approval; considers that transfers from other Union institutions below a certain threshold could be exempted from the objection procedure as a simplification measure;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Regulation (EU, Euratom) 2018/1046 of the European Parliament and of the Council of 18 July 2018 on the financial rules applicable to the general budget of the Union, amending Regulations (EU) No 1296/2013, (EU) No 1301/2013, (EU) No 1303/2013, (EU) No 1304/2013, (EU) No 1309/2013, (EU) No 1316/2013, (EU) No 223/2014, (EU) No 283/2014, and Decision No 541/2014/EU and repealing Regulation (EU, Euratom) No 966/2012 (OJ L 193, 30.7.2018, p. 1, ELI: http://data.europa.eu/eli/reg/2018/1046/oj).</w:t>
            </w:r>
          </w:p>
        </w:tc>
        <w:tc>
          <w:tcPr>
            <w:tcW w:w="4876" w:type="dxa"/>
            <w:tcBorders>
              <w:top w:val="nil"/>
              <w:left w:val="nil"/>
              <w:bottom w:val="nil"/>
              <w:right w:val="nil"/>
            </w:tcBorders>
          </w:tcPr>
          <w:p>
            <w:pPr>
              <w:pStyle w:val="Normal6a"/>
            </w:pPr>
            <w:r>
              <w:rPr>
                <w:vertAlign w:val="superscript"/>
              </w:rPr>
              <w:t>3</w:t>
            </w:r>
            <w:r>
              <w:t xml:space="preserve"> </w:t>
            </w:r>
            <w:r>
              <w:t>Regulation (EU, Euratom) 2018/1046 of the European Parliament and of the Council of 18 July 2018 on the financial rules applicable to the general budget of the Union, amending Regulations (EU) No 1296/2013, (EU) No 1301/2013, (EU) No 1303/2013, (EU) No 1304/2013, (EU) No 1309/2013, (EU) No 1316/2013, (EU) No 223/2014, (EU) No 283/2014, and Decision No 541/2014/EU and repealing Regulation (EU, Euratom) No 966/2012 (OJ L 193, 30.7.2018, p. 1, ELI: http://data.europa.eu/eli/reg/2018/1046/oj).</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815</w:t>
      </w:r>
      <w:r>
        <w:rPr>
          <w:rStyle w:val="HideTWBExt"/>
        </w:rPr>
        <w:t>&lt;/NumAm&gt;</w:t>
      </w:r>
    </w:p>
    <w:p>
      <w:pPr>
        <w:pStyle w:val="NormalBold"/>
      </w:pPr>
      <w:r>
        <w:rPr>
          <w:rStyle w:val="HideTWBExt"/>
          <w:b w:val="0"/>
        </w:rPr>
        <w:t>&lt;RepeatBlock-By&gt;</w:t>
      </w:r>
      <w:r>
        <w:rPr>
          <w:rStyle w:val="HideTWBExt"/>
          <w:b w:val="0"/>
        </w:rPr>
        <w:t>&lt;Members&gt;</w:t>
      </w:r>
      <w:r>
        <w:t>Anouk Van Brug, Katri Kulmuni, Moritz Körner, Joachim Streit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Notes that budgetary transfers under the Financial Regulation</w:t>
            </w:r>
            <w:r>
              <w:rPr>
                <w:vertAlign w:val="superscript"/>
              </w:rPr>
              <w:t>3</w:t>
            </w:r>
            <w:r>
              <w:t xml:space="preserve"> </w:t>
            </w:r>
            <w:r>
              <w:rPr>
                <w:b/>
                <w:i/>
              </w:rPr>
              <w:t>already</w:t>
            </w:r>
            <w:r>
              <w:t xml:space="preserve"> provide flexibility during budget implementation; stresses that the Commission can currently transfer considerable amounts between policy areas without budgetary authority approval, limiting oversight; in the absence of a sufficiently detailed budget structure, calls for new rules setting both a maximum amount and percentage per budget line for transfers without approval; considers that transfers from other Union institutions below a certain threshold could be exempted from the objection procedure as a simplification measure;</w:t>
            </w:r>
          </w:p>
        </w:tc>
        <w:tc>
          <w:tcPr>
            <w:tcW w:w="4876" w:type="dxa"/>
            <w:tcBorders>
              <w:top w:val="nil"/>
              <w:left w:val="nil"/>
              <w:bottom w:val="nil"/>
              <w:right w:val="nil"/>
            </w:tcBorders>
          </w:tcPr>
          <w:p>
            <w:pPr>
              <w:pStyle w:val="Normal6a"/>
            </w:pPr>
            <w:r>
              <w:t>35.</w:t>
            </w:r>
            <w:r>
              <w:tab/>
            </w:r>
            <w:r>
              <w:t>Notes that budgetary transfers under the Financial Regulation</w:t>
            </w:r>
            <w:r>
              <w:rPr>
                <w:vertAlign w:val="superscript"/>
              </w:rPr>
              <w:t>3</w:t>
            </w:r>
            <w:r>
              <w:t xml:space="preserve"> provide flexibility during budget implementation; stresses that the Commission can currently transfer considerable amounts between policy areas without budgetary authority approval, limiting oversight; in the absence of a sufficiently detailed budget structure, calls for new rules setting both a maximum amount and percentage per budget line for transfers without approval; considers that transfers from other Union institutions below a certain threshold could be exempted from the objection procedure as a simplification measure;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Regulation (EU, Euratom) 2018/1046 of the European Parliament and of the Council of 18 July 2018 on the financial rules applicable to the general budget of the Union, amending Regulations (EU) No 1296/2013, (EU) No 1301/2013, (EU) No 1303/2013, (EU) No 1304/2013, (EU) No 1309/2013, (EU) No 1316/2013, (EU) No 223/2014, (EU) No 283/2014, and Decision No 541/2014/EU and repealing Regulation (EU, Euratom) No 966/2012 (OJ L 193, 30.7.2018, p. 1, ELI: http://data.europa.eu/eli/reg/2018/1046/oj).</w:t>
            </w:r>
          </w:p>
        </w:tc>
        <w:tc>
          <w:tcPr>
            <w:tcW w:w="4876" w:type="dxa"/>
            <w:tcBorders>
              <w:top w:val="nil"/>
              <w:left w:val="nil"/>
              <w:bottom w:val="nil"/>
              <w:right w:val="nil"/>
            </w:tcBorders>
          </w:tcPr>
          <w:p>
            <w:pPr>
              <w:pStyle w:val="Normal6a"/>
            </w:pPr>
            <w:r>
              <w:rPr>
                <w:vertAlign w:val="superscript"/>
              </w:rPr>
              <w:t>3</w:t>
            </w:r>
            <w:r>
              <w:t xml:space="preserve"> </w:t>
            </w:r>
            <w:r>
              <w:t>Regulation (EU, Euratom) 2018/1046 of the European Parliament and of the Council of 18 July 2018 on the financial rules applicable to the general budget of the Union, amending Regulations (EU) No 1296/2013, (EU) No 1301/2013, (EU) No 1303/2013, (EU) No 1304/2013, (EU) No 1309/2013, (EU) No 1316/2013, (EU) No 223/2014, (EU) No 283/2014, and Decision No 541/2014/EU and repealing Regulation (EU, Euratom) No 966/2012 (OJ L 193, 30.7.2018, p. 1, ELI: http://data.europa.eu/eli/reg/2018/1046/oj).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816</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Emphasises the need for robust governance ensuring parliamentary accountability, oversight and control, alongside an effective anti-fraud architecture; rejects any approach that limits Parliament to a consultative or information-only role in the mobilisation of any instrument or fund under the next MFF; stresses that budgetary flexibility must not circumvent the prerogatives of the budgetary authority and that all redeployments, reprogramming and mobilisation of cushions or other reserves must be subject to Parliament’s approval; considers that genuine flexibility requires both rapid response capacity and democratic legitimacy, which can only be achieved through Parliament’s full participation in decisions on the allocation and use of resources;</w:t>
            </w:r>
          </w:p>
        </w:tc>
        <w:tc>
          <w:tcPr>
            <w:tcW w:w="4876" w:type="dxa"/>
            <w:tcBorders>
              <w:top w:val="nil"/>
              <w:left w:val="nil"/>
              <w:bottom w:val="nil"/>
              <w:right w:val="nil"/>
            </w:tcBorders>
          </w:tcPr>
          <w:p>
            <w:pPr>
              <w:pStyle w:val="Normal6a"/>
            </w:pPr>
            <w:r>
              <w:t>36.</w:t>
            </w:r>
            <w:r>
              <w:tab/>
            </w:r>
            <w:r>
              <w:t>Emphasises the need for robust governance ensuring parliamentary accountability, oversight and control, alongside an effective anti-fraud architecture</w:t>
            </w:r>
            <w:r>
              <w:rPr>
                <w:b/>
                <w:i/>
              </w:rPr>
              <w:t>; further raises concerns as to how the Commission will obtain sufficient assurance at EU level on the legality and regularity of expenditure, recalling that such clear assurance is indispensable for Parliament to exercise its role as discharge authority</w:t>
            </w:r>
            <w:r>
              <w:t>; rejects any approach that limits Parliament to a consultative or information-only role in the mobilisation of any instrument or fund under the next MFF; stresses that budgetary flexibility must not circumvent the prerogatives of the budgetary authority and that all redeployments, reprogramming and mobilisation of cushions or other reserves must be subject to Parliament’s approval; considers that genuine flexibility requires both rapid response capacity and democratic legitimacy, which can only be achieved through Parliament’s full participation in decisions on the allocation and use of resources;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817</w:t>
      </w:r>
      <w:r>
        <w:rPr>
          <w:rStyle w:val="HideTWBExt"/>
        </w:rPr>
        <w:t>&lt;/NumAm&gt;</w:t>
      </w:r>
    </w:p>
    <w:p>
      <w:pPr>
        <w:pStyle w:val="NormalBold"/>
      </w:pPr>
      <w:r>
        <w:rPr>
          <w:rStyle w:val="HideTWBExt"/>
          <w:b w:val="0"/>
        </w:rPr>
        <w:t>&lt;RepeatBlock-By&gt;</w:t>
      </w:r>
      <w:r>
        <w:rPr>
          <w:rStyle w:val="HideTWBExt"/>
          <w:b w:val="0"/>
        </w:rPr>
        <w:t>&lt;Members&gt;</w:t>
      </w:r>
      <w:r>
        <w:t>Anouk Van Brug, Moritz Körner, Joachim Streit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Emphasises the need for robust governance ensuring parliamentary accountability, oversight and control, alongside an effective anti-fraud architecture; </w:t>
            </w:r>
            <w:r>
              <w:rPr>
                <w:b/>
                <w:i/>
              </w:rPr>
              <w:t>rejects any approach that limits Parliament to a consultative or information-only role in</w:t>
            </w:r>
            <w:r>
              <w:t xml:space="preserve"> the mobilisation of </w:t>
            </w:r>
            <w:r>
              <w:rPr>
                <w:b/>
                <w:i/>
              </w:rPr>
              <w:t>any instrument or fund under the next MFF; stresses that budgetary flexibility must not circumvent the prerogatives of the budgetary authority and that all redeployments, reprogramming and mobilisation of cushions or other reserves must be subject to Parliament’s approval</w:t>
            </w:r>
            <w:r>
              <w:t>; considers that genuine flexibility requires both rapid response capacity and democratic legitimacy, which can only be achieved through Parliament’s full participation in decisions on the allocation and use of resources;</w:t>
            </w:r>
          </w:p>
        </w:tc>
        <w:tc>
          <w:tcPr>
            <w:tcW w:w="4876" w:type="dxa"/>
            <w:tcBorders>
              <w:top w:val="nil"/>
              <w:left w:val="nil"/>
              <w:bottom w:val="nil"/>
              <w:right w:val="nil"/>
            </w:tcBorders>
          </w:tcPr>
          <w:p>
            <w:pPr>
              <w:pStyle w:val="Normal6a"/>
            </w:pPr>
            <w:r>
              <w:t>36.</w:t>
            </w:r>
            <w:r>
              <w:tab/>
            </w:r>
            <w:r>
              <w:t xml:space="preserve">Emphasises the need for robust governance ensuring parliamentary accountability, oversight and control, alongside an effective anti-fraud architecture; </w:t>
            </w:r>
            <w:r>
              <w:rPr>
                <w:b/>
                <w:i/>
              </w:rPr>
              <w:t>reminds the Commission of the Parliament’s competences regarding</w:t>
            </w:r>
            <w:r>
              <w:t xml:space="preserve"> the mobilisation of </w:t>
            </w:r>
            <w:r>
              <w:rPr>
                <w:b/>
                <w:i/>
              </w:rPr>
              <w:t>instruments and funds as enshrined in the Treaties</w:t>
            </w:r>
            <w:r>
              <w:t>; considers that genuine flexibility requires both rapid response capacity and democratic legitimacy, which can only be achieved through Parliament’s full participation in decisions on the allocation and use of resources;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818</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a.</w:t>
            </w:r>
            <w:r>
              <w:tab/>
            </w:r>
            <w:r>
              <w:rPr>
                <w:b/>
                <w:i/>
              </w:rPr>
              <w:t>Expresses deep concern about the lack of transparency of non-governmental organisations (NGOs), especially regarding their funding; recalls ECA special report 35/2018, which highlighted the lack of transparency regarding the implementation of EU funds by NGOs; emphasises the consequent risk of money laundering and terrorist financing through non-profit organisations; recalls ECA special report 11/2025, which highlights that of more than 4 400 NGOs, 30 received more than 40 % of their total funding (i.e. EUR 3.3 billion) during the period 2014-2023, linking this to the intravenous dependence of certain NGOs on EU funding and, ultimately, with all that this implies for their activities and orientations;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819</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Expresses its concern about the lack of predictability in EU funding that might result from excessive flexibility mechanisms and recurrent redeployments; </w:t>
            </w:r>
            <w:r>
              <w:rPr>
                <w:b/>
                <w:i/>
              </w:rPr>
              <w:t>recognises the need for enhanced flexibility in allocating resources within certain programmes, but stresses that this must not compromise long-term policy objectives, funding predictability or Parliament’s prerogatives;</w:t>
            </w:r>
            <w:r>
              <w:t xml:space="preserve"> underlines that </w:t>
            </w:r>
            <w:r>
              <w:rPr>
                <w:b/>
                <w:i/>
              </w:rPr>
              <w:t>while the current MFF has suffered from insufficient flexibility to adjust to evolving priorities,</w:t>
            </w:r>
            <w:r>
              <w:t xml:space="preserve"> the next MFF must strike a better balance between investment predictability and adaptability; emphasises that certain policy areas require </w:t>
            </w:r>
            <w:r>
              <w:rPr>
                <w:b/>
                <w:i/>
              </w:rPr>
              <w:t>greater</w:t>
            </w:r>
            <w:r>
              <w:t xml:space="preserve"> funding stability </w:t>
            </w:r>
            <w:r>
              <w:rPr>
                <w:b/>
                <w:i/>
              </w:rPr>
              <w:t>than others</w:t>
            </w:r>
            <w:r>
              <w:t>; firmly rejects recurrent redeployments as a means to finance Union priorities, as they undermine programme implementation and jeopardise the delivery of agreed policy objectives;</w:t>
            </w:r>
          </w:p>
        </w:tc>
        <w:tc>
          <w:tcPr>
            <w:tcW w:w="4876" w:type="dxa"/>
            <w:tcBorders>
              <w:top w:val="nil"/>
              <w:left w:val="nil"/>
              <w:bottom w:val="nil"/>
              <w:right w:val="nil"/>
            </w:tcBorders>
          </w:tcPr>
          <w:p>
            <w:pPr>
              <w:pStyle w:val="Normal6a"/>
            </w:pPr>
            <w:r>
              <w:t>37.</w:t>
            </w:r>
            <w:r>
              <w:tab/>
            </w:r>
            <w:r>
              <w:t>Expresses its concern about the lack of predictability in EU funding that might result from excessive flexibility mechanisms and recurrent redeployments; underlines that the next MFF must strike a better balance between investment predictability and adaptability; emphasises that certain policy areas require funding stability; firmly rejects recurrent redeployments as a means to finance Union priorities, as they undermine programme implementation and jeopardise the delivery of agreed policy objectives;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820</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Expresses its concern about the lack of predictability in EU funding that might result from excessive flexibility mechanisms and recurrent redeployments; recognises the need for enhanced flexibility in allocating resources within certain programmes, but stresses that this must not compromise long-term policy objectives, funding predictability or Parliament’s prerogatives; underlines that while the current MFF has suffered from insufficient flexibility to adjust to evolving priorities, the next MFF must strike a better balance between investment predictability and adaptability; emphasises that certain policy areas require greater funding stability than others; firmly rejects recurrent redeployments as a means to finance Union priorities, as they undermine programme implementation and jeopardise the delivery of agreed policy objectives;</w:t>
            </w:r>
          </w:p>
        </w:tc>
        <w:tc>
          <w:tcPr>
            <w:tcW w:w="4876" w:type="dxa"/>
            <w:tcBorders>
              <w:top w:val="nil"/>
              <w:left w:val="nil"/>
              <w:bottom w:val="nil"/>
              <w:right w:val="nil"/>
            </w:tcBorders>
          </w:tcPr>
          <w:p>
            <w:pPr>
              <w:pStyle w:val="Normal6a"/>
            </w:pPr>
            <w:r>
              <w:t>37.</w:t>
            </w:r>
            <w:r>
              <w:tab/>
            </w:r>
            <w:r>
              <w:t xml:space="preserve">Expresses its concern about the lack of predictability in EU funding that might result from excessive flexibility mechanisms and recurrent redeployments; recognises the need for enhanced flexibility in allocating resources within certain programmes, but stresses that this must not compromise long-term policy objectives, funding predictability or Parliament’s prerogatives; underlines that while the current MFF has suffered from insufficient flexibility to adjust to evolving priorities, the next MFF must strike a better balance between investment predictability and adaptability; emphasises that certain policy areas require greater funding stability than others; firmly rejects recurrent redeployments as a means to finance Union priorities, as they undermine programme implementation and jeopardise the delivery of agreed policy objectives; </w:t>
            </w:r>
            <w:r>
              <w:rPr>
                <w:b/>
                <w:i/>
              </w:rPr>
              <w:t>stresses that flexibility instruments, including any flexibility reserve, should be strictly limited, clearly defined and used only as a last resort, and should not compensate for structural weaknesses in programme design, insufficient prioritisation or shortcomings in performance planning;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821</w:t>
      </w:r>
      <w:r>
        <w:rPr>
          <w:rStyle w:val="HideTWBExt"/>
        </w:rPr>
        <w:t>&lt;/NumAm&gt;</w:t>
      </w:r>
    </w:p>
    <w:p>
      <w:pPr>
        <w:pStyle w:val="NormalBold"/>
      </w:pPr>
      <w:r>
        <w:rPr>
          <w:rStyle w:val="HideTWBExt"/>
          <w:b w:val="0"/>
        </w:rPr>
        <w:t>&lt;RepeatBlock-By&gt;</w:t>
      </w:r>
      <w:r>
        <w:rPr>
          <w:rStyle w:val="HideTWBExt"/>
          <w:b w:val="0"/>
        </w:rPr>
        <w:t>&lt;Members&gt;</w:t>
      </w:r>
      <w:r>
        <w:t>Anouk Van Brug, Katri Kulmuni,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rPr>
                <w:b/>
                <w:i/>
              </w:rPr>
              <w:t>Expresses its concern about</w:t>
            </w:r>
            <w:r>
              <w:t xml:space="preserve"> the lack of predictability in EU funding that might result from excessive flexibility mechanisms and recurrent redeployments; recognises the need for enhanced flexibility in allocating resources within certain programmes</w:t>
            </w:r>
            <w:r>
              <w:rPr>
                <w:b/>
                <w:i/>
              </w:rPr>
              <w:t>, but stresses that this must not compromise long-term policy objectives, funding predictability or Parliament’s prerogatives</w:t>
            </w:r>
            <w:r>
              <w:t>; underlines that while the current MFF has suffered from insufficient flexibility to adjust to evolving priorities, the next MFF must strike a better balance between investment predictability and adaptability; emphasises that certain policy areas require greater funding stability than others; firmly rejects recurrent redeployments as a means to finance Union priorities, as they undermine programme implementation and jeopardise the delivery of agreed policy objectives;</w:t>
            </w:r>
          </w:p>
        </w:tc>
        <w:tc>
          <w:tcPr>
            <w:tcW w:w="4876" w:type="dxa"/>
            <w:tcBorders>
              <w:top w:val="nil"/>
              <w:left w:val="nil"/>
              <w:bottom w:val="nil"/>
              <w:right w:val="nil"/>
            </w:tcBorders>
          </w:tcPr>
          <w:p>
            <w:pPr>
              <w:pStyle w:val="Normal6a"/>
            </w:pPr>
            <w:r>
              <w:t>37.</w:t>
            </w:r>
            <w:r>
              <w:tab/>
            </w:r>
            <w:r>
              <w:rPr>
                <w:b/>
                <w:i/>
              </w:rPr>
              <w:t>Notes</w:t>
            </w:r>
            <w:r>
              <w:t xml:space="preserve"> the lack of predictability in EU funding that might result from excessive flexibility mechanisms and recurrent redeployments; recognises the need for enhanced flexibility in allocating resources within certain programmes </w:t>
            </w:r>
            <w:r>
              <w:rPr>
                <w:b/>
                <w:i/>
              </w:rPr>
              <w:t>as priorities evolve;</w:t>
            </w:r>
            <w:r>
              <w:t xml:space="preserve"> ; underlines that while the current MFF has suffered from insufficient flexibility to adjust to evolving priorities, the next MFF must strike a better balance between investment predictability and adaptability; emphasises that certain policy areas require greater funding stability than others; firmly rejects recurrent redeployments as a means to finance Union priorities, as they undermine programme implementation and jeopardise the delivery of agreed policy objectives;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822</w:t>
      </w:r>
      <w:r>
        <w:rPr>
          <w:rStyle w:val="HideTWBExt"/>
        </w:rPr>
        <w:t>&lt;/NumAm&gt;</w:t>
      </w:r>
    </w:p>
    <w:p>
      <w:pPr>
        <w:pStyle w:val="NormalBold"/>
      </w:pPr>
      <w:r>
        <w:rPr>
          <w:rStyle w:val="HideTWBExt"/>
          <w:b w:val="0"/>
        </w:rPr>
        <w:t>&lt;RepeatBlock-By&gt;</w:t>
      </w:r>
      <w:r>
        <w:rPr>
          <w:rStyle w:val="HideTWBExt"/>
          <w:b w:val="0"/>
        </w:rPr>
        <w:t>&lt;Members&gt;</w:t>
      </w:r>
      <w:r>
        <w:t>Joachim Streit,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Expresses its concern about the lack of predictability in EU funding that might result from excessive flexibility mechanisms and recurrent redeployments; recognises the need for </w:t>
            </w:r>
            <w:r>
              <w:rPr>
                <w:b/>
                <w:i/>
              </w:rPr>
              <w:t>enhanced</w:t>
            </w:r>
            <w:r>
              <w:t xml:space="preserve"> flexibility in allocating resources within certain programmes, but stresses that this must not compromise long-term policy objectives, funding predictability or Parliament’s prerogatives; underlines that while the current MFF has </w:t>
            </w:r>
            <w:r>
              <w:rPr>
                <w:b/>
                <w:i/>
              </w:rPr>
              <w:t>suffered from insufficient flexibility to adjust</w:t>
            </w:r>
            <w:r>
              <w:t xml:space="preserve"> to evolving priorities, the next MFF must strike a better balance between investment predictability and adaptability; emphasises that certain policy areas require greater funding stability than others; firmly rejects recurrent redeployments as a means to finance Union priorities, as they undermine programme implementation and jeopardise the delivery of agreed policy objectives;</w:t>
            </w:r>
          </w:p>
        </w:tc>
        <w:tc>
          <w:tcPr>
            <w:tcW w:w="4876" w:type="dxa"/>
            <w:tcBorders>
              <w:top w:val="nil"/>
              <w:left w:val="nil"/>
              <w:bottom w:val="nil"/>
              <w:right w:val="nil"/>
            </w:tcBorders>
          </w:tcPr>
          <w:p>
            <w:pPr>
              <w:pStyle w:val="Normal6a"/>
            </w:pPr>
            <w:r>
              <w:t>37.</w:t>
            </w:r>
            <w:r>
              <w:tab/>
            </w:r>
            <w:r>
              <w:t xml:space="preserve">Expresses its concern about the lack of predictability in EU funding that might result from excessive flexibility mechanisms and recurrent redeployments; recognises the need for flexibility in allocating resources within certain programmes, but stresses that this must not compromise long-term policy objectives, funding predictability or Parliament’s prerogatives; underlines that while the current MFF has </w:t>
            </w:r>
            <w:r>
              <w:rPr>
                <w:b/>
                <w:i/>
              </w:rPr>
              <w:t>faced challenges in responding</w:t>
            </w:r>
            <w:r>
              <w:t xml:space="preserve"> to evolving priorities, the next MFF must strike a better balance between investment predictability and adaptability; emphasises that certain policy areas require greater funding stability than others; firmly rejects recurrent redeployments as a means to finance Union priorities, as they undermine programme implementation and jeopardise the delivery of agreed policy objectives;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823</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 a.</w:t>
            </w:r>
            <w:r>
              <w:tab/>
            </w:r>
            <w:r>
              <w:rPr>
                <w:b/>
                <w:i/>
              </w:rPr>
              <w:t>Underlines the importance of maintaining the N+3 decommitment rule, as currently applied under the existing MFF, in the future Multiannual Financial Framework, given the complexity, multiannual nature and long-term impact of cohesion policy investments; stresses that the N+3 rule provides essential flexibility and predictability for managing EU-funded programmes, particularly in the context of the transition to a new budgetary framework, which entails new instruments, programming arrangements and governance structures and therefore carries an inherent risk of delays in implementation; warns that any shortening of implementation deadlines would disproportionately affect regions and Member States with lower administrative capacity, undermine absorption rates, increase the risk of decommitments and ultimately delay or jeopardise the delivery of projects with high European added value;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824</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 a.</w:t>
            </w:r>
            <w:r>
              <w:tab/>
            </w:r>
            <w:r>
              <w:rPr>
                <w:b/>
                <w:i/>
              </w:rPr>
              <w:t>Calls for the setting of minimum funding amounts guaranteed for each policy area, which should correspond, annually, to at least 50% of the allocations agreed by the co-legislators, per strand, cluster and budget line, in the negotiation of the financial envelopes of each programme, in sectoral legislation, to ensure predictability and safeguard the authority of both co-legislators in establishing the financial programming of the next MFF: Stresses that such rules are particularly necessary for programmes with multiannual commitments and high demand, in order to prevent reallocations that would undermine agreed policy objectives and final beneficiaries’ expectations;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825</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Considers that common debt is the wrong choice and has negative consequences for future budgets, adding pressure to cut funding to programmes and funds in order to channel that money into servicing debt and repaying the principal, as proven by the overt intentions with regard to NextGenerationEU debt;</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826</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38.</w:t>
            </w:r>
            <w:r>
              <w:tab/>
            </w:r>
            <w:r>
              <w:rPr>
                <w:b/>
                <w:i/>
              </w:rPr>
              <w:t>Notes the proposed increase in borrowing and lending under the next MFF; considers that the budgetary authority must carefully monitor the impact of this approach on the MFF headroom or other guarantees; demands that borrowing and lending operations respect the powers of the co-legislators and the budgetary authority;</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827</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Notes the proposed increase in borrowing and lending under the next MFF; considers that the budgetary authority must carefully monitor the impact of this approach on the MFF headroom or other guarantees; demands that borrowing and lending operations respect the powers of the co-legislators and the budgetary authority;</w:t>
            </w:r>
          </w:p>
        </w:tc>
        <w:tc>
          <w:tcPr>
            <w:tcW w:w="4876" w:type="dxa"/>
            <w:tcBorders>
              <w:top w:val="nil"/>
              <w:left w:val="nil"/>
              <w:bottom w:val="nil"/>
              <w:right w:val="nil"/>
            </w:tcBorders>
          </w:tcPr>
          <w:p>
            <w:pPr>
              <w:pStyle w:val="Normal6a"/>
            </w:pPr>
            <w:r>
              <w:t>38.</w:t>
            </w:r>
            <w:r>
              <w:tab/>
            </w:r>
            <w:r>
              <w:t xml:space="preserve">Notes the proposed increase in borrowing and lending under the next MFF; considers that the budgetary authority must carefully monitor the impact of this approach on the MFF headroom or other guarantees; demands that borrowing and lending operations respect the powers of the co-legislators and the budgetary authority; </w:t>
            </w:r>
            <w:r>
              <w:rPr>
                <w:b/>
                <w:i/>
              </w:rPr>
              <w:t>reiterates that joint borrowing and lending must be a mean of last resort and serve European objectives to the highest regard; recalls the adherence to fiscal responsibility in the EU budget as well as Member States; highlights that joint borrowing does not alleviate from the Stability and Growth Pact; points to the vast increase of interests payments related to NGEU as well as future committments like SAFE and the Ukraine support loans; warns that future interest payments may exceed 0,11% of GNI, resulting ultimately in cuts to programming; rejects the excessive utilisation of Art. 122 to legitimate borrowing and lending operations without parliamentary consent;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828</w:t>
      </w:r>
      <w:r>
        <w:rPr>
          <w:rStyle w:val="HideTWBExt"/>
        </w:rPr>
        <w:t>&lt;/NumAm&gt;</w:t>
      </w:r>
    </w:p>
    <w:p>
      <w:pPr>
        <w:pStyle w:val="NormalBold"/>
      </w:pPr>
      <w:r>
        <w:rPr>
          <w:rStyle w:val="HideTWBExt"/>
          <w:b w:val="0"/>
        </w:rPr>
        <w:t>&lt;RepeatBlock-By&gt;</w:t>
      </w:r>
      <w:r>
        <w:rPr>
          <w:rStyle w:val="HideTWBExt"/>
          <w:b w:val="0"/>
        </w:rPr>
        <w:t>&lt;Members&gt;</w:t>
      </w:r>
      <w:r>
        <w:t>Fabienne Keller,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Notes the proposed increase in borrowing and lending under the next MFF; considers that the budgetary authority must carefully monitor the impact of this approach on the MFF headroom or other guarantees; demands that borrowing and lending operations respect the powers of the co-legislators and the budgetary authority;</w:t>
            </w:r>
          </w:p>
        </w:tc>
        <w:tc>
          <w:tcPr>
            <w:tcW w:w="4876" w:type="dxa"/>
            <w:tcBorders>
              <w:top w:val="nil"/>
              <w:left w:val="nil"/>
              <w:bottom w:val="nil"/>
              <w:right w:val="nil"/>
            </w:tcBorders>
          </w:tcPr>
          <w:p>
            <w:pPr>
              <w:pStyle w:val="Normal6a"/>
            </w:pPr>
            <w:r>
              <w:t>38.</w:t>
            </w:r>
            <w:r>
              <w:tab/>
            </w:r>
            <w:r>
              <w:t xml:space="preserve">Notes the proposed increase in borrowing and lending under the next MFF; considers that the budgetary authority must carefully monitor the impact of this approach on the MFF </w:t>
            </w:r>
            <w:r>
              <w:rPr>
                <w:b/>
                <w:i/>
              </w:rPr>
              <w:t>and the</w:t>
            </w:r>
            <w:r>
              <w:t xml:space="preserve"> headroom or other guarantees; demands that borrowing and lending operations respect the powers of the co-legislators and the budgetary authority; </w:t>
            </w:r>
            <w:r>
              <w:rPr>
                <w:b/>
                <w:i/>
              </w:rPr>
              <w:t>Recalls its position that any repayment of borrowing costs is a non-discretionary legal obligation that should be outside of the MFF headings given that these costs are subject to market conditions, influenced by external factors and thus inherently volatile, which impacts heavily programmes lines.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829</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Notes the proposed increase in borrowing and lending under the next MFF; considers that the budgetary authority must carefully monitor the impact of this approach on the MFF headroom or other guarantees; demands that borrowing and lending operations </w:t>
            </w:r>
            <w:r>
              <w:rPr>
                <w:b/>
                <w:i/>
              </w:rPr>
              <w:t>respect</w:t>
            </w:r>
            <w:r>
              <w:t xml:space="preserve"> the powers of the co-legislators and the budgetary authority;</w:t>
            </w:r>
          </w:p>
        </w:tc>
        <w:tc>
          <w:tcPr>
            <w:tcW w:w="4876" w:type="dxa"/>
            <w:tcBorders>
              <w:top w:val="nil"/>
              <w:left w:val="nil"/>
              <w:bottom w:val="nil"/>
              <w:right w:val="nil"/>
            </w:tcBorders>
          </w:tcPr>
          <w:p>
            <w:pPr>
              <w:pStyle w:val="Normal6a"/>
            </w:pPr>
            <w:r>
              <w:t>38.</w:t>
            </w:r>
            <w:r>
              <w:tab/>
            </w:r>
            <w:r>
              <w:t xml:space="preserve">Notes the proposed increase in borrowing and lending under the next MFF; considers that the budgetary authority must carefully monitor the impact of this approach on the MFF headroom or other guarantees; demands that </w:t>
            </w:r>
            <w:r>
              <w:rPr>
                <w:b/>
                <w:i/>
              </w:rPr>
              <w:t>any</w:t>
            </w:r>
            <w:r>
              <w:t xml:space="preserve"> borrowing and lending operations </w:t>
            </w:r>
            <w:r>
              <w:rPr>
                <w:b/>
                <w:i/>
              </w:rPr>
              <w:t>ensure full transparency on final beneficiaries, procurement outcomes, EU added value and cross-border participation, while respecting</w:t>
            </w:r>
            <w:r>
              <w:t xml:space="preserve"> the powers of the co-legislators and the budgetary authority; </w:t>
            </w:r>
            <w:r>
              <w:rPr>
                <w:b/>
                <w:i/>
              </w:rPr>
              <w:t>stresses that these operations must avoid crowding-out for grant-based programmes where they deliver higher Union added value;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830</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rPr>
                <w:b/>
                <w:i/>
              </w:rPr>
              <w:t>Notes</w:t>
            </w:r>
            <w:r>
              <w:t xml:space="preserve"> the proposed increase in borrowing and lending under the next MFF; </w:t>
            </w:r>
            <w:r>
              <w:rPr>
                <w:b/>
                <w:i/>
              </w:rPr>
              <w:t>considers that the budgetary authority must carefully monitor the impact of</w:t>
            </w:r>
            <w:r>
              <w:t xml:space="preserve"> this approach </w:t>
            </w:r>
            <w:r>
              <w:rPr>
                <w:b/>
                <w:i/>
              </w:rPr>
              <w:t>on the MFF headroom or other guarantees</w:t>
            </w:r>
            <w:r>
              <w:t>; demands that borrowing and lending operations respect the powers of the co-legislators and the budgetary authority;</w:t>
            </w:r>
          </w:p>
        </w:tc>
        <w:tc>
          <w:tcPr>
            <w:tcW w:w="4876" w:type="dxa"/>
            <w:tcBorders>
              <w:top w:val="nil"/>
              <w:left w:val="nil"/>
              <w:bottom w:val="nil"/>
              <w:right w:val="nil"/>
            </w:tcBorders>
          </w:tcPr>
          <w:p>
            <w:pPr>
              <w:pStyle w:val="Normal6a"/>
            </w:pPr>
            <w:r>
              <w:t>38.</w:t>
            </w:r>
            <w:r>
              <w:tab/>
            </w:r>
            <w:r>
              <w:rPr>
                <w:b/>
                <w:i/>
              </w:rPr>
              <w:t>Opposes</w:t>
            </w:r>
            <w:r>
              <w:t xml:space="preserve"> the proposed increase in borrowing and lending under the next MFF; </w:t>
            </w:r>
            <w:r>
              <w:rPr>
                <w:b/>
                <w:i/>
              </w:rPr>
              <w:t>takes the view that increased recourse to debt at EU level is likely to reduce the room for manoeuvre within the MFF in the long term and create future financial burdens for European budgets and citizens;</w:t>
            </w:r>
            <w:r>
              <w:t xml:space="preserve"> </w:t>
            </w:r>
            <w:r>
              <w:rPr>
                <w:b/>
                <w:i/>
              </w:rPr>
              <w:t>emphasises that</w:t>
            </w:r>
            <w:r>
              <w:t xml:space="preserve"> this approach </w:t>
            </w:r>
            <w:r>
              <w:rPr>
                <w:b/>
                <w:i/>
              </w:rPr>
              <w:t>increases the budgetary and financial risks and undermines the principle of budgetary discipline</w:t>
            </w:r>
            <w:r>
              <w:t>; demands that borrowing and lending operations respect the powers of the co-legislators and the budgetary authority;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831</w:t>
      </w:r>
      <w:r>
        <w:rPr>
          <w:rStyle w:val="HideTWBExt"/>
        </w:rPr>
        <w:t>&lt;/NumAm&gt;</w:t>
      </w:r>
    </w:p>
    <w:p>
      <w:pPr>
        <w:pStyle w:val="NormalBold"/>
      </w:pPr>
      <w:r>
        <w:rPr>
          <w:rStyle w:val="HideTWBExt"/>
          <w:b w:val="0"/>
        </w:rPr>
        <w:t>&lt;RepeatBlock-By&gt;</w:t>
      </w:r>
      <w:r>
        <w:rPr>
          <w:rStyle w:val="HideTWBExt"/>
          <w:b w:val="0"/>
        </w:rPr>
        <w:t>&lt;Members&gt;</w:t>
      </w:r>
      <w:r>
        <w:t>Stanisław Tyszka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rPr>
                <w:b/>
                <w:i/>
              </w:rPr>
              <w:t>Notes the proposed increase in</w:t>
            </w:r>
            <w:r>
              <w:t xml:space="preserve"> borrowing </w:t>
            </w:r>
            <w:r>
              <w:rPr>
                <w:b/>
                <w:i/>
              </w:rPr>
              <w:t>and lending</w:t>
            </w:r>
            <w:r>
              <w:t xml:space="preserve"> under the next MFF; considers that the budgetary authority must carefully monitor the impact of this approach on the MFF headroom or other guarantees; </w:t>
            </w:r>
            <w:r>
              <w:rPr>
                <w:b/>
                <w:i/>
              </w:rPr>
              <w:t>demands that borrowing and lending operations respect the powers of the co-legislators and the budgetary authority;</w:t>
            </w:r>
          </w:p>
        </w:tc>
        <w:tc>
          <w:tcPr>
            <w:tcW w:w="4876" w:type="dxa"/>
            <w:tcBorders>
              <w:top w:val="nil"/>
              <w:left w:val="nil"/>
              <w:bottom w:val="nil"/>
              <w:right w:val="nil"/>
            </w:tcBorders>
          </w:tcPr>
          <w:p>
            <w:pPr>
              <w:pStyle w:val="Normal6a"/>
            </w:pPr>
            <w:r>
              <w:t>38.</w:t>
            </w:r>
            <w:r>
              <w:tab/>
            </w:r>
            <w:r>
              <w:rPr>
                <w:b/>
                <w:i/>
              </w:rPr>
              <w:t>Strongly opposes any</w:t>
            </w:r>
            <w:r>
              <w:t xml:space="preserve"> borrowing under the next MFF; considers that the budgetary authority must carefully monitor the impact of this approach on the MFF headroom or other guarantees;</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832</w:t>
      </w:r>
      <w:r>
        <w:rPr>
          <w:rStyle w:val="HideTWBExt"/>
        </w:rPr>
        <w:t>&lt;/NumAm&gt;</w:t>
      </w:r>
    </w:p>
    <w:p>
      <w:pPr>
        <w:pStyle w:val="NormalBold"/>
      </w:pPr>
      <w:r>
        <w:rPr>
          <w:rStyle w:val="HideTWBExt"/>
          <w:b w:val="0"/>
        </w:rPr>
        <w:t>&lt;RepeatBlock-By&gt;</w:t>
      </w:r>
      <w:r>
        <w:rPr>
          <w:rStyle w:val="HideTWBExt"/>
          <w:b w:val="0"/>
        </w:rPr>
        <w:t>&lt;Members&gt;</w:t>
      </w:r>
      <w:r>
        <w:t>Joachim Streit,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Notes the proposed increase in borrowing and lending under the next MFF; </w:t>
            </w:r>
            <w:r>
              <w:rPr>
                <w:b/>
                <w:i/>
              </w:rPr>
              <w:t>considers that the budgetary authority must carefully monitor the impact of this approach on the MFF headroom or other guarantees; demands that</w:t>
            </w:r>
            <w:r>
              <w:t xml:space="preserve"> borrowing and lending </w:t>
            </w:r>
            <w:r>
              <w:rPr>
                <w:b/>
                <w:i/>
              </w:rPr>
              <w:t>operations respect</w:t>
            </w:r>
            <w:r>
              <w:t xml:space="preserve"> the powers of the co-legislators and the budgetary authority;</w:t>
            </w:r>
          </w:p>
        </w:tc>
        <w:tc>
          <w:tcPr>
            <w:tcW w:w="4876" w:type="dxa"/>
            <w:tcBorders>
              <w:top w:val="nil"/>
              <w:left w:val="nil"/>
              <w:bottom w:val="nil"/>
              <w:right w:val="nil"/>
            </w:tcBorders>
          </w:tcPr>
          <w:p>
            <w:pPr>
              <w:pStyle w:val="Normal6a"/>
            </w:pPr>
            <w:r>
              <w:t>38.</w:t>
            </w:r>
            <w:r>
              <w:tab/>
            </w:r>
            <w:r>
              <w:t xml:space="preserve">Notes the proposed increase in borrowing and lending under the next MFF; </w:t>
            </w:r>
            <w:r>
              <w:rPr>
                <w:b/>
                <w:i/>
              </w:rPr>
              <w:t>rejects the use of</w:t>
            </w:r>
            <w:r>
              <w:t xml:space="preserve"> borrowing and lending </w:t>
            </w:r>
            <w:r>
              <w:rPr>
                <w:b/>
                <w:i/>
              </w:rPr>
              <w:t>as a means of financing Union expenditure; stresses that Union policies must be financed within the MFF in line with the principles of budgetary discipline and fiscal responsibility; demands that</w:t>
            </w:r>
            <w:r>
              <w:t xml:space="preserve"> the powers of the co-legislators and the budgetary authority </w:t>
            </w:r>
            <w:r>
              <w:rPr>
                <w:b/>
                <w:i/>
              </w:rPr>
              <w:t>be fully respected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833</w:t>
      </w:r>
      <w:r>
        <w:rPr>
          <w:rStyle w:val="HideTWBExt"/>
        </w:rPr>
        <w:t>&lt;/NumAm&gt;</w:t>
      </w:r>
    </w:p>
    <w:p>
      <w:pPr>
        <w:pStyle w:val="NormalBold"/>
      </w:pPr>
      <w:r>
        <w:rPr>
          <w:rStyle w:val="HideTWBExt"/>
          <w:b w:val="0"/>
        </w:rPr>
        <w:t>&lt;RepeatBlock-By&gt;</w:t>
      </w:r>
      <w:r>
        <w:rPr>
          <w:rStyle w:val="HideTWBExt"/>
          <w:b w:val="0"/>
        </w:rPr>
        <w:t>&lt;Members&gt;</w:t>
      </w:r>
      <w:r>
        <w:t>Isabelle Le Callenec, 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rPr>
                <w:b/>
                <w:i/>
              </w:rPr>
              <w:t>Notes</w:t>
            </w:r>
            <w:r>
              <w:t xml:space="preserve"> the proposed increase in borrowing and lending under the next MFF; considers that the budgetary authority must carefully monitor the impact of this approach on the MFF headroom or other guarantees; demands that borrowing and lending operations respect the powers of the co-legislators and the budgetary authority;</w:t>
            </w:r>
          </w:p>
        </w:tc>
        <w:tc>
          <w:tcPr>
            <w:tcW w:w="4876" w:type="dxa"/>
            <w:tcBorders>
              <w:top w:val="nil"/>
              <w:left w:val="nil"/>
              <w:bottom w:val="nil"/>
              <w:right w:val="nil"/>
            </w:tcBorders>
          </w:tcPr>
          <w:p>
            <w:pPr>
              <w:pStyle w:val="Normal6a"/>
            </w:pPr>
            <w:r>
              <w:t>38.</w:t>
            </w:r>
            <w:r>
              <w:tab/>
            </w:r>
            <w:r>
              <w:rPr>
                <w:b/>
                <w:i/>
              </w:rPr>
              <w:t>Is extremely concerned about</w:t>
            </w:r>
            <w:r>
              <w:t xml:space="preserve"> the proposed increase in borrowing and lending under the next MFF; considers that the budgetary authority must carefully monitor the impact of this approach on the MFF headroom or other guarantees; demands that borrowing and lending operations respect the powers of the co-legislators and the budgetary authority;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834</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Notes the proposed increase in borrowing and lending under the next MFF; considers that the budgetary authority must carefully monitor the impact of this approach on the MFF headroom or other guarantees; demands that borrowing and lending operations respect the powers of the co-legislators and the budgetary authority;</w:t>
            </w:r>
          </w:p>
        </w:tc>
        <w:tc>
          <w:tcPr>
            <w:tcW w:w="4876" w:type="dxa"/>
            <w:tcBorders>
              <w:top w:val="nil"/>
              <w:left w:val="nil"/>
              <w:bottom w:val="nil"/>
              <w:right w:val="nil"/>
            </w:tcBorders>
          </w:tcPr>
          <w:p>
            <w:pPr>
              <w:pStyle w:val="Normal6a"/>
            </w:pPr>
            <w:r>
              <w:t>38.</w:t>
            </w:r>
            <w:r>
              <w:tab/>
            </w:r>
            <w:r>
              <w:t xml:space="preserve">Notes the proposed increase in borrowing and lending under the next MFF; considers that the budgetary authority must carefully monitor the impact of this approach on the MFF </w:t>
            </w:r>
            <w:r>
              <w:rPr>
                <w:b/>
                <w:i/>
              </w:rPr>
              <w:t>and the</w:t>
            </w:r>
            <w:r>
              <w:t xml:space="preserve"> headroom or other guarantees; demands that borrowing and lending operations respect the powers of the co-legislators and the budgetary authority;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835</w:t>
      </w:r>
      <w:r>
        <w:rPr>
          <w:rStyle w:val="HideTWBExt"/>
        </w:rPr>
        <w:t>&lt;/NumAm&gt;</w:t>
      </w:r>
    </w:p>
    <w:p>
      <w:pPr>
        <w:pStyle w:val="NormalBold"/>
      </w:pPr>
      <w:r>
        <w:rPr>
          <w:rStyle w:val="HideTWBExt"/>
          <w:b w:val="0"/>
        </w:rPr>
        <w:t>&lt;RepeatBlock-By&gt;</w:t>
      </w:r>
      <w:r>
        <w:rPr>
          <w:rStyle w:val="HideTWBExt"/>
          <w:b w:val="0"/>
        </w:rPr>
        <w:t>&lt;Members&gt;</w:t>
      </w:r>
      <w:r>
        <w:t>Anouk Van Brug, Katri Kulmuni,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rPr>
                <w:b/>
                <w:i/>
              </w:rPr>
              <w:t>Notes</w:t>
            </w:r>
            <w:r>
              <w:t xml:space="preserve"> the proposed increase in borrowing and lending under the next MFF; considers that the budgetary authority must carefully monitor the impact of this approach on the MFF headroom or other guarantees; demands that borrowing and lending operations respect the powers of the co-legislators and the budgetary authority;</w:t>
            </w:r>
          </w:p>
        </w:tc>
        <w:tc>
          <w:tcPr>
            <w:tcW w:w="4876" w:type="dxa"/>
            <w:tcBorders>
              <w:top w:val="nil"/>
              <w:left w:val="nil"/>
              <w:bottom w:val="nil"/>
              <w:right w:val="nil"/>
            </w:tcBorders>
          </w:tcPr>
          <w:p>
            <w:pPr>
              <w:pStyle w:val="Normal6a"/>
            </w:pPr>
            <w:r>
              <w:t>38.</w:t>
            </w:r>
            <w:r>
              <w:tab/>
            </w:r>
            <w:r>
              <w:rPr>
                <w:b/>
                <w:i/>
              </w:rPr>
              <w:t>Opposes</w:t>
            </w:r>
            <w:r>
              <w:t xml:space="preserve"> the proposed increase in borrowing and lending under the next MFF; considers that the budgetary authority must carefully monitor the impact of this approach on the MFF headroom or other guarantees; demands that borrowing and lending operations respect the powers of the co-legislators and the budgetary authority;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836</w:t>
      </w:r>
      <w:r>
        <w:rPr>
          <w:rStyle w:val="HideTWBExt"/>
        </w:rPr>
        <w:t>&lt;/NumAm&gt;</w:t>
      </w:r>
    </w:p>
    <w:p>
      <w:pPr>
        <w:pStyle w:val="NormalBold"/>
      </w:pPr>
      <w:r>
        <w:rPr>
          <w:rStyle w:val="HideTWBExt"/>
          <w:b w:val="0"/>
        </w:rPr>
        <w:t>&lt;RepeatBlock-By&gt;</w:t>
      </w:r>
      <w:r>
        <w:rPr>
          <w:rStyle w:val="HideTWBExt"/>
          <w:b w:val="0"/>
        </w:rPr>
        <w:t>&lt;Members&gt;</w:t>
      </w:r>
      <w:r>
        <w:t>Ruggero Razza,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38a.</w:t>
            </w:r>
            <w:r>
              <w:tab/>
            </w:r>
            <w:r>
              <w:rPr>
                <w:b/>
                <w:i/>
              </w:rPr>
              <w:t>Stresses that lending instruments within and as a complement to the next MFF could be designed to maximise the mobilisation of private capital through combined financing structures, while safeguarding transparency, proportionality of risk, and full respect for the budgetary prerogatives of the co-legislators;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837</w:t>
      </w:r>
      <w:r>
        <w:rPr>
          <w:rStyle w:val="HideTWBExt"/>
        </w:rPr>
        <w:t>&lt;/NumAm&gt;</w:t>
      </w:r>
    </w:p>
    <w:p>
      <w:pPr>
        <w:pStyle w:val="NormalBold"/>
      </w:pPr>
      <w:r>
        <w:rPr>
          <w:rStyle w:val="HideTWBExt"/>
          <w:b w:val="0"/>
        </w:rPr>
        <w:t>&lt;RepeatBlock-By&gt;</w:t>
      </w:r>
      <w:r>
        <w:rPr>
          <w:rStyle w:val="HideTWBExt"/>
          <w:b w:val="0"/>
        </w:rPr>
        <w:t>&lt;Members&gt;</w:t>
      </w:r>
      <w:r>
        <w:t>Siegfried Mureşan, Carla Tavares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 a.</w:t>
            </w:r>
            <w:r>
              <w:tab/>
            </w:r>
            <w:r>
              <w:rPr>
                <w:b/>
                <w:i/>
              </w:rPr>
              <w:t>Takes note of the NextGenerationEU repayment profile as presented by the Commission; stresses that any revised repayment schedule must ensure that NGEU debt servicing does not crowd out essential EU spending or compromise the Union's ability to address future crises;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838</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39.</w:t>
            </w:r>
            <w:r>
              <w:tab/>
            </w:r>
            <w:r>
              <w:rPr>
                <w:b/>
                <w:i/>
              </w:rPr>
              <w:t>Reiterates its call for a reinforced investment partnership with the EIB Group to leverage the EU budget, mobilise private investment and de-risk important policy areas such as climate, competitiveness, and innovation, defence and the external dimension;</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839</w:t>
      </w:r>
      <w:r>
        <w:rPr>
          <w:rStyle w:val="HideTWBExt"/>
        </w:rPr>
        <w:t>&lt;/NumAm&gt;</w:t>
      </w:r>
    </w:p>
    <w:p>
      <w:pPr>
        <w:pStyle w:val="NormalBold"/>
      </w:pPr>
      <w:r>
        <w:rPr>
          <w:rStyle w:val="HideTWBExt"/>
          <w:b w:val="0"/>
        </w:rPr>
        <w:t>&lt;RepeatBlock-By&gt;</w:t>
      </w:r>
      <w:r>
        <w:rPr>
          <w:rStyle w:val="HideTWBExt"/>
          <w:b w:val="0"/>
        </w:rPr>
        <w:t>&lt;Members&gt;</w:t>
      </w:r>
      <w:r>
        <w:t>Alexander Jungbluth, Stanisław Tyszka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39.</w:t>
            </w:r>
            <w:r>
              <w:tab/>
            </w:r>
            <w:r>
              <w:rPr>
                <w:b/>
                <w:i/>
              </w:rPr>
              <w:t>Reiterates its call for a reinforced investment partnership with the EIB Group to leverage the EU budget, mobilise private investment and de-risk important policy areas such as climate, competitiveness, and innovation, defence and the external dimension;</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840</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Reiterates its call for a reinforced investment partnership with the EIB Group to leverage the EU budget, mobilise private investment and de-risk important policy areas such as climate, competitiveness, and innovation, defence and the external dimension;</w:t>
            </w:r>
          </w:p>
        </w:tc>
        <w:tc>
          <w:tcPr>
            <w:tcW w:w="4876" w:type="dxa"/>
            <w:tcBorders>
              <w:top w:val="nil"/>
              <w:left w:val="nil"/>
              <w:bottom w:val="nil"/>
              <w:right w:val="nil"/>
            </w:tcBorders>
          </w:tcPr>
          <w:p>
            <w:pPr>
              <w:pStyle w:val="Normal6a"/>
            </w:pPr>
            <w:r>
              <w:t>39.</w:t>
            </w:r>
            <w:r>
              <w:tab/>
            </w:r>
            <w:r>
              <w:t xml:space="preserve">Reiterates its call for a reinforced investment partnership with the EIB Group to leverage the EU budget, mobilise private investment and de-risk important policy areas such as climate, competitiveness, and innovation, defence and the external dimension; </w:t>
            </w:r>
            <w:r>
              <w:rPr>
                <w:b/>
                <w:i/>
              </w:rPr>
              <w:t>given the central role of the EIB Group, appropriate mechanisms to ensure compliance with the highest standards of external prudential supervision need to be established, taking into account the necessary adaptations arising from the unique nature of its business model;</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841</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Reiterates its call for a reinforced investment partnership with the EIB Group to leverage the EU budget, mobilise private investment and de-risk important policy areas such as climate, competitiveness, and innovation, defence and the external dimension;</w:t>
            </w:r>
          </w:p>
        </w:tc>
        <w:tc>
          <w:tcPr>
            <w:tcW w:w="4876" w:type="dxa"/>
            <w:tcBorders>
              <w:top w:val="nil"/>
              <w:left w:val="nil"/>
              <w:bottom w:val="nil"/>
              <w:right w:val="nil"/>
            </w:tcBorders>
          </w:tcPr>
          <w:p>
            <w:pPr>
              <w:pStyle w:val="Normal6a"/>
            </w:pPr>
            <w:r>
              <w:t>39.</w:t>
            </w:r>
            <w:r>
              <w:tab/>
            </w:r>
            <w:r>
              <w:t xml:space="preserve">Reiterates its call for a reinforced investment partnership with the EIB Group to leverage the EU budget, mobilise private investment and de-risk important policy areas such as climate, competitiveness, and innovation, defence and the external dimension; </w:t>
            </w:r>
            <w:r>
              <w:rPr>
                <w:b/>
                <w:i/>
              </w:rPr>
              <w:t>stresses that this partnership should maintain tailored instruments to facilitate access for SMEs, mid-caps and cross-border consortias, while ensuring robust governance, transparency and Union added value;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842</w:t>
      </w:r>
      <w:r>
        <w:rPr>
          <w:rStyle w:val="HideTWBExt"/>
        </w:rPr>
        <w:t>&lt;/NumAm&gt;</w:t>
      </w:r>
    </w:p>
    <w:p>
      <w:pPr>
        <w:pStyle w:val="NormalBold"/>
      </w:pPr>
      <w:r>
        <w:rPr>
          <w:rStyle w:val="HideTWBExt"/>
          <w:b w:val="0"/>
        </w:rPr>
        <w:t>&lt;RepeatBlock-By&gt;</w:t>
      </w:r>
      <w:r>
        <w:rPr>
          <w:rStyle w:val="HideTWBExt"/>
          <w:b w:val="0"/>
        </w:rPr>
        <w:t>&lt;Members&gt;</w:t>
      </w:r>
      <w:r>
        <w:t>Joachim Streit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Reiterates its call for a reinforced investment partnership with the EIB Group to leverage the EU budget, mobilise private </w:t>
            </w:r>
            <w:r>
              <w:rPr>
                <w:b/>
                <w:i/>
              </w:rPr>
              <w:t>investment and de-risk important</w:t>
            </w:r>
            <w:r>
              <w:t xml:space="preserve"> policy areas </w:t>
            </w:r>
            <w:r>
              <w:rPr>
                <w:b/>
                <w:i/>
              </w:rPr>
              <w:t>such as climate</w:t>
            </w:r>
            <w:r>
              <w:t xml:space="preserve">, competitiveness, </w:t>
            </w:r>
            <w:r>
              <w:rPr>
                <w:b/>
                <w:i/>
              </w:rPr>
              <w:t>and</w:t>
            </w:r>
            <w:r>
              <w:t xml:space="preserve"> innovation, defence </w:t>
            </w:r>
            <w:r>
              <w:rPr>
                <w:b/>
                <w:i/>
              </w:rPr>
              <w:t>and the</w:t>
            </w:r>
            <w:r>
              <w:t xml:space="preserve"> external dimension;</w:t>
            </w:r>
          </w:p>
        </w:tc>
        <w:tc>
          <w:tcPr>
            <w:tcW w:w="4876" w:type="dxa"/>
            <w:tcBorders>
              <w:top w:val="nil"/>
              <w:left w:val="nil"/>
              <w:bottom w:val="nil"/>
              <w:right w:val="nil"/>
            </w:tcBorders>
          </w:tcPr>
          <w:p>
            <w:pPr>
              <w:pStyle w:val="Normal6a"/>
            </w:pPr>
            <w:r>
              <w:t>39.</w:t>
            </w:r>
            <w:r>
              <w:tab/>
            </w:r>
            <w:r>
              <w:t xml:space="preserve">Reiterates its call for a reinforced investment partnership with the EIB Group to leverage the EU budget, mobilise private </w:t>
            </w:r>
            <w:r>
              <w:rPr>
                <w:b/>
                <w:i/>
              </w:rPr>
              <w:t>capital and support key</w:t>
            </w:r>
            <w:r>
              <w:t xml:space="preserve"> policy areas </w:t>
            </w:r>
            <w:r>
              <w:rPr>
                <w:b/>
                <w:i/>
              </w:rPr>
              <w:t>that strengthen Europe's strategic autonomy</w:t>
            </w:r>
            <w:r>
              <w:t xml:space="preserve">, </w:t>
            </w:r>
            <w:r>
              <w:rPr>
                <w:b/>
                <w:i/>
              </w:rPr>
              <w:t>notably</w:t>
            </w:r>
            <w:r>
              <w:t xml:space="preserve"> competitiveness, innovation, </w:t>
            </w:r>
            <w:r>
              <w:rPr>
                <w:b/>
                <w:i/>
              </w:rPr>
              <w:t>and</w:t>
            </w:r>
            <w:r>
              <w:t xml:space="preserve"> defence </w:t>
            </w:r>
            <w:r>
              <w:rPr>
                <w:b/>
                <w:i/>
              </w:rPr>
              <w:t>capabilities, as well as the EU’s</w:t>
            </w:r>
            <w:r>
              <w:t xml:space="preserve"> external dimension; </w:t>
            </w:r>
            <w:r>
              <w:rPr>
                <w:b/>
                <w:i/>
              </w:rPr>
              <w:t>underlines the importance of measurable impact and responsible use of public guarantees;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843</w:t>
      </w:r>
      <w:r>
        <w:rPr>
          <w:rStyle w:val="HideTWBExt"/>
        </w:rPr>
        <w:t>&lt;/NumAm&gt;</w:t>
      </w:r>
    </w:p>
    <w:p>
      <w:pPr>
        <w:pStyle w:val="NormalBold"/>
      </w:pPr>
      <w:r>
        <w:rPr>
          <w:rStyle w:val="HideTWBExt"/>
          <w:b w:val="0"/>
        </w:rPr>
        <w:t>&lt;RepeatBlock-By&gt;</w:t>
      </w:r>
      <w:r>
        <w:rPr>
          <w:rStyle w:val="HideTWBExt"/>
          <w:b w:val="0"/>
        </w:rPr>
        <w:t>&lt;Members&gt;</w:t>
      </w:r>
      <w:r>
        <w:t>Fabienne Keller,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Reiterates its call for a reinforced investment partnership with the EIB Group to leverage the EU budget, mobilise private investment and de-risk important policy areas such as climate, competitiveness, and innovation, defence and the external dimension;</w:t>
            </w:r>
          </w:p>
        </w:tc>
        <w:tc>
          <w:tcPr>
            <w:tcW w:w="4876" w:type="dxa"/>
            <w:tcBorders>
              <w:top w:val="nil"/>
              <w:left w:val="nil"/>
              <w:bottom w:val="nil"/>
              <w:right w:val="nil"/>
            </w:tcBorders>
          </w:tcPr>
          <w:p>
            <w:pPr>
              <w:pStyle w:val="Normal6a"/>
            </w:pPr>
            <w:r>
              <w:t>39.</w:t>
            </w:r>
            <w:r>
              <w:tab/>
            </w:r>
            <w:r>
              <w:t xml:space="preserve">Reiterates its call for a reinforced investment partnership with the EIB Group to leverage the EU budget, mobilise private investment and de-risk important policy areas </w:t>
            </w:r>
            <w:r>
              <w:rPr>
                <w:b/>
                <w:i/>
              </w:rPr>
              <w:t>for our strategic autonomy</w:t>
            </w:r>
            <w:r>
              <w:t xml:space="preserve"> such as climate, competitiveness, and innovation, defence and the external dimension; </w:t>
            </w:r>
            <w:r>
              <w:rPr>
                <w:b/>
                <w:i/>
              </w:rPr>
              <w:t>Reminds that a European preference in European goods must be key in public-private investments.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844</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Reiterates its call for a reinforced investment partnership with the EIB Group to leverage the EU budget, mobilise private investment and de-risk important policy areas such as climate, competitiveness, and innovation, defence and the external dimension;</w:t>
            </w:r>
          </w:p>
        </w:tc>
        <w:tc>
          <w:tcPr>
            <w:tcW w:w="4876" w:type="dxa"/>
            <w:tcBorders>
              <w:top w:val="nil"/>
              <w:left w:val="nil"/>
              <w:bottom w:val="nil"/>
              <w:right w:val="nil"/>
            </w:tcBorders>
          </w:tcPr>
          <w:p>
            <w:pPr>
              <w:pStyle w:val="Normal6a"/>
            </w:pPr>
            <w:r>
              <w:t>39.</w:t>
            </w:r>
            <w:r>
              <w:tab/>
            </w:r>
            <w:r>
              <w:t xml:space="preserve">Reiterates its call for a reinforced investment partnership with the EIB Group to leverage the EU budget, mobilise private investment and de-risk important policy areas such as climate, competitiveness, and innovation, defence and the external dimension; </w:t>
            </w:r>
            <w:r>
              <w:rPr>
                <w:b/>
                <w:i/>
              </w:rPr>
              <w:t>emphasises for the next MFF, the need to preserve the simplifications made to InvestEU under the current MFF;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845</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Reiterates its call for a reinforced investment partnership with the EIB Group to leverage the EU budget, mobilise private investment and de-risk important policy areas such as climate, competitiveness, and innovation, defence and the external dimension;</w:t>
            </w:r>
          </w:p>
        </w:tc>
        <w:tc>
          <w:tcPr>
            <w:tcW w:w="4876" w:type="dxa"/>
            <w:tcBorders>
              <w:top w:val="nil"/>
              <w:left w:val="nil"/>
              <w:bottom w:val="nil"/>
              <w:right w:val="nil"/>
            </w:tcBorders>
          </w:tcPr>
          <w:p>
            <w:pPr>
              <w:pStyle w:val="Normal6a"/>
            </w:pPr>
            <w:r>
              <w:t>39.</w:t>
            </w:r>
            <w:r>
              <w:tab/>
            </w:r>
            <w:r>
              <w:t>Reiterates its call for a reinforced investment partnership with the EIB Group to leverage the EU budget, mobilise private investment and de-risk important policy areas such as climate, competitiveness, and innovation, defence and the external dimension</w:t>
            </w:r>
            <w:r>
              <w:rPr>
                <w:b/>
                <w:i/>
              </w:rPr>
              <w:t>, while maintaining the open architecture in the implementation of EU budget guarantees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846</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Reiterates its call for a reinforced investment partnership with the EIB Group to </w:t>
            </w:r>
            <w:r>
              <w:rPr>
                <w:b/>
                <w:i/>
              </w:rPr>
              <w:t>leverage the EU budget, mobilise private investment and de-risk important policy areas such as climate, competitiveness, and innovation, defence and the external dimension</w:t>
            </w:r>
            <w:r>
              <w:t>;</w:t>
            </w:r>
          </w:p>
        </w:tc>
        <w:tc>
          <w:tcPr>
            <w:tcW w:w="4876" w:type="dxa"/>
            <w:tcBorders>
              <w:top w:val="nil"/>
              <w:left w:val="nil"/>
              <w:bottom w:val="nil"/>
              <w:right w:val="nil"/>
            </w:tcBorders>
          </w:tcPr>
          <w:p>
            <w:pPr>
              <w:pStyle w:val="Normal6a"/>
            </w:pPr>
            <w:r>
              <w:t>39.</w:t>
            </w:r>
            <w:r>
              <w:tab/>
            </w:r>
            <w:r>
              <w:t xml:space="preserve">Reiterates its call for a reinforced investment partnership with the EIB Group to </w:t>
            </w:r>
            <w:r>
              <w:rPr>
                <w:b/>
                <w:i/>
              </w:rPr>
              <w:t>help support the development of Member States’ productive sectors, MSMEs and promote economic, social and territorial cohesion</w:t>
            </w:r>
            <w:r>
              <w:t>;</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847</w:t>
      </w:r>
      <w:r>
        <w:rPr>
          <w:rStyle w:val="HideTWBExt"/>
        </w:rPr>
        <w:t>&lt;/NumAm&gt;</w:t>
      </w:r>
    </w:p>
    <w:p>
      <w:pPr>
        <w:pStyle w:val="NormalBold"/>
      </w:pPr>
      <w:r>
        <w:rPr>
          <w:rStyle w:val="HideTWBExt"/>
          <w:b w:val="0"/>
        </w:rPr>
        <w:t>&lt;RepeatBlock-By&gt;</w:t>
      </w:r>
      <w:r>
        <w:rPr>
          <w:rStyle w:val="HideTWBExt"/>
          <w:b w:val="0"/>
        </w:rPr>
        <w:t>&lt;Members&gt;</w:t>
      </w:r>
      <w:r>
        <w:t>Andrzej Halicki,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Reiterates its call for a reinforced investment partnership with the EIB Group to leverage the EU budget, mobilise private investment and de-risk important policy areas such as climate, competitiveness, and innovation, defence and the external dimension;</w:t>
            </w:r>
          </w:p>
        </w:tc>
        <w:tc>
          <w:tcPr>
            <w:tcW w:w="4876" w:type="dxa"/>
            <w:tcBorders>
              <w:top w:val="nil"/>
              <w:left w:val="nil"/>
              <w:bottom w:val="nil"/>
              <w:right w:val="nil"/>
            </w:tcBorders>
          </w:tcPr>
          <w:p>
            <w:pPr>
              <w:pStyle w:val="Normal6a"/>
            </w:pPr>
            <w:r>
              <w:t>39.</w:t>
            </w:r>
            <w:r>
              <w:tab/>
            </w:r>
            <w:r>
              <w:t xml:space="preserve">Reiterates its call for a reinforced investment partnership with the EIB Group to leverage the EU budget, mobilise private investment and de-risk important policy areas such as climate, competitiveness, </w:t>
            </w:r>
            <w:r>
              <w:rPr>
                <w:b/>
                <w:i/>
              </w:rPr>
              <w:t>housing,</w:t>
            </w:r>
            <w:r>
              <w:t xml:space="preserve"> and innovation, defence and the external dimension;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848</w:t>
      </w:r>
      <w:r>
        <w:rPr>
          <w:rStyle w:val="HideTWBExt"/>
        </w:rPr>
        <w:t>&lt;/NumAm&gt;</w:t>
      </w:r>
    </w:p>
    <w:p>
      <w:pPr>
        <w:pStyle w:val="NormalBold"/>
      </w:pPr>
      <w:r>
        <w:rPr>
          <w:rStyle w:val="HideTWBExt"/>
          <w:b w:val="0"/>
        </w:rPr>
        <w:t>&lt;RepeatBlock-By&gt;</w:t>
      </w:r>
      <w:r>
        <w:rPr>
          <w:rStyle w:val="HideTWBExt"/>
          <w:b w:val="0"/>
        </w:rPr>
        <w:t>&lt;Members&gt;</w:t>
      </w:r>
      <w:r>
        <w:t>Anouk Van Brug, Katri Kulmuni, Moritz Körner, Joachim Streit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rPr>
                <w:b/>
                <w:i/>
              </w:rPr>
              <w:t>Reiterates</w:t>
            </w:r>
            <w:r>
              <w:t xml:space="preserve"> its call for a reinforced investment partnership with the EIB Group to leverage the EU budget, mobilise private investment and de-risk important policy areas such as climate, competitiveness, and innovation, defence and the external dimension;</w:t>
            </w:r>
          </w:p>
        </w:tc>
        <w:tc>
          <w:tcPr>
            <w:tcW w:w="4876" w:type="dxa"/>
            <w:tcBorders>
              <w:top w:val="nil"/>
              <w:left w:val="nil"/>
              <w:bottom w:val="nil"/>
              <w:right w:val="nil"/>
            </w:tcBorders>
          </w:tcPr>
          <w:p>
            <w:pPr>
              <w:pStyle w:val="Normal6a"/>
            </w:pPr>
            <w:r>
              <w:t>39.</w:t>
            </w:r>
            <w:r>
              <w:tab/>
            </w:r>
            <w:r>
              <w:rPr>
                <w:b/>
                <w:i/>
              </w:rPr>
              <w:t>Welcomes</w:t>
            </w:r>
            <w:r>
              <w:t xml:space="preserve"> its call for a reinforced investment partnership with the EIB Group to leverage the EU budget, mobilise private investment and de-risk important policy areas such as climate, competitiveness, and innovation, defence and the external dimension;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849</w:t>
      </w:r>
      <w:r>
        <w:rPr>
          <w:rStyle w:val="HideTWBExt"/>
        </w:rPr>
        <w:t>&lt;/NumAm&gt;</w:t>
      </w:r>
    </w:p>
    <w:p>
      <w:pPr>
        <w:pStyle w:val="NormalBold"/>
      </w:pPr>
      <w:r>
        <w:rPr>
          <w:rStyle w:val="HideTWBExt"/>
          <w:b w:val="0"/>
        </w:rPr>
        <w:t>&lt;RepeatBlock-By&gt;</w:t>
      </w:r>
      <w:r>
        <w:rPr>
          <w:rStyle w:val="HideTWBExt"/>
          <w:b w:val="0"/>
        </w:rPr>
        <w:t>&lt;Members&gt;</w:t>
      </w:r>
      <w:r>
        <w:t>Ruggero Razza,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Reiterates its call for a reinforced investment partnership with the EIB Group to leverage the EU budget, mobilise private investment and de-risk important policy areas such as </w:t>
            </w:r>
            <w:r>
              <w:rPr>
                <w:b/>
                <w:i/>
              </w:rPr>
              <w:t>climate,</w:t>
            </w:r>
            <w:r>
              <w:t xml:space="preserve"> competitiveness, and innovation, defence and the external dimension;</w:t>
            </w:r>
          </w:p>
        </w:tc>
        <w:tc>
          <w:tcPr>
            <w:tcW w:w="4876" w:type="dxa"/>
            <w:tcBorders>
              <w:top w:val="nil"/>
              <w:left w:val="nil"/>
              <w:bottom w:val="nil"/>
              <w:right w:val="nil"/>
            </w:tcBorders>
          </w:tcPr>
          <w:p>
            <w:pPr>
              <w:pStyle w:val="Normal6a"/>
            </w:pPr>
            <w:r>
              <w:t>39.</w:t>
            </w:r>
            <w:r>
              <w:tab/>
            </w:r>
            <w:r>
              <w:t>Reiterates its call for a reinforced investment partnership with the EIB Group to leverage the EU budget, mobilise private investment and de-risk important policy areas such as competitiveness, and innovation, defence and the external dimension;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850</w:t>
      </w:r>
      <w:r>
        <w:rPr>
          <w:rStyle w:val="HideTWBExt"/>
        </w:rPr>
        <w:t>&lt;/NumAm&gt;</w:t>
      </w:r>
    </w:p>
    <w:p>
      <w:pPr>
        <w:pStyle w:val="NormalBold"/>
      </w:pPr>
      <w:r>
        <w:rPr>
          <w:rStyle w:val="HideTWBExt"/>
          <w:b w:val="0"/>
        </w:rPr>
        <w:t>&lt;RepeatBlock-By&gt;</w:t>
      </w:r>
      <w:r>
        <w:rPr>
          <w:rStyle w:val="HideTWBExt"/>
          <w:b w:val="0"/>
        </w:rPr>
        <w:t>&lt;Members&gt;</w:t>
      </w:r>
      <w:r>
        <w:t>Adnan Dibrani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 a.</w:t>
            </w:r>
            <w:r>
              <w:tab/>
            </w:r>
            <w:r>
              <w:rPr>
                <w:b/>
                <w:i/>
              </w:rPr>
              <w:t>Stresses that protecting the Union’s financial interests and ensuring a sustainable EU budget require a sustained response to persistent revenue losses caused by large informal economies in several Member States; recalls that EU bodies such as the ECA, OLAF and EPPO have repeatedly identified VAT fraud as a major source of losses to national budgets and the Union’s own resources; underlines that reducing informal economic activity would support fairer burden-sharing between Member States, safeguard the integrity of the internal market and help stabilise GNI-based contributions; calls for the MFF 2028–2034 to include clear and well-coordinated provisions to support effective action against informal economies;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851</w:t>
      </w:r>
      <w:r>
        <w:rPr>
          <w:rStyle w:val="HideTWBExt"/>
        </w:rPr>
        <w:t>&lt;/NumAm&gt;</w:t>
      </w:r>
    </w:p>
    <w:p>
      <w:pPr>
        <w:pStyle w:val="NormalBold"/>
      </w:pPr>
      <w:r>
        <w:rPr>
          <w:rStyle w:val="HideTWBExt"/>
          <w:b w:val="0"/>
        </w:rPr>
        <w:t>&lt;RepeatBlock-By&gt;</w:t>
      </w:r>
      <w:r>
        <w:rPr>
          <w:rStyle w:val="HideTWBExt"/>
          <w:b w:val="0"/>
        </w:rPr>
        <w:t>&lt;Members&gt;</w:t>
      </w:r>
      <w:r>
        <w:t>Ruggero Razza,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39a.</w:t>
            </w:r>
            <w:r>
              <w:tab/>
            </w:r>
            <w:r>
              <w:rPr>
                <w:b/>
                <w:i/>
              </w:rPr>
              <w:t>Stresses that a stronger partnership with the EIB Group should be understood as a pillar of the Union's architecture for blended finance, within which the EU budget is used strategically to reduce investment risk, attract private capital and maximise additionality, particularly through guarantees, risk-sharing instruments and equity-type operations in sectors of strategic importance;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852</w:t>
      </w:r>
      <w:r>
        <w:rPr>
          <w:rStyle w:val="HideTWBExt"/>
        </w:rPr>
        <w:t>&lt;/NumAm&gt;</w:t>
      </w:r>
    </w:p>
    <w:p>
      <w:pPr>
        <w:pStyle w:val="NormalBold"/>
      </w:pPr>
      <w:r>
        <w:rPr>
          <w:rStyle w:val="HideTWBExt"/>
          <w:b w:val="0"/>
        </w:rPr>
        <w:t>&lt;RepeatBlock-By&gt;</w:t>
      </w:r>
      <w:r>
        <w:rPr>
          <w:rStyle w:val="HideTWBExt"/>
          <w:b w:val="0"/>
        </w:rPr>
        <w:t>&lt;Members&gt;</w:t>
      </w:r>
      <w:r>
        <w:t>Fabienne Keller,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 a.</w:t>
            </w:r>
            <w:r>
              <w:tab/>
            </w:r>
            <w:r>
              <w:rPr>
                <w:b/>
                <w:i/>
              </w:rPr>
              <w:t>Insists on the need to pool in private investments to reinforce the concrete impact of the EU budget; calls on the European Commission to scale the impact of the InvestEU instrument to de-risk investments made by private actors backed with public guarantees;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853</w:t>
      </w:r>
      <w:r>
        <w:rPr>
          <w:rStyle w:val="HideTWBExt"/>
        </w:rPr>
        <w:t>&lt;/NumAm&gt;</w:t>
      </w:r>
    </w:p>
    <w:p>
      <w:pPr>
        <w:pStyle w:val="NormalBold"/>
      </w:pPr>
      <w:r>
        <w:rPr>
          <w:rStyle w:val="HideTWBExt"/>
          <w:b w:val="0"/>
        </w:rPr>
        <w:t>&lt;RepeatBlock-By&gt;</w:t>
      </w:r>
      <w:r>
        <w:rPr>
          <w:rStyle w:val="HideTWBExt"/>
          <w:b w:val="0"/>
        </w:rPr>
        <w:t>&lt;Members&gt;</w:t>
      </w:r>
      <w:r>
        <w:t>Siegfried Mureşan, Carla Tavares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 a.</w:t>
            </w:r>
            <w:r>
              <w:tab/>
            </w:r>
            <w:r>
              <w:rPr>
                <w:b/>
                <w:i/>
              </w:rPr>
              <w:t>Reiterates its long-standing position that all EU-level spending should be brought within the purview of the budgetary authority, thereby ensuring transparency, democratic control and protection of the Union’s financial interests;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854</w:t>
      </w:r>
      <w:r>
        <w:rPr>
          <w:rStyle w:val="HideTWBExt"/>
        </w:rPr>
        <w:t>&lt;/NumAm&gt;</w:t>
      </w:r>
    </w:p>
    <w:p>
      <w:pPr>
        <w:pStyle w:val="NormalBold"/>
      </w:pPr>
      <w:r>
        <w:rPr>
          <w:rStyle w:val="HideTWBExt"/>
          <w:b w:val="0"/>
        </w:rPr>
        <w:t>&lt;RepeatBlock-By&gt;</w:t>
      </w:r>
      <w:r>
        <w:rPr>
          <w:rStyle w:val="HideTWBExt"/>
          <w:b w:val="0"/>
        </w:rPr>
        <w:t>&lt;Members&gt;</w:t>
      </w:r>
      <w:r>
        <w:t>Adnan Dibrani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39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 b.</w:t>
            </w:r>
            <w:r>
              <w:tab/>
            </w:r>
            <w:r>
              <w:rPr>
                <w:b/>
                <w:i/>
              </w:rPr>
              <w:t>Notes with concern that the European Court of Auditors continues to identify persistent and systemic levels of incorrect payments in EU expenditure; recalls that in 2024 the estimated error rate remained above the 2 % materiality threshold, leading the Court to issue an adverse audit opinion for the sixth consecutive year; stresses that incorrect payments undermine public trust and weaken the EU budget’s capacity to deliver on key social, security, competitiveness and climate objectives; calls for stronger safeguards, controls and performance requirements in the MFF 2028-2034 to prevent incorrect payments and ensure sound financial management;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855</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40.</w:t>
            </w:r>
            <w:r>
              <w:tab/>
            </w:r>
            <w:r>
              <w:rPr>
                <w:b/>
                <w:i/>
              </w:rPr>
              <w:t>Emphasises that, in the interest of securing Parliament’s consent, every aspect of the MFF, especially budgetary elements, are to be considered as a package and subject to genuine negotiations; reiterates its objection to how current and previous MFF Regulations were adopted, with the European Council overstepping its role by predetermining multiple elements such as financial envelopes and policy-specific provisions, thereby violating Treaty provisions in both substance and intent; expresses serious concern that preliminary ‘negotiating boxes’ prepared by the Council presidency replicate this flawed methodology, incorporating issues that belong to the co-decision procedure when establishing new EU programme legislation;</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856</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41.</w:t>
            </w:r>
            <w:r>
              <w:tab/>
            </w:r>
            <w:r>
              <w:t>Expresses serious concern about the broader programme design features and sectoral proposals that shift essential policy and budgetary decisions from the basic act to work programmes, significantly weakening Parliament’s legislative role; strongly objects to the transfer of legislative elements away from sectoral regulations, excluding Parliament from decisions that are currently taken under the ordinary legislative procedure;</w:t>
            </w:r>
          </w:p>
        </w:tc>
        <w:tc>
          <w:tcPr>
            <w:tcW w:w="4876" w:type="dxa"/>
            <w:tcBorders>
              <w:top w:val="nil"/>
              <w:left w:val="nil"/>
              <w:bottom w:val="nil"/>
              <w:right w:val="nil"/>
            </w:tcBorders>
          </w:tcPr>
          <w:p>
            <w:pPr>
              <w:pStyle w:val="Normal6a"/>
            </w:pPr>
            <w:r>
              <w:t>41.</w:t>
            </w:r>
            <w:r>
              <w:tab/>
            </w:r>
            <w:r>
              <w:rPr>
                <w:b/>
                <w:i/>
              </w:rPr>
              <w:t>40.</w:t>
            </w:r>
            <w:r>
              <w:t xml:space="preserve"> Expresses serious concern about the broader programme design features and sectoral proposals that shift essential policy and budgetary decisions from the basic act to work programmes, significantly weakening Parliament’s legislative role; strongly objects to the transfer of legislative elements away from sectoral regulations, excluding Parliament from decisions that are currently taken under the ordinary legislative procedure </w:t>
            </w:r>
            <w:r>
              <w:rPr>
                <w:b/>
                <w:i/>
              </w:rPr>
              <w:t>and creating legal uncertainty for beneficiaries</w:t>
            </w:r>
            <w:r>
              <w:t xml:space="preserve">; </w:t>
            </w:r>
            <w:r>
              <w:rPr>
                <w:b/>
                <w:i/>
              </w:rPr>
              <w:t>points to the serious risks which such a shift would entail to the transparency and democratic scrutiny of the legislative process;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857</w:t>
      </w:r>
      <w:r>
        <w:rPr>
          <w:rStyle w:val="HideTWBExt"/>
        </w:rPr>
        <w:t>&lt;/NumAm&gt;</w:t>
      </w:r>
    </w:p>
    <w:p>
      <w:pPr>
        <w:pStyle w:val="NormalBold"/>
      </w:pPr>
      <w:r>
        <w:rPr>
          <w:rStyle w:val="HideTWBExt"/>
          <w:b w:val="0"/>
        </w:rPr>
        <w:t>&lt;RepeatBlock-By&gt;</w:t>
      </w:r>
      <w:r>
        <w:rPr>
          <w:rStyle w:val="HideTWBExt"/>
          <w:b w:val="0"/>
        </w:rPr>
        <w:t>&lt;Members&gt;</w:t>
      </w:r>
      <w:r>
        <w:t>Jana Nagyová, Klara Dostalova, Ondřej Knotek, Jaroslava Pokorná Jermanová, Jaroslav Bžoch, Jaroslav Knot,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41.</w:t>
            </w:r>
            <w:r>
              <w:tab/>
            </w:r>
            <w:r>
              <w:t>Expresses serious concern about the broader programme design features and sectoral proposals that shift essential policy and budgetary decisions from the basic act to work programmes, significantly weakening Parliament’s legislative role; strongly objects to the transfer of legislative elements away from sectoral regulations, excluding Parliament from decisions that are currently taken under the ordinary legislative procedure;</w:t>
            </w:r>
          </w:p>
        </w:tc>
        <w:tc>
          <w:tcPr>
            <w:tcW w:w="4876" w:type="dxa"/>
            <w:tcBorders>
              <w:top w:val="nil"/>
              <w:left w:val="nil"/>
              <w:bottom w:val="nil"/>
              <w:right w:val="nil"/>
            </w:tcBorders>
          </w:tcPr>
          <w:p>
            <w:pPr>
              <w:pStyle w:val="Normal6a"/>
            </w:pPr>
            <w:r>
              <w:t>41.</w:t>
            </w:r>
            <w:r>
              <w:tab/>
            </w:r>
            <w:r>
              <w:t xml:space="preserve">Expresses serious concern about the broader programme design features and sectoral proposals that shift essential policy and budgetary decisions from the basic act to work programmes, significantly weakening Parliament’s legislative role; </w:t>
            </w:r>
            <w:r>
              <w:rPr>
                <w:b/>
                <w:i/>
              </w:rPr>
              <w:t>notes that systematic reliance on delegated acts risks expanding Commission powers at the expense of democratic oversight;</w:t>
            </w:r>
            <w:r>
              <w:t xml:space="preserve"> strongly objects to the transfer of legislative elements away from sectoral regulations, excluding Parliament from decisions that are currently taken under the ordinary legislative procedure;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858</w:t>
      </w:r>
      <w:r>
        <w:rPr>
          <w:rStyle w:val="HideTWBExt"/>
        </w:rPr>
        <w:t>&lt;/NumAm&gt;</w:t>
      </w:r>
    </w:p>
    <w:p>
      <w:pPr>
        <w:pStyle w:val="NormalBold"/>
      </w:pPr>
      <w:r>
        <w:rPr>
          <w:rStyle w:val="HideTWBExt"/>
          <w:b w:val="0"/>
        </w:rPr>
        <w:t>&lt;RepeatBlock-By&gt;</w:t>
      </w:r>
      <w:r>
        <w:rPr>
          <w:rStyle w:val="HideTWBExt"/>
          <w:b w:val="0"/>
        </w:rPr>
        <w:t>&lt;Members&gt;</w:t>
      </w:r>
      <w:r>
        <w:t>Anouk Van Brug, Moritz Körner, Joachim Streit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41.</w:t>
            </w:r>
            <w:r>
              <w:tab/>
            </w:r>
            <w:r>
              <w:t xml:space="preserve">Expresses </w:t>
            </w:r>
            <w:r>
              <w:rPr>
                <w:b/>
                <w:i/>
              </w:rPr>
              <w:t>serious</w:t>
            </w:r>
            <w:r>
              <w:t xml:space="preserve"> concern about the broader programme design features and sectoral proposals that shift essential policy and budgetary decisions from the basic act to work programmes, significantly weakening Parliament’s legislative role; </w:t>
            </w:r>
            <w:r>
              <w:rPr>
                <w:b/>
                <w:i/>
              </w:rPr>
              <w:t>strongly</w:t>
            </w:r>
            <w:r>
              <w:t xml:space="preserve"> objects to the transfer of legislative elements away from sectoral regulations, excluding Parliament from decisions that are currently taken under the ordinary legislative procedure;</w:t>
            </w:r>
          </w:p>
        </w:tc>
        <w:tc>
          <w:tcPr>
            <w:tcW w:w="4876" w:type="dxa"/>
            <w:tcBorders>
              <w:top w:val="nil"/>
              <w:left w:val="nil"/>
              <w:bottom w:val="nil"/>
              <w:right w:val="nil"/>
            </w:tcBorders>
          </w:tcPr>
          <w:p>
            <w:pPr>
              <w:pStyle w:val="Normal6a"/>
            </w:pPr>
            <w:r>
              <w:t>41.</w:t>
            </w:r>
            <w:r>
              <w:tab/>
            </w:r>
            <w:r>
              <w:t>Expresses concern about the broader programme design features and sectoral proposals that shift essential policy and budgetary decisions from the basic act to work programmes, significantly weakening Parliament’s legislative role; objects to the transfer of legislative elements away from sectoral regulations, excluding Parliament from decisions that are currently taken under the ordinary legislative procedure;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859</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Insists that all substantive policy choices such as programme objectives, spending priorities, financial allocations, eligibility, selection and award criteria, conditions, definitions and calculation methods must be determined in the relevant legislation, with full respect for Parliament’s prerogatives as co-legislator and budgetary authority and not in the work programme; demands that any elements entailing policy choices that are not included in the basic act be adopted exclusively through delegated acts, rejecting any use of implementing acts or other procedures that would bypass parliamentary scrutiny; in this respect, requires that all multiannual and annual work programmes be adopted through delegated acts to ensure Parliament’s systematic involvement in policy decision-making; categorically rejects any attempt to relegate strategic decisions to comitology procedures or other arrangements; warns that Parliament will not accept any proposal that fails to guarantee its full legislative and oversight powers;</w:t>
            </w:r>
          </w:p>
        </w:tc>
        <w:tc>
          <w:tcPr>
            <w:tcW w:w="4876" w:type="dxa"/>
            <w:tcBorders>
              <w:top w:val="nil"/>
              <w:left w:val="nil"/>
              <w:bottom w:val="nil"/>
              <w:right w:val="nil"/>
            </w:tcBorders>
          </w:tcPr>
          <w:p>
            <w:pPr>
              <w:pStyle w:val="Normal6a"/>
            </w:pPr>
            <w:r>
              <w:t>42.</w:t>
            </w:r>
            <w:r>
              <w:tab/>
            </w:r>
            <w:r>
              <w:t xml:space="preserve">Insists that all substantive policy choices such as programme objectives, spending priorities, financial allocations, eligibility, selection and award criteria, conditions, definitions and calculation methods must be determined in the relevant legislation, with full respect for Parliament’s prerogatives as co-legislator and budgetary authority and not in the work programme; demands that </w:t>
            </w:r>
            <w:r>
              <w:rPr>
                <w:b/>
                <w:i/>
              </w:rPr>
              <w:t>the key policy choices be decided in the basic acts to the extent possible and that</w:t>
            </w:r>
            <w:r>
              <w:t xml:space="preserve"> any elements entailing policy choices that are not included in the basic act be adopted exclusively through delegated acts, rejecting any use of implementing acts or other procedures that would bypass parliamentary scrutiny</w:t>
            </w:r>
            <w:r>
              <w:rPr>
                <w:b/>
                <w:i/>
              </w:rPr>
              <w:t>, in order to fully respect the institutional balance laid down in the Treaties</w:t>
            </w:r>
            <w:r>
              <w:t xml:space="preserve">; in this respect, requires that all multiannual and annual work programmes be adopted through delegated acts to ensure Parliament’s systematic involvement in policy decision-making; categorically rejects any attempt to relegate strategic decisions to comitology procedures or other arrangements; warns that Parliament will not accept any proposal that fails to guarantee its full legislative and oversight powers; </w:t>
            </w:r>
            <w:r>
              <w:rPr>
                <w:b/>
                <w:i/>
              </w:rPr>
              <w:t>Stresses that reducing the level of detail in the basic acts could result in shifting important policy choices to the implementation phase and therefore weakening democratic accountability and marginalising Parliament’s role in political decisions with significant budgetary implications;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860</w:t>
      </w:r>
      <w:r>
        <w:rPr>
          <w:rStyle w:val="HideTWBExt"/>
        </w:rPr>
        <w:t>&lt;/NumAm&gt;</w:t>
      </w:r>
    </w:p>
    <w:p>
      <w:pPr>
        <w:pStyle w:val="NormalBold"/>
      </w:pPr>
      <w:r>
        <w:rPr>
          <w:rStyle w:val="HideTWBExt"/>
          <w:b w:val="0"/>
        </w:rPr>
        <w:t>&lt;RepeatBlock-By&gt;</w:t>
      </w:r>
      <w:r>
        <w:rPr>
          <w:rStyle w:val="HideTWBExt"/>
          <w:b w:val="0"/>
        </w:rPr>
        <w:t>&lt;Members&gt;</w:t>
      </w:r>
      <w:r>
        <w:t>Jana Nagyová, Klara Dostalova, Ondřej Knotek, Jaroslava Pokorná Jermanová, Jaroslav Bžoch, Jaroslav Knot,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 xml:space="preserve">Insists that all substantive policy choices such as programme objectives, spending priorities, financial allocations, eligibility, selection and award criteria, conditions, definitions and calculation methods must be determined in the relevant legislation, with </w:t>
            </w:r>
            <w:r>
              <w:rPr>
                <w:b/>
                <w:i/>
              </w:rPr>
              <w:t>full respect for Parliament’s prerogatives as co-legislator and budgetary authority and not in the work programme</w:t>
            </w:r>
            <w:r>
              <w:t xml:space="preserve">; demands that </w:t>
            </w:r>
            <w:r>
              <w:rPr>
                <w:b/>
                <w:i/>
              </w:rPr>
              <w:t>any elements entailing policy choices that are not included in the basic act be adopted exclusively through delegated acts, rejecting any use of implementing acts or other procedures that would bypass parliamentary scrutiny; in this respect, requires that all multiannual and annual work programmes be adopted through</w:t>
            </w:r>
            <w:r>
              <w:t xml:space="preserve"> delegated acts </w:t>
            </w:r>
            <w:r>
              <w:rPr>
                <w:b/>
                <w:i/>
              </w:rPr>
              <w:t>to ensure Parliament’s systematic involvement in policy decision-making</w:t>
            </w:r>
            <w:r>
              <w:t>; categorically rejects any attempt to relegate strategic decisions to comitology procedures or other arrangements; warns that Parliament will not accept any proposal that fails to guarantee its full legislative and oversight powers;</w:t>
            </w:r>
          </w:p>
        </w:tc>
        <w:tc>
          <w:tcPr>
            <w:tcW w:w="4876" w:type="dxa"/>
            <w:tcBorders>
              <w:top w:val="nil"/>
              <w:left w:val="nil"/>
              <w:bottom w:val="nil"/>
              <w:right w:val="nil"/>
            </w:tcBorders>
          </w:tcPr>
          <w:p>
            <w:pPr>
              <w:pStyle w:val="Normal6a"/>
            </w:pPr>
            <w:r>
              <w:t>42.</w:t>
            </w:r>
            <w:r>
              <w:tab/>
            </w:r>
            <w:r>
              <w:t xml:space="preserve">Insists that all substantive policy choices such as programme objectives, spending priorities, financial allocations, eligibility, selection and award criteria, conditions, definitions and calculation methods must be determined in the relevant legislation, with </w:t>
            </w:r>
            <w:r>
              <w:rPr>
                <w:b/>
                <w:i/>
              </w:rPr>
              <w:t>maximum detail and content in basic regulations and directives</w:t>
            </w:r>
            <w:r>
              <w:t xml:space="preserve">; demands that delegated acts </w:t>
            </w:r>
            <w:r>
              <w:rPr>
                <w:b/>
                <w:i/>
              </w:rPr>
              <w:t>be strictly limited and confined to technical implementation details only</w:t>
            </w:r>
            <w:r>
              <w:t>; categorically rejects any attempt to relegate strategic decisions to comitology procedures or other arrangements; warns that Parliament will not accept any proposal that fails to guarantee its full legislative and oversight powers</w:t>
            </w:r>
            <w:r>
              <w:rPr>
                <w:b/>
                <w:i/>
              </w:rPr>
              <w:t>, underscoring the need for meaningful debate among co-legislators at this stage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861</w:t>
      </w:r>
      <w:r>
        <w:rPr>
          <w:rStyle w:val="HideTWBExt"/>
        </w:rPr>
        <w:t>&lt;/NumAm&gt;</w:t>
      </w:r>
    </w:p>
    <w:p>
      <w:pPr>
        <w:pStyle w:val="NormalBold"/>
      </w:pPr>
      <w:r>
        <w:rPr>
          <w:rStyle w:val="HideTWBExt"/>
          <w:b w:val="0"/>
        </w:rPr>
        <w:t>&lt;RepeatBlock-By&gt;</w:t>
      </w:r>
      <w:r>
        <w:rPr>
          <w:rStyle w:val="HideTWBExt"/>
          <w:b w:val="0"/>
        </w:rPr>
        <w:t>&lt;Members&gt;</w:t>
      </w:r>
      <w:r>
        <w:t>Jana Nagyová, Klara Dostalova, Ondřej Knotek, Jaroslava Pokorná Jermanová, Jaroslav Bžoch, Jaroslav Knot,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Stresses that the broad scope of objectives in the proposed sectoral regulations requires a revised assessment procedure for pilot projects and preparatory actions to safeguard Parliament’s already limited right of initiative; considers that clearer criteria and streamlined procedures are essential to ensure that Parliament can continue to launch innovative actions and test new policy approaches; insists that broadening the scope of programmes must not reduce Parliament’s capacity to propose pilot projects and preparatory actions in specific policy areas;</w:t>
            </w:r>
          </w:p>
        </w:tc>
        <w:tc>
          <w:tcPr>
            <w:tcW w:w="4876" w:type="dxa"/>
            <w:tcBorders>
              <w:top w:val="nil"/>
              <w:left w:val="nil"/>
              <w:bottom w:val="nil"/>
              <w:right w:val="nil"/>
            </w:tcBorders>
          </w:tcPr>
          <w:p>
            <w:pPr>
              <w:pStyle w:val="Normal6a"/>
            </w:pPr>
            <w:r>
              <w:t>43.</w:t>
            </w:r>
            <w:r>
              <w:tab/>
            </w:r>
            <w:r>
              <w:t>Stresses that the broad scope of objectives in the proposed sectoral regulations requires a revised assessment procedure for pilot projects and preparatory actions to safeguard Parliament’s already limited right of initiative</w:t>
            </w:r>
            <w:r>
              <w:rPr>
                <w:b/>
                <w:i/>
              </w:rPr>
              <w:t>; observes that programme broadening should not lead to reduced legislative content through excessive delegation</w:t>
            </w:r>
            <w:r>
              <w:t>; considers that clearer criteria and streamlined procedures are essential to ensure that Parliament can continue to launch innovative actions and test new policy approaches; insists that broadening the scope of programmes must not reduce Parliament’s capacity to propose pilot projects and preparatory actions in specific policy areas;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862</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Stresses that the broad scope of objectives in the proposed sectoral regulations requires a revised assessment procedure for pilot projects and preparatory actions to safeguard Parliament’s already limited right of initiative; considers that clearer criteria and streamlined procedures are essential to ensure that Parliament can continue to launch innovative actions and test new policy approaches; insists that broadening the scope of programmes must not reduce Parliament’s capacity to propose pilot projects and preparatory actions in specific policy areas;</w:t>
            </w:r>
          </w:p>
        </w:tc>
        <w:tc>
          <w:tcPr>
            <w:tcW w:w="4876" w:type="dxa"/>
            <w:tcBorders>
              <w:top w:val="nil"/>
              <w:left w:val="nil"/>
              <w:bottom w:val="nil"/>
              <w:right w:val="nil"/>
            </w:tcBorders>
          </w:tcPr>
          <w:p>
            <w:pPr>
              <w:pStyle w:val="Normal6a"/>
            </w:pPr>
            <w:r>
              <w:t>43.</w:t>
            </w:r>
            <w:r>
              <w:tab/>
            </w:r>
            <w:r>
              <w:t xml:space="preserve">Stresses that the broad scope of objectives in the proposed sectoral regulations requires a revised assessment procedure for pilot projects and preparatory actions to safeguard Parliament’s already limited right of initiative; considers that clearer criteria and streamlined procedures are essential to ensure that Parliament can continue to launch innovative actions and test new policy approaches </w:t>
            </w:r>
            <w:r>
              <w:rPr>
                <w:b/>
                <w:i/>
              </w:rPr>
              <w:t>in headings 1, 2 and 3</w:t>
            </w:r>
            <w:r>
              <w:t>; insists that broadening the scope of programmes must not reduce Parliament’s capacity to propose pilot projects and preparatory actions in specific policy areas;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863</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43a.</w:t>
            </w:r>
            <w:r>
              <w:tab/>
            </w:r>
            <w:r>
              <w:rPr>
                <w:b/>
                <w:i/>
              </w:rPr>
              <w:t>Rejects the creation and further development of conditionality mechanisms as tools for political pressure, using financial penalties to ensure EU policies prevail over peoples’ rights and sovereignty, in accordance with the interests and desires of EU powers and economic and financial groups;</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864</w:t>
      </w:r>
      <w:r>
        <w:rPr>
          <w:rStyle w:val="HideTWBExt"/>
        </w:rPr>
        <w:t>&lt;/NumAm&gt;</w:t>
      </w:r>
    </w:p>
    <w:p>
      <w:pPr>
        <w:pStyle w:val="NormalBold"/>
      </w:pPr>
      <w:r>
        <w:rPr>
          <w:rStyle w:val="HideTWBExt"/>
          <w:b w:val="0"/>
        </w:rPr>
        <w:t>&lt;RepeatBlock-By&gt;</w:t>
      </w:r>
      <w:r>
        <w:rPr>
          <w:rStyle w:val="HideTWBExt"/>
          <w:b w:val="0"/>
        </w:rPr>
        <w:t>&lt;Members&gt;</w:t>
      </w:r>
      <w:r>
        <w:t>Andrzej Halicki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12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underlines the need of shaping a vibrant and vital civil society, as it plays a crucial and tangible role in defending EU against disinformation, electoral meddling, hybrid treats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865</w:t>
      </w:r>
      <w:r>
        <w:rPr>
          <w:rStyle w:val="HideTWBExt"/>
        </w:rPr>
        <w:t>&lt;/NumAm&gt;</w:t>
      </w:r>
    </w:p>
    <w:p>
      <w:pPr>
        <w:pStyle w:val="NormalBold"/>
      </w:pPr>
      <w:r>
        <w:rPr>
          <w:rStyle w:val="HideTWBExt"/>
          <w:b w:val="0"/>
        </w:rPr>
        <w:t>&lt;RepeatBlock-By&gt;</w:t>
      </w:r>
      <w:r>
        <w:rPr>
          <w:rStyle w:val="HideTWBExt"/>
          <w:b w:val="0"/>
        </w:rPr>
        <w:t>&lt;Members&gt;</w:t>
      </w:r>
      <w:r>
        <w:t>Andrzej Halicki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12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Democratic resilience is cle-de-voute for our competitiveness, growth and prosperity and security; calls the Commission to fund commitments articulated in the European Democracy Shield must be taken up and implement it within the MFF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866</w:t>
      </w:r>
      <w:r>
        <w:rPr>
          <w:rStyle w:val="HideTWBExt"/>
        </w:rPr>
        <w:t>&lt;/NumAm&gt;</w:t>
      </w:r>
    </w:p>
    <w:p>
      <w:pPr>
        <w:pStyle w:val="NormalBold"/>
      </w:pPr>
      <w:r>
        <w:rPr>
          <w:rStyle w:val="HideTWBExt"/>
          <w:b w:val="0"/>
        </w:rPr>
        <w:t>&lt;RepeatBlock-By&gt;</w:t>
      </w:r>
      <w:r>
        <w:rPr>
          <w:rStyle w:val="HideTWBExt"/>
          <w:b w:val="0"/>
        </w:rPr>
        <w:t>&lt;Members&gt;</w:t>
      </w:r>
      <w:r>
        <w:t>Andrzej Halicki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12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Strongly supports the Commission’s commitment to mainstream democratic resilience into programmes including Creative Europe, Digital Europe, the Justice Programme, Horizon Europe, Erasmus+, the European Competitiveness Fund, the Global Europe Instrument, and the National and Regional Partnership Plans;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867</w:t>
      </w:r>
      <w:r>
        <w:rPr>
          <w:rStyle w:val="HideTWBExt"/>
        </w:rPr>
        <w:t>&lt;/NumAm&gt;</w:t>
      </w:r>
    </w:p>
    <w:p>
      <w:pPr>
        <w:pStyle w:val="NormalBold"/>
      </w:pPr>
      <w:r>
        <w:rPr>
          <w:rStyle w:val="HideTWBExt"/>
          <w:b w:val="0"/>
        </w:rPr>
        <w:t>&lt;RepeatBlock-By&gt;</w:t>
      </w:r>
      <w:r>
        <w:rPr>
          <w:rStyle w:val="HideTWBExt"/>
          <w:b w:val="0"/>
        </w:rPr>
        <w:t>&lt;Members&gt;</w:t>
      </w:r>
      <w:r>
        <w:t>Andrzej Halicki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12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emphasises the fact that defence spending should be also used to invest in democratic resilience, coming under such instruments as the European Defence Fund, Horizon Europe, Digital Europe, the SAFE instrument (Security Action for Europe) and the European Defence Industry Programme; Such spending should be used to support technological excellence, as well as countering and disrupting hybrid and information threats;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868</w:t>
      </w:r>
      <w:r>
        <w:rPr>
          <w:rStyle w:val="HideTWBExt"/>
        </w:rPr>
        <w:t>&lt;/NumAm&gt;</w:t>
      </w:r>
    </w:p>
    <w:p>
      <w:pPr>
        <w:pStyle w:val="NormalBold"/>
      </w:pPr>
      <w:r>
        <w:rPr>
          <w:rStyle w:val="HideTWBExt"/>
          <w:b w:val="0"/>
        </w:rPr>
        <w:t>&lt;RepeatBlock-By&gt;</w:t>
      </w:r>
      <w:r>
        <w:rPr>
          <w:rStyle w:val="HideTWBExt"/>
          <w:b w:val="0"/>
        </w:rPr>
        <w:t>&lt;Members&gt;</w:t>
      </w:r>
      <w:r>
        <w:t>Andrzej Halicki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Subheading 12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Calls for an increase in the AgoraEU programme, as it helps supports the civil society in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869</w:t>
      </w:r>
      <w:r>
        <w:rPr>
          <w:rStyle w:val="HideTWBExt"/>
        </w:rPr>
        <w:t>&lt;/NumAm&gt;</w:t>
      </w:r>
    </w:p>
    <w:p>
      <w:pPr>
        <w:pStyle w:val="NormalBold"/>
      </w:pPr>
      <w:r>
        <w:rPr>
          <w:rStyle w:val="HideTWBExt"/>
          <w:b w:val="0"/>
        </w:rPr>
        <w:t>&lt;RepeatBlock-By&gt;</w:t>
      </w:r>
      <w:r>
        <w:rPr>
          <w:rStyle w:val="HideTWBExt"/>
          <w:b w:val="0"/>
        </w:rPr>
        <w:t>&lt;Members&gt;</w:t>
      </w:r>
      <w:r>
        <w:t>Alexander Jungbluth, Stanisław Tyszka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44.</w:t>
            </w:r>
            <w:r>
              <w:tab/>
            </w:r>
            <w:r>
              <w:rPr>
                <w:b/>
                <w:i/>
              </w:rPr>
              <w:t>Underlines that compliance with Union values and fundamental rights is an essential prerequisite to access EU funds;</w:t>
            </w:r>
            <w:r>
              <w:t xml:space="preserve"> </w:t>
            </w:r>
            <w:r>
              <w:rPr>
                <w:b/>
                <w:i/>
              </w:rPr>
              <w:t>highlights the importance of strong links between respect for the rule of law and access to EU funds under the 2021-2027 MFF;</w:t>
            </w:r>
            <w:r>
              <w:t xml:space="preserve"> </w:t>
            </w:r>
            <w:r>
              <w:rPr>
                <w:b/>
                <w:i/>
              </w:rPr>
              <w:t>believes that the protection of the Union’s financial interests depends on respect for the rule of law and Union values at national level;</w:t>
            </w:r>
            <w:r>
              <w:t xml:space="preserve"> </w:t>
            </w:r>
            <w:r>
              <w:rPr>
                <w:b/>
                <w:i/>
              </w:rPr>
              <w:t>welcomes, in particular, the positive impact of the Rule of Law Conditionality Regulation in protecting the Union’s financial interests in cases of systemic and persistent breaches of the rule of law;</w:t>
            </w:r>
            <w:r>
              <w:t xml:space="preserve"> </w:t>
            </w:r>
            <w:r>
              <w:rPr>
                <w:b/>
                <w:i/>
              </w:rPr>
              <w:t>calls on the Commission and the Council to apply the regulation strictly, consistently and without undue delay wherever necessary;</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870</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44.</w:t>
            </w:r>
            <w:r>
              <w:tab/>
            </w:r>
            <w:r>
              <w:rPr>
                <w:b/>
                <w:i/>
              </w:rPr>
              <w:t>Underlines that compliance with Union values and fundamental rights is an essential prerequisite to access EU funds;</w:t>
            </w:r>
            <w:r>
              <w:t xml:space="preserve"> </w:t>
            </w:r>
            <w:r>
              <w:rPr>
                <w:b/>
                <w:i/>
              </w:rPr>
              <w:t>highlights the importance of strong links between respect for the rule of law and access to EU funds under the 2021-2027 MFF;</w:t>
            </w:r>
            <w:r>
              <w:t xml:space="preserve"> </w:t>
            </w:r>
            <w:r>
              <w:rPr>
                <w:b/>
                <w:i/>
              </w:rPr>
              <w:t>believes that the protection of the Union’s financial interests depends on respect for the rule of law and Union values at national level;</w:t>
            </w:r>
            <w:r>
              <w:t xml:space="preserve"> </w:t>
            </w:r>
            <w:r>
              <w:rPr>
                <w:b/>
                <w:i/>
              </w:rPr>
              <w:t>welcomes, in particular, the positive impact of the Rule of Law Conditionality Regulation in protecting the Union’s financial interests in cases of systemic and persistent breaches of the rule of law;</w:t>
            </w:r>
            <w:r>
              <w:t xml:space="preserve"> </w:t>
            </w:r>
            <w:r>
              <w:rPr>
                <w:b/>
                <w:i/>
              </w:rPr>
              <w:t>calls on the Commission and the Council to apply the regulation strictly, consistently and without undue delay wherever necessary;</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871</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44.</w:t>
            </w:r>
            <w:r>
              <w:tab/>
            </w:r>
            <w:r>
              <w:rPr>
                <w:b/>
                <w:i/>
              </w:rPr>
              <w:t>Underlines that compliance with Union values and fundamental rights is an essential prerequisite to access EU funds; highlights the importance of strong links between respect for the rule of law and access to EU funds under the 2021-2027 MFF; believes that the protection of the Union’s financial interests depends on respect for the rule of law and Union values at national level; welcomes, in particular, the positive impact of the Rule of Law Conditionality Regulation in protecting the Union’s financial interests in cases of systemic and persistent breaches of the rule of law; calls on the Commission and the Council to apply the regulation strictly, consistently and without undue delay wherever necessary;</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784.188</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180</w:t>
    </w:r>
    <w:r>
      <w:fldChar w:fldCharType="end"/>
    </w:r>
    <w:r>
      <w:t>/</w:t>
    </w:r>
    <w:r>
      <w:fldChar w:fldCharType="begin"/>
    </w:r>
    <w:r>
      <w:instrText xml:space="preserve"> NUMPAGES </w:instrText>
    </w:r>
    <w:r>
      <w:fldChar w:fldCharType="separate"/>
    </w:r>
    <w:r>
      <w:t>180</w:t>
    </w:r>
    <w:r>
      <w:fldChar w:fldCharType="end"/>
    </w:r>
    <w:r>
      <w:tab/>
    </w:r>
    <w:r>
      <w:rPr>
        <w:rStyle w:val="HideTWBExt"/>
      </w:rPr>
      <w:t>&lt;PathFdR&gt;</w:t>
    </w:r>
    <w:r>
      <w:t>AM\1336462EN.docx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AM\1336462EN.docx</w:t>
    </w:r>
    <w:r>
      <w:rPr>
        <w:rStyle w:val="HideTWBExt"/>
      </w:rPr>
      <w:t>&lt;/PathFdR&gt;</w:t>
    </w:r>
    <w:r>
      <w:tab/>
    </w:r>
    <w:r>
      <w:fldChar w:fldCharType="begin"/>
    </w:r>
    <w:r>
      <w:instrText xml:space="preserve"> PAGE </w:instrText>
    </w:r>
    <w:r>
      <w:fldChar w:fldCharType="separate"/>
    </w:r>
    <w:r>
      <w:t>179</w:t>
    </w:r>
    <w:r>
      <w:fldChar w:fldCharType="end"/>
    </w:r>
    <w:r>
      <w:t>/</w:t>
    </w:r>
    <w:r>
      <w:fldChar w:fldCharType="begin"/>
    </w:r>
    <w:r>
      <w:instrText xml:space="preserve"> NUMPAGES </w:instrText>
    </w:r>
    <w:r>
      <w:fldChar w:fldCharType="separate"/>
    </w:r>
    <w:r>
      <w:t>180</w:t>
    </w:r>
    <w:r>
      <w:fldChar w:fldCharType="end"/>
    </w:r>
    <w:r>
      <w:tab/>
    </w:r>
    <w:r>
      <w:t>PE</w:t>
    </w:r>
    <w:r>
      <w:rPr>
        <w:rStyle w:val="HideTWBExt"/>
      </w:rPr>
      <w:t>&lt;NoPE&gt;</w:t>
    </w:r>
    <w:r>
      <w:t>784.188</w:t>
    </w:r>
    <w:r>
      <w:rPr>
        <w:rStyle w:val="HideTWBExt"/>
      </w:rPr>
      <w:t>&lt;/NoPE&gt;</w:t>
    </w:r>
    <w:r>
      <w:rPr>
        <w:rStyle w:val="HideTWBExt"/>
      </w:rPr>
      <w:t>&lt;Version&gt;</w:t>
    </w:r>
    <w:r>
      <w:t>v01-00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AM\1336462EN.docx</w:t>
    </w:r>
    <w:r>
      <w:rPr>
        <w:rStyle w:val="HideTWBExt"/>
      </w:rPr>
      <w:t>&lt;/PathFdR&gt;</w:t>
    </w:r>
    <w:r>
      <w:tab/>
    </w:r>
    <w:r>
      <w:tab/>
    </w:r>
    <w:r>
      <w:t>PE</w:t>
    </w:r>
    <w:r>
      <w:rPr>
        <w:rStyle w:val="HideTWBExt"/>
      </w:rPr>
      <w:t>&lt;NoPE&gt;</w:t>
    </w:r>
    <w:r>
      <w:t>784.188</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180</Pages>
  <Words>45604</Words>
  <Characters>269779</Characters>
  <Application>Microsoft Office Word</Application>
  <DocSecurity>0</DocSecurity>
  <Lines>1</Lines>
  <Paragraphs>2567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1336462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367696</vt:lpwstr>
  </property>
  <property fmtid="{D5CDD505-2E9C-101B-9397-08002B2CF9AE}" pid="7" name="dmxml.render.traceId">
    <vt:lpwstr>6989ff5dd6e716aad29d95b0ec7df7d3</vt:lpwstr>
  </property>
  <property fmtid="{D5CDD505-2E9C-101B-9397-08002B2CF9AE}" pid="8" name="FooterPath">
    <vt:lpwstr>AM\1336462EN.docx</vt:lpwstr>
  </property>
  <property fmtid="{D5CDD505-2E9C-101B-9397-08002B2CF9AE}" pid="9" name="PE Number">
    <vt:lpwstr>784.188</vt:lpwstr>
  </property>
  <property fmtid="{D5CDD505-2E9C-101B-9397-08002B2CF9AE}" pid="10" name="UID">
    <vt:lpwstr>eu.europa.europarl-DIN1-2026-0000020146_02.00-en-01.00_text-xml</vt:lpwstr>
  </property>
</Properties>
</file>