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Committee on Budgets</w:t>
      </w:r>
      <w:r>
        <w:rPr>
          <w:rStyle w:val="HideTWBExt"/>
        </w:rPr>
        <w:t>&lt;/Commission&gt;</w:t>
      </w:r>
    </w:p>
    <w:p>
      <w:pPr>
        <w:pStyle w:val="LineBottom"/>
      </w:pPr>
      <w:r>
        <w:t xml:space="preserve"> </w:t>
      </w:r>
    </w:p>
    <w:p>
      <w:pPr>
        <w:pStyle w:val="CoverReference"/>
      </w:pPr>
      <w:r>
        <w:rPr>
          <w:rStyle w:val="HideTWBExt"/>
        </w:rPr>
        <w:t>&lt;RefProc&gt;</w:t>
      </w:r>
      <w:r>
        <w:t>2025/0571R</w:t>
      </w:r>
      <w:r>
        <w:rPr>
          <w:rStyle w:val="HideTWBExt"/>
        </w:rPr>
        <w:t>&lt;/RefProc&gt;</w:t>
      </w:r>
      <w:r>
        <w:rPr>
          <w:rStyle w:val="HideTWBExt"/>
        </w:rPr>
        <w:t>&lt;RefTypeProc&gt;</w:t>
      </w:r>
      <w:r>
        <w:t>(APP)</w:t>
      </w:r>
      <w:r>
        <w:rPr>
          <w:rStyle w:val="HideTWBExt"/>
        </w:rPr>
        <w:t>&lt;/RefTypeProc&gt;</w:t>
      </w:r>
    </w:p>
    <w:p>
      <w:pPr>
        <w:pStyle w:val="CoverDate"/>
      </w:pPr>
      <w:r>
        <w:rPr>
          <w:rStyle w:val="HideTWBExt"/>
        </w:rPr>
        <w:t>&lt;Date&gt;</w:t>
      </w:r>
      <w:r>
        <w:rPr>
          <w:rStyle w:val="HideTWBInt"/>
        </w:rPr>
        <w:t>{02/02/2026}</w:t>
      </w:r>
      <w:r>
        <w:t>2.2.2026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872</w:t>
      </w:r>
      <w:r>
        <w:t xml:space="preserve"> - </w:t>
      </w:r>
      <w:r>
        <w:t>996</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Siegfried Mureşan, Carla Tavares</w:t>
      </w:r>
      <w:r>
        <w:rPr>
          <w:rStyle w:val="HideTWBExt"/>
        </w:rPr>
        <w:t>&lt;/Rapporteur&gt;</w:t>
      </w:r>
    </w:p>
    <w:p>
      <w:pPr>
        <w:pStyle w:val="CoverNormal24a"/>
      </w:pPr>
      <w:r>
        <w:rPr>
          <w:rStyle w:val="HideTWBExt"/>
        </w:rPr>
        <w:t>&lt;DocRefPE&gt;</w:t>
      </w:r>
      <w:r>
        <w:t>(PE779.351v01-00)</w:t>
      </w:r>
      <w:r>
        <w:rPr>
          <w:rStyle w:val="HideTWBExt"/>
        </w:rPr>
        <w:t>&lt;/DocRefPE&gt;</w:t>
      </w:r>
    </w:p>
    <w:p>
      <w:pPr>
        <w:pStyle w:val="CoverNormal"/>
      </w:pPr>
      <w:r>
        <w:rPr>
          <w:rStyle w:val="HideTWBExt"/>
        </w:rPr>
        <w:t>&lt;Titre&gt;</w:t>
      </w:r>
      <w:r>
        <w:t>Interim report on the proposal for the multiannual financial framework for 2028-2034</w:t>
      </w:r>
      <w:r>
        <w:rPr>
          <w:rStyle w:val="HideTWBExt"/>
        </w:rPr>
        <w:t>&lt;/Titre&gt;</w:t>
      </w:r>
    </w:p>
    <w:p>
      <w:pPr>
        <w:pStyle w:val="CoverNormal24a"/>
      </w:pPr>
      <w:r>
        <w:rPr>
          <w:rStyle w:val="HideTWBExt"/>
        </w:rPr>
        <w:t>&lt;DocRef&gt;</w:t>
      </w:r>
      <w:r>
        <w:t>(2025/0571R(APP))</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872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 xml:space="preserve">Underlines that compliance with Union values and fundamental rights is an essential prerequisite to access EU funds; highlights the </w:t>
            </w:r>
            <w:r>
              <w:rPr>
                <w:b/>
                <w:i/>
              </w:rPr>
              <w:t>importance</w:t>
            </w:r>
            <w:r>
              <w:t xml:space="preserve"> of strong links between respect for the rule of law and access to EU funds </w:t>
            </w:r>
            <w:r>
              <w:rPr>
                <w:b/>
                <w:i/>
              </w:rPr>
              <w:t>under the 2021-2027 MFF</w:t>
            </w:r>
            <w:r>
              <w:t xml:space="preserve">; believes that the protection of the Union’s financial interests </w:t>
            </w:r>
            <w:r>
              <w:rPr>
                <w:b/>
                <w:i/>
              </w:rPr>
              <w:t>depends on</w:t>
            </w:r>
            <w:r>
              <w:t xml:space="preserve"> respect for the rule of law and Union values </w:t>
            </w:r>
            <w:r>
              <w:rPr>
                <w:b/>
                <w:i/>
              </w:rPr>
              <w:t>at national level; welcomes, in particular, the positive impact of the Rule of Law</w:t>
            </w:r>
            <w:r>
              <w:t xml:space="preserve"> Conditionality Regulation </w:t>
            </w:r>
            <w:r>
              <w:rPr>
                <w:b/>
                <w:i/>
              </w:rPr>
              <w:t>in</w:t>
            </w:r>
            <w:r>
              <w:t xml:space="preserve"> protecting the </w:t>
            </w:r>
            <w:r>
              <w:rPr>
                <w:b/>
                <w:i/>
              </w:rPr>
              <w:t>Union’s</w:t>
            </w:r>
            <w:r>
              <w:t xml:space="preserve"> financial interests </w:t>
            </w:r>
            <w:r>
              <w:rPr>
                <w:b/>
                <w:i/>
              </w:rPr>
              <w:t>in cases of systemic and persistent</w:t>
            </w:r>
            <w:r>
              <w:t xml:space="preserve"> breaches of the rule of law; calls on the Commission and the Council to apply the regulation strictly, consistently and without undue delay wherever necessary;</w:t>
            </w:r>
          </w:p>
        </w:tc>
        <w:tc>
          <w:tcPr>
            <w:tcW w:w="4876" w:type="dxa"/>
            <w:tcBorders>
              <w:top w:val="nil"/>
              <w:left w:val="nil"/>
              <w:bottom w:val="nil"/>
              <w:right w:val="nil"/>
            </w:tcBorders>
          </w:tcPr>
          <w:p>
            <w:pPr>
              <w:pStyle w:val="Normal6a"/>
            </w:pPr>
            <w:r>
              <w:t>44.</w:t>
            </w:r>
            <w:r>
              <w:tab/>
            </w:r>
            <w:r>
              <w:t xml:space="preserve">Underlines that compliance with Union values and fundamental rights is an essential prerequisite to access EU funds; highlights the </w:t>
            </w:r>
            <w:r>
              <w:rPr>
                <w:b/>
                <w:i/>
              </w:rPr>
              <w:t>need for continued</w:t>
            </w:r>
            <w:r>
              <w:t xml:space="preserve"> of strong links between respect for the rule of law and access to EU funds; believes that the protection of the Union’s financial interests </w:t>
            </w:r>
            <w:r>
              <w:rPr>
                <w:b/>
                <w:i/>
              </w:rPr>
              <w:t>is intrinsically linked to the</w:t>
            </w:r>
            <w:r>
              <w:t xml:space="preserve"> respect for the rule of law and Union values</w:t>
            </w:r>
            <w:r>
              <w:rPr>
                <w:b/>
                <w:i/>
              </w:rPr>
              <w:t>; stresses that the</w:t>
            </w:r>
            <w:r>
              <w:t xml:space="preserve"> Conditionality Regulation </w:t>
            </w:r>
            <w:r>
              <w:rPr>
                <w:b/>
                <w:i/>
              </w:rPr>
              <w:t>has been a key tool for</w:t>
            </w:r>
            <w:r>
              <w:t xml:space="preserve"> protecting the </w:t>
            </w:r>
            <w:r>
              <w:rPr>
                <w:b/>
                <w:i/>
              </w:rPr>
              <w:t>EU’s</w:t>
            </w:r>
            <w:r>
              <w:t xml:space="preserve"> financial interests </w:t>
            </w:r>
            <w:r>
              <w:rPr>
                <w:b/>
                <w:i/>
              </w:rPr>
              <w:t>against</w:t>
            </w:r>
            <w:r>
              <w:t xml:space="preserve"> breaches of the rule of law</w:t>
            </w:r>
            <w:r>
              <w:rPr>
                <w:b/>
                <w:i/>
              </w:rPr>
              <w:t>, and that it should be applied whenever its legal conditions are met across the entire EU budget, including performance-based instruments as well as funding provided under Article 122 TFEU</w:t>
            </w:r>
            <w:r>
              <w:t xml:space="preserve">; calls on the Commission and the Council to apply the regulation strictly, consistently and </w:t>
            </w:r>
            <w:r>
              <w:rPr>
                <w:b/>
                <w:i/>
              </w:rPr>
              <w:t>and to take measures</w:t>
            </w:r>
            <w:r>
              <w:t xml:space="preserve"> without undue delay wherever necessary; </w:t>
            </w:r>
            <w:r>
              <w:rPr>
                <w:b/>
                <w:i/>
              </w:rPr>
              <w:t>stresses that in particular rule-of-law deficiencies affecting judiciary and the breaches pertain to the functioning of the judiciary system and in cases such as violations of rules, manipulation of, or favouritism in, calls for tender and applications involving EU funding, as well as administrative harassment breaching the equal treatment of local and regional authorities, companies or other final recipients and beneficiaries, and their access to EU funds as well procurement, audit bodies, anti-corruption safeguards or control systems constitute direct risks to the Union budget and require consistent and stringent application of conditionality; highlights that politicisation of public administration and undue concentration in procurement procedures represent systemic rule-of-law risks that threaten sound financial management;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873</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Underlines that compliance with Union values and fundamental rights is an essential prerequisite to access EU funds; highlights the importance of strong links between respect for the rule of law and access to EU funds under the 2021-2027 MFF; believes that the protection of the Union’s financial interests depends on respect for the rule of law and Union values at national level; welcomes, in particular, the positive impact of the Rule of Law Conditionality Regulation in protecting the Union’s financial interests in cases of systemic and persistent breaches of the rule of law; calls on the Commission and the Council to apply the regulation strictly, consistently and without undue delay wherever necessary;</w:t>
            </w:r>
          </w:p>
        </w:tc>
        <w:tc>
          <w:tcPr>
            <w:tcW w:w="4876" w:type="dxa"/>
            <w:tcBorders>
              <w:top w:val="nil"/>
              <w:left w:val="nil"/>
              <w:bottom w:val="nil"/>
              <w:right w:val="nil"/>
            </w:tcBorders>
          </w:tcPr>
          <w:p>
            <w:pPr>
              <w:pStyle w:val="Normal6a"/>
            </w:pPr>
            <w:r>
              <w:t>44.</w:t>
            </w:r>
            <w:r>
              <w:tab/>
            </w:r>
            <w:r>
              <w:t>Underlines that compliance with Union values and fundamental rights is an essential prerequisite to access EU funds</w:t>
            </w:r>
            <w:r>
              <w:rPr>
                <w:b/>
                <w:i/>
              </w:rPr>
              <w:t>; welcomes conditionality as an objective tool to safeguard budgetary discipline, sound financial management and taxpayers interests; stresses the need for smart conditionality mechanisms that apply proportionate measures at central level while ringfencing payments to final recipients, local authorities and regions, preventing politicisation and ensuring transparency</w:t>
            </w:r>
            <w:r>
              <w:t>; highlights the importance of strong links between respect for the rule of law and access to EU funds under the 2021-2027 MFF; believes that the protection of the Union’s financial interests depends on respect for the rule of law and Union values at national level; welcomes, in particular, the positive impact of the Rule of Law Conditionality Regulation in protecting the Union’s financial interests in cases of systemic and persistent breaches of the rule of law; calls on the Commission and the Council to apply the regulation strictly, consistently and without undue delay wherever necessary;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874</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 xml:space="preserve">Underlines that compliance with </w:t>
            </w:r>
            <w:r>
              <w:rPr>
                <w:b/>
                <w:i/>
              </w:rPr>
              <w:t>Union values and</w:t>
            </w:r>
            <w:r>
              <w:t xml:space="preserve"> fundamental rights is an essential prerequisite to access EU funds; highlights the importance of strong links between respect for the rule of law and access to EU funds under the </w:t>
            </w:r>
            <w:r>
              <w:rPr>
                <w:b/>
                <w:i/>
              </w:rPr>
              <w:t>2021-2027</w:t>
            </w:r>
            <w:r>
              <w:t xml:space="preserve"> MFF; believes that the protection of the Union’s financial interests depends on respect for the rule of law </w:t>
            </w:r>
            <w:r>
              <w:rPr>
                <w:b/>
                <w:i/>
              </w:rPr>
              <w:t>and Union values</w:t>
            </w:r>
            <w:r>
              <w:t xml:space="preserve"> at national level</w:t>
            </w:r>
            <w:r>
              <w:rPr>
                <w:b/>
                <w:i/>
              </w:rPr>
              <w:t>;</w:t>
            </w:r>
            <w:r>
              <w:t xml:space="preserve"> </w:t>
            </w:r>
            <w:r>
              <w:rPr>
                <w:b/>
                <w:i/>
              </w:rPr>
              <w:t>welcomes, in particular, the positive impact</w:t>
            </w:r>
            <w:r>
              <w:t xml:space="preserve"> of the </w:t>
            </w:r>
            <w:r>
              <w:rPr>
                <w:b/>
                <w:i/>
              </w:rPr>
              <w:t>Rule of Law Conditionality Regulation in protecting the Union’s financial interests in cases of systemic and persistent breaches of the rule of law</w:t>
            </w:r>
            <w:r>
              <w:t xml:space="preserve">; calls on the Commission and the Council to apply </w:t>
            </w:r>
            <w:r>
              <w:rPr>
                <w:b/>
                <w:i/>
              </w:rPr>
              <w:t>the regulation strictly, consistently and without undue delay wherever necessary</w:t>
            </w:r>
            <w:r>
              <w:t>;</w:t>
            </w:r>
          </w:p>
        </w:tc>
        <w:tc>
          <w:tcPr>
            <w:tcW w:w="4876" w:type="dxa"/>
            <w:tcBorders>
              <w:top w:val="nil"/>
              <w:left w:val="nil"/>
              <w:bottom w:val="nil"/>
              <w:right w:val="nil"/>
            </w:tcBorders>
          </w:tcPr>
          <w:p>
            <w:pPr>
              <w:pStyle w:val="Normal6a"/>
            </w:pPr>
            <w:r>
              <w:t>44.</w:t>
            </w:r>
            <w:r>
              <w:tab/>
            </w:r>
            <w:r>
              <w:t xml:space="preserve">Underlines that compliance with </w:t>
            </w:r>
            <w:r>
              <w:rPr>
                <w:b/>
                <w:i/>
              </w:rPr>
              <w:t>universal</w:t>
            </w:r>
            <w:r>
              <w:t xml:space="preserve"> fundamental rights is an essential prerequisite to access EU funds; highlights the importance of strong links between respect for the </w:t>
            </w:r>
            <w:r>
              <w:rPr>
                <w:b/>
                <w:i/>
              </w:rPr>
              <w:t>clearly defined</w:t>
            </w:r>
            <w:r>
              <w:t xml:space="preserve"> rule of law and access to EU funds under the MFF; believes that the protection of the Union’s financial interests </w:t>
            </w:r>
            <w:r>
              <w:rPr>
                <w:b/>
                <w:i/>
              </w:rPr>
              <w:t>also</w:t>
            </w:r>
            <w:r>
              <w:t xml:space="preserve"> depends on respect for the rule of law at national level</w:t>
            </w:r>
            <w:r>
              <w:rPr>
                <w:b/>
                <w:i/>
              </w:rPr>
              <w:t>, regardless</w:t>
            </w:r>
            <w:r>
              <w:t xml:space="preserve"> of the </w:t>
            </w:r>
            <w:r>
              <w:rPr>
                <w:b/>
                <w:i/>
              </w:rPr>
              <w:t>governing coalition</w:t>
            </w:r>
            <w:r>
              <w:t xml:space="preserve">; calls on the Commission and the Council to apply </w:t>
            </w:r>
            <w:r>
              <w:rPr>
                <w:b/>
                <w:i/>
              </w:rPr>
              <w:t>regulations in a politically neutral, impartial and consistent manner at all times</w:t>
            </w:r>
            <w:r>
              <w:t>;</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875</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44.</w:t>
            </w:r>
            <w:r>
              <w:tab/>
            </w:r>
            <w:r>
              <w:t xml:space="preserve">Underlines that compliance with Union values and fundamental rights is an essential prerequisite to access EU funds; highlights the </w:t>
            </w:r>
            <w:r>
              <w:rPr>
                <w:b/>
                <w:i/>
              </w:rPr>
              <w:t>importance of</w:t>
            </w:r>
            <w:r>
              <w:t xml:space="preserve"> strong links between respect for the rule of law and access to EU funds </w:t>
            </w:r>
            <w:r>
              <w:rPr>
                <w:b/>
                <w:i/>
              </w:rPr>
              <w:t>under the 2021-2027 MFF</w:t>
            </w:r>
            <w:r>
              <w:t xml:space="preserve">; believes that the protection of the Union’s financial interests </w:t>
            </w:r>
            <w:r>
              <w:rPr>
                <w:b/>
                <w:i/>
              </w:rPr>
              <w:t>depends on</w:t>
            </w:r>
            <w:r>
              <w:t xml:space="preserve"> respect for the rule of law and Union values at national level; welcomes, in particular, the positive impact of the Rule of Law Conditionality Regulation in protecting the Union’s financial interests in cases of systemic and persistent breaches of the rule of law; calls on the Commission and the Council to apply the </w:t>
            </w:r>
            <w:r>
              <w:rPr>
                <w:b/>
                <w:i/>
              </w:rPr>
              <w:t>regulation</w:t>
            </w:r>
            <w:r>
              <w:t xml:space="preserve"> strictly, consistently and without undue delay wherever necessary;</w:t>
            </w:r>
          </w:p>
        </w:tc>
        <w:tc>
          <w:tcPr>
            <w:tcW w:w="4876" w:type="dxa"/>
            <w:tcBorders>
              <w:top w:val="nil"/>
              <w:left w:val="nil"/>
              <w:bottom w:val="nil"/>
              <w:right w:val="nil"/>
            </w:tcBorders>
          </w:tcPr>
          <w:p>
            <w:pPr>
              <w:pStyle w:val="Normal6a"/>
            </w:pPr>
            <w:r>
              <w:t>44.</w:t>
            </w:r>
            <w:r>
              <w:tab/>
            </w:r>
            <w:r>
              <w:t xml:space="preserve">Underlines that compliance with Union values and fundamental rights is an essential prerequisite to access EU funds; highlights the </w:t>
            </w:r>
            <w:r>
              <w:rPr>
                <w:b/>
                <w:i/>
              </w:rPr>
              <w:t>need for continued</w:t>
            </w:r>
            <w:r>
              <w:t xml:space="preserve"> strong links between respect for the rule of law and access to EU funds; believes that the protection of the Union’s financial interests </w:t>
            </w:r>
            <w:r>
              <w:rPr>
                <w:b/>
                <w:i/>
              </w:rPr>
              <w:t>is intrinsically linked to the</w:t>
            </w:r>
            <w:r>
              <w:t xml:space="preserve"> respect for the rule of law and Union values at national level; welcomes, in particular, the positive impact of the Rule of Law Conditionality </w:t>
            </w:r>
            <w:r>
              <w:rPr>
                <w:b/>
                <w:i/>
              </w:rPr>
              <w:t>Regulation and the Financial</w:t>
            </w:r>
            <w:r>
              <w:t xml:space="preserve"> Regulation in protecting the Union’s financial interests in cases of systemic and persistent breaches of the rule of law; calls on the Commission and the Council to apply the </w:t>
            </w:r>
            <w:r>
              <w:rPr>
                <w:b/>
                <w:i/>
              </w:rPr>
              <w:t>regulations</w:t>
            </w:r>
            <w:r>
              <w:t xml:space="preserve"> strictly, consistently and </w:t>
            </w:r>
            <w:r>
              <w:rPr>
                <w:b/>
                <w:i/>
              </w:rPr>
              <w:t>to take measures</w:t>
            </w:r>
            <w:r>
              <w:t xml:space="preserve"> without undue delay wherever necessary;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 a.</w:t>
            </w:r>
            <w:r>
              <w:tab/>
            </w:r>
            <w:r>
              <w:rPr>
                <w:b/>
                <w:i/>
              </w:rPr>
              <w:t>Condemns in the strongest terms the instrumentalisation of rule of law conditionality for politically motivated ideological assaults on Member States; emphasises that in these assaults, the Commission has demonstrably utilised and financed NGOs and left-leaning media outlets through Union funds; consequently demands an immediate cessation of these attacks against national sovereignty, which are perpetrated through the misuse of the rule of law conditionality;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877</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 a.</w:t>
            </w:r>
            <w:r>
              <w:tab/>
            </w:r>
            <w:r>
              <w:rPr>
                <w:b/>
                <w:i/>
              </w:rPr>
              <w:t>Stresses that decisions to suspend or reduce Union funding over breaches of the rule of law must be based on objective criteria, applied consistently, and must not be guided by other considerations or be the outcome of negotiations;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878</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 b.</w:t>
            </w:r>
            <w:r>
              <w:tab/>
            </w:r>
            <w:r>
              <w:rPr>
                <w:b/>
                <w:i/>
              </w:rPr>
              <w:t>Highlights that in particular rule-of-law deficiencies affecting judiciary and the breaches pertain to the functioning of the judiciary system and in cases such as violations of rules, manipulation of, or favouritism in, calls for tender and applications involving EU funding, as well as administrative harassment breaching the equal treatment of local and regional authorities, companies or other final recipients and beneficiaries, and their access to EU funds as well procurement, audit bodies, anti-corruption safeguards or control systems constitute direct risks to the Union budget and require consistent and stringent application of conditionality; highlights that politicisation of public administration and undue concentration in procurement procedures represent systemic rule-of-law risks that threaten sound financial management;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879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 b.</w:t>
            </w:r>
            <w:r>
              <w:tab/>
            </w:r>
            <w:r>
              <w:rPr>
                <w:b/>
                <w:i/>
              </w:rPr>
              <w:t>Recalls that there is no legal definition of ‘rule of law’ in the TEU and that each Member State has its own definition, which may vary from one country to another, contributing to legal uncertainty; deplores the fact that this concept is used arbitrarily, in the absence of a definition and a legal basis;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880</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 c.</w:t>
            </w:r>
            <w:r>
              <w:tab/>
            </w:r>
            <w:r>
              <w:rPr>
                <w:b/>
                <w:i/>
              </w:rPr>
              <w:t>Notes that the new proposal introduces horizontal conditions on respecting the principles of the rule of law and the Charter; is concerned about the overlaps with the newly proposed conditionality mechanism in the upcoming multiannual financial framework; calls for a unified, coherent and comprehensive framework across all EU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881</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44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44 d.</w:t>
            </w:r>
            <w:r>
              <w:tab/>
            </w:r>
            <w:r>
              <w:rPr>
                <w:b/>
                <w:i/>
              </w:rPr>
              <w:t>Recalls that the Conditionality Regulation is recognised as one of the key tools for protecting the EU’s financial interests against breaches of the rule of law, and that it should be applied whenever its legal conditions are met across the entire EU budget, including performance-based instruments, so that all EU expenditure is subject to rule of law scrutiny;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882</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Calls for any duplications or overlaps between existing and future legislation to be avoided, in particular in the NRPPs, and calls for a unified, coherent and comprehensive framework across all EU funding programmes, under the umbrella of the Conditionality Regulation, covering both enabling conditions that must be fulfilled in order to access EU funding, and measures to withhold funds when relevant conditions are no longer met;</w:t>
            </w:r>
            <w:r>
              <w:t xml:space="preserve"> </w:t>
            </w:r>
            <w:r>
              <w:rPr>
                <w:b/>
                <w:i/>
              </w:rPr>
              <w:t>requests the Commission to consolidate all rule of law tools into a unified and comprehensive framework that provides clear, objective and transparent criteria for application and the way in which the Commission will ensure coordination among these tools;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883</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Calls for any duplications or overlaps between existing and future legislation to be avoided, in particular in the NRPPs, and calls for a unified, coherent and comprehensive framework across all EU funding programmes, under the umbrella of the Conditionality Regulation, covering both enabling conditions that must be fulfilled in order to access EU funding, and measures to withhold funds when relevant conditions are no longer met;</w:t>
            </w:r>
            <w:r>
              <w:t xml:space="preserve"> </w:t>
            </w:r>
            <w:r>
              <w:rPr>
                <w:b/>
                <w:i/>
              </w:rPr>
              <w:t>requests the Commission to consolidate all rule of law tools into a unified and comprehensive framework that provides clear, objective and transparent criteria for application and the way in which the Commission will ensure coordination among these tools;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45.</w:t>
            </w:r>
            <w:r>
              <w:tab/>
            </w:r>
            <w:r>
              <w:rPr>
                <w:b/>
                <w:i/>
              </w:rPr>
              <w:t>Calls for any duplications or overlaps between existing and future legislation to be avoided, in particular in the NRPPs, and calls for a unified, coherent and comprehensive framework across all EU funding programmes, under the umbrella of the Conditionality Regulation, covering both enabling conditions that must be fulfilled in order to access EU funding, and measures to withhold funds when relevant conditions are no longer met; requests the Commission to consolidate all rule of law tools into a unified and comprehensive framework that provides clear, objective and transparent criteria for application and the way in which the Commission will ensure coordination among these tools;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885</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Calls for any duplications or overlaps between existing and future legislation to be avoided, in particular in the NRPPs, and calls for a unified, coherent and comprehensive framework across all EU funding programmes, under the umbrella of the Conditionality Regulation, covering both enabling conditions that must be fulfilled in order to access EU funding, and measures to withhold funds when relevant conditions are no longer met; requests the Commission to consolidate all rule of law tools into a unified and comprehensive framework that provides clear, objective and transparent criteria for application and the way in which the Commission will ensure coordination among these tools;</w:t>
            </w:r>
          </w:p>
        </w:tc>
        <w:tc>
          <w:tcPr>
            <w:tcW w:w="4876" w:type="dxa"/>
            <w:tcBorders>
              <w:top w:val="nil"/>
              <w:left w:val="nil"/>
              <w:bottom w:val="nil"/>
              <w:right w:val="nil"/>
            </w:tcBorders>
          </w:tcPr>
          <w:p>
            <w:pPr>
              <w:pStyle w:val="Normal6a"/>
            </w:pPr>
            <w:r>
              <w:t>45.</w:t>
            </w:r>
            <w:r>
              <w:tab/>
            </w:r>
            <w:r>
              <w:rPr>
                <w:b/>
                <w:i/>
              </w:rPr>
              <w:t>Insist that in the next MFF a seamless and coherent Union values toolbox to cover democracy, the rule of law and fundamental rights across all EU funds.</w:t>
            </w:r>
            <w:r>
              <w:t xml:space="preserve"> Calls for any duplications or overlaps between existing and future legislation to be avoided, in particular in the NRPPs, and calls for a unified, coherent and comprehensive framework across all EU funding programmes</w:t>
            </w:r>
            <w:r>
              <w:rPr>
                <w:b/>
                <w:i/>
              </w:rPr>
              <w:t>, as part of the same seamless and coherent toolbox</w:t>
            </w:r>
            <w:r>
              <w:t>, under the umbrella of the Conditionality Regulation, covering both enabling conditions that must be fulfilled in order to access EU funding, and measures to withhold funds when relevant conditions are no longer met; requests the Commission to consolidate all rule of law tools into a unified</w:t>
            </w:r>
            <w:r>
              <w:rPr>
                <w:b/>
                <w:i/>
              </w:rPr>
              <w:t>, seamless</w:t>
            </w:r>
            <w:r>
              <w:t xml:space="preserve"> and comprehensive framework that provides clear, objective and transparent criteria for application and the way in which the Commission will ensure coordination among these tools</w:t>
            </w:r>
            <w:r>
              <w:rPr>
                <w:b/>
                <w:i/>
              </w:rPr>
              <w:t>, and ensure greater transparency and consistency in the application of that toolbox across instruments, including strengthened parliamentary scrutiny of the use of such measures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886</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 xml:space="preserve">Calls for any duplications or overlaps </w:t>
            </w:r>
            <w:r>
              <w:rPr>
                <w:b/>
                <w:i/>
              </w:rPr>
              <w:t>between existing and future legislation</w:t>
            </w:r>
            <w:r>
              <w:t xml:space="preserve"> to be avoided, in particular in the NRPPs, and calls for a unified, coherent and comprehensive framework across all EU funding programmes</w:t>
            </w:r>
            <w:r>
              <w:rPr>
                <w:b/>
                <w:i/>
              </w:rPr>
              <w:t>, under the umbrella</w:t>
            </w:r>
            <w:r>
              <w:t xml:space="preserve"> of the </w:t>
            </w:r>
            <w:r>
              <w:rPr>
                <w:b/>
                <w:i/>
              </w:rPr>
              <w:t>Conditionality Regulation</w:t>
            </w:r>
            <w:r>
              <w:t>, covering both enabling conditions that must be fulfilled in order to access EU funding, and measures to withhold funds when relevant conditions are no longer met; requests the Commission to consolidate all rule of law tools into a unified and comprehensive framework that provides clear, objective and transparent criteria for application and the way in which the Commission will ensure coordination among these tools;</w:t>
            </w:r>
          </w:p>
        </w:tc>
        <w:tc>
          <w:tcPr>
            <w:tcW w:w="4876" w:type="dxa"/>
            <w:tcBorders>
              <w:top w:val="nil"/>
              <w:left w:val="nil"/>
              <w:bottom w:val="nil"/>
              <w:right w:val="nil"/>
            </w:tcBorders>
          </w:tcPr>
          <w:p>
            <w:pPr>
              <w:pStyle w:val="Normal6a"/>
            </w:pPr>
            <w:r>
              <w:t>45.</w:t>
            </w:r>
            <w:r>
              <w:tab/>
            </w:r>
            <w:r>
              <w:rPr>
                <w:b/>
                <w:i/>
              </w:rPr>
              <w:t>Insist that in the next MFF a seamless and coherent Union values toolbox to cover democracy, the rule of law and fundamental rights across all EU funds</w:t>
            </w:r>
            <w:r>
              <w:t xml:space="preserve"> Calls for any duplications or overlaps to be avoided, in particular in the NRPPs, and calls for a unified, coherent and comprehensive framework across all EU funding programmes </w:t>
            </w:r>
            <w:r>
              <w:rPr>
                <w:b/>
                <w:i/>
              </w:rPr>
              <w:t>as part</w:t>
            </w:r>
            <w:r>
              <w:t xml:space="preserve"> of the </w:t>
            </w:r>
            <w:r>
              <w:rPr>
                <w:b/>
                <w:i/>
              </w:rPr>
              <w:t>same seamless and coherent toolbox</w:t>
            </w:r>
            <w:r>
              <w:t>, covering both enabling conditions that must be fulfilled in order to access EU funding, and measures to withhold funds when relevant conditions are no longer met; requests the Commission to consolidate all rule of law tools into a unified</w:t>
            </w:r>
            <w:r>
              <w:rPr>
                <w:b/>
                <w:i/>
              </w:rPr>
              <w:t>, seamless</w:t>
            </w:r>
            <w:r>
              <w:t xml:space="preserve"> and comprehensive framework that provides clear, objective and transparent criteria for application and the way in which the Commission will ensure coordination among these tools; </w:t>
            </w:r>
            <w:r>
              <w:rPr>
                <w:b/>
                <w:i/>
              </w:rPr>
              <w:t>insist in particular on a clear prohibition of reshuffling of frozen funds;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887</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rPr>
                <w:b/>
                <w:i/>
              </w:rPr>
              <w:t>Calls for any</w:t>
            </w:r>
            <w:r>
              <w:t xml:space="preserve"> duplications </w:t>
            </w:r>
            <w:r>
              <w:rPr>
                <w:b/>
                <w:i/>
              </w:rPr>
              <w:t>or</w:t>
            </w:r>
            <w:r>
              <w:t xml:space="preserve"> overlaps </w:t>
            </w:r>
            <w:r>
              <w:rPr>
                <w:b/>
                <w:i/>
              </w:rPr>
              <w:t>between existing and future legislation to be avoided,</w:t>
            </w:r>
            <w:r>
              <w:t xml:space="preserve"> in particular </w:t>
            </w:r>
            <w:r>
              <w:rPr>
                <w:b/>
                <w:i/>
              </w:rPr>
              <w:t>in</w:t>
            </w:r>
            <w:r>
              <w:t xml:space="preserve"> the NRPPs, and calls for a unified, coherent and comprehensive framework across all EU funding programmes, under the umbrella of the Conditionality Regulation, covering both enabling conditions that must be fulfilled in order to access EU funding, and measures to withhold funds when relevant conditions are no longer met; requests the Commission to consolidate all rule of law tools into a unified and comprehensive framework that provides clear, objective and transparent criteria for application and the way in which the Commission will ensure coordination among these tools;</w:t>
            </w:r>
          </w:p>
        </w:tc>
        <w:tc>
          <w:tcPr>
            <w:tcW w:w="4876" w:type="dxa"/>
            <w:tcBorders>
              <w:top w:val="nil"/>
              <w:left w:val="nil"/>
              <w:bottom w:val="nil"/>
              <w:right w:val="nil"/>
            </w:tcBorders>
          </w:tcPr>
          <w:p>
            <w:pPr>
              <w:pStyle w:val="Normal6a"/>
            </w:pPr>
            <w:r>
              <w:t>45.</w:t>
            </w:r>
            <w:r>
              <w:tab/>
            </w:r>
            <w:r>
              <w:rPr>
                <w:b/>
                <w:i/>
              </w:rPr>
              <w:t>Deplores the</w:t>
            </w:r>
            <w:r>
              <w:t xml:space="preserve"> duplications </w:t>
            </w:r>
            <w:r>
              <w:rPr>
                <w:b/>
                <w:i/>
              </w:rPr>
              <w:t>and</w:t>
            </w:r>
            <w:r>
              <w:t xml:space="preserve"> overlaps </w:t>
            </w:r>
            <w:r>
              <w:rPr>
                <w:b/>
                <w:i/>
              </w:rPr>
              <w:t>with the conditionality mechanism introduced</w:t>
            </w:r>
            <w:r>
              <w:t xml:space="preserve"> in particular </w:t>
            </w:r>
            <w:r>
              <w:rPr>
                <w:b/>
                <w:i/>
              </w:rPr>
              <w:t>by</w:t>
            </w:r>
            <w:r>
              <w:t xml:space="preserve"> the NRPPs, and calls for a unified, coherent and comprehensive framework across all EU funding programmes, under the umbrella of the Conditionality Regulation, covering both enabling conditions that must be fulfilled in order to access EU funding, and measures to withhold funds when relevant conditions are no longer met; requests the Commission to consolidate all rule of law tools into a unified and comprehensive framework that provides clear, objective and transparent criteria for application and the way in which the Commission will ensure coordination among these tools;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 a.</w:t>
            </w:r>
            <w:r>
              <w:tab/>
            </w:r>
            <w:r>
              <w:rPr>
                <w:b/>
                <w:i/>
              </w:rPr>
              <w:t>Expresses its firm opposition to the perpetuation of the current ‘rule of law conditionality system’ and, furthermore, to any proposals aimed at its reinforcement or expansion; recalls that any initiative seeking to strengthen or extend such conditionalities undermines the crucial objectives of simplification and enhanced competitiveness by imposing greater complexities and protracted delays on Member States seeking access to vital funding;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45 b.</w:t>
            </w:r>
            <w:r>
              <w:tab/>
            </w:r>
            <w:r>
              <w:rPr>
                <w:b/>
                <w:i/>
              </w:rPr>
              <w:t>Notes that the Commission’s annual rule of law reports have shown clear political bias in recent years; regrets the fact that the reports do not present an objective and substantiated picture of the rule of law situation in the Member States; highlights the fact that these reports cannot serve as a basis for any further EU mechanisms or procedures; deplores the fact that the Commission includes inputs from NGOs funded by the EU itself and, more worryingly, in some cases by non-EU governments when drafting its annual rule of law report;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890</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46.</w:t>
            </w:r>
            <w:r>
              <w:tab/>
            </w:r>
            <w:r>
              <w:rPr>
                <w:b/>
                <w:i/>
              </w:rPr>
              <w:t>Demands that Union funds be withheld where essential requirements are not fulfilled and that frozen funds only be released to the Member States concerned once they have fully implemented meaningful reforms and verifiably demonstrated compliance with the rule of law in practice;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891</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46.</w:t>
            </w:r>
            <w:r>
              <w:tab/>
            </w:r>
            <w:r>
              <w:rPr>
                <w:b/>
                <w:i/>
              </w:rPr>
              <w:t>Demands that Union funds be withheld where essential requirements are not fulfilled and that frozen funds only be released to the Member States concerned once they have fully implemented meaningful reforms and verifiably demonstrated compliance with the rule of law in practice;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46.</w:t>
            </w:r>
            <w:r>
              <w:tab/>
            </w:r>
            <w:r>
              <w:rPr>
                <w:b/>
                <w:i/>
              </w:rPr>
              <w:t>Demands that Union funds be withheld where essential requirements are not fulfilled and that frozen funds only be released to the Member States concerned once they have fully implemented meaningful reforms and verifiably demonstrated compliance with the rule of law in practice;</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893</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Demands that Union funds be withheld where essential requirements are not fulfilled and that frozen funds only be released to the Member States concerned once they have fully implemented meaningful reforms and verifiably demonstrated compliance with the rule of law in practice;</w:t>
            </w:r>
          </w:p>
        </w:tc>
        <w:tc>
          <w:tcPr>
            <w:tcW w:w="4876" w:type="dxa"/>
            <w:tcBorders>
              <w:top w:val="nil"/>
              <w:left w:val="nil"/>
              <w:bottom w:val="nil"/>
              <w:right w:val="nil"/>
            </w:tcBorders>
          </w:tcPr>
          <w:p>
            <w:pPr>
              <w:pStyle w:val="Normal6a"/>
            </w:pPr>
            <w:r>
              <w:t>46.</w:t>
            </w:r>
            <w:r>
              <w:tab/>
            </w:r>
            <w:r>
              <w:t xml:space="preserve">Demands that Union funds be withheld where essential requirements are not fulfilled and that frozen funds only be released to the Member States concerned once they have fully implemented meaningful reforms and verifiably demonstrated compliance with the rule of law in practice; </w:t>
            </w:r>
            <w:r>
              <w:rPr>
                <w:b/>
                <w:i/>
              </w:rPr>
              <w:t>insists on smart conditionality to enforce objective, proportionate criteria with full due process, robust defence rights and equal treatment, protecting final beneficiaries from central level failings and upholding budgetary responsibility without political instrumentalisation;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894</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Demands that Union funds be withheld where essential requirements are not fulfilled and that frozen funds only be released to the Member States concerned once they have fully implemented meaningful reforms and verifiably demonstrated compliance with the rule of law in practice;</w:t>
            </w:r>
          </w:p>
        </w:tc>
        <w:tc>
          <w:tcPr>
            <w:tcW w:w="4876" w:type="dxa"/>
            <w:tcBorders>
              <w:top w:val="nil"/>
              <w:left w:val="nil"/>
              <w:bottom w:val="nil"/>
              <w:right w:val="nil"/>
            </w:tcBorders>
          </w:tcPr>
          <w:p>
            <w:pPr>
              <w:pStyle w:val="Normal6a"/>
            </w:pPr>
            <w:r>
              <w:t>46.</w:t>
            </w:r>
            <w:r>
              <w:tab/>
            </w:r>
            <w:r>
              <w:t xml:space="preserve">Demands that Union funds be withheld where essential requirements are not fulfilled and that frozen funds only be released to the Member States concerned once they have fully implemented meaningful reforms and verifiably demonstrated compliance with the rule of law in practice </w:t>
            </w:r>
            <w:r>
              <w:rPr>
                <w:b/>
                <w:i/>
              </w:rPr>
              <w:t>and when the rule of law reports do not identify further backsliding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895</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46.</w:t>
            </w:r>
            <w:r>
              <w:tab/>
            </w:r>
            <w:r>
              <w:t>Demands that Union funds be withheld where essential requirements are not fulfilled and that frozen funds only be released to the Member States concerned once they have fully implemented meaningful reforms and verifiably demonstrated compliance with the rule of law in practice;</w:t>
            </w:r>
          </w:p>
        </w:tc>
        <w:tc>
          <w:tcPr>
            <w:tcW w:w="4876" w:type="dxa"/>
            <w:tcBorders>
              <w:top w:val="nil"/>
              <w:left w:val="nil"/>
              <w:bottom w:val="nil"/>
              <w:right w:val="nil"/>
            </w:tcBorders>
          </w:tcPr>
          <w:p>
            <w:pPr>
              <w:pStyle w:val="Normal6a"/>
            </w:pPr>
            <w:r>
              <w:t>46.</w:t>
            </w:r>
            <w:r>
              <w:tab/>
            </w:r>
            <w:r>
              <w:t xml:space="preserve">Demands that Union funds be withheld where essential requirements are not fulfilled and that frozen funds only be released to the Member States concerned once they have fully implemented meaningful reforms and verifiably demonstrated compliance with the rule of law in practice </w:t>
            </w:r>
            <w:r>
              <w:rPr>
                <w:b/>
                <w:i/>
              </w:rPr>
              <w:t>and when the rule of law reports do not identify further backsliding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896</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 a.</w:t>
            </w:r>
            <w:r>
              <w:tab/>
            </w:r>
            <w:r>
              <w:rPr>
                <w:b/>
                <w:i/>
              </w:rPr>
              <w:t>Notes with concern the Commission’s politically biased monitoring of rule of law benchmarks through the rule of law toolbox; calls on the Commission to refrain from politically motivated actions targeting right-wing, conservative governments or sanctions against Member States that are not in line with the Commission’s agenda; deplores the fact that the Commission is abusing rule of law conditionality to withhold EU funds from governments on a political basis and is thereby violating the principle of sincere cooperation enshrined in the Treaties; calls on the Commission to adhere to the principle of sincere cooperation with the governments of all Member States, irrespective of their political leaning;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897</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 a.</w:t>
            </w:r>
            <w:r>
              <w:tab/>
            </w:r>
            <w:r>
              <w:rPr>
                <w:b/>
                <w:i/>
              </w:rPr>
              <w:t>Recalls that final recipients should not be deprived of the benefits of Union funds where measures are applied to a Member State; stresses the need for ‘smart conditionality’ so citizens, local and regional authorities, civil society and other beneficiaries are not penalised for the actions of national governments; calls on the Commission to propose specific operational mechanisms to enable reallocating decommitted funds to direct or indirect management where appropriate, without weakening the application of conditionality and while maintaining the Member State’s legal obligation to pay;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 b.</w:t>
            </w:r>
            <w:r>
              <w:tab/>
            </w:r>
            <w:r>
              <w:rPr>
                <w:b/>
                <w:i/>
              </w:rPr>
              <w:t>Condemns the fact that the Commission has clearly demonstrated double standards for Member States when it comes to rule of law standards and has used it in a manner detrimental to Member States with conservative governments; notes that the Commission unfroze the EU funds for Poland following the election of a party belonging to the ruling European political family despite the fact that no new legislation had been adopted; strongly condemns the fact that leaders of right-wing parties have been banned from running for office and persecuted by lawfare; condemns the attempts to imprison political leaders for defending the borders of their respective countries; denounces the physical intimidation and lawfare used against politicians for holding views that challenge the EU mainstream;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899</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46 b.</w:t>
            </w:r>
            <w:r>
              <w:tab/>
            </w:r>
            <w:r>
              <w:rPr>
                <w:b/>
                <w:i/>
              </w:rPr>
              <w:t>Stresses that protecting the Union’s financial interests requires a strengthened EU anti-fraud architecture; calls for adequate funding and staffing for bodies essential to budget protection and the rule of law, including EPPO, and for sufficient support to democracy and values programmes to strengthen democratic resilience;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900</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47.</w:t>
            </w:r>
            <w:r>
              <w:tab/>
            </w:r>
            <w:r>
              <w:rPr>
                <w:b/>
                <w:i/>
              </w:rPr>
              <w:t>Acknowledges that the Commission proposes, in the context of the NRPPs, the possibility to make funding that is decommitted because of a lack of remedial measures in response to an identified breach of the rule of law under the Conditionality Regulation available again to programmes in direct or indirect management;</w:t>
            </w:r>
            <w:r>
              <w:t xml:space="preserve"> </w:t>
            </w:r>
            <w:r>
              <w:rPr>
                <w:b/>
                <w:i/>
              </w:rPr>
              <w:t>demands clarification as to how such decommitted amounts could be channelled to other programmes and calls for the prohibition of reshuffling of frozen funds;</w:t>
            </w:r>
            <w:r>
              <w:t xml:space="preserve"> </w:t>
            </w:r>
            <w:r>
              <w:rPr>
                <w:b/>
                <w:i/>
              </w:rPr>
              <w:t>insists that the decision to use de-committed funds is a prerogative of the budgetary authority in the framework of the annual budgetary procedure and should not be left to the discretion of the Commission;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901</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47.</w:t>
            </w:r>
            <w:r>
              <w:tab/>
            </w:r>
            <w:r>
              <w:rPr>
                <w:b/>
                <w:i/>
              </w:rPr>
              <w:t>Acknowledges that the Commission proposes, in the context of the NRPPs, the possibility to make funding that is decommitted because of a lack of remedial measures in response to an identified breach of the rule of law under the Conditionality Regulation available again to programmes in direct or indirect management; demands clarification as to how such decommitted amounts could be channelled to other programmes and calls for the prohibition of reshuffling of frozen funds; insists that the decision to use de-committed funds is a prerogative of the budgetary authority in the framework of the annual budgetary procedure and should not be left to the discretion of the Commission;</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902</w:t>
      </w:r>
      <w:r>
        <w:rPr>
          <w:rStyle w:val="HideTWBExt"/>
        </w:rPr>
        <w:t>&lt;/NumAm&gt;</w:t>
      </w:r>
    </w:p>
    <w:p>
      <w:pPr>
        <w:pStyle w:val="NormalBold"/>
      </w:pPr>
      <w:r>
        <w:rPr>
          <w:rStyle w:val="HideTWBExt"/>
          <w:b w:val="0"/>
        </w:rPr>
        <w:t>&lt;RepeatBlock-By&gt;</w:t>
      </w:r>
      <w:r>
        <w:rPr>
          <w:rStyle w:val="HideTWBExt"/>
          <w:b w:val="0"/>
        </w:rPr>
        <w:t>&lt;Members&gt;</w:t>
      </w:r>
      <w:r>
        <w:t>Fabienne Keller, Stine Bosse, Lucia Yar, Anouk Van Brug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Acknowledges </w:t>
            </w:r>
            <w:r>
              <w:rPr>
                <w:b/>
                <w:i/>
              </w:rPr>
              <w:t>that the Commission proposes</w:t>
            </w:r>
            <w:r>
              <w:t>, in the context of the NRPPs, the possibility to make funding that is decommitted because of a lack of remedial measures in response to an identified breach of the rule of law under the Conditionality Regulation available again to programmes in direct or indirect management; demands clarification as to how such decommitted amounts could be channelled to other programmes and calls for the prohibition of reshuffling of frozen funds; insists that the decision to use de-committed funds is a prerogative of the budgetary authority in the framework of the annual budgetary procedure and should not be left to the discretion of the Commission;</w:t>
            </w:r>
          </w:p>
        </w:tc>
        <w:tc>
          <w:tcPr>
            <w:tcW w:w="4876" w:type="dxa"/>
            <w:tcBorders>
              <w:top w:val="nil"/>
              <w:left w:val="nil"/>
              <w:bottom w:val="nil"/>
              <w:right w:val="nil"/>
            </w:tcBorders>
          </w:tcPr>
          <w:p>
            <w:pPr>
              <w:pStyle w:val="Normal6a"/>
            </w:pPr>
            <w:r>
              <w:t>47.</w:t>
            </w:r>
            <w:r>
              <w:tab/>
            </w:r>
            <w:r>
              <w:rPr>
                <w:b/>
                <w:i/>
              </w:rPr>
              <w:t>Positively</w:t>
            </w:r>
            <w:r>
              <w:t xml:space="preserve"> acknowledges </w:t>
            </w:r>
            <w:r>
              <w:rPr>
                <w:b/>
                <w:i/>
              </w:rPr>
              <w:t>the Commission’s proposal</w:t>
            </w:r>
            <w:r>
              <w:t xml:space="preserve">, in the context of the NRPPs, </w:t>
            </w:r>
            <w:r>
              <w:rPr>
                <w:b/>
                <w:i/>
              </w:rPr>
              <w:t>of</w:t>
            </w:r>
            <w:r>
              <w:t xml:space="preserve"> the possibility to make funding that is decommitted because of a lack of remedial measures in response to an identified breach of the rule of law under the Conditionality Regulation available again to programmes in direct or indirect management; demands clarification as to how such decommitted amounts could be channelled to other programmes and calls for the prohibition of reshuffling of frozen funds;</w:t>
            </w:r>
            <w:r>
              <w:rPr>
                <w:b/>
                <w:i/>
              </w:rPr>
              <w:t>body; believes that such an approach to conditionality may resolve the identified issues concerning the possibility to affect the suspended amounts and the protection of final recipients or beneficiaries, as the proposal provides for the funds to be made available again for use under direct or indirect management, in particular the instruments and programmes that contribute to supporting Europe’s democracy, civil society, Union values or the fight against corruption; requests that funds suspended or frozen due to breaches of the values enshrined in Article 2 TEU must be considered forfeited by the Member State concerned and must not be reallocated to that state, but recommends that the funds made available again should at least partly be redirected to non-state actors primarily within the Member State where the violations occurred; i</w:t>
            </w:r>
            <w:r>
              <w:t xml:space="preserve"> insists that the decision to use de-committed funds is a prerogative of the budgetary authority in the framework of the annual budgetary procedure and should not be left to the discretion of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903</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Acknowledges that the Commission proposes, in the context of the NRPPs, the possibility to make funding that is decommitted because of a lack of remedial measures in response to an identified breach of the rule of law under the Conditionality Regulation available again to programmes in direct or indirect management; </w:t>
            </w:r>
            <w:r>
              <w:rPr>
                <w:b/>
                <w:i/>
              </w:rPr>
              <w:t>demands clarification as to how such decommitted</w:t>
            </w:r>
            <w:r>
              <w:t xml:space="preserve"> amounts </w:t>
            </w:r>
            <w:r>
              <w:rPr>
                <w:b/>
                <w:i/>
              </w:rPr>
              <w:t>could be channelled to other</w:t>
            </w:r>
            <w:r>
              <w:t xml:space="preserve"> programmes </w:t>
            </w:r>
            <w:r>
              <w:rPr>
                <w:b/>
                <w:i/>
              </w:rPr>
              <w:t>and calls for the prohibition of reshuffling of</w:t>
            </w:r>
            <w:r>
              <w:t xml:space="preserve"> frozen funds; insists that the decision to use de-committed funds is a prerogative of the budgetary authority in the framework of the annual budgetary procedure and should not be left to the discretion of the Commission;</w:t>
            </w:r>
          </w:p>
        </w:tc>
        <w:tc>
          <w:tcPr>
            <w:tcW w:w="4876" w:type="dxa"/>
            <w:tcBorders>
              <w:top w:val="nil"/>
              <w:left w:val="nil"/>
              <w:bottom w:val="nil"/>
              <w:right w:val="nil"/>
            </w:tcBorders>
          </w:tcPr>
          <w:p>
            <w:pPr>
              <w:pStyle w:val="Normal6a"/>
            </w:pPr>
            <w:r>
              <w:t>47.</w:t>
            </w:r>
            <w:r>
              <w:tab/>
            </w:r>
            <w:r>
              <w:t xml:space="preserve">Acknowledges that the Commission proposes, in the context of the NRPPs, the possibility to make funding that is decommitted because of a lack of remedial measures in response to an identified breach of the rule of law under the Conditionality Regulation available again to programmes in direct or indirect management; </w:t>
            </w:r>
            <w:r>
              <w:rPr>
                <w:b/>
                <w:i/>
              </w:rPr>
              <w:t>believes that such an approach to conditionality may resolve the identified issues concerning the possibility to affect the suspended</w:t>
            </w:r>
            <w:r>
              <w:t xml:space="preserve"> amounts </w:t>
            </w:r>
            <w:r>
              <w:rPr>
                <w:b/>
                <w:i/>
              </w:rPr>
              <w:t>and the protection of final recipients or beneficiaries, as the proposal provides for the funds to be made available again for use under direct or indirect management, in particular the instruments and</w:t>
            </w:r>
            <w:r>
              <w:t xml:space="preserve"> programmes </w:t>
            </w:r>
            <w:r>
              <w:rPr>
                <w:b/>
                <w:i/>
              </w:rPr>
              <w:t>that contribute to supporting Europe’s democracy, civil society, Union values or the fight against corruption; requests that funds suspended or</w:t>
            </w:r>
            <w:r>
              <w:t xml:space="preserve"> frozen </w:t>
            </w:r>
            <w:r>
              <w:rPr>
                <w:b/>
                <w:i/>
              </w:rPr>
              <w:t>due to breaches of the values enshrined in Article 2 TEU must be considered forfeited by the Member State concerned and must not be reallocated to that state, but recommends that the</w:t>
            </w:r>
            <w:r>
              <w:t xml:space="preserve"> funds </w:t>
            </w:r>
            <w:r>
              <w:rPr>
                <w:b/>
                <w:i/>
              </w:rPr>
              <w:t>made available again should at least partly be redirected to non-state actors primarily within the Member State where the violations occurred</w:t>
            </w:r>
            <w:r>
              <w:t>; insists that the decision to use de-committed funds is a prerogative of the budgetary authority in the framework of the annual budgetary procedure and should not be left to the discretion of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904</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 xml:space="preserve">Acknowledges that the Commission </w:t>
            </w:r>
            <w:r>
              <w:rPr>
                <w:b/>
                <w:i/>
              </w:rPr>
              <w:t>proposes</w:t>
            </w:r>
            <w:r>
              <w:t xml:space="preserve">, in the context of the NRPPs, the possibility to make funding that is decommitted </w:t>
            </w:r>
            <w:r>
              <w:rPr>
                <w:b/>
                <w:i/>
              </w:rPr>
              <w:t>because of a lack of remedial measures in response to an identified breach of the rule of law under the Conditionality Regulation</w:t>
            </w:r>
            <w:r>
              <w:t xml:space="preserve"> available again to programmes </w:t>
            </w:r>
            <w:r>
              <w:rPr>
                <w:b/>
                <w:i/>
              </w:rPr>
              <w:t>in direct or indirect management</w:t>
            </w:r>
            <w:r>
              <w:t xml:space="preserve">; demands clarification as to how such </w:t>
            </w:r>
            <w:r>
              <w:rPr>
                <w:b/>
                <w:i/>
              </w:rPr>
              <w:t>decommitted</w:t>
            </w:r>
            <w:r>
              <w:t xml:space="preserve"> amounts </w:t>
            </w:r>
            <w:r>
              <w:rPr>
                <w:b/>
                <w:i/>
              </w:rPr>
              <w:t>could be channelled</w:t>
            </w:r>
            <w:r>
              <w:t xml:space="preserve"> to other programmes and calls for the prohibition of </w:t>
            </w:r>
            <w:r>
              <w:rPr>
                <w:b/>
                <w:i/>
              </w:rPr>
              <w:t>reshuffling</w:t>
            </w:r>
            <w:r>
              <w:t xml:space="preserve"> of frozen funds; insists that </w:t>
            </w:r>
            <w:r>
              <w:rPr>
                <w:b/>
                <w:i/>
              </w:rPr>
              <w:t>the decision to use de-committed funds is a prerogative of the budgetary authority</w:t>
            </w:r>
            <w:r>
              <w:t xml:space="preserve"> in the framework of the annual budgetary procedure </w:t>
            </w:r>
            <w:r>
              <w:rPr>
                <w:b/>
                <w:i/>
              </w:rPr>
              <w:t>and</w:t>
            </w:r>
            <w:r>
              <w:t xml:space="preserve"> should not be left to the discretion of the Commission</w:t>
            </w:r>
            <w:r>
              <w:rPr>
                <w:b/>
                <w:i/>
              </w:rPr>
              <w:t>;</w:t>
            </w:r>
          </w:p>
        </w:tc>
        <w:tc>
          <w:tcPr>
            <w:tcW w:w="4876" w:type="dxa"/>
            <w:tcBorders>
              <w:top w:val="nil"/>
              <w:left w:val="nil"/>
              <w:bottom w:val="nil"/>
              <w:right w:val="nil"/>
            </w:tcBorders>
          </w:tcPr>
          <w:p>
            <w:pPr>
              <w:pStyle w:val="Normal6a"/>
            </w:pPr>
            <w:r>
              <w:t>47.</w:t>
            </w:r>
            <w:r>
              <w:tab/>
            </w:r>
            <w:r>
              <w:t xml:space="preserve">Acknowledges that the Commission </w:t>
            </w:r>
            <w:r>
              <w:rPr>
                <w:b/>
                <w:i/>
              </w:rPr>
              <w:t>provides</w:t>
            </w:r>
            <w:r>
              <w:t xml:space="preserve">, in the context of the NRPPs, </w:t>
            </w:r>
            <w:r>
              <w:rPr>
                <w:b/>
                <w:i/>
              </w:rPr>
              <w:t>for</w:t>
            </w:r>
            <w:r>
              <w:t xml:space="preserve"> the possibility to make funding that is decommitted available again to </w:t>
            </w:r>
            <w:r>
              <w:rPr>
                <w:b/>
                <w:i/>
              </w:rPr>
              <w:t>other</w:t>
            </w:r>
            <w:r>
              <w:t xml:space="preserve"> programmes; demands clarification as to how such amounts </w:t>
            </w:r>
            <w:r>
              <w:rPr>
                <w:b/>
                <w:i/>
              </w:rPr>
              <w:t>may be allocated</w:t>
            </w:r>
            <w:r>
              <w:t xml:space="preserve"> to other programmes and calls for the prohibition of </w:t>
            </w:r>
            <w:r>
              <w:rPr>
                <w:b/>
                <w:i/>
              </w:rPr>
              <w:t>the repurposing</w:t>
            </w:r>
            <w:r>
              <w:t xml:space="preserve"> of frozen funds; insists that</w:t>
            </w:r>
            <w:r>
              <w:rPr>
                <w:b/>
                <w:i/>
              </w:rPr>
              <w:t>,</w:t>
            </w:r>
            <w:r>
              <w:t xml:space="preserve"> in the framework of the annual budgetary procedure</w:t>
            </w:r>
            <w:r>
              <w:rPr>
                <w:b/>
                <w:i/>
              </w:rPr>
              <w:t>, there exists a prerogative of the budgetary authority to decide on the use of decommitted funds, and that this</w:t>
            </w:r>
            <w:r>
              <w:t xml:space="preserve"> should not be left to the discretion of the Commission</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905</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t>Acknowledges that the Commission proposes, in the context of the NRPPs, the possibility to make funding that is decommitted because of a lack of remedial measures in response to an identified breach of the rule of law under the Conditionality Regulation available again to programmes in direct or indirect management; demands clarification as to how such decommitted amounts could be channelled to other programmes and calls for the prohibition of reshuffling of frozen funds; insists that the decision to use de-committed funds is a prerogative of the budgetary authority in the framework of the annual budgetary procedure and should not be left to the discretion of the Commission;</w:t>
            </w:r>
          </w:p>
        </w:tc>
        <w:tc>
          <w:tcPr>
            <w:tcW w:w="4876" w:type="dxa"/>
            <w:tcBorders>
              <w:top w:val="nil"/>
              <w:left w:val="nil"/>
              <w:bottom w:val="nil"/>
              <w:right w:val="nil"/>
            </w:tcBorders>
          </w:tcPr>
          <w:p>
            <w:pPr>
              <w:pStyle w:val="Normal6a"/>
            </w:pPr>
            <w:r>
              <w:t>47.</w:t>
            </w:r>
            <w:r>
              <w:tab/>
            </w:r>
            <w:r>
              <w:t xml:space="preserve">Acknowledges that the Commission proposes, in the context of the NRPPs, the possibility to make funding that is decommitted because of a lack of remedial measures in response to an identified breach of the rule of law under the Conditionality Regulation available again to programmes in direct or indirect management; demands clarification as to how such decommitted amounts could be channelled to other programmes and calls for the prohibition of reshuffling of frozen funds; </w:t>
            </w:r>
            <w:r>
              <w:rPr>
                <w:b/>
                <w:i/>
              </w:rPr>
              <w:t>stresses that decommitted cohesion funds must prioritise reallocation to eligible final recipients rather than central redirection;</w:t>
            </w:r>
            <w:r>
              <w:t xml:space="preserve"> insists that the decision to use de-committed funds is a prerogative of the budgetary authority in the framework of the annual budgetary procedure and should not be left to the discretion of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906</w:t>
      </w:r>
      <w:r>
        <w:rPr>
          <w:rStyle w:val="HideTWBExt"/>
        </w:rPr>
        <w:t>&lt;/NumAm&gt;</w:t>
      </w:r>
    </w:p>
    <w:p>
      <w:pPr>
        <w:pStyle w:val="NormalBold"/>
      </w:pPr>
      <w:r>
        <w:rPr>
          <w:rStyle w:val="HideTWBExt"/>
          <w:b w:val="0"/>
        </w:rPr>
        <w:t>&lt;RepeatBlock-By&gt;</w:t>
      </w:r>
      <w:r>
        <w:rPr>
          <w:rStyle w:val="HideTWBExt"/>
          <w:b w:val="0"/>
        </w:rPr>
        <w:t>&lt;Members&gt;</w:t>
      </w:r>
      <w:r>
        <w:t>Kinga Kollár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47.</w:t>
            </w:r>
            <w:r>
              <w:tab/>
            </w:r>
            <w:r>
              <w:rPr>
                <w:b/>
                <w:i/>
              </w:rPr>
              <w:t>Acknowledges that the Commission proposes</w:t>
            </w:r>
            <w:r>
              <w:t xml:space="preserve">, in the context of the NRPPs, </w:t>
            </w:r>
            <w:r>
              <w:rPr>
                <w:b/>
                <w:i/>
              </w:rPr>
              <w:t>the possibility</w:t>
            </w:r>
            <w:r>
              <w:t xml:space="preserve"> to make funding that is decommitted because of a lack of remedial measures in response to an identified breach of the rule of law under the Conditionality Regulation available again to programmes in direct or indirect management; demands clarification as to how such decommitted amounts could be channelled to other programmes and calls for the prohibition of reshuffling of frozen funds; insists that the decision to use de-committed funds is a prerogative of the budgetary authority in the framework of the annual budgetary procedure and should not be left to the discretion of the Commission;</w:t>
            </w:r>
          </w:p>
        </w:tc>
        <w:tc>
          <w:tcPr>
            <w:tcW w:w="4876" w:type="dxa"/>
            <w:tcBorders>
              <w:top w:val="nil"/>
              <w:left w:val="nil"/>
              <w:bottom w:val="nil"/>
              <w:right w:val="nil"/>
            </w:tcBorders>
          </w:tcPr>
          <w:p>
            <w:pPr>
              <w:pStyle w:val="Normal6a"/>
            </w:pPr>
            <w:r>
              <w:t>47.</w:t>
            </w:r>
            <w:r>
              <w:tab/>
            </w:r>
            <w:r>
              <w:rPr>
                <w:b/>
                <w:i/>
              </w:rPr>
              <w:t>Welcomes the Commission's proposal</w:t>
            </w:r>
            <w:r>
              <w:t>, in the context of the NRPPs, to make funding that is decommitted because of a lack of remedial measures in response to an identified breach of the rule of law under the Conditionality Regulation available again to programmes in direct or indirect management</w:t>
            </w:r>
            <w:r>
              <w:rPr>
                <w:b/>
                <w:i/>
              </w:rPr>
              <w:t>; stresses the need to have decommitted funds made available to final beneficiaries based in the country to which the decommitment of funds was applied</w:t>
            </w:r>
            <w:r>
              <w:t>; demands clarification as to how such decommitted amounts could be channelled to other programmes and calls for the prohibition of reshuffling of frozen funds; insists that the decision to use de-committed funds is a prerogative of the budgetary authority in the framework of the annual budgetary procedure and should not be left to the discretion of the Commission;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a.</w:t>
            </w:r>
            <w:r>
              <w:tab/>
            </w:r>
            <w:r>
              <w:rPr>
                <w:b/>
                <w:i/>
              </w:rPr>
              <w:t>Deplores the European left's attempt to bypass national governments by the introduction of a so-called "smart conditionality", which in reality would interfere in the sovereignty of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908</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b.</w:t>
            </w:r>
            <w:r>
              <w:tab/>
            </w:r>
            <w:r>
              <w:rPr>
                <w:b/>
                <w:i/>
              </w:rPr>
              <w:t>Condemns the fact that in December 2022 the Commission decided to exclude Hungarian universities from the Horizon Europe program, which is inexplicable and devastating, causing Hungarian students and researchers suffer a competitive disadvantage compared to others; highlights in that regard, that the use and accountability of Union funds has been transparent for decades at Hungarian universities; regrets that Hungarian universities have suffered enormous loss both in reputation and financially due to the inability to contract for tenders already won or submitted; calls on the Commission to immediately withdraw its discriminative decision;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909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47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47 c.</w:t>
            </w:r>
            <w:r>
              <w:tab/>
            </w:r>
            <w:r>
              <w:rPr>
                <w:b/>
                <w:i/>
              </w:rPr>
              <w:t>Condemns the fact that in December 2022 the Commission decided to exclude Hungarian universities, students, teachers and researchers from Erasmus+; calls on the Commission to immediately withdraw its discriminative decision;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910</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Emphasises that a steering mechanism will not compensate for any loss of Parliament’s legislative or budgetary powers; insists that getting budgetary governance right and preserving the prerogatives of the budgetary authority are essential prerequisites to making the annual budgetary procedure more meaningful and that any steering mechanism can only function if the basic foundations are in place;</w:t>
            </w:r>
          </w:p>
        </w:tc>
        <w:tc>
          <w:tcPr>
            <w:tcW w:w="4876" w:type="dxa"/>
            <w:tcBorders>
              <w:top w:val="nil"/>
              <w:left w:val="nil"/>
              <w:bottom w:val="nil"/>
              <w:right w:val="nil"/>
            </w:tcBorders>
          </w:tcPr>
          <w:p>
            <w:pPr>
              <w:pStyle w:val="Normal6a"/>
            </w:pPr>
            <w:r>
              <w:t>48.</w:t>
            </w:r>
            <w:r>
              <w:tab/>
            </w:r>
            <w:r>
              <w:t xml:space="preserve">Emphasises that a steering mechanism will not compensate for any loss of Parliament’s legislative or budgetary powers </w:t>
            </w:r>
            <w:r>
              <w:rPr>
                <w:b/>
                <w:i/>
              </w:rPr>
              <w:t>and cannot replace the role of policy debates and decisions for setting budgetary priorities; underlines that the Strategic Steering Mechanism proposed by the European Commission is inadequate in a time where more agility is needed; underlines that the annual budget is an expression of policy priorities and plans agreed by the Union institutions and that the annual budgetary procedure is the implementation of those decisions rather than a strategic decision-making process in itself</w:t>
            </w:r>
            <w:r>
              <w:t>; insists that getting budgetary governance right and preserving the prerogatives of the budgetary authority are essential prerequisites to making the annual budgetary procedure more meaningful and that any steering mechanism can only function if the basic foundations are in place;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911</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t>Emphasises that a steering mechanism will not compensate for any loss of Parliament’s legislative or budgetary powers; insists that getting budgetary governance right and preserving the prerogatives of the budgetary authority are essential prerequisites to making the annual budgetary procedure more meaningful and that any steering mechanism can only function if the basic foundations are in place;</w:t>
            </w:r>
          </w:p>
        </w:tc>
        <w:tc>
          <w:tcPr>
            <w:tcW w:w="4876" w:type="dxa"/>
            <w:tcBorders>
              <w:top w:val="nil"/>
              <w:left w:val="nil"/>
              <w:bottom w:val="nil"/>
              <w:right w:val="nil"/>
            </w:tcBorders>
          </w:tcPr>
          <w:p>
            <w:pPr>
              <w:pStyle w:val="Normal6a"/>
            </w:pPr>
            <w:r>
              <w:t>48.</w:t>
            </w:r>
            <w:r>
              <w:tab/>
            </w:r>
            <w:r>
              <w:t>Emphasises that a steering mechanism will not compensate for any loss of Parliament’s legislative or budgetary powers; insists that getting budgetary governance right and preserving the prerogatives of the budgetary authority are essential prerequisites to making the annual budgetary procedure more meaningful and that any steering mechanism can only function if the basic foundations are in place;</w:t>
            </w:r>
            <w:r>
              <w:rPr>
                <w:b/>
                <w:i/>
              </w:rPr>
              <w:t> Calls on the Commission to urgently present the announced Competitiveness Coordination Tool as a Strategic Initiative to align investments by Member States and the Union in strategic areas to implement policy decisions and to improve the European added value of both Member States and Union investments, rejects any proposal that does not fill this gap;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912</w:t>
      </w:r>
      <w:r>
        <w:rPr>
          <w:rStyle w:val="HideTWBExt"/>
        </w:rPr>
        <w:t>&lt;/NumAm&gt;</w:t>
      </w:r>
    </w:p>
    <w:p>
      <w:pPr>
        <w:pStyle w:val="NormalBold"/>
      </w:pPr>
      <w:r>
        <w:rPr>
          <w:rStyle w:val="HideTWBExt"/>
          <w:b w:val="0"/>
        </w:rPr>
        <w:t>&lt;RepeatBlock-By&gt;</w:t>
      </w:r>
      <w:r>
        <w:rPr>
          <w:rStyle w:val="HideTWBExt"/>
          <w:b w:val="0"/>
        </w:rPr>
        <w:t>&lt;Members&gt;</w:t>
      </w:r>
      <w:r>
        <w:t>Rasmus Nordqvist</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48.</w:t>
            </w:r>
            <w:r>
              <w:tab/>
            </w:r>
            <w:r>
              <w:rPr>
                <w:b/>
                <w:i/>
              </w:rPr>
              <w:t>Emphasises that a steering mechanism will not compensate for any loss of Parliament’s legislative or budgetary powers;</w:t>
            </w:r>
            <w:r>
              <w:t xml:space="preserve"> insists that getting budgetary governance right and preserving the prerogatives of the budgetary authority are essential prerequisites to making the annual budgetary procedure more meaningful and that any steering mechanism can only function if the basic foundations are in place;</w:t>
            </w:r>
          </w:p>
        </w:tc>
        <w:tc>
          <w:tcPr>
            <w:tcW w:w="4876" w:type="dxa"/>
            <w:tcBorders>
              <w:top w:val="nil"/>
              <w:left w:val="nil"/>
              <w:bottom w:val="nil"/>
              <w:right w:val="nil"/>
            </w:tcBorders>
          </w:tcPr>
          <w:p>
            <w:pPr>
              <w:pStyle w:val="Normal6a"/>
            </w:pPr>
            <w:r>
              <w:t>48.</w:t>
            </w:r>
            <w:r>
              <w:tab/>
            </w:r>
            <w:r>
              <w:t>Insists that getting budgetary governance right and preserving the prerogatives of the budgetary authority are essential prerequisites to making the annual budgetary procedure more meaningful and that any steering mechanism can only function if the basic foundations are in place;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913</w:t>
      </w:r>
      <w:r>
        <w:rPr>
          <w:rStyle w:val="HideTWBExt"/>
        </w:rPr>
        <w:t>&lt;/NumAm&gt;</w:t>
      </w:r>
    </w:p>
    <w:p>
      <w:pPr>
        <w:pStyle w:val="NormalBold"/>
      </w:pPr>
      <w:r>
        <w:rPr>
          <w:rStyle w:val="HideTWBExt"/>
          <w:b w:val="0"/>
        </w:rPr>
        <w:t>&lt;RepeatBlock-By&gt;</w:t>
      </w:r>
      <w:r>
        <w:rPr>
          <w:rStyle w:val="HideTWBExt"/>
          <w:b w:val="0"/>
        </w:rPr>
        <w:t>&lt;Members&gt;</w:t>
      </w:r>
      <w:r>
        <w:t>Andrzej Halicki, Jagna Marczułajtis-Walczak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48 a.</w:t>
            </w:r>
            <w:r>
              <w:tab/>
            </w:r>
            <w:r>
              <w:rPr>
                <w:b/>
                <w:i/>
              </w:rPr>
              <w:t>48 a) Recalls that, in the preparation, implementation, monitoring, reporting and evaluation of the National and Regional Partnership Plans, the Member States and the Commission shall take all appropriate measures to prevent any discrimination based on gender, racial or racial origin, disability, age or sexual orientation. In this regard underlines the obligation to ensure full accessibility for persons with disabilities throughout the entire lifecycle of the Plans; recalls that Union and its Member States are parties to the United Nations Convention on the Rights of Persons with Disabilities ( UN CRPD; underlines that Union funds must not support actions or settings that reinforce institutionalisation of persons with disabilities; calls on the Member States and the Commission to ensure that projects financed by Union funds are fully aligned with the UN CRPD, the EU Guidance on Independent Living, and with strong principle of social inclusion, deinstitunalisation and community-based support with services like personal assistance.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914</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Rejects any arrangement that would constrain the freedom of the budgetary authority to make autonomous decisions on budget priorities and allocations; firmly opposes any mechanism that would enable the Commission to predetermine budgetary choices through technical assessments; categorically rejects any possibility for the European Council to influence the annual budgetary procedure through European Council Conclusions, as this would constitute a clear breach of Treaty provisions and undermine the institutional balance established for budgetary decision-making; recalls that the Financial Regulation already provides for the possibility to lift budgetary reserves; calls for systematic coordination by the Commission with the budgetary authority before making any voluntary commitments on the use of in-built flexibility, and for any mobilisation to be approved by decision of the budgetary authority;</w:t>
            </w:r>
          </w:p>
        </w:tc>
        <w:tc>
          <w:tcPr>
            <w:tcW w:w="4876" w:type="dxa"/>
            <w:tcBorders>
              <w:top w:val="nil"/>
              <w:left w:val="nil"/>
              <w:bottom w:val="nil"/>
              <w:right w:val="nil"/>
            </w:tcBorders>
          </w:tcPr>
          <w:p>
            <w:pPr>
              <w:pStyle w:val="Normal6a"/>
            </w:pPr>
            <w:r>
              <w:t>49.</w:t>
            </w:r>
            <w:r>
              <w:tab/>
            </w:r>
            <w:r>
              <w:t xml:space="preserve">Rejects any arrangement that would constrain the freedom of the budgetary authority to make autonomous decisions on budget priorities and allocations; firmly opposes any mechanism that would enable the Commission to predetermine budgetary choices through technical assessments; categorically rejects any possibility for the European Council to influence the annual budgetary procedure through European Council Conclusions, as this would constitute a clear breach of Treaty provisions and undermine the institutional balance established for budgetary decision-making; </w:t>
            </w:r>
            <w:r>
              <w:rPr>
                <w:b/>
                <w:i/>
              </w:rPr>
              <w:t>Calls the Commission to work on an improved and more regular dialogue and annual procedure with Parliament, allowing the budgetary annual procedure to be more flexible and better equipped to respond to upcoming challenges; Underlines the steering mechanism timeline could be also be alined with the annual rule of law report procedure;</w:t>
            </w:r>
            <w:r>
              <w:t xml:space="preserve"> recalls that the Financial Regulation already provides for the possibility to lift budgetary reserves; calls for systematic coordination by the Commission with the budgetary authority before making any</w:t>
            </w:r>
            <w:r>
              <w:rPr>
                <w:b/>
                <w:i/>
              </w:rPr>
              <w:t>,</w:t>
            </w:r>
            <w:r>
              <w:t xml:space="preserve"> voluntary commitments on the use of in-built flexibility, and for any mobilisation to be approved by decision of the budgetary authority;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915</w:t>
      </w:r>
      <w:r>
        <w:rPr>
          <w:rStyle w:val="HideTWBExt"/>
        </w:rPr>
        <w:t>&lt;/NumAm&gt;</w:t>
      </w:r>
    </w:p>
    <w:p>
      <w:pPr>
        <w:pStyle w:val="NormalBold"/>
      </w:pPr>
      <w:r>
        <w:rPr>
          <w:rStyle w:val="HideTWBExt"/>
          <w:b w:val="0"/>
        </w:rPr>
        <w:t>&lt;RepeatBlock-By&gt;</w:t>
      </w:r>
      <w:r>
        <w:rPr>
          <w:rStyle w:val="HideTWBExt"/>
          <w:b w:val="0"/>
        </w:rPr>
        <w:t>&lt;Members&gt;</w:t>
      </w:r>
      <w:r>
        <w:t>Jens Geier, Victor Negrescu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49.</w:t>
            </w:r>
            <w:r>
              <w:tab/>
            </w:r>
            <w:r>
              <w:t>Rejects any arrangement that would constrain the freedom of the budgetary authority to make autonomous decisions on budget priorities and allocations; firmly opposes any mechanism that would enable the Commission to predetermine budgetary choices through technical assessments; categorically rejects any possibility for the European Council to influence the annual budgetary procedure through European Council Conclusions, as this would constitute a clear breach of Treaty provisions and undermine the institutional balance established for budgetary decision-making; recalls that the Financial Regulation already provides for the possibility to lift budgetary reserves; calls for systematic coordination by the Commission with the budgetary authority before making any voluntary commitments on the use of in-built flexibility, and for any mobilisation to be approved by decision of the budgetary authority;</w:t>
            </w:r>
          </w:p>
        </w:tc>
        <w:tc>
          <w:tcPr>
            <w:tcW w:w="4876" w:type="dxa"/>
            <w:tcBorders>
              <w:top w:val="nil"/>
              <w:left w:val="nil"/>
              <w:bottom w:val="nil"/>
              <w:right w:val="nil"/>
            </w:tcBorders>
          </w:tcPr>
          <w:p>
            <w:pPr>
              <w:pStyle w:val="Normal6a"/>
            </w:pPr>
            <w:r>
              <w:t>49.</w:t>
            </w:r>
            <w:r>
              <w:tab/>
            </w:r>
            <w:r>
              <w:t>Rejects any arrangement that would constrain the freedom of the budgetary authority to make autonomous decisions on budget priorities and allocations</w:t>
            </w:r>
            <w:r>
              <w:rPr>
                <w:b/>
                <w:i/>
              </w:rPr>
              <w:t>; clarifies that any proposed 'steering mechanism' can only serve as a political orientation and must under no circumstances legally or practically restrict the Parliament's right to amend the budget lines during the annual procedure or to depart from the Commission's initial proposal</w:t>
            </w:r>
            <w:r>
              <w:t>; firmly opposes any mechanism that would enable the Commission to predetermine budgetary choices through technical assessments; categorically rejects any possibility for the European Council to influence the annual budgetary procedure through European Council Conclusions, as this would constitute a clear breach of Treaty provisions and undermine the institutional balance established for budgetary decision-making; recalls that the Financial Regulation already provides for the possibility to lift budgetary reserves; calls for systematic coordination by the Commission with the budgetary authority before making any voluntary commitments on the use of in-built flexibility, and for any mobilisation to be approved by decision of the budgetary authority;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916</w:t>
      </w:r>
      <w:r>
        <w:rPr>
          <w:rStyle w:val="HideTWBExt"/>
        </w:rPr>
        <w:t>&lt;/NumAm&gt;</w:t>
      </w:r>
    </w:p>
    <w:p>
      <w:pPr>
        <w:pStyle w:val="NormalBold"/>
      </w:pPr>
      <w:r>
        <w:rPr>
          <w:rStyle w:val="HideTWBExt"/>
          <w:b w:val="0"/>
        </w:rPr>
        <w:t>&lt;RepeatBlock-By&gt;</w:t>
      </w:r>
      <w:r>
        <w:rPr>
          <w:rStyle w:val="HideTWBExt"/>
          <w:b w:val="0"/>
        </w:rPr>
        <w:t>&lt;Members&gt;</w:t>
      </w:r>
      <w:r>
        <w:t>Ruggero Razza, Carlo Fidanza, Nicola Procaccini, Antonella Sberna, Francesco Ventola, Francesco Torselli, Denis Nesci, Lara Magoni, Mariateresa Vivaldini, Daniele Polato, Stefano Cavedagna, Sergio Berlato, Carlo Ciccioli, Mario Mantovani, Elena Donazzan, Michele Picaro, Giovanni Crosetto, Alessandro Ciriani, Alberico Gambino, Paolo Inselvini, Marco Squarta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50.</w:t>
            </w:r>
            <w:r>
              <w:tab/>
            </w:r>
            <w:r>
              <w:rPr>
                <w:b/>
                <w:i/>
              </w:rPr>
              <w:t>Notes with concern that the Commission proposes to increase the deviation from indicative amounts in sectoral legislation from the current 15 % to 20 %;</w:t>
            </w:r>
            <w:r>
              <w:t xml:space="preserve"> </w:t>
            </w:r>
            <w:r>
              <w:rPr>
                <w:b/>
                <w:i/>
              </w:rPr>
              <w:t>underlines that this proposed increase, combined with the merging of programmes and substantially larger budgets per programme, would create significant potential for modifications without the involvement of co-legislators;</w:t>
            </w:r>
            <w:r>
              <w:t xml:space="preserve"> </w:t>
            </w:r>
            <w:r>
              <w:rPr>
                <w:b/>
                <w:i/>
              </w:rPr>
              <w:t>expresses serious reservations about the cumulative effect of these changes on democratic oversight and the balance of institutional powers;</w:t>
            </w:r>
            <w:r>
              <w:t xml:space="preserve"> </w:t>
            </w:r>
            <w:r>
              <w:rPr>
                <w:b/>
                <w:i/>
              </w:rPr>
              <w:t>considers that such an expansion of executive flexibility undermines the prerogatives of the budgetary authority;</w:t>
            </w:r>
            <w:r>
              <w:t xml:space="preserve"> </w:t>
            </w:r>
            <w:r>
              <w:rPr>
                <w:b/>
                <w:i/>
              </w:rPr>
              <w:t>calls, therefore, for the maximum deviation from indicative amounts to be limited to 5 % over the entire duration of the programmes, ensuring that any substantial budgetary reallocations remain subject to proper democratic scrutiny and co-legislative decision-making;</w:t>
            </w:r>
            <w:r>
              <w:t xml:space="preserve"> </w:t>
            </w:r>
            <w:r>
              <w:rPr>
                <w:b/>
                <w:i/>
              </w:rPr>
              <w:t>insists that this reduced threshold would maintain necessary operational flexibility while preserving Parliament’s essential role in budgetary oversight;</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917</w:t>
      </w:r>
      <w:r>
        <w:rPr>
          <w:rStyle w:val="HideTWBExt"/>
        </w:rPr>
        <w:t>&lt;/NumAm&gt;</w:t>
      </w:r>
    </w:p>
    <w:p>
      <w:pPr>
        <w:pStyle w:val="NormalBold"/>
      </w:pPr>
      <w:r>
        <w:rPr>
          <w:rStyle w:val="HideTWBExt"/>
          <w:b w:val="0"/>
        </w:rPr>
        <w:t>&lt;RepeatBlock-By&gt;</w:t>
      </w:r>
      <w:r>
        <w:rPr>
          <w:rStyle w:val="HideTWBExt"/>
          <w:b w:val="0"/>
        </w:rPr>
        <w:t>&lt;Members&gt;</w:t>
      </w:r>
      <w:r>
        <w:t>Christian Ehler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Notes with concern that the Commission proposes to increase the deviation from indicative amounts in sectoral legislation from the current 15 % to 20 %; underlines that this proposed increase, combined with the merging of programmes and substantially larger budgets per programme, would create significant potential for modifications without the involvement of co-legislators; expresses serious reservations about the cumulative effect of these changes on democratic oversight and the balance of institutional powers; considers that such an expansion of executive flexibility undermines the prerogatives of the budgetary authority; calls, therefore, for the maximum deviation from indicative amounts to be limited to 5 % over the entire duration of the programmes, ensuring that any substantial budgetary reallocations remain subject to proper democratic scrutiny and co-legislative decision-making; insists that this reduced threshold would maintain necessary operational flexibility while preserving Parliament’s essential role in budgetary oversight;</w:t>
            </w:r>
          </w:p>
        </w:tc>
        <w:tc>
          <w:tcPr>
            <w:tcW w:w="4876" w:type="dxa"/>
            <w:tcBorders>
              <w:top w:val="nil"/>
              <w:left w:val="nil"/>
              <w:bottom w:val="nil"/>
              <w:right w:val="nil"/>
            </w:tcBorders>
          </w:tcPr>
          <w:p>
            <w:pPr>
              <w:pStyle w:val="Normal6a"/>
            </w:pPr>
            <w:r>
              <w:t>50.</w:t>
            </w:r>
            <w:r>
              <w:tab/>
            </w:r>
            <w:r>
              <w:t>Notes with concern that the Commission proposes to increase the deviation from indicative amounts in sectoral legislation from the current 15 % to 20 %; underlines that this proposed increase, combined with the merging of programmes and substantially larger budgets per programme, would create significant potential for modifications without the involvement of co-legislators; expresses serious reservations about the cumulative effect of these changes on democratic oversight and the balance of institutional powers; considers that such an expansion of executive flexibility undermines the prerogatives of the budgetary authority; calls, therefore, for the maximum deviation from indicative amounts to be limited to 5 % over the entire duration of the programmes, ensuring that any substantial budgetary reallocations remain subject to proper democratic scrutiny and co-legislative decision-making; insists that this reduced threshold would maintain necessary operational flexibility while preserving Parliament’s essential role in budgetary oversight;</w:t>
            </w:r>
            <w:r>
              <w:rPr>
                <w:b/>
                <w:i/>
              </w:rPr>
              <w:t> demands that the indicative budget for the European Framework Programme for Research and Innovation is exempt from this flexibility and that the budgetary authorities commit to strive to fully allocate this indicative budget to the activities of the Framework Programme;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918</w:t>
      </w:r>
      <w:r>
        <w:rPr>
          <w:rStyle w:val="HideTWBExt"/>
        </w:rPr>
        <w:t>&lt;/NumAm&gt;</w:t>
      </w:r>
    </w:p>
    <w:p>
      <w:pPr>
        <w:pStyle w:val="NormalBold"/>
      </w:pPr>
      <w:r>
        <w:rPr>
          <w:rStyle w:val="HideTWBExt"/>
          <w:b w:val="0"/>
        </w:rPr>
        <w:t>&lt;RepeatBlock-By&gt;</w:t>
      </w:r>
      <w:r>
        <w:rPr>
          <w:rStyle w:val="HideTWBExt"/>
          <w:b w:val="0"/>
        </w:rPr>
        <w:t>&lt;Members&gt;</w:t>
      </w:r>
      <w:r>
        <w:t>Rasmus Nordqvist, Rasmus Andresen</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Notes with concern that the Commission proposes to increase the deviation from indicative amounts in sectoral legislation from the current 15 % to 20 %; underlines that this proposed increase, combined with the merging of programmes and substantially larger budgets per programme, would create significant potential for modifications without the involvement of co-legislators; expresses serious reservations about the cumulative effect of these changes on democratic oversight and the balance of institutional powers; considers that such an expansion of executive flexibility undermines the prerogatives of the budgetary authority; calls, therefore, for the maximum deviation from indicative amounts to be limited to 5 % over the entire duration of the programmes, ensuring that any substantial budgetary reallocations remain subject to proper democratic scrutiny and co-legislative decision-making; insists that this reduced threshold would maintain necessary operational flexibility while preserving Parliament’s essential role in budgetary oversight;</w:t>
            </w:r>
          </w:p>
        </w:tc>
        <w:tc>
          <w:tcPr>
            <w:tcW w:w="4876" w:type="dxa"/>
            <w:tcBorders>
              <w:top w:val="nil"/>
              <w:left w:val="nil"/>
              <w:bottom w:val="nil"/>
              <w:right w:val="nil"/>
            </w:tcBorders>
          </w:tcPr>
          <w:p>
            <w:pPr>
              <w:pStyle w:val="Normal6a"/>
            </w:pPr>
            <w:r>
              <w:t>50.</w:t>
            </w:r>
            <w:r>
              <w:tab/>
            </w:r>
            <w:r>
              <w:t xml:space="preserve">Notes with concern that the Commission proposes to increase the deviation from indicative amounts in sectoral legislation from the current 15 % to 20 % </w:t>
            </w:r>
            <w:r>
              <w:rPr>
                <w:b/>
                <w:i/>
              </w:rPr>
              <w:t>in the Interinstitutional Agreement</w:t>
            </w:r>
            <w:r>
              <w:t xml:space="preserve"> ; underlines that this proposed increase, combined with the merging of programmes and substantially larger budgets per programme, would create significant potential for modifications without the involvement of co-legislators; expresses serious reservations about the cumulative effect of these changes on democratic oversight and the balance of institutional powers; considers that such an expansion of executive flexibility undermines the prerogatives of the budgetary authority; calls, therefore, for the maximum deviation from indicative amounts to be limited to 5 % over the entire duration of the programmes, </w:t>
            </w:r>
            <w:r>
              <w:rPr>
                <w:b/>
                <w:i/>
              </w:rPr>
              <w:t>without prejudice to the application of the relevant articles of the MFFR and the IIA</w:t>
            </w:r>
            <w:r>
              <w:t xml:space="preserve"> ensuring that any substantial budgetary reallocations remain subject to proper democratic scrutiny and co-legislative decision-making; insists that this reduced threshold would maintain necessary operational flexibility while preserving Parliament’s essential role in budgetary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919</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Notes with concern that the Commission proposes to increase the deviation from indicative amounts in sectoral legislation from the current 15 % to 20 %; underlines that this proposed increase, combined with the merging of programmes and substantially larger budgets per programme, would create significant potential for modifications without the involvement of co-legislators; expresses serious reservations about the cumulative effect of these changes on democratic oversight and the balance of institutional powers; considers that such an expansion of executive flexibility undermines the prerogatives of the budgetary authority; calls, therefore, for the maximum deviation from indicative amounts to be limited to </w:t>
            </w:r>
            <w:r>
              <w:rPr>
                <w:b/>
                <w:i/>
              </w:rPr>
              <w:t>5 % over the entire duration of the programmes, ensuring that any substantial budgetary reallocations remain subject to proper democratic scrutiny and co-legislative decision-making</w:t>
            </w:r>
            <w:r>
              <w:t>; insists that this reduced threshold would maintain necessary operational flexibility while preserving Parliament’s essential role in budgetary oversight;</w:t>
            </w:r>
          </w:p>
        </w:tc>
        <w:tc>
          <w:tcPr>
            <w:tcW w:w="4876" w:type="dxa"/>
            <w:tcBorders>
              <w:top w:val="nil"/>
              <w:left w:val="nil"/>
              <w:bottom w:val="nil"/>
              <w:right w:val="nil"/>
            </w:tcBorders>
          </w:tcPr>
          <w:p>
            <w:pPr>
              <w:pStyle w:val="Normal6a"/>
            </w:pPr>
            <w:r>
              <w:t>50.</w:t>
            </w:r>
            <w:r>
              <w:tab/>
            </w:r>
            <w:r>
              <w:t xml:space="preserve">Notes with concern that the Commission proposes to increase the deviation from indicative amounts in sectoral legislation from the current 15 % to 20 %; underlines that this proposed increase, combined with the merging of programmes and substantially larger budgets per programme, would create significant potential for modifications without the involvement of co-legislators; expresses serious reservations about the cumulative effect of these changes on democratic oversight and the balance of institutional powers; considers that such an expansion of executive flexibility undermines the prerogatives of the budgetary authority; calls, therefore, for the maximum deviation from indicative amounts to be limited to </w:t>
            </w:r>
            <w:r>
              <w:rPr>
                <w:b/>
                <w:i/>
              </w:rPr>
              <w:t>a low and clearly defined level</w:t>
            </w:r>
            <w:r>
              <w:t>; insists that this reduced threshold would maintain necessary operational flexibility while preserving Parliament’s essential role in budgetary oversight;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920</w:t>
      </w:r>
      <w:r>
        <w:rPr>
          <w:rStyle w:val="HideTWBExt"/>
        </w:rPr>
        <w:t>&lt;/NumAm&gt;</w:t>
      </w:r>
    </w:p>
    <w:p>
      <w:pPr>
        <w:pStyle w:val="NormalBold"/>
      </w:pPr>
      <w:r>
        <w:rPr>
          <w:rStyle w:val="HideTWBExt"/>
          <w:b w:val="0"/>
        </w:rPr>
        <w:t>&lt;RepeatBlock-By&gt;</w:t>
      </w:r>
      <w:r>
        <w:rPr>
          <w:rStyle w:val="HideTWBExt"/>
          <w:b w:val="0"/>
        </w:rPr>
        <w:t>&lt;Members&gt;</w:t>
      </w:r>
      <w:r>
        <w:t>Stine Bosse, 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Notes with concern that the Commission proposes to increase the deviation from indicative amounts in sectoral legislation from the current 15 % to 20 %; underlines that this proposed increase, combined with the merging of programmes and substantially larger budgets per programme, would create significant potential for modifications without the involvement of co-legislators; expresses serious reservations about the cumulative effect of these changes on democratic oversight and the balance of institutional powers; considers that such an expansion of executive flexibility undermines the prerogatives of the budgetary authority; calls, therefore, for the maximum deviation from indicative amounts to be limited to 5 % over the entire duration of the programmes, ensuring that any substantial budgetary reallocations remain subject to proper democratic scrutiny and co-legislative decision-making; insists that this reduced threshold would maintain necessary operational flexibility while preserving Parliament’s essential role in budgetary oversight;</w:t>
            </w:r>
          </w:p>
        </w:tc>
        <w:tc>
          <w:tcPr>
            <w:tcW w:w="4876" w:type="dxa"/>
            <w:tcBorders>
              <w:top w:val="nil"/>
              <w:left w:val="nil"/>
              <w:bottom w:val="nil"/>
              <w:right w:val="nil"/>
            </w:tcBorders>
          </w:tcPr>
          <w:p>
            <w:pPr>
              <w:pStyle w:val="Normal6a"/>
            </w:pPr>
            <w:r>
              <w:t>50.</w:t>
            </w:r>
            <w:r>
              <w:tab/>
            </w:r>
            <w:r>
              <w:t>Notes with concern that the Commission proposes to increase the deviation from indicative amounts in sectoral legislation from the current 15 % to 20 %; underlines that this proposed increase, combined with the merging of programmes and substantially larger budgets per programme, would create significant potential for modifications without the involvement of co-legislators; expresses serious reservations about the cumulative effect of these changes on democratic oversight</w:t>
            </w:r>
            <w:r>
              <w:rPr>
                <w:b/>
                <w:i/>
              </w:rPr>
              <w:t>, transparency</w:t>
            </w:r>
            <w:r>
              <w:t xml:space="preserve"> and the balance of institutional powers; considers that such an expansion of executive flexibility undermines the prerogatives of the budgetary authority; calls, therefore, for the maximum deviation from indicative amounts to be limited to 5 % over the entire duration of the programmes, ensuring that any substantial budgetary reallocations remain subject to proper democratic scrutiny and co-legislative decision-making; insists that this reduced threshold would maintain necessary operational flexibility while preserving Parliament’s essential role in budgetary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921</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Notes with concern that the Commission proposes to increase the deviation from indicative amounts in sectoral legislation from the current 15 % to 20 %; underlines that this proposed increase, combined with the merging of programmes and substantially larger budgets per programme, would create significant potential for modifications without the involvement of co-legislators; expresses serious </w:t>
            </w:r>
            <w:r>
              <w:rPr>
                <w:b/>
                <w:i/>
              </w:rPr>
              <w:t>reservations</w:t>
            </w:r>
            <w:r>
              <w:t xml:space="preserve"> about the cumulative effect of these changes on democratic oversight and the balance of institutional powers; considers that such an expansion of executive flexibility undermines the prerogatives of the budgetary authority; </w:t>
            </w:r>
            <w:r>
              <w:rPr>
                <w:b/>
                <w:i/>
              </w:rPr>
              <w:t>calls</w:t>
            </w:r>
            <w:r>
              <w:t>, therefore, for the maximum deviation from indicative amounts to be limited to 5 % over the entire duration of the programmes, ensuring that any substantial budgetary reallocations remain subject to proper democratic scrutiny and co-legislative decision-making; insists that this reduced threshold would maintain necessary operational flexibility while preserving Parliament’s essential role in budgetary oversight;</w:t>
            </w:r>
          </w:p>
        </w:tc>
        <w:tc>
          <w:tcPr>
            <w:tcW w:w="4876" w:type="dxa"/>
            <w:tcBorders>
              <w:top w:val="nil"/>
              <w:left w:val="nil"/>
              <w:bottom w:val="nil"/>
              <w:right w:val="nil"/>
            </w:tcBorders>
          </w:tcPr>
          <w:p>
            <w:pPr>
              <w:pStyle w:val="Normal6a"/>
            </w:pPr>
            <w:r>
              <w:t>50.</w:t>
            </w:r>
            <w:r>
              <w:tab/>
            </w:r>
            <w:r>
              <w:t xml:space="preserve">Notes with concern that the Commission proposes to increase the deviation from indicative amounts in sectoral legislation from the current 15 % to 20 %; underlines that this proposed increase, combined with the merging of programmes and substantially larger budgets per programme, would create significant potential for modifications without the involvement of co-legislators; expresses serious </w:t>
            </w:r>
            <w:r>
              <w:rPr>
                <w:b/>
                <w:i/>
              </w:rPr>
              <w:t>concerns</w:t>
            </w:r>
            <w:r>
              <w:t xml:space="preserve"> about the cumulative effect of these changes on democratic oversight and the balance of institutional powers; considers that such an expansion of executive flexibility undermines the prerogatives of the budgetary authority; </w:t>
            </w:r>
            <w:r>
              <w:rPr>
                <w:b/>
                <w:i/>
              </w:rPr>
              <w:t>urges</w:t>
            </w:r>
            <w:r>
              <w:t>, therefore, for the maximum deviation from indicative amounts to be limited to 5 % over the entire duration of the programmes, ensuring that any substantial budgetary reallocations remain subject to proper democratic scrutiny and co-legislative decision-making; insists that this reduced threshold would maintain necessary operational flexibility while preserving Parliament’s essential role in budgetary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922</w:t>
      </w:r>
      <w:r>
        <w:rPr>
          <w:rStyle w:val="HideTWBExt"/>
        </w:rPr>
        <w:t>&lt;/NumAm&gt;</w:t>
      </w:r>
    </w:p>
    <w:p>
      <w:pPr>
        <w:pStyle w:val="NormalBold"/>
      </w:pPr>
      <w:r>
        <w:rPr>
          <w:rStyle w:val="HideTWBExt"/>
          <w:b w:val="0"/>
        </w:rPr>
        <w:t>&lt;RepeatBlock-By&gt;</w:t>
      </w:r>
      <w:r>
        <w:rPr>
          <w:rStyle w:val="HideTWBExt"/>
          <w:b w:val="0"/>
        </w:rPr>
        <w:t>&lt;Members&gt;</w:t>
      </w:r>
      <w:r>
        <w:t>Anouk Van Brug,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 xml:space="preserve">Notes </w:t>
            </w:r>
            <w:r>
              <w:rPr>
                <w:b/>
                <w:i/>
              </w:rPr>
              <w:t>with concern</w:t>
            </w:r>
            <w:r>
              <w:t xml:space="preserve"> that the Commission proposes to increase the deviation from indicative amounts in sectoral legislation from the current 15 % to 20 %; underlines that this proposed increase, combined with the merging of programmes and substantially larger budgets per programme, would create significant potential for modifications without the involvement of co-legislators; expresses </w:t>
            </w:r>
            <w:r>
              <w:rPr>
                <w:b/>
                <w:i/>
              </w:rPr>
              <w:t>serious</w:t>
            </w:r>
            <w:r>
              <w:t xml:space="preserve"> reservations about the cumulative effect of these changes on democratic oversight and the balance of institutional powers; considers that such an expansion of executive flexibility undermines the prerogatives of the budgetary authority; calls, therefore, for the maximum deviation from indicative amounts to be limited to 5 % over the entire duration of the programmes, ensuring that any substantial budgetary reallocations remain subject to proper democratic scrutiny and co-legislative decision-making; insists that this reduced threshold would maintain necessary operational flexibility while preserving Parliament’s essential role in budgetary oversight;</w:t>
            </w:r>
          </w:p>
        </w:tc>
        <w:tc>
          <w:tcPr>
            <w:tcW w:w="4876" w:type="dxa"/>
            <w:tcBorders>
              <w:top w:val="nil"/>
              <w:left w:val="nil"/>
              <w:bottom w:val="nil"/>
              <w:right w:val="nil"/>
            </w:tcBorders>
          </w:tcPr>
          <w:p>
            <w:pPr>
              <w:pStyle w:val="Normal6a"/>
            </w:pPr>
            <w:r>
              <w:t>50.</w:t>
            </w:r>
            <w:r>
              <w:tab/>
            </w:r>
            <w:r>
              <w:t>Notes that the Commission proposes to increase the deviation from indicative amounts in sectoral legislation from the current 15 % to 20 %; underlines that this proposed increase, combined with the merging of programmes and substantially larger budgets per programme, would create significant potential for modifications without the involvement of co-legislators; expresses reservations about the cumulative effect of these changes on democratic oversight and the balance of institutional powers; considers that such an expansion of executive flexibility undermines the prerogatives of the budgetary authority; calls, therefore, for the maximum deviation from indicative amounts to be limited to 5 % over the entire duration of the programmes, ensuring that any substantial budgetary reallocations remain subject to proper democratic scrutiny and co-legislative decision-making; insists that this reduced threshold would maintain necessary operational flexibility while preserving Parliament’s essential role in budgetary oversight;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923</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 a.</w:t>
            </w:r>
            <w:r>
              <w:tab/>
            </w:r>
            <w:r>
              <w:rPr>
                <w:b/>
                <w:i/>
              </w:rPr>
              <w:t>Requests that the Commission presents key policy priorities of EU external action to the Parliament in meaningful way and to engage in a strategic debate on priorities to be funded under the annual budget; calls on the Commission to take into account the recommendations from the Parliament including on possible reviews and shifts in priorities for the budgets under Global Europe pillars;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924</w:t>
      </w:r>
      <w:r>
        <w:rPr>
          <w:rStyle w:val="HideTWBExt"/>
        </w:rPr>
        <w:t>&lt;/NumAm&gt;</w:t>
      </w:r>
    </w:p>
    <w:p>
      <w:pPr>
        <w:pStyle w:val="NormalBold"/>
      </w:pPr>
      <w:r>
        <w:rPr>
          <w:rStyle w:val="HideTWBExt"/>
          <w:b w:val="0"/>
        </w:rPr>
        <w:t>&lt;RepeatBlock-By&gt;</w:t>
      </w:r>
      <w:r>
        <w:rPr>
          <w:rStyle w:val="HideTWBExt"/>
          <w:b w:val="0"/>
        </w:rPr>
        <w:t>&lt;Members&gt;</w:t>
      </w:r>
      <w:r>
        <w:t>Monika Hohlmeier, Jean-Marc Germain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 a.</w:t>
            </w:r>
            <w:r>
              <w:tab/>
            </w:r>
            <w:r>
              <w:rPr>
                <w:b/>
                <w:i/>
              </w:rPr>
              <w:t>Proposes to include a dedicated annex on cooperation concerning the conditionality regime; believes, in this context, that a regular dialogue between the three institutions on the current state of play concerning the protection of the EU budget, with regard to the rule of law, would be an effective way of improving coordination regarding the rule of law toolbox;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925</w:t>
      </w:r>
      <w:r>
        <w:rPr>
          <w:rStyle w:val="HideTWBExt"/>
        </w:rPr>
        <w:t>&lt;/NumAm&gt;</w:t>
      </w:r>
    </w:p>
    <w:p>
      <w:pPr>
        <w:pStyle w:val="NormalBold"/>
      </w:pPr>
      <w:r>
        <w:rPr>
          <w:rStyle w:val="HideTWBExt"/>
          <w:b w:val="0"/>
        </w:rPr>
        <w:t>&lt;RepeatBlock-By&gt;</w:t>
      </w:r>
      <w:r>
        <w:rPr>
          <w:rStyle w:val="HideTWBExt"/>
          <w:b w:val="0"/>
        </w:rPr>
        <w:t>&lt;Members&gt;</w:t>
      </w:r>
      <w:r>
        <w:t>João Oliveira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50a.</w:t>
            </w:r>
            <w:r>
              <w:tab/>
            </w:r>
            <w:r>
              <w:rPr>
                <w:b/>
                <w:i/>
              </w:rPr>
              <w:t>Calls strongly for the financing of the budget to be based on the GNI of the Member States, stipulating that the largest contributions be borne by the states that have benefited the most from the single market, the single currency, and common policies over the course of the integration process;</w:t>
            </w:r>
            <w:r>
              <w:t xml:space="preserve"> </w:t>
            </w:r>
            <w:r>
              <w:rPr>
                <w:b/>
                <w:i/>
              </w:rPr>
              <w:t>rejects the proposals for new own resources presented by the Commission that yet further undermine the redistributive role of the budget and could exacerbate development imbalances between Member States;</w:t>
            </w:r>
            <w:r>
              <w:t xml:space="preserve"> </w:t>
            </w:r>
            <w:r>
              <w:rPr>
                <w:b/>
                <w:i/>
              </w:rPr>
              <w:t>rejects the introduction of new own resources which, in practice, constitute the establishment of 'EU taxes';</w:t>
            </w:r>
            <w:r>
              <w:t xml:space="preserve"> </w:t>
            </w:r>
            <w:r>
              <w:rPr>
                <w:b/>
                <w:i/>
              </w:rPr>
              <w:t>calls for states' sovereign competence in all dimensions of economic policy, including fiscal policy, to be safeguarded;</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926</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51.</w:t>
            </w:r>
            <w:r>
              <w:tab/>
            </w:r>
            <w:r>
              <w:rPr>
                <w:b/>
                <w:i/>
              </w:rPr>
              <w:t>Reiterates the need for sustainable and resilient revenue for the Union budget that should match the expenditure side;</w:t>
            </w:r>
            <w:r>
              <w:t xml:space="preserve"> </w:t>
            </w:r>
            <w:r>
              <w:rPr>
                <w:b/>
                <w:i/>
              </w:rPr>
              <w:t>expresses its continued conviction that without the introduction of new genuine own resources to finance the Union’s budget, the financial burden will inevitably fall on Member States through increased GNI-based contributions;</w:t>
            </w:r>
            <w:r>
              <w:t xml:space="preserve"> </w:t>
            </w:r>
            <w:r>
              <w:rPr>
                <w:b/>
                <w:i/>
              </w:rPr>
              <w:t>considers, therefore, that the introduction of new revenue streams is an essential condition for an ambitious MFF 2028-2034;</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927</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51.</w:t>
            </w:r>
            <w:r>
              <w:tab/>
            </w:r>
            <w:r>
              <w:rPr>
                <w:b/>
                <w:i/>
              </w:rPr>
              <w:t>Reiterates the need for sustainable and resilient revenue for the Union budget that should match the expenditure side;</w:t>
            </w:r>
            <w:r>
              <w:t xml:space="preserve"> </w:t>
            </w:r>
            <w:r>
              <w:rPr>
                <w:b/>
                <w:i/>
              </w:rPr>
              <w:t>expresses its continued conviction that without the introduction of new genuine own resources to finance the Union’s budget, the financial burden will inevitably fall on Member States through increased GNI-based contributions;</w:t>
            </w:r>
            <w:r>
              <w:t xml:space="preserve"> </w:t>
            </w:r>
            <w:r>
              <w:rPr>
                <w:b/>
                <w:i/>
              </w:rPr>
              <w:t>considers, therefore, that the introduction of new revenue streams is an essential condition for an ambitious MFF 2028-2034;</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928</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51.</w:t>
            </w:r>
            <w:r>
              <w:tab/>
            </w:r>
            <w:r>
              <w:rPr>
                <w:b/>
                <w:i/>
              </w:rPr>
              <w:t>Reiterates the need for sustainable and resilient revenue for the Union budget that should match the expenditure side;</w:t>
            </w:r>
            <w:r>
              <w:t xml:space="preserve"> </w:t>
            </w:r>
            <w:r>
              <w:rPr>
                <w:b/>
                <w:i/>
              </w:rPr>
              <w:t>expresses its continued conviction that without the introduction of new genuine own resources to finance the Union’s budget, the financial burden will inevitably fall on Member States through increased GNI-based contributions;</w:t>
            </w:r>
            <w:r>
              <w:t xml:space="preserve"> </w:t>
            </w:r>
            <w:r>
              <w:rPr>
                <w:b/>
                <w:i/>
              </w:rPr>
              <w:t>considers, therefore, that the introduction of new revenue streams is an essential condition for an ambitious MFF 2028-2034;</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51.</w:t>
            </w:r>
            <w:r>
              <w:tab/>
            </w:r>
            <w:r>
              <w:rPr>
                <w:b/>
                <w:i/>
              </w:rPr>
              <w:t>Reiterates the need for sustainable and resilient revenue for the Union budget that should match the expenditure side; expresses its continued conviction that without the introduction of new genuine own resources to finance the Union’s budget, the financial burden will inevitably fall on Member States through increased GNI-based contributions; considers, therefore, that the introduction of new revenue streams is an essential condition for an ambitious MFF 2028-2034;</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930</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Reiterates the need for sustainable and resilient revenue for the Union budget that should match the expenditure side; expresses its continued conviction that </w:t>
            </w:r>
            <w:r>
              <w:rPr>
                <w:b/>
                <w:i/>
              </w:rPr>
              <w:t>without</w:t>
            </w:r>
            <w:r>
              <w:t xml:space="preserve"> the introduction of new genuine own resources to finance the Union’s budget</w:t>
            </w:r>
            <w:r>
              <w:rPr>
                <w:b/>
                <w:i/>
              </w:rPr>
              <w:t>,</w:t>
            </w:r>
            <w:r>
              <w:t xml:space="preserve"> the financial burden will inevitably fall on Member States through increased GNI-based contributions; considers, therefore, that the introduction of new revenue streams is an essential condition for an ambitious MFF 2028-2034;</w:t>
            </w:r>
          </w:p>
        </w:tc>
        <w:tc>
          <w:tcPr>
            <w:tcW w:w="4876" w:type="dxa"/>
            <w:tcBorders>
              <w:top w:val="nil"/>
              <w:left w:val="nil"/>
              <w:bottom w:val="nil"/>
              <w:right w:val="nil"/>
            </w:tcBorders>
          </w:tcPr>
          <w:p>
            <w:pPr>
              <w:pStyle w:val="Normal6a"/>
            </w:pPr>
            <w:r>
              <w:t>51.</w:t>
            </w:r>
            <w:r>
              <w:tab/>
            </w:r>
            <w:r>
              <w:t xml:space="preserve">Reiterates the need for sustainable and resilient revenue for the Union budget that should match the expenditure side; expresses its continued conviction that the introduction of new genuine own resources to finance the Union’s budget </w:t>
            </w:r>
            <w:r>
              <w:rPr>
                <w:b/>
                <w:i/>
              </w:rPr>
              <w:t>is indispensable; recalls that without those new resources</w:t>
            </w:r>
            <w:r>
              <w:t xml:space="preserve"> the financial burden will inevitably fall on Member States through increased GNI-based contributions; considers, therefore, that the introduction of new revenue streams is an essential condition for an ambitious MFF 2028-2034; </w:t>
            </w:r>
            <w:r>
              <w:rPr>
                <w:b/>
                <w:i/>
              </w:rPr>
              <w:t>believes it is important to set a clear timeline for the adoption of those new own resources and therefore calls the Commission to come-up with a clear and new roadmap; in the same line, requests a higher frequency of Own Resources dialogue;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Reiterates the need for </w:t>
            </w:r>
            <w:r>
              <w:rPr>
                <w:b/>
                <w:i/>
              </w:rPr>
              <w:t>sustainable and resilient</w:t>
            </w:r>
            <w:r>
              <w:t xml:space="preserve"> revenue </w:t>
            </w:r>
            <w:r>
              <w:rPr>
                <w:b/>
                <w:i/>
              </w:rPr>
              <w:t>for</w:t>
            </w:r>
            <w:r>
              <w:t xml:space="preserve"> the Union </w:t>
            </w:r>
            <w:r>
              <w:rPr>
                <w:b/>
                <w:i/>
              </w:rPr>
              <w:t>budget that should match the expenditure side;</w:t>
            </w:r>
            <w:r>
              <w:t xml:space="preserve"> </w:t>
            </w:r>
            <w:r>
              <w:rPr>
                <w:b/>
                <w:i/>
              </w:rPr>
              <w:t>expresses its continued conviction that without the introduction of new genuine</w:t>
            </w:r>
            <w:r>
              <w:t xml:space="preserve"> own resources </w:t>
            </w:r>
            <w:r>
              <w:rPr>
                <w:b/>
                <w:i/>
              </w:rPr>
              <w:t>to finance the Union’s budget, the</w:t>
            </w:r>
            <w:r>
              <w:t xml:space="preserve"> financial </w:t>
            </w:r>
            <w:r>
              <w:rPr>
                <w:b/>
                <w:i/>
              </w:rPr>
              <w:t>burden will inevitably fall on Member States through increased GNI-based</w:t>
            </w:r>
            <w:r>
              <w:t xml:space="preserve"> contributions</w:t>
            </w:r>
            <w:r>
              <w:rPr>
                <w:b/>
                <w:i/>
              </w:rPr>
              <w:t>;</w:t>
            </w:r>
            <w:r>
              <w:t xml:space="preserve"> </w:t>
            </w:r>
            <w:r>
              <w:rPr>
                <w:b/>
                <w:i/>
              </w:rPr>
              <w:t>considers, therefore, that the introduction of new revenue streams is an essential condition for an ambitious MFF 2028-2034</w:t>
            </w:r>
            <w:r>
              <w:t>;</w:t>
            </w:r>
          </w:p>
        </w:tc>
        <w:tc>
          <w:tcPr>
            <w:tcW w:w="4876" w:type="dxa"/>
            <w:tcBorders>
              <w:top w:val="nil"/>
              <w:left w:val="nil"/>
              <w:bottom w:val="nil"/>
              <w:right w:val="nil"/>
            </w:tcBorders>
          </w:tcPr>
          <w:p>
            <w:pPr>
              <w:pStyle w:val="Normal6a"/>
            </w:pPr>
            <w:r>
              <w:t>51.</w:t>
            </w:r>
            <w:r>
              <w:tab/>
            </w:r>
            <w:r>
              <w:t xml:space="preserve">Reiterates the need for revenue </w:t>
            </w:r>
            <w:r>
              <w:rPr>
                <w:b/>
                <w:i/>
              </w:rPr>
              <w:t>that ensures budgetary stability and fiscal discipline, enabling</w:t>
            </w:r>
            <w:r>
              <w:t xml:space="preserve"> the Union </w:t>
            </w:r>
            <w:r>
              <w:rPr>
                <w:b/>
                <w:i/>
              </w:rPr>
              <w:t>to address its needs and priorities;</w:t>
            </w:r>
            <w:r>
              <w:t xml:space="preserve"> </w:t>
            </w:r>
            <w:r>
              <w:rPr>
                <w:b/>
                <w:i/>
              </w:rPr>
              <w:t>demands that the Council comply with the agreement reached in 2020 on new</w:t>
            </w:r>
            <w:r>
              <w:t xml:space="preserve"> own resources </w:t>
            </w:r>
            <w:r>
              <w:rPr>
                <w:b/>
                <w:i/>
              </w:rPr>
              <w:t>in order to tackle the debt of the Next Generation funds that we will begin to pay off in this new</w:t>
            </w:r>
            <w:r>
              <w:t xml:space="preserve"> Financial </w:t>
            </w:r>
            <w:r>
              <w:rPr>
                <w:b/>
                <w:i/>
              </w:rPr>
              <w:t>Framework; </w:t>
            </w:r>
            <w:r>
              <w:t xml:space="preserve"> </w:t>
            </w:r>
            <w:r>
              <w:rPr>
                <w:b/>
                <w:i/>
              </w:rPr>
              <w:t>alongside these new own resources, other avenues should be explored, such as a moderate increase in national</w:t>
            </w:r>
            <w:r>
              <w:t xml:space="preserve"> contributions </w:t>
            </w:r>
            <w:r>
              <w:rPr>
                <w:b/>
                <w:i/>
              </w:rPr>
              <w:t>on the basis of gross national income and greater budgetary efficiency based on detailed impact assessments of each European programme and its level of implementation, in order to provide a budgetary and financial response to the Union's real priorities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932</w:t>
      </w:r>
      <w:r>
        <w:rPr>
          <w:rStyle w:val="HideTWBExt"/>
        </w:rPr>
        <w:t>&lt;/NumAm&gt;</w:t>
      </w:r>
    </w:p>
    <w:p>
      <w:pPr>
        <w:pStyle w:val="NormalBold"/>
      </w:pPr>
      <w:r>
        <w:rPr>
          <w:rStyle w:val="HideTWBExt"/>
          <w:b w:val="0"/>
        </w:rPr>
        <w:t>&lt;RepeatBlock-By&gt;</w:t>
      </w:r>
      <w:r>
        <w:rPr>
          <w:rStyle w:val="HideTWBExt"/>
          <w:b w:val="0"/>
        </w:rPr>
        <w:t>&lt;Members&gt;</w:t>
      </w:r>
      <w:r>
        <w:t>Rasmus Nordqvist, Rasmus Andresen</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Reiterates the need for sustainable and resilient revenue for the Union budget that should match the expenditure side; expresses its continued conviction that without the introduction of new genuine own resources to finance the Union’s budget, the financial burden will inevitably fall on Member States through increased GNI-based contributions; considers, therefore, that the introduction of new revenue streams is an essential condition for an ambitious MFF 2028-2034;</w:t>
            </w:r>
          </w:p>
        </w:tc>
        <w:tc>
          <w:tcPr>
            <w:tcW w:w="4876" w:type="dxa"/>
            <w:tcBorders>
              <w:top w:val="nil"/>
              <w:left w:val="nil"/>
              <w:bottom w:val="nil"/>
              <w:right w:val="nil"/>
            </w:tcBorders>
          </w:tcPr>
          <w:p>
            <w:pPr>
              <w:pStyle w:val="Normal6a"/>
            </w:pPr>
            <w:r>
              <w:t>51.</w:t>
            </w:r>
            <w:r>
              <w:tab/>
            </w:r>
            <w:r>
              <w:t>Reiterates the need for sustainable and resilient revenue for the Union budget that should match the expenditure side</w:t>
            </w:r>
            <w:r>
              <w:rPr>
                <w:b/>
                <w:i/>
              </w:rPr>
              <w:t>; reiterates its longstanding call for the introduction of new genuine own resources not only for NextGenerationEU debt repayment but also to finance the Union’s policies</w:t>
            </w:r>
            <w:r>
              <w:t xml:space="preserve">; expresses its continued conviction that without the introduction of new genuine own resources to finance the Union’s budget, the financial burden will inevitably fall on Member States through increased GNI-based contributions; considers, therefore, that the introduction of new revenue streams </w:t>
            </w:r>
            <w:r>
              <w:rPr>
                <w:b/>
                <w:i/>
              </w:rPr>
              <w:t>of at least 60 billion/year</w:t>
            </w:r>
            <w:r>
              <w:t xml:space="preserve"> is an essential condition for an ambitious MFF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933</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Reiterates the need for sustainable and resilient revenue for the Union budget that should match the expenditure side; </w:t>
            </w:r>
            <w:r>
              <w:rPr>
                <w:b/>
                <w:i/>
              </w:rPr>
              <w:t>expresses its continued conviction that without the introduction of new genuine</w:t>
            </w:r>
            <w:r>
              <w:t xml:space="preserve"> own resources </w:t>
            </w:r>
            <w:r>
              <w:rPr>
                <w:b/>
                <w:i/>
              </w:rPr>
              <w:t>to finance the Union’s budget, the financial burden will inevitably fall on Member States through increased</w:t>
            </w:r>
            <w:r>
              <w:t xml:space="preserve"> GNI-based contributions; </w:t>
            </w:r>
            <w:r>
              <w:rPr>
                <w:b/>
                <w:i/>
              </w:rPr>
              <w:t>considers, therefore, that the introduction of new revenue streams is an essential condition for an ambitious MFF 2028-2034;</w:t>
            </w:r>
          </w:p>
        </w:tc>
        <w:tc>
          <w:tcPr>
            <w:tcW w:w="4876" w:type="dxa"/>
            <w:tcBorders>
              <w:top w:val="nil"/>
              <w:left w:val="nil"/>
              <w:bottom w:val="nil"/>
              <w:right w:val="nil"/>
            </w:tcBorders>
          </w:tcPr>
          <w:p>
            <w:pPr>
              <w:pStyle w:val="Normal6a"/>
            </w:pPr>
            <w:r>
              <w:t>51.</w:t>
            </w:r>
            <w:r>
              <w:tab/>
            </w:r>
            <w:r>
              <w:t xml:space="preserve">Reiterates the need for sustainable and resilient revenue for the Union budget that should match the expenditure side; </w:t>
            </w:r>
            <w:r>
              <w:rPr>
                <w:b/>
                <w:i/>
              </w:rPr>
              <w:t>recalls that EU expenses will one way or another be financed by citizens, whether that is the case through</w:t>
            </w:r>
            <w:r>
              <w:t xml:space="preserve"> own resources </w:t>
            </w:r>
            <w:r>
              <w:rPr>
                <w:b/>
                <w:i/>
              </w:rPr>
              <w:t>or</w:t>
            </w:r>
            <w:r>
              <w:t xml:space="preserve"> GNI-based contributions;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934</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Reiterates the need for sustainable and resilient revenue for the Union budget that should match the expenditure side; expresses its continued conviction that without the introduction of new genuine own resources to finance the Union’s budget, the financial burden will inevitably fall on Member States through increased GNI-based contributions; considers, therefore, that the introduction of new revenue streams is an essential condition for an ambitious MFF 2028-2034;</w:t>
            </w:r>
          </w:p>
        </w:tc>
        <w:tc>
          <w:tcPr>
            <w:tcW w:w="4876" w:type="dxa"/>
            <w:tcBorders>
              <w:top w:val="nil"/>
              <w:left w:val="nil"/>
              <w:bottom w:val="nil"/>
              <w:right w:val="nil"/>
            </w:tcBorders>
          </w:tcPr>
          <w:p>
            <w:pPr>
              <w:pStyle w:val="Normal6a"/>
            </w:pPr>
            <w:r>
              <w:t>51.</w:t>
            </w:r>
            <w:r>
              <w:tab/>
            </w:r>
            <w:r>
              <w:rPr>
                <w:b/>
                <w:i/>
              </w:rPr>
              <w:t>Reaffirms Parliament’s strong commitment to the introduction of new own resources, to ensure a sustainable, long-term financing of the EU budget;</w:t>
            </w:r>
            <w:r>
              <w:t xml:space="preserve"> reiterates the need for sustainable and resilient revenue for the Union budget that should match the expenditure side; expresses its continued conviction that without the introduction of new genuine own resources to finance the Union’s budget, the financial burden will inevitably fall on Member States through increased GNI-based contributions; considers, therefore, that the introduction of new revenue streams is an essential condition for an ambitious MFF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935</w:t>
      </w:r>
      <w:r>
        <w:rPr>
          <w:rStyle w:val="HideTWBExt"/>
        </w:rPr>
        <w:t>&lt;/NumAm&gt;</w:t>
      </w:r>
    </w:p>
    <w:p>
      <w:pPr>
        <w:pStyle w:val="NormalBold"/>
      </w:pPr>
      <w:r>
        <w:rPr>
          <w:rStyle w:val="HideTWBExt"/>
          <w:b w:val="0"/>
        </w:rPr>
        <w:t>&lt;RepeatBlock-By&gt;</w:t>
      </w:r>
      <w:r>
        <w:rPr>
          <w:rStyle w:val="HideTWBExt"/>
          <w:b w:val="0"/>
        </w:rPr>
        <w:t>&lt;Members&gt;</w:t>
      </w:r>
      <w:r>
        <w:t>Joachim Streit,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Reiterates the need for sustainable and </w:t>
            </w:r>
            <w:r>
              <w:rPr>
                <w:b/>
                <w:i/>
              </w:rPr>
              <w:t>resilient revenue for</w:t>
            </w:r>
            <w:r>
              <w:t xml:space="preserve"> the Union budget </w:t>
            </w:r>
            <w:r>
              <w:rPr>
                <w:b/>
                <w:i/>
              </w:rPr>
              <w:t>that should match the expenditure side; expresses its continued conviction that without the introduction of new genuine own resources to finance the Union’s budget, the</w:t>
            </w:r>
            <w:r>
              <w:t xml:space="preserve"> financial </w:t>
            </w:r>
            <w:r>
              <w:rPr>
                <w:b/>
                <w:i/>
              </w:rPr>
              <w:t>burden will inevitably fall on</w:t>
            </w:r>
            <w:r>
              <w:t xml:space="preserve"> Member States </w:t>
            </w:r>
            <w:r>
              <w:rPr>
                <w:b/>
                <w:i/>
              </w:rPr>
              <w:t>through increased GNI-based contributions; considers, therefore,</w:t>
            </w:r>
            <w:r>
              <w:t xml:space="preserve"> that the </w:t>
            </w:r>
            <w:r>
              <w:rPr>
                <w:b/>
                <w:i/>
              </w:rPr>
              <w:t>introduction</w:t>
            </w:r>
            <w:r>
              <w:t xml:space="preserve"> of new revenue streams </w:t>
            </w:r>
            <w:r>
              <w:rPr>
                <w:b/>
                <w:i/>
              </w:rPr>
              <w:t>is an essential condition for an ambitious MFF 2028-2034</w:t>
            </w:r>
            <w:r>
              <w:t>;</w:t>
            </w:r>
          </w:p>
        </w:tc>
        <w:tc>
          <w:tcPr>
            <w:tcW w:w="4876" w:type="dxa"/>
            <w:tcBorders>
              <w:top w:val="nil"/>
              <w:left w:val="nil"/>
              <w:bottom w:val="nil"/>
              <w:right w:val="nil"/>
            </w:tcBorders>
          </w:tcPr>
          <w:p>
            <w:pPr>
              <w:pStyle w:val="Normal6a"/>
            </w:pPr>
            <w:r>
              <w:t>51.</w:t>
            </w:r>
            <w:r>
              <w:tab/>
            </w:r>
            <w:r>
              <w:t xml:space="preserve">Reiterates the need for sustainable and </w:t>
            </w:r>
            <w:r>
              <w:rPr>
                <w:b/>
                <w:i/>
              </w:rPr>
              <w:t>predictable financing of</w:t>
            </w:r>
            <w:r>
              <w:t xml:space="preserve"> the Union budget </w:t>
            </w:r>
            <w:r>
              <w:rPr>
                <w:b/>
                <w:i/>
              </w:rPr>
              <w:t>in line with the principles of budgetary discipline and sound</w:t>
            </w:r>
            <w:r>
              <w:t xml:space="preserve"> financial </w:t>
            </w:r>
            <w:r>
              <w:rPr>
                <w:b/>
                <w:i/>
              </w:rPr>
              <w:t>management; underlines that the Union budget has traditionally been financed primarily through national contributions based on gross national income, which ensure transparency, democratic accountability and respect for</w:t>
            </w:r>
            <w:r>
              <w:t xml:space="preserve"> Member States</w:t>
            </w:r>
            <w:r>
              <w:rPr>
                <w:b/>
                <w:i/>
              </w:rPr>
              <w:t>’ fiscal sovereignty; stresses</w:t>
            </w:r>
            <w:r>
              <w:t xml:space="preserve"> that the </w:t>
            </w:r>
            <w:r>
              <w:rPr>
                <w:b/>
                <w:i/>
              </w:rPr>
              <w:t>level of Union expenditure must be determined by clear prioritisation and efficient use of resources, rather than by the expansion</w:t>
            </w:r>
            <w:r>
              <w:t xml:space="preserve"> of new revenue streams </w:t>
            </w:r>
            <w:r>
              <w:rPr>
                <w:b/>
                <w:i/>
              </w:rPr>
              <w:t>at Union level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936</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 xml:space="preserve">Reiterates the need for sustainable and resilient revenue for the Union budget that should match the expenditure side; expresses its continued conviction that </w:t>
            </w:r>
            <w:r>
              <w:rPr>
                <w:b/>
                <w:i/>
              </w:rPr>
              <w:t>without the introduction of new genuine own resources to finance the Union’s budget, the financial burden will inevitably fall on Member States through increased</w:t>
            </w:r>
            <w:r>
              <w:t xml:space="preserve"> GNI-based contributions</w:t>
            </w:r>
            <w:r>
              <w:rPr>
                <w:b/>
                <w:i/>
              </w:rPr>
              <w:t>; considers, therefore, that the introduction of new</w:t>
            </w:r>
            <w:r>
              <w:t xml:space="preserve"> revenue </w:t>
            </w:r>
            <w:r>
              <w:rPr>
                <w:b/>
                <w:i/>
              </w:rPr>
              <w:t>streams is an essential condition for an ambitious MFF 2028-2034</w:t>
            </w:r>
            <w:r>
              <w:t>;</w:t>
            </w:r>
          </w:p>
        </w:tc>
        <w:tc>
          <w:tcPr>
            <w:tcW w:w="4876" w:type="dxa"/>
            <w:tcBorders>
              <w:top w:val="nil"/>
              <w:left w:val="nil"/>
              <w:bottom w:val="nil"/>
              <w:right w:val="nil"/>
            </w:tcBorders>
          </w:tcPr>
          <w:p>
            <w:pPr>
              <w:pStyle w:val="Normal6a"/>
            </w:pPr>
            <w:r>
              <w:t>51.</w:t>
            </w:r>
            <w:r>
              <w:tab/>
            </w:r>
            <w:r>
              <w:t xml:space="preserve">Reiterates the need for sustainable and resilient revenue for the Union budget that should match the expenditure side </w:t>
            </w:r>
            <w:r>
              <w:rPr>
                <w:b/>
                <w:i/>
              </w:rPr>
              <w:t>with a view to ensuring maximum transparency, effectiveness of collection and minimal administrative burden on Member States and tax payers</w:t>
            </w:r>
            <w:r>
              <w:t>; expresses its continued conviction that GNI-based contributions</w:t>
            </w:r>
            <w:r>
              <w:rPr>
                <w:b/>
                <w:i/>
              </w:rPr>
              <w:t>, due to their transparency and efficiency, should remain the cornerstone of Union</w:t>
            </w:r>
            <w:r>
              <w:t xml:space="preserve"> revenue</w:t>
            </w:r>
            <w:r>
              <w:rPr>
                <w:b/>
                <w:i/>
              </w:rPr>
              <w:t>, prioritising streamlined collection and redistribution mechanisms that minimise costs and enhance predictability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937</w:t>
      </w:r>
      <w:r>
        <w:rPr>
          <w:rStyle w:val="HideTWBExt"/>
        </w:rPr>
        <w:t>&lt;/NumAm&gt;</w:t>
      </w:r>
    </w:p>
    <w:p>
      <w:pPr>
        <w:pStyle w:val="NormalBold"/>
      </w:pPr>
      <w:r>
        <w:rPr>
          <w:rStyle w:val="HideTWBExt"/>
          <w:b w:val="0"/>
        </w:rPr>
        <w:t>&lt;RepeatBlock-By&gt;</w:t>
      </w:r>
      <w:r>
        <w:rPr>
          <w:rStyle w:val="HideTWBExt"/>
          <w:b w:val="0"/>
        </w:rPr>
        <w:t>&lt;Members&gt;</w:t>
      </w:r>
      <w:r>
        <w:t>Stine Bosse, Fabienne Keller,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51.</w:t>
            </w:r>
            <w:r>
              <w:tab/>
            </w:r>
            <w:r>
              <w:t>Reiterates the need for sustainable and resilient revenue for the Union budget that should match the expenditure side; expresses its continued conviction that without the introduction of new genuine own resources to finance the Union’s budget, the financial burden will inevitably fall on Member States through increased GNI-based contributions; considers, therefore, that the introduction of new revenue streams is an essential condition for an ambitious MFF 2028-2034;</w:t>
            </w:r>
          </w:p>
        </w:tc>
        <w:tc>
          <w:tcPr>
            <w:tcW w:w="4876" w:type="dxa"/>
            <w:tcBorders>
              <w:top w:val="nil"/>
              <w:left w:val="nil"/>
              <w:bottom w:val="nil"/>
              <w:right w:val="nil"/>
            </w:tcBorders>
          </w:tcPr>
          <w:p>
            <w:pPr>
              <w:pStyle w:val="Normal6a"/>
            </w:pPr>
            <w:r>
              <w:t>51.</w:t>
            </w:r>
            <w:r>
              <w:tab/>
            </w:r>
            <w:r>
              <w:t xml:space="preserve">Reiterates the need for sustainable and resilient revenue for the Union budget that should match the expenditure side; expresses its continued conviction that without the introduction of new genuine own resources to finance the Union’s budget, the financial burden will inevitably fall on Member States through increased GNI-based contributions; considers, therefore, that the introduction of </w:t>
            </w:r>
            <w:r>
              <w:rPr>
                <w:b/>
                <w:i/>
              </w:rPr>
              <w:t>genuine</w:t>
            </w:r>
            <w:r>
              <w:t xml:space="preserve"> new revenue streams is an essential condition for an ambitious MFF 2028-2034;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938</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a.</w:t>
            </w:r>
            <w:r>
              <w:tab/>
            </w:r>
            <w:r>
              <w:rPr>
                <w:b/>
                <w:i/>
              </w:rPr>
              <w:t>Acknowledges that the GNI- based own resource has proved to be a reliable, transparent, and fair source of funding; points out that the fact that the member states themselves can decide how to raise the money for their EU contributions is in line with the subsidiarity principle and ensures that taxes are collected in an effective way; considers it unlikely that establishing new sources of financing will succeed in eliminating the 'juste retour’' logic because the offsetting of new own resources against the GNI-based own resource would immediately raise the issue of burden-sharing among the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939</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51a.</w:t>
            </w:r>
            <w:r>
              <w:tab/>
            </w:r>
            <w:r>
              <w:rPr>
                <w:b/>
                <w:i/>
              </w:rPr>
              <w:t>Emphasises that, according to Opinion 04/2026 of the European Court of Auditors, because of the proposed increase in the MFF overall envelope as compared to the current one, national contributions will rise by 48 % over the 2028-2034 period, from EUR 140.7 billion to EUR 208.5 billion per year;</w:t>
            </w:r>
            <w:r>
              <w:t xml:space="preserve"> </w:t>
            </w:r>
            <w:r>
              <w:rPr>
                <w:b/>
                <w:i/>
              </w:rPr>
              <w:t>believes that this increase would impose an irresponsible and unsustainable budgetary burden on national budgets and on taxpayers in the Member States;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940</w:t>
      </w:r>
      <w:r>
        <w:rPr>
          <w:rStyle w:val="HideTWBExt"/>
        </w:rPr>
        <w:t>&lt;/NumAm&gt;</w:t>
      </w:r>
    </w:p>
    <w:p>
      <w:pPr>
        <w:pStyle w:val="NormalBold"/>
      </w:pPr>
      <w:r>
        <w:rPr>
          <w:rStyle w:val="HideTWBExt"/>
          <w:b w:val="0"/>
        </w:rPr>
        <w:t>&lt;RepeatBlock-By&gt;</w:t>
      </w:r>
      <w:r>
        <w:rPr>
          <w:rStyle w:val="HideTWBExt"/>
          <w:b w:val="0"/>
        </w:rPr>
        <w:t>&lt;Members&gt;</w:t>
      </w:r>
      <w:r>
        <w:t>Rasmus Nordqvist, Rasmus Andresen</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a.</w:t>
            </w:r>
            <w:r>
              <w:tab/>
            </w:r>
            <w:r>
              <w:rPr>
                <w:b/>
                <w:i/>
              </w:rPr>
              <w:t>Is highly concerned by the complete absence of progress on the reform of the system of own resources in the Council in particular, in the view of increasing needs and budgetary demands; underlines that genuine new own resources are also the necessary answer in the times of budgetary constraints and in order to ensure social cohesion and much needed investments in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941</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a.</w:t>
            </w:r>
            <w:r>
              <w:tab/>
            </w:r>
            <w:r>
              <w:rPr>
                <w:b/>
                <w:i/>
              </w:rPr>
              <w:t>Is highly concerned by the complete absence of progress on the reform of the system of own resources in the Council in particular, in the view of increasing needs and budgetary demands; underlines that genuine new own resources are also the necessary answer in the times of budgetary constraints and in order to ensure social cohesion and much needed investments in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942</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a.</w:t>
            </w:r>
            <w:r>
              <w:tab/>
            </w:r>
            <w:r>
              <w:rPr>
                <w:b/>
                <w:i/>
              </w:rPr>
              <w:t>Recalls that there is no need to introduce new own resources, since the current own resources system is completely capable of delivering the amounts needed;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943</w:t>
      </w:r>
      <w:r>
        <w:rPr>
          <w:rStyle w:val="HideTWBExt"/>
        </w:rPr>
        <w:t>&lt;/NumAm&gt;</w:t>
      </w:r>
    </w:p>
    <w:p>
      <w:pPr>
        <w:pStyle w:val="NormalBold"/>
      </w:pPr>
      <w:r>
        <w:rPr>
          <w:rStyle w:val="HideTWBExt"/>
          <w:b w:val="0"/>
        </w:rPr>
        <w:t>&lt;RepeatBlock-By&gt;</w:t>
      </w:r>
      <w:r>
        <w:rPr>
          <w:rStyle w:val="HideTWBExt"/>
          <w:b w:val="0"/>
        </w:rPr>
        <w:t>&lt;Members&gt;</w:t>
      </w:r>
      <w:r>
        <w:t>Fabienne Keller, Stine Bosse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b.</w:t>
            </w:r>
            <w:r>
              <w:tab/>
            </w:r>
            <w:r>
              <w:rPr>
                <w:b/>
                <w:i/>
              </w:rPr>
              <w:t>Considers that the system of rebates is complex, opaque and unjustified and highlights the fact that the main beneficiary Member States contribute a lower share of their GNI to the Union budget than most other Member States, particularly those with a lower GNI per capita; reiterates its position on the need for fairness, greater simplification, a reduced administrative burden and more transparency, including on the revenue side; reaffirms its long-standing critique that conceiving and negotiating the budget based on just-retour will inevitably result in a reduced European added value because the rationale to invest together in common and cross-border European public goods diminishes and the integrity and the potential policy incentives of the new own resources system will be compromised; calls on the Council and Member States to refrain from from prolonging the lump-sum reductions, and to create an equitable overall budgetary balance for all by focussing on the synergies and EU-added value and in the spirit of solidarity among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944</w:t>
      </w:r>
      <w:r>
        <w:rPr>
          <w:rStyle w:val="HideTWBExt"/>
        </w:rPr>
        <w:t>&lt;/NumAm&gt;</w:t>
      </w:r>
    </w:p>
    <w:p>
      <w:pPr>
        <w:pStyle w:val="NormalBold"/>
      </w:pPr>
      <w:r>
        <w:rPr>
          <w:rStyle w:val="HideTWBExt"/>
          <w:b w:val="0"/>
        </w:rPr>
        <w:t>&lt;RepeatBlock-By&gt;</w:t>
      </w:r>
      <w:r>
        <w:rPr>
          <w:rStyle w:val="HideTWBExt"/>
          <w:b w:val="0"/>
        </w:rPr>
        <w:t>&lt;Members&gt;</w:t>
      </w:r>
      <w:r>
        <w:t>Rasmus Nordqvist, Rasmus Andresen</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b.</w:t>
            </w:r>
            <w:r>
              <w:tab/>
            </w:r>
            <w:r>
              <w:rPr>
                <w:b/>
                <w:i/>
              </w:rPr>
              <w:t>Considers that the system of rebates is complex, opaque and unjustified and highlights the fact that the main beneficiary Member States contribute a lower share of their GNI to the Union budget than most other Member States, particularly those with a lower GNI per capita; reiterates its position on greater simplification, a reduced administrative burden and more transparency, including on the revenue side; reaffirms its long-standing critique that conceiving and negotiating the budget based on just-retour will inevitably result in a reduced European added value because the rationale to invest together in common and cross-border European public goods diminishes and the integrity and the potential policy incentives of the new own resources system will be compromised; calls on the Council and Member States to refrain from from prolonging the lump-sum reductions, and to create an equitable overall budgetary balance for all by focussing on the synergies and EU-added value and in the spirit of solidarity among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945</w:t>
      </w:r>
      <w:r>
        <w:rPr>
          <w:rStyle w:val="HideTWBExt"/>
        </w:rPr>
        <w:t>&lt;/NumAm&gt;</w:t>
      </w:r>
    </w:p>
    <w:p>
      <w:pPr>
        <w:pStyle w:val="NormalBold"/>
      </w:pPr>
      <w:r>
        <w:rPr>
          <w:rStyle w:val="HideTWBExt"/>
          <w:b w:val="0"/>
        </w:rPr>
        <w:t>&lt;RepeatBlock-By&gt;</w:t>
      </w:r>
      <w:r>
        <w:rPr>
          <w:rStyle w:val="HideTWBExt"/>
          <w:b w:val="0"/>
        </w:rPr>
        <w:t>&lt;Members&gt;</w:t>
      </w:r>
      <w:r>
        <w:t>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51 b.</w:t>
            </w:r>
            <w:r>
              <w:tab/>
            </w:r>
            <w:r>
              <w:rPr>
                <w:b/>
                <w:i/>
              </w:rPr>
              <w:t>Acknowledges that the GNI- based own resource has proved to be a reliable, transparent, and fair source of funding; points out that the fact that the member states themselves can decide how to raise the money for their EU contributions is in line with the subsidiarity principle and ensures that taxes are collected in an effective way; considers it unlikely that establishing new sources of financing will succeed in eliminating the 'juste retour’' logic because the offsetting of new own resources against the GNI-based own resource would immediately raise the issue of burden-sharing among the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946</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Considers that, in the face of unprecedented challenges requiring substantial increases in investment across multiple policy areas in the next MFF period, the revenue base of the EU budget must be broadened, strengthened, diversified and modernised;</w:t>
            </w:r>
            <w:r>
              <w:t xml:space="preserve"> </w:t>
            </w:r>
            <w:r>
              <w:rPr>
                <w:b/>
                <w:i/>
              </w:rPr>
              <w:t>insists that, to this end, the existing own resources should be adjusted and upgraded, new own resources should be introduced without further delay, revenue other than own resources should be an essential ingredient to the mix of income sources, and well-defined borrowing and lending operations whose ensuing contingent liabilities are safely covered by the headroom under the own resources ceilings should remain an actionable fall-back option, at least in times of unforeseen crises;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947</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Considers that, in the face of unprecedented challenges requiring substantial increases in investment across multiple policy areas in the next MFF period, the revenue base of the EU budget must be broadened, strengthened, diversified and modernised;</w:t>
            </w:r>
            <w:r>
              <w:t xml:space="preserve"> </w:t>
            </w:r>
            <w:r>
              <w:rPr>
                <w:b/>
                <w:i/>
              </w:rPr>
              <w:t>insists that, to this end, the existing own resources should be adjusted and upgraded, new own resources should be introduced without further delay, revenue other than own resources should be an essential ingredient to the mix of income sources, and well-defined borrowing and lending operations whose ensuing contingent liabilities are safely covered by the headroom under the own resources ceilings should remain an actionable fall-back option, at least in times of unforeseen crises;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948</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Considers that, in the face of unprecedented challenges requiring substantial increases in investment across multiple policy areas in the next MFF period, the revenue base of the EU budget must be broadened, strengthened, diversified and modernised;</w:t>
            </w:r>
            <w:r>
              <w:t xml:space="preserve"> </w:t>
            </w:r>
            <w:r>
              <w:rPr>
                <w:b/>
                <w:i/>
              </w:rPr>
              <w:t>insists that, to this end, the existing own resources should be adjusted and upgraded, new own resources should be introduced without further delay, revenue other than own resources should be an essential ingredient to the mix of income sources, and well-defined borrowing and lending operations whose ensuing contingent liabilities are safely covered by the headroom under the own resources ceilings should remain an actionable fall-back option, at least in times of unforeseen crises;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949</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Considers that, in the face of unprecedented challenges requiring substantial increases in investment across multiple policy areas in the next MFF period, the revenue base of the EU budget must be broadened, strengthened, diversified and modernised; insists that, to this end, the existing own resources should be adjusted and upgraded, new own resources should be introduced without further delay, revenue other than own resources should be an essential ingredient to the mix of income sources, and well-defined borrowing and lending operations whose ensuing contingent liabilities are safely covered by the headroom under the own resources ceilings should remain an actionable fall-back option, at least in times of unforeseen crises;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Considers that, in the face of unprecedented challenges requiring substantial increases in investment across multiple policy areas in the next MFF period, the revenue base of the EU budget must be broadened, strengthened, diversified and modernised; insists that, to this end, the </w:t>
            </w:r>
            <w:r>
              <w:rPr>
                <w:b/>
                <w:i/>
              </w:rPr>
              <w:t>existing own resources should be adjusted and upgraded, new own resources should be introduced without further delay</w:t>
            </w:r>
            <w:r>
              <w:t>, revenue other than own resources should be an essential ingredient to the mix of income sources, and well-defined borrowing and lending operations whose ensuing contingent liabilities are safely covered by the headroom under the own resources ceilings should remain an actionable fall-back option, at least in times of unforeseen crises;</w:t>
            </w:r>
          </w:p>
        </w:tc>
        <w:tc>
          <w:tcPr>
            <w:tcW w:w="4876" w:type="dxa"/>
            <w:tcBorders>
              <w:top w:val="nil"/>
              <w:left w:val="nil"/>
              <w:bottom w:val="nil"/>
              <w:right w:val="nil"/>
            </w:tcBorders>
          </w:tcPr>
          <w:p>
            <w:pPr>
              <w:pStyle w:val="Normal6a"/>
            </w:pPr>
            <w:r>
              <w:t>52.</w:t>
            </w:r>
            <w:r>
              <w:tab/>
            </w:r>
            <w:r>
              <w:t xml:space="preserve">Considers that, in the face of unprecedented challenges requiring substantial increases in investment across multiple policy areas in the next MFF period, the revenue base of the EU budget must be broadened, strengthened, diversified and modernised </w:t>
            </w:r>
            <w:r>
              <w:rPr>
                <w:b/>
                <w:i/>
              </w:rPr>
              <w:t>in a duly justified manner</w:t>
            </w:r>
            <w:r>
              <w:t xml:space="preserve">; insists that, to this end, the </w:t>
            </w:r>
            <w:r>
              <w:rPr>
                <w:b/>
                <w:i/>
              </w:rPr>
              <w:t>EU budget must be financed by prioritising efficiency, simplification and the elimination of duplication, in line with the recommendations of the European Court of Auditors.</w:t>
            </w:r>
            <w:r>
              <w:t xml:space="preserve"> </w:t>
            </w:r>
            <w:r>
              <w:rPr>
                <w:b/>
                <w:i/>
              </w:rPr>
              <w:t>to that end</w:t>
            </w:r>
            <w:r>
              <w:t xml:space="preserve">, revenue other than own resources should be an essential ingredient to the mix of income sources, and well-defined borrowing and lending operations whose ensuing contingent liabilities are safely covered by the headroom under the own resources ceilings should remain an actionable fall-back option, at least in times of unforeseen crises; </w:t>
            </w:r>
            <w:r>
              <w:rPr>
                <w:b/>
                <w:i/>
              </w:rPr>
              <w:t>stresses that the efforts to repay the NGEU debt should be managed in a prudent and flexible manner, through adjustments to the repayment profile and, where possible, refinancing operations, in order to minimise pressure on the MFF for 2028-2034 and avoid the introduction of new own resources that could have a distorting effect;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951</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Considers that, in the face of unprecedented challenges requiring substantial increases in investment across multiple policy areas in the next MFF period, the revenue base of the EU budget must be broadened, strengthened, diversified and modernised; insists that, to this end, the existing own resources should be adjusted and upgraded, new own resources should be introduced without further delay, revenue other than own resources should be an essential ingredient to the mix of income sources, and well-defined borrowing and lending operations whose ensuing contingent liabilities are safely covered by the headroom under the own resources ceilings should remain an actionable fall-back option, at least in times of unforeseen crises;</w:t>
            </w:r>
          </w:p>
        </w:tc>
        <w:tc>
          <w:tcPr>
            <w:tcW w:w="4876" w:type="dxa"/>
            <w:tcBorders>
              <w:top w:val="nil"/>
              <w:left w:val="nil"/>
              <w:bottom w:val="nil"/>
              <w:right w:val="nil"/>
            </w:tcBorders>
          </w:tcPr>
          <w:p>
            <w:pPr>
              <w:pStyle w:val="Normal6a"/>
            </w:pPr>
            <w:r>
              <w:t>52.</w:t>
            </w:r>
            <w:r>
              <w:tab/>
            </w:r>
            <w:r>
              <w:t>Considers that, in the face of unprecedented challenges requiring substantial increases in investment across multiple policy areas in the next MFF period, the revenue base of the EU budget must be broadened, strengthened, diversified and modernised; insists that, to this end, the existing own resources should be adjusted and upgraded, new own resources should be introduced without further delay, revenue other than own resources should be an essential ingredient to the mix of income sources, and well-defined borrowing and lending operations whose ensuing contingent liabilities are safely covered by the headroom under the own resources ceilings should remain an actionable fall-back option, at least in times of unforeseen crises;</w:t>
            </w:r>
            <w:r>
              <w:rPr>
                <w:b/>
                <w:i/>
              </w:rPr>
              <w:t> stresses that any new own resources must be fair and not disproportionately penalise any specific Member State based on its economic model; notes that own resources decisions require unanimity in the Council, consultation with the European Parliament, and national ratification by all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952</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Considers that, in the face of unprecedented challenges requiring substantial increases in investment across multiple policy areas in the next MFF period, the revenue base of the EU budget must be </w:t>
            </w:r>
            <w:r>
              <w:rPr>
                <w:b/>
                <w:i/>
              </w:rPr>
              <w:t>broadened, strengthened,</w:t>
            </w:r>
            <w:r>
              <w:t xml:space="preserve"> diversified and modernised; insists that, to this end, the existing own resources should be adjusted and upgraded, </w:t>
            </w:r>
            <w:r>
              <w:rPr>
                <w:b/>
                <w:i/>
              </w:rPr>
              <w:t>new own resources should be introduced without further delay,</w:t>
            </w:r>
            <w:r>
              <w:t xml:space="preserve"> revenue other than own resources should be an essential ingredient to the mix of income sources</w:t>
            </w:r>
            <w:r>
              <w:rPr>
                <w:b/>
                <w:i/>
              </w:rPr>
              <w:t>, and well-defined borrowing and lending operations whose ensuing contingent liabilities are safely covered by the headroom under the own resources ceilings should remain an actionable fall-back option, at least in times of unforeseen crises</w:t>
            </w:r>
            <w:r>
              <w:t>;</w:t>
            </w:r>
          </w:p>
        </w:tc>
        <w:tc>
          <w:tcPr>
            <w:tcW w:w="4876" w:type="dxa"/>
            <w:tcBorders>
              <w:top w:val="nil"/>
              <w:left w:val="nil"/>
              <w:bottom w:val="nil"/>
              <w:right w:val="nil"/>
            </w:tcBorders>
          </w:tcPr>
          <w:p>
            <w:pPr>
              <w:pStyle w:val="Normal6a"/>
            </w:pPr>
            <w:r>
              <w:t>52.</w:t>
            </w:r>
            <w:r>
              <w:tab/>
            </w:r>
            <w:r>
              <w:t xml:space="preserve">Considers that, in the face of unprecedented challenges requiring substantial increases in investment across multiple policy areas in the next MFF period, the revenue base of the EU budget must be diversified and modernised; insists that, to this end, the existing own resources should be adjusted and upgraded, </w:t>
            </w:r>
            <w:r>
              <w:rPr>
                <w:b/>
                <w:i/>
              </w:rPr>
              <w:t>and</w:t>
            </w:r>
            <w:r>
              <w:t xml:space="preserve"> revenue other than own resources should be an essential ingredient to the mix of income sources;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953</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Considers that, in the face of unprecedented challenges requiring substantial increases in investment across multiple policy areas in the next MFF period, the revenue base of the EU budget must be broadened, strengthened, diversified and modernised; insists that, to this end, the existing own resources should be </w:t>
            </w:r>
            <w:r>
              <w:rPr>
                <w:b/>
                <w:i/>
              </w:rPr>
              <w:t>adjusted and upgraded, new own resources should be introduced without further delay, revenue other than own resources should be an essential ingredient to the mix of income sources, and well-defined borrowing and lending operations whose ensuing contingent liabilities are safely covered by the headroom under the own resources ceilings should remain an actionable fall-back option, at least in times of unforeseen crises</w:t>
            </w:r>
            <w:r>
              <w:t>;</w:t>
            </w:r>
          </w:p>
        </w:tc>
        <w:tc>
          <w:tcPr>
            <w:tcW w:w="4876" w:type="dxa"/>
            <w:tcBorders>
              <w:top w:val="nil"/>
              <w:left w:val="nil"/>
              <w:bottom w:val="nil"/>
              <w:right w:val="nil"/>
            </w:tcBorders>
          </w:tcPr>
          <w:p>
            <w:pPr>
              <w:pStyle w:val="Normal6a"/>
            </w:pPr>
            <w:r>
              <w:t>52.</w:t>
            </w:r>
            <w:r>
              <w:tab/>
            </w:r>
            <w:r>
              <w:t xml:space="preserve">Considers that, in the face of unprecedented challenges requiring substantial increases in investment across multiple policy areas in the next MFF period, the revenue base of the EU budget must be broadened, strengthened, diversified and modernised </w:t>
            </w:r>
            <w:r>
              <w:rPr>
                <w:b/>
                <w:i/>
              </w:rPr>
              <w:t>whilst safeguarding transparency and administrative efficiency</w:t>
            </w:r>
            <w:r>
              <w:t xml:space="preserve">; insists that, to this end, the existing own resources should be </w:t>
            </w:r>
            <w:r>
              <w:rPr>
                <w:b/>
                <w:i/>
              </w:rPr>
              <w:t>optimised for effective collection and reduced administrative costs and calibrated to ensure fair burden-sharing, particularly for smaller, open economies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954</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53.</w:t>
            </w:r>
            <w:r>
              <w:tab/>
            </w:r>
            <w:r>
              <w:rPr>
                <w:b/>
                <w:i/>
              </w:rPr>
              <w:t>Welcomes the Commission’s efforts to identify new own resources, as well as putting forward certain calibrations to traditional own resources, with a view to strengthening the Union’s financial autonomy and reducing reliance on national contributions;</w:t>
            </w:r>
            <w:r>
              <w:t xml:space="preserve"> </w:t>
            </w:r>
            <w:r>
              <w:rPr>
                <w:b/>
                <w:i/>
              </w:rPr>
              <w:t>supports the broader basket approach proposed by the Commission as this represents a realistic pathway to securing the necessary support in the Council;</w:t>
            </w:r>
            <w:r>
              <w:t xml:space="preserve"> </w:t>
            </w:r>
            <w:r>
              <w:rPr>
                <w:b/>
                <w:i/>
              </w:rPr>
              <w:t>takes note of the various types of own resources proposed;</w:t>
            </w:r>
            <w:r>
              <w:t xml:space="preserve"> </w:t>
            </w:r>
            <w:r>
              <w:rPr>
                <w:b/>
                <w:i/>
              </w:rPr>
              <w:t>underlines, however, that any basket of new own resources must imperatively be adopted at the same time as the next multiannual financial framework and must generate a stable and sufficient flow of revenues of at least roughly EUR 60 billion per year, as this level is essential to ensure steady repayment of borrowing undertaken under NGEU, meet the Union’s commitments and finance joint investment in European public goods;</w:t>
            </w:r>
            <w:r>
              <w:t xml:space="preserve"> </w:t>
            </w:r>
            <w:r>
              <w:rPr>
                <w:b/>
                <w:i/>
              </w:rPr>
              <w:t>calls on the Council to swiftly reach agreement on new own resources in order to provide long-term budgetary certainty;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955</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53.</w:t>
            </w:r>
            <w:r>
              <w:tab/>
            </w:r>
            <w:r>
              <w:rPr>
                <w:b/>
                <w:i/>
              </w:rPr>
              <w:t>Welcomes the Commission’s efforts to identify new own resources, as well as putting forward certain calibrations to traditional own resources, with a view to strengthening the Union’s financial autonomy and reducing reliance on national contributions;</w:t>
            </w:r>
            <w:r>
              <w:t xml:space="preserve"> </w:t>
            </w:r>
            <w:r>
              <w:rPr>
                <w:b/>
                <w:i/>
              </w:rPr>
              <w:t>supports the broader basket approach proposed by the Commission as this represents a realistic pathway to securing the necessary support in the Council;</w:t>
            </w:r>
            <w:r>
              <w:t xml:space="preserve"> </w:t>
            </w:r>
            <w:r>
              <w:rPr>
                <w:b/>
                <w:i/>
              </w:rPr>
              <w:t>takes note of the various types of own resources proposed;</w:t>
            </w:r>
            <w:r>
              <w:t xml:space="preserve"> </w:t>
            </w:r>
            <w:r>
              <w:rPr>
                <w:b/>
                <w:i/>
              </w:rPr>
              <w:t>underlines, however, that any basket of new own resources must imperatively be adopted at the same time as the next multiannual financial framework and must generate a stable and sufficient flow of revenues of at least roughly EUR 60 billion per year, as this level is essential to ensure steady repayment of borrowing undertaken under NGEU, meet the Union’s commitments and finance joint investment in European public goods;</w:t>
            </w:r>
            <w:r>
              <w:t xml:space="preserve"> </w:t>
            </w:r>
            <w:r>
              <w:rPr>
                <w:b/>
                <w:i/>
              </w:rPr>
              <w:t>calls on the Council to swiftly reach agreement on new own resources in order to provide long-term budgetary certainty;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956</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53.</w:t>
            </w:r>
            <w:r>
              <w:tab/>
            </w:r>
            <w:r>
              <w:rPr>
                <w:b/>
                <w:i/>
              </w:rPr>
              <w:t>Welcomes the Commission’s efforts to identify new own resources, as well as putting forward certain calibrations to traditional own resources, with a view to strengthening the Union’s financial autonomy and reducing reliance on national contributions;</w:t>
            </w:r>
            <w:r>
              <w:t xml:space="preserve"> </w:t>
            </w:r>
            <w:r>
              <w:rPr>
                <w:b/>
                <w:i/>
              </w:rPr>
              <w:t>supports the broader basket approach proposed by the Commission as this represents a realistic pathway to securing the necessary support in the Council;</w:t>
            </w:r>
            <w:r>
              <w:t xml:space="preserve"> </w:t>
            </w:r>
            <w:r>
              <w:rPr>
                <w:b/>
                <w:i/>
              </w:rPr>
              <w:t>takes note of the various types of own resources proposed;</w:t>
            </w:r>
            <w:r>
              <w:t xml:space="preserve"> </w:t>
            </w:r>
            <w:r>
              <w:rPr>
                <w:b/>
                <w:i/>
              </w:rPr>
              <w:t>underlines, however, that any basket of new own resources must imperatively be adopted at the same time as the next multiannual financial framework and must generate a stable and sufficient flow of revenues of at least roughly EUR 60 billion per year, as this level is essential to ensure steady repayment of borrowing undertaken under NGEU, meet the Union’s commitments and finance joint investment in European public goods;</w:t>
            </w:r>
            <w:r>
              <w:t xml:space="preserve"> </w:t>
            </w:r>
            <w:r>
              <w:rPr>
                <w:b/>
                <w:i/>
              </w:rPr>
              <w:t>calls on the Council to swiftly reach agreement on new own resources in order to provide long-term budgetary certainty;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957</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53.</w:t>
            </w:r>
            <w:r>
              <w:tab/>
            </w:r>
            <w:r>
              <w:rPr>
                <w:b/>
                <w:i/>
              </w:rPr>
              <w:t>Welcomes the Commission’s efforts to identify new own resources, as well as putting forward certain calibrations to traditional own resources, with a view to strengthening the Union’s financial autonomy and reducing reliance on national contributions; supports the broader basket approach proposed by the Commission as this represents a realistic pathway to securing the necessary support in the Council; takes note of the various types of own resources proposed; underlines, however, that any basket of new own resources must imperatively be adopted at the same time as the next multiannual financial framework and must generate a stable and sufficient flow of revenues of at least roughly EUR 60 billion per year, as this level is essential to ensure steady repayment of borrowing undertaken under NGEU, meet the Union’s commitments and finance joint investment in European public goods; calls on the Council to swiftly reach agreement on new own resources in order to provide long-term budgetary certainty;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958</w:t>
      </w:r>
      <w:r>
        <w:rPr>
          <w:rStyle w:val="HideTWBExt"/>
        </w:rPr>
        <w:t>&lt;/NumAm&gt;</w:t>
      </w:r>
    </w:p>
    <w:p>
      <w:pPr>
        <w:pStyle w:val="NormalBold"/>
      </w:pPr>
      <w:r>
        <w:rPr>
          <w:rStyle w:val="HideTWBExt"/>
          <w:b w:val="0"/>
        </w:rPr>
        <w:t>&lt;RepeatBlock-By&gt;</w:t>
      </w:r>
      <w:r>
        <w:rPr>
          <w:rStyle w:val="HideTWBExt"/>
          <w:b w:val="0"/>
        </w:rPr>
        <w:t>&lt;Members&gt;</w:t>
      </w:r>
      <w:r>
        <w:t>Joachim Streit,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rPr>
                <w:b/>
                <w:i/>
              </w:rPr>
              <w:t>Welcomes</w:t>
            </w:r>
            <w:r>
              <w:t xml:space="preserve"> the Commission’s </w:t>
            </w:r>
            <w:r>
              <w:rPr>
                <w:b/>
                <w:i/>
              </w:rPr>
              <w:t>efforts to identify new own resources, as well as putting forward certain calibrations to traditional own resources, with a view to strengthening the Union’s financial autonomy and reducing reliance on national contributions; supports the broader basket approach proposed by the Commission as this represents a realistic pathway to securing the necessary support in the Council; takes note</w:t>
            </w:r>
            <w:r>
              <w:t xml:space="preserve"> of the </w:t>
            </w:r>
            <w:r>
              <w:rPr>
                <w:b/>
                <w:i/>
              </w:rPr>
              <w:t>various types of own resources proposed; underlines, however, that any basket of new own resources must imperatively be adopted at the same time as the next multiannual financial framework and must generate a stable and sufficient flow of revenues of at least roughly EUR 60 billion per year, as this level is essential to ensure steady repayment of</w:t>
            </w:r>
            <w:r>
              <w:t xml:space="preserve"> borrowing undertaken under </w:t>
            </w:r>
            <w:r>
              <w:rPr>
                <w:b/>
                <w:i/>
              </w:rPr>
              <w:t>NGEU, meet the Union’s commitments and finance joint investment in European public goods; calls on the Council to swiftly reach agreement on</w:t>
            </w:r>
            <w:r>
              <w:t xml:space="preserve"> new own resources </w:t>
            </w:r>
            <w:r>
              <w:rPr>
                <w:b/>
                <w:i/>
              </w:rPr>
              <w:t>in order to provide</w:t>
            </w:r>
            <w:r>
              <w:t xml:space="preserve"> long-term budgetary </w:t>
            </w:r>
            <w:r>
              <w:rPr>
                <w:b/>
                <w:i/>
              </w:rPr>
              <w:t>certainty</w:t>
            </w:r>
            <w:r>
              <w:t>;</w:t>
            </w:r>
          </w:p>
        </w:tc>
        <w:tc>
          <w:tcPr>
            <w:tcW w:w="4876" w:type="dxa"/>
            <w:tcBorders>
              <w:top w:val="nil"/>
              <w:left w:val="nil"/>
              <w:bottom w:val="nil"/>
              <w:right w:val="nil"/>
            </w:tcBorders>
          </w:tcPr>
          <w:p>
            <w:pPr>
              <w:pStyle w:val="Normal6a"/>
            </w:pPr>
            <w:r>
              <w:t>53.</w:t>
            </w:r>
            <w:r>
              <w:tab/>
            </w:r>
            <w:r>
              <w:rPr>
                <w:b/>
                <w:i/>
              </w:rPr>
              <w:t>Takes note of</w:t>
            </w:r>
            <w:r>
              <w:t xml:space="preserve"> the Commission’s </w:t>
            </w:r>
            <w:r>
              <w:rPr>
                <w:b/>
                <w:i/>
              </w:rPr>
              <w:t>proposals concerning the future financing</w:t>
            </w:r>
            <w:r>
              <w:t xml:space="preserve"> of the </w:t>
            </w:r>
            <w:r>
              <w:rPr>
                <w:b/>
                <w:i/>
              </w:rPr>
              <w:t>Union budget; recalls that</w:t>
            </w:r>
            <w:r>
              <w:t xml:space="preserve"> borrowing undertaken under </w:t>
            </w:r>
            <w:r>
              <w:rPr>
                <w:b/>
                <w:i/>
              </w:rPr>
              <w:t>the NextGenerationEU instrument was conceived as temporary and exceptional; stresses that the repayment of such borrowing must not serve as a justification for the permanent introduction of</w:t>
            </w:r>
            <w:r>
              <w:t xml:space="preserve"> new own resources </w:t>
            </w:r>
            <w:r>
              <w:rPr>
                <w:b/>
                <w:i/>
              </w:rPr>
              <w:t>or for a structural increase in Union revenue; underlines that</w:t>
            </w:r>
            <w:r>
              <w:t xml:space="preserve"> long-term budgetary </w:t>
            </w:r>
            <w:r>
              <w:rPr>
                <w:b/>
                <w:i/>
              </w:rPr>
              <w:t>sustainability requires credible debt-reduction paths, expenditure control and a gradual return to a Union budget financed within existing own resources and national contributions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959</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rPr>
                <w:b/>
                <w:i/>
              </w:rPr>
              <w:t>Welcomes</w:t>
            </w:r>
            <w:r>
              <w:t xml:space="preserve"> the Commission’s efforts to </w:t>
            </w:r>
            <w:r>
              <w:rPr>
                <w:b/>
                <w:i/>
              </w:rPr>
              <w:t>identify new own resources, as well as putting forward certain calibrations to</w:t>
            </w:r>
            <w:r>
              <w:t xml:space="preserve"> traditional own resources, with a view to strengthening the Union’s financial autonomy </w:t>
            </w:r>
            <w:r>
              <w:rPr>
                <w:b/>
                <w:i/>
              </w:rPr>
              <w:t>and reducing reliance on national contributions; supports the broader basket approach proposed by the Commission as this represents a realistic pathway to securing the necessary support in the Council; takes note of the various types of own resources proposed</w:t>
            </w:r>
            <w:r>
              <w:t>; underlines, however, that any basket of new own resources must imperatively be adopted at the same time as the next multiannual financial framework and must generate a stable and sufficient flow of revenues of at least roughly EUR 60 billion per year, as this level is essential to ensure steady repayment of borrowing undertaken under NGEU, meet the Union’s commitments and finance joint investment in European public goods; calls on the Council to swiftly reach agreement on new own resources in order to provide long-term budgetary certainty;</w:t>
            </w:r>
          </w:p>
        </w:tc>
        <w:tc>
          <w:tcPr>
            <w:tcW w:w="4876" w:type="dxa"/>
            <w:tcBorders>
              <w:top w:val="nil"/>
              <w:left w:val="nil"/>
              <w:bottom w:val="nil"/>
              <w:right w:val="nil"/>
            </w:tcBorders>
          </w:tcPr>
          <w:p>
            <w:pPr>
              <w:pStyle w:val="Normal6a"/>
            </w:pPr>
            <w:r>
              <w:t>53.</w:t>
            </w:r>
            <w:r>
              <w:tab/>
            </w:r>
            <w:r>
              <w:rPr>
                <w:b/>
                <w:i/>
              </w:rPr>
              <w:t>Takes note of</w:t>
            </w:r>
            <w:r>
              <w:t xml:space="preserve"> the Commission’s efforts to </w:t>
            </w:r>
            <w:r>
              <w:rPr>
                <w:b/>
                <w:i/>
              </w:rPr>
              <w:t>calibrate</w:t>
            </w:r>
            <w:r>
              <w:t xml:space="preserve"> traditional own resources, with a view to strengthening the Union’s financial autonomy; underlines, however, that any basket of new own resources must imperatively be adopted at the same time as the next multiannual financial framework and must generate a stable and sufficient flow of revenues of at least roughly EUR 60 billion per year, as this level is essential to ensure steady repayment of borrowing undertaken under NGEU, meet the Union’s commitments and finance joint investment in European public goods; calls on the Council to swiftly reach agreement on new own resources in order to provide long-term budgetary certainty;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960</w:t>
      </w:r>
      <w:r>
        <w:rPr>
          <w:rStyle w:val="HideTWBExt"/>
        </w:rPr>
        <w:t>&lt;/NumAm&gt;</w:t>
      </w:r>
    </w:p>
    <w:p>
      <w:pPr>
        <w:pStyle w:val="NormalBold"/>
      </w:pPr>
      <w:r>
        <w:rPr>
          <w:rStyle w:val="HideTWBExt"/>
          <w:b w:val="0"/>
        </w:rPr>
        <w:t>&lt;RepeatBlock-By&gt;</w:t>
      </w:r>
      <w:r>
        <w:rPr>
          <w:rStyle w:val="HideTWBExt"/>
          <w:b w:val="0"/>
        </w:rPr>
        <w:t>&lt;Members&gt;</w:t>
      </w:r>
      <w:r>
        <w:t>Georgios Aftias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Welcomes the Commission’s efforts to identify new own resources, as well as putting forward certain calibrations to traditional own resources, with a view to strengthening the Union’s financial autonomy and reducing reliance on national contributions; supports the broader basket approach proposed by the Commission as this represents a realistic pathway to securing the necessary support in the Council; takes note of the various types of own resources proposed; underlines, however, that any basket of new own resources must imperatively be adopted at the same time as the next multiannual financial framework and must generate a stable and sufficient flow of revenues of at least roughly EUR 60 billion per year, as this level is essential to ensure steady repayment of borrowing undertaken under NGEU, meet the Union’s commitments and finance joint investment in European public goods; calls on the Council to swiftly reach agreement on new own resources in order to provide long-term budgetary certainty;</w:t>
            </w:r>
          </w:p>
        </w:tc>
        <w:tc>
          <w:tcPr>
            <w:tcW w:w="4876" w:type="dxa"/>
            <w:tcBorders>
              <w:top w:val="nil"/>
              <w:left w:val="nil"/>
              <w:bottom w:val="nil"/>
              <w:right w:val="nil"/>
            </w:tcBorders>
          </w:tcPr>
          <w:p>
            <w:pPr>
              <w:pStyle w:val="Normal6a"/>
            </w:pPr>
            <w:r>
              <w:t>53.</w:t>
            </w:r>
            <w:r>
              <w:tab/>
            </w:r>
            <w:r>
              <w:t>Welcomes the Commission’s efforts to identify new own resources, as well as putting forward certain calibrations to traditional own resources, with a view to strengthening the Union’s financial autonomy and reducing reliance on national contributions; supports the broader basket approach proposed by the Commission as this represents a realistic pathway to securing the necessary support in the Council; takes note of the various types of own resources proposed; underlines, however, that any basket of new own resources must imperatively be adopted at the same time as the next multiannual financial framework and must generate a stable and sufficient flow of revenues of at least roughly EUR 60 billion per year, as this level is essential to ensure steady repayment of borrowing undertaken under NGEU, meet the Union’s commitments and finance joint investment in European public goods; calls on the Council to swiftly reach agreement on new own resources in order to provide long-term budgetary certainty;</w:t>
            </w:r>
            <w:r>
              <w:rPr>
                <w:b/>
                <w:i/>
              </w:rPr>
              <w:t> in the event that negotiations do not succeed, it calls on the Commission to submit a revised proposal for new genuine own resources, while taking into account of the contributive capacity of individual Member States, as stipulated in Protocol 28 to the TFEU.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961</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rPr>
                <w:b/>
                <w:i/>
              </w:rPr>
              <w:t>Welcomes</w:t>
            </w:r>
            <w:r>
              <w:t xml:space="preserve"> the Commission’s efforts to identify new own resources, as well as putting forward certain calibrations to traditional own resources, with a view to strengthening the Union’s financial autonomy and reducing reliance on national contributions; </w:t>
            </w:r>
            <w:r>
              <w:rPr>
                <w:b/>
                <w:i/>
              </w:rPr>
              <w:t>supports</w:t>
            </w:r>
            <w:r>
              <w:t xml:space="preserve"> the broader basket approach proposed by the Commission as this represents a realistic pathway to securing the necessary support in the Council; takes note of the various types of own resources proposed; underlines, however, that any basket of new own resources </w:t>
            </w:r>
            <w:r>
              <w:rPr>
                <w:b/>
                <w:i/>
              </w:rPr>
              <w:t>must imperatively</w:t>
            </w:r>
            <w:r>
              <w:t xml:space="preserve"> be adopted at the same time as the next multiannual financial framework and must generate a stable and sufficient flow of revenues of at least roughly EUR 60 billion per year, as this level is essential to ensure steady repayment of borrowing undertaken under NGEU, meet the Union’s commitments and finance joint investment in European public goods; </w:t>
            </w:r>
            <w:r>
              <w:rPr>
                <w:b/>
                <w:i/>
              </w:rPr>
              <w:t>calls on the Council to swiftly reach agreement on new own resources in order to provide long-term budgetary certainty;</w:t>
            </w:r>
          </w:p>
        </w:tc>
        <w:tc>
          <w:tcPr>
            <w:tcW w:w="4876" w:type="dxa"/>
            <w:tcBorders>
              <w:top w:val="nil"/>
              <w:left w:val="nil"/>
              <w:bottom w:val="nil"/>
              <w:right w:val="nil"/>
            </w:tcBorders>
          </w:tcPr>
          <w:p>
            <w:pPr>
              <w:pStyle w:val="Normal6a"/>
            </w:pPr>
            <w:r>
              <w:t>53.</w:t>
            </w:r>
            <w:r>
              <w:tab/>
            </w:r>
            <w:r>
              <w:rPr>
                <w:b/>
                <w:i/>
              </w:rPr>
              <w:t>Notes</w:t>
            </w:r>
            <w:r>
              <w:t xml:space="preserve"> the Commission’s efforts to identify new own resources, as well as putting forward certain calibrations to traditional own resources, with a view to strengthening the Union’s financial autonomy and reducing reliance on national contributions; </w:t>
            </w:r>
            <w:r>
              <w:rPr>
                <w:b/>
                <w:i/>
              </w:rPr>
              <w:t>notes</w:t>
            </w:r>
            <w:r>
              <w:t xml:space="preserve"> the broader basket approach proposed by the Commission as this represents a realistic pathway to securing the necessary support in the Council; takes note of the various types of own resources proposed; underlines, however, that any basket of new own resources </w:t>
            </w:r>
            <w:r>
              <w:rPr>
                <w:b/>
                <w:i/>
              </w:rPr>
              <w:t>could</w:t>
            </w:r>
            <w:r>
              <w:t xml:space="preserve"> be adopted at the same time as the next multiannual financial framework and must generate a stable and sufficient flow of revenues of at least roughly EUR 60 billion per year, as this level is essential to ensure steady repayment of borrowing undertaken under NGEU, meet the Union’s commitments and finance joint investment in European public goods;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962</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t>Welcomes the Commission’s efforts to identify new own resources, as well as putting forward certain calibrations to traditional own resources, with a view to strengthening the Union’s financial autonomy and reducing reliance on national contributions; supports the broader basket approach proposed by the Commission as this represents a realistic pathway to securing the necessary support in the Council; takes note of the various types of own resources proposed; underlines, however, that any basket of new own resources must imperatively be adopted at the same time as the next multiannual financial framework and must generate a stable and sufficient flow of revenues of at least roughly EUR 60 billion per year, as this level is essential to ensure steady repayment of borrowing undertaken under NGEU, meet the Union’s commitments and finance joint investment in European public goods; calls on the Council to swiftly reach agreement on new own resources in order to provide long-term budgetary certainty;</w:t>
            </w:r>
          </w:p>
        </w:tc>
        <w:tc>
          <w:tcPr>
            <w:tcW w:w="4876" w:type="dxa"/>
            <w:tcBorders>
              <w:top w:val="nil"/>
              <w:left w:val="nil"/>
              <w:bottom w:val="nil"/>
              <w:right w:val="nil"/>
            </w:tcBorders>
          </w:tcPr>
          <w:p>
            <w:pPr>
              <w:pStyle w:val="Normal6a"/>
            </w:pPr>
            <w:r>
              <w:t>53.</w:t>
            </w:r>
            <w:r>
              <w:tab/>
            </w:r>
            <w:r>
              <w:t xml:space="preserve">Welcomes the Commission’s efforts to identify new own resources, as well as putting forward certain calibrations to traditional own resources, with a view to strengthening the Union’s financial autonomy and reducing reliance on national contributions; supports the broader basket approach proposed by the Commission as this represents a realistic pathway to securing the necessary support in the Council; takes note of the various types of own resources proposed; </w:t>
            </w:r>
            <w:r>
              <w:rPr>
                <w:b/>
                <w:i/>
              </w:rPr>
              <w:t>strongly</w:t>
            </w:r>
            <w:r>
              <w:t xml:space="preserve"> underlines, however, that any basket of new own resources must imperatively be adopted at the same time as the next multiannual financial framework and must generate a stable and sufficient flow of revenues of at least roughly EUR 60 billion per year, as this level is essential to ensure steady repayment of borrowing undertaken under NGEU, meet the Union’s commitments and finance joint investment in European public goods </w:t>
            </w:r>
            <w:r>
              <w:rPr>
                <w:b/>
                <w:i/>
              </w:rPr>
              <w:t>while ensuring that European programmes do not suffer from the repayment of the debt</w:t>
            </w:r>
            <w:r>
              <w:t>; calls on the Council to swiftly reach agreement on new own resources in order to provide long-term budgetary certainty;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963</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53.</w:t>
            </w:r>
            <w:r>
              <w:tab/>
            </w:r>
            <w:r>
              <w:rPr>
                <w:b/>
                <w:i/>
              </w:rPr>
              <w:t>Welcomes</w:t>
            </w:r>
            <w:r>
              <w:t xml:space="preserve"> the Commission’s efforts to identify new own resources, as well as putting forward certain calibrations to traditional own resources, with a view to strengthening the Union’s financial autonomy </w:t>
            </w:r>
            <w:r>
              <w:rPr>
                <w:b/>
                <w:i/>
              </w:rPr>
              <w:t>and reducing reliance on national contributions</w:t>
            </w:r>
            <w:r>
              <w:t xml:space="preserve">; supports the broader basket approach proposed by the Commission as this represents a realistic pathway to securing the necessary support in the Council; </w:t>
            </w:r>
            <w:r>
              <w:rPr>
                <w:b/>
                <w:i/>
              </w:rPr>
              <w:t>takes note of the various types of</w:t>
            </w:r>
            <w:r>
              <w:t xml:space="preserve"> own resources </w:t>
            </w:r>
            <w:r>
              <w:rPr>
                <w:b/>
                <w:i/>
              </w:rPr>
              <w:t>proposed;</w:t>
            </w:r>
            <w:r>
              <w:t xml:space="preserve"> </w:t>
            </w:r>
            <w:r>
              <w:rPr>
                <w:b/>
                <w:i/>
              </w:rPr>
              <w:t>underlines, however, that any basket of new own</w:t>
            </w:r>
            <w:r>
              <w:t xml:space="preserve"> resources </w:t>
            </w:r>
            <w:r>
              <w:rPr>
                <w:b/>
                <w:i/>
              </w:rPr>
              <w:t>must imperatively be adopted at the same time as the next multiannual financial framework and must generate a stable and sufficient flow of revenues of at least roughly EUR 60 billion per year, as this</w:t>
            </w:r>
            <w:r>
              <w:t xml:space="preserve"> level </w:t>
            </w:r>
            <w:r>
              <w:rPr>
                <w:b/>
                <w:i/>
              </w:rPr>
              <w:t>is essential to ensure steady repayment of borrowing undertaken under NGEU, meet the Union’s commitments and finance joint investment in European public goods</w:t>
            </w:r>
            <w:r>
              <w:t>; calls on the Council to swiftly reach agreement on new own resources in order to provide long-term budgetary certainty;</w:t>
            </w:r>
          </w:p>
        </w:tc>
        <w:tc>
          <w:tcPr>
            <w:tcW w:w="4876" w:type="dxa"/>
            <w:tcBorders>
              <w:top w:val="nil"/>
              <w:left w:val="nil"/>
              <w:bottom w:val="nil"/>
              <w:right w:val="nil"/>
            </w:tcBorders>
          </w:tcPr>
          <w:p>
            <w:pPr>
              <w:pStyle w:val="Normal6a"/>
            </w:pPr>
            <w:r>
              <w:t>53.</w:t>
            </w:r>
            <w:r>
              <w:tab/>
            </w:r>
            <w:r>
              <w:rPr>
                <w:b/>
                <w:i/>
              </w:rPr>
              <w:t>Notes</w:t>
            </w:r>
            <w:r>
              <w:t xml:space="preserve"> the Commission’s efforts to identify new own resources, as well as putting forward certain calibrations to traditional own resources, with a view to strengthening the Union’s financial autonomy; supports the broader basket approach proposed by the Commission as this represents a realistic pathway to securing the necessary support in the Council; </w:t>
            </w:r>
            <w:r>
              <w:rPr>
                <w:b/>
                <w:i/>
              </w:rPr>
              <w:t>expresses, however, serious reservations regarding the creation of new genuine</w:t>
            </w:r>
            <w:r>
              <w:t xml:space="preserve"> own resources </w:t>
            </w:r>
            <w:r>
              <w:rPr>
                <w:b/>
                <w:i/>
              </w:rPr>
              <w:t>that would impose an additional fiscal burden on businesses and citizens. strongly opposes, in particular, the introduction of the CORE resource owing to its distorting effect and inherent inefficiency;</w:t>
            </w:r>
            <w:r>
              <w:t xml:space="preserve"> </w:t>
            </w:r>
            <w:r>
              <w:rPr>
                <w:b/>
                <w:i/>
              </w:rPr>
              <w:t>advocates, instead, a pragmatic approach grounded in a moderate adjustment of existing</w:t>
            </w:r>
            <w:r>
              <w:t xml:space="preserve"> resources</w:t>
            </w:r>
            <w:r>
              <w:rPr>
                <w:b/>
                <w:i/>
              </w:rPr>
              <w:t>, a reasonable and temporary increase in national contributions based on GNI and, as a last resort, enhancing the EU budget with a small additional share of excise duties already harmonised at EU</w:t>
            </w:r>
            <w:r>
              <w:t xml:space="preserve"> level</w:t>
            </w:r>
            <w:r>
              <w:rPr>
                <w:b/>
                <w:i/>
              </w:rPr>
              <w:t>, without creating new taxes</w:t>
            </w:r>
            <w:r>
              <w:t>; calls on the Council to swiftly reach agreement on new own resources in order to provide long-term budgetary certainty;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964</w:t>
      </w:r>
      <w:r>
        <w:rPr>
          <w:rStyle w:val="HideTWBExt"/>
        </w:rPr>
        <w:t>&lt;/NumAm&gt;</w:t>
      </w:r>
    </w:p>
    <w:p>
      <w:pPr>
        <w:pStyle w:val="NormalBold"/>
      </w:pPr>
      <w:r>
        <w:rPr>
          <w:rStyle w:val="HideTWBExt"/>
          <w:b w:val="0"/>
        </w:rPr>
        <w:t>&lt;RepeatBlock-By&gt;</w:t>
      </w:r>
      <w:r>
        <w:rPr>
          <w:rStyle w:val="HideTWBExt"/>
          <w:b w:val="0"/>
        </w:rPr>
        <w:t>&lt;Members&gt;</w:t>
      </w:r>
      <w:r>
        <w:t>Fabienne Keller, Stine Bosse,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 a.</w:t>
            </w:r>
            <w:r>
              <w:tab/>
            </w:r>
            <w:r>
              <w:rPr>
                <w:b/>
                <w:i/>
              </w:rPr>
              <w:t>Underlines that Parliament will not give its consent to the MFF without an agreement on appropriate and sustainable EU revenue, such as custom duties, own resources system, including the introduction of a basket of new own resources that are better aligned with and incentivised progress in major EU policy priorities;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965</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53a.</w:t>
            </w:r>
            <w:r>
              <w:tab/>
            </w:r>
            <w:r>
              <w:rPr>
                <w:b/>
                <w:i/>
              </w:rPr>
              <w:t>Recalls that European Court of Auditors Opinion 04/2026 warns that the Commission's proposal to introduce five new revenue streams would make the own resources system more complex;</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966</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53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53b.</w:t>
            </w:r>
            <w:r>
              <w:tab/>
            </w:r>
            <w:r>
              <w:rPr>
                <w:b/>
                <w:i/>
              </w:rPr>
              <w:t>Points out that, rather than dreaming up new own resources that would place an outrageous burden on citizens and businesses, it is vital to ensure that the revenue streams that are already in place but do not actually make their way into the EU budget (because of fraud, underreporting, lack of effective controls, etc.) are actually received;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967</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54.</w:t>
            </w:r>
            <w:r>
              <w:tab/>
            </w:r>
            <w:r>
              <w:rPr>
                <w:b/>
                <w:i/>
              </w:rPr>
              <w:t>Demands that, should the Council eliminate certain elements of the basket, it should replace the ensuing gap by increased call-rates for other sources or by replacing them with another source, while the new source should not harm the competitiveness of small and medium-sized enterprises;</w:t>
            </w:r>
            <w:r>
              <w:t xml:space="preserve"> </w:t>
            </w:r>
            <w:r>
              <w:rPr>
                <w:b/>
                <w:i/>
              </w:rPr>
              <w:t>considers in this sense that the revenue potential of a digital services tax aimed at major digital platforms should be explored as a possible solution should other proposed own resources not gain support among Member States, in order to ensure tax fairness and a revenue level that is commensurate with needs;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968</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54.</w:t>
            </w:r>
            <w:r>
              <w:tab/>
            </w:r>
            <w:r>
              <w:rPr>
                <w:b/>
                <w:i/>
              </w:rPr>
              <w:t>Demands that, should the Council eliminate certain elements of the basket, it should replace the ensuing gap by increased call-rates for other sources or by replacing them with another source, while the new source should not harm the competitiveness of small and medium-sized enterprises;</w:t>
            </w:r>
            <w:r>
              <w:t xml:space="preserve"> </w:t>
            </w:r>
            <w:r>
              <w:rPr>
                <w:b/>
                <w:i/>
              </w:rPr>
              <w:t>considers in this sense that the revenue potential of a digital services tax aimed at major digital platforms should be explored as a possible solution should other proposed own resources not gain support among Member States, in order to ensure tax fairness and a revenue level that is commensurate with needs;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969</w:t>
      </w:r>
      <w:r>
        <w:rPr>
          <w:rStyle w:val="HideTWBExt"/>
        </w:rPr>
        <w:t>&lt;/NumAm&gt;</w:t>
      </w:r>
    </w:p>
    <w:p>
      <w:pPr>
        <w:pStyle w:val="NormalBold"/>
      </w:pPr>
      <w:r>
        <w:rPr>
          <w:rStyle w:val="HideTWBExt"/>
          <w:b w:val="0"/>
        </w:rPr>
        <w:t>&lt;RepeatBlock-By&gt;</w:t>
      </w:r>
      <w:r>
        <w:rPr>
          <w:rStyle w:val="HideTWBExt"/>
          <w:b w:val="0"/>
        </w:rPr>
        <w:t>&lt;Members&gt;</w:t>
      </w:r>
      <w:r>
        <w:t>Rasmus Nordqvist, Rasmus Andresen</w:t>
      </w:r>
      <w:r>
        <w:rPr>
          <w:rStyle w:val="HideTWBExt"/>
          <w:b w:val="0"/>
        </w:rPr>
        <w:t>&lt;/Members&gt;</w:t>
      </w:r>
    </w:p>
    <w:p>
      <w:r>
        <w:rPr>
          <w:rStyle w:val="HideTWBExt"/>
          <w:b w:val="0"/>
        </w:rPr>
        <w:t>&lt;AuNomDe&gt;</w:t>
      </w:r>
      <w:r>
        <w:rPr>
          <w:rStyle w:val="HideTWBInt"/>
        </w:rPr>
        <w:t>{Verts/ALE}</w:t>
      </w:r>
      <w:r>
        <w:t>on behalf of the Verts/ALE Group</w:t>
      </w:r>
      <w:r>
        <w:rPr>
          <w:rStyle w:val="HideTWBExt"/>
          <w:b w:val="0"/>
        </w:rPr>
        <w:t>&lt;/AuNomDe&gt;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Demands that, should the Council eliminate certain elements of the basket, it should replace the ensuing gap by increased call-rates for other sources or by replacing them with another source, while the new source should not harm the competitiveness of small and medium-sized enterprises; considers in this sense that the revenue potential of a digital services tax aimed at major digital platforms should be explored as a possible solution should other proposed own resources not gain support among Member States, in order to ensure tax fairness and a revenue level that is commensurate with needs;</w:t>
            </w:r>
          </w:p>
        </w:tc>
        <w:tc>
          <w:tcPr>
            <w:tcW w:w="4876" w:type="dxa"/>
            <w:tcBorders>
              <w:top w:val="nil"/>
              <w:left w:val="nil"/>
              <w:bottom w:val="nil"/>
              <w:right w:val="nil"/>
            </w:tcBorders>
          </w:tcPr>
          <w:p>
            <w:pPr>
              <w:pStyle w:val="Normal6a"/>
            </w:pPr>
            <w:r>
              <w:t>54.</w:t>
            </w:r>
            <w:r>
              <w:tab/>
            </w:r>
            <w:r>
              <w:t xml:space="preserve">Demands that, should the Council eliminate certain elements of the basket, it should replace the ensuing gap by increased call-rates for other sources or by replacing them with another source, while the new source should not harm the competitiveness of small and medium-sized enterprises; considers in this sense that the revenue potential of a digital services tax aimed at major digital platforms should be explored as a possible solution should other proposed own resources not gain support among Member States, in order to ensure tax fairness and a revenue level that is commensurate with needs; </w:t>
            </w:r>
            <w:r>
              <w:rPr>
                <w:b/>
                <w:i/>
              </w:rPr>
              <w:t>those other new own resources could be - amongst others - revenues from a uniform call rate to the capital gains tax base of crypto assets, revenues collected from the application of a levy on ultra-high-net-worth-individuals, revenues generated from the application of a financial transaction tax or revenues from the application of a frequent flyer levy or kerosene tax or revenues from gambling;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970</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Demands that, should the Council eliminate certain elements of the basket, it should replace the ensuing gap by increased call-rates for other sources or by replacing them with another source, while the new source should not harm the competitiveness of small and medium-sized enterprises; considers in this sense that the revenue potential of a digital services </w:t>
            </w:r>
            <w:r>
              <w:rPr>
                <w:b/>
                <w:i/>
              </w:rPr>
              <w:t>tax</w:t>
            </w:r>
            <w:r>
              <w:t xml:space="preserve"> aimed at major digital platforms should be explored as a possible solution should other proposed own resources not gain support among Member States, in order to ensure tax fairness and a revenue level that is commensurate with needs;</w:t>
            </w:r>
          </w:p>
        </w:tc>
        <w:tc>
          <w:tcPr>
            <w:tcW w:w="4876" w:type="dxa"/>
            <w:tcBorders>
              <w:top w:val="nil"/>
              <w:left w:val="nil"/>
              <w:bottom w:val="nil"/>
              <w:right w:val="nil"/>
            </w:tcBorders>
          </w:tcPr>
          <w:p>
            <w:pPr>
              <w:pStyle w:val="Normal6a"/>
            </w:pPr>
            <w:r>
              <w:t>54.</w:t>
            </w:r>
            <w:r>
              <w:tab/>
            </w:r>
            <w:r>
              <w:t xml:space="preserve">Demands that, should the Council eliminate certain elements of the basket, it should replace the ensuing gap by increased call-rates for other sources or by replacing them with another source, while the new source should not harm the competitiveness of small and medium-sized enterprises; </w:t>
            </w:r>
            <w:r>
              <w:rPr>
                <w:b/>
                <w:i/>
              </w:rPr>
              <w:t>believes, in particular, that the proposal on CORE will put at risk the competitiveness of European firms even those with losses, especially at a time when Europe is lagging behind the US in terms of competitiveness and when firms already face a significant tax and administrative burden in many Member States;</w:t>
            </w:r>
            <w:r>
              <w:t xml:space="preserve"> considers in this sense that the revenue potential of a digital services </w:t>
            </w:r>
            <w:r>
              <w:rPr>
                <w:b/>
                <w:i/>
              </w:rPr>
              <w:t>levy</w:t>
            </w:r>
            <w:r>
              <w:t xml:space="preserve"> aimed at major digital platforms should be explored as a possible solution should other proposed own resources not gain support among Member States, in order to ensure tax fairness and a revenue level that is commensurate with needs;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971</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rPr>
                <w:b/>
                <w:i/>
              </w:rPr>
              <w:t>Demands that, should the Council eliminate certain elements of the basket, it</w:t>
            </w:r>
            <w:r>
              <w:t xml:space="preserve"> should </w:t>
            </w:r>
            <w:r>
              <w:rPr>
                <w:b/>
                <w:i/>
              </w:rPr>
              <w:t>replace the ensuing gap by increased call-rates for other sources or by replacing them with another source, while the new source should</w:t>
            </w:r>
            <w:r>
              <w:t xml:space="preserve"> not harm the competitiveness of small and medium-sized enterprises</w:t>
            </w:r>
            <w:r>
              <w:rPr>
                <w:b/>
                <w:i/>
              </w:rPr>
              <w:t>; considers in this sense that the revenue potential of a digital services tax aimed at major digital platforms should be explored as a possible solution should other proposed own resources not gain</w:t>
            </w:r>
            <w:r>
              <w:t xml:space="preserve"> support among Member States</w:t>
            </w:r>
            <w:r>
              <w:rPr>
                <w:b/>
                <w:i/>
              </w:rPr>
              <w:t>, in order to ensure tax fairness and a revenue level that is commensurate with needs</w:t>
            </w:r>
            <w:r>
              <w:t>;</w:t>
            </w:r>
          </w:p>
        </w:tc>
        <w:tc>
          <w:tcPr>
            <w:tcW w:w="4876" w:type="dxa"/>
            <w:tcBorders>
              <w:top w:val="nil"/>
              <w:left w:val="nil"/>
              <w:bottom w:val="nil"/>
              <w:right w:val="nil"/>
            </w:tcBorders>
          </w:tcPr>
          <w:p>
            <w:pPr>
              <w:pStyle w:val="Normal6a"/>
            </w:pPr>
            <w:r>
              <w:t>54.</w:t>
            </w:r>
            <w:r>
              <w:tab/>
            </w:r>
            <w:r>
              <w:rPr>
                <w:b/>
                <w:i/>
              </w:rPr>
              <w:t>Considers that a digital services tax aimed at major digital platforms</w:t>
            </w:r>
            <w:r>
              <w:t xml:space="preserve"> should </w:t>
            </w:r>
            <w:r>
              <w:rPr>
                <w:b/>
                <w:i/>
              </w:rPr>
              <w:t>be as a new own resource to ensure tax fairness and and a revenue level that is commensurate with needs, provided it does</w:t>
            </w:r>
            <w:r>
              <w:t xml:space="preserve"> not harm the competitiveness of small and medium-sized enterprises </w:t>
            </w:r>
            <w:r>
              <w:rPr>
                <w:b/>
                <w:i/>
              </w:rPr>
              <w:t>and gains sufficient</w:t>
            </w:r>
            <w:r>
              <w:t xml:space="preserve"> support among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Demands that, should the Council eliminate certain elements of the basket, it should replace the ensuing gap by increased call-rates for other sources or by replacing them with another source, while the new source should not harm the competitiveness of small and medium-sized enterprises</w:t>
            </w:r>
            <w:r>
              <w:rPr>
                <w:b/>
                <w:i/>
              </w:rPr>
              <w:t>;</w:t>
            </w:r>
            <w:r>
              <w:t xml:space="preserve"> </w:t>
            </w:r>
            <w:r>
              <w:rPr>
                <w:b/>
                <w:i/>
              </w:rPr>
              <w:t>considers</w:t>
            </w:r>
            <w:r>
              <w:t xml:space="preserve"> in this sense </w:t>
            </w:r>
            <w:r>
              <w:rPr>
                <w:b/>
                <w:i/>
              </w:rPr>
              <w:t>that</w:t>
            </w:r>
            <w:r>
              <w:t xml:space="preserve"> the revenue </w:t>
            </w:r>
            <w:r>
              <w:rPr>
                <w:b/>
                <w:i/>
              </w:rPr>
              <w:t>potential of a digital services tax aimed at major digital platforms should be explored as a possible solution should other proposed own resources not gain support among Member States, in order to ensure tax fairness and a revenue level that is commensurate with needs</w:t>
            </w:r>
            <w:r>
              <w:t>;</w:t>
            </w:r>
          </w:p>
        </w:tc>
        <w:tc>
          <w:tcPr>
            <w:tcW w:w="4876" w:type="dxa"/>
            <w:tcBorders>
              <w:top w:val="nil"/>
              <w:left w:val="nil"/>
              <w:bottom w:val="nil"/>
              <w:right w:val="nil"/>
            </w:tcBorders>
          </w:tcPr>
          <w:p>
            <w:pPr>
              <w:pStyle w:val="Normal6a"/>
            </w:pPr>
            <w:r>
              <w:t>54.</w:t>
            </w:r>
            <w:r>
              <w:tab/>
            </w:r>
            <w:r>
              <w:t xml:space="preserve">Demands that, should the Council eliminate certain elements of the basket, it should replace the ensuing gap by increased call-rates for other sources or by replacing them with another source, while the new source should not harm the competitiveness of small and medium-sized enterprises </w:t>
            </w:r>
            <w:r>
              <w:rPr>
                <w:b/>
                <w:i/>
              </w:rPr>
              <w:t>or European competitiveness as a whole;</w:t>
            </w:r>
            <w:r>
              <w:t xml:space="preserve"> </w:t>
            </w:r>
            <w:r>
              <w:rPr>
                <w:b/>
                <w:i/>
              </w:rPr>
              <w:t>calls,</w:t>
            </w:r>
            <w:r>
              <w:t xml:space="preserve"> in this sense</w:t>
            </w:r>
            <w:r>
              <w:rPr>
                <w:b/>
                <w:i/>
              </w:rPr>
              <w:t>, for priority to be afforded to examining</w:t>
            </w:r>
            <w:r>
              <w:t xml:space="preserve"> the revenue </w:t>
            </w:r>
            <w:r>
              <w:rPr>
                <w:b/>
                <w:i/>
              </w:rPr>
              <w:t>gained from European carbon markets created by European public policies</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973</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Demands that, should the Council eliminate certain elements of the basket, it should replace the ensuing gap by increased call-rates for other sources or by replacing them with another source, while the new source should not harm the competitiveness of small and medium-sized enterprises; considers in this sense that the revenue potential of a digital services tax aimed at major digital platforms should be explored as a possible </w:t>
            </w:r>
            <w:r>
              <w:rPr>
                <w:b/>
                <w:i/>
              </w:rPr>
              <w:t>solution</w:t>
            </w:r>
            <w:r>
              <w:t xml:space="preserve"> should other proposed own resources not gain support among Member States, in order to ensure tax fairness and a revenue level that is commensurate with needs;</w:t>
            </w:r>
          </w:p>
        </w:tc>
        <w:tc>
          <w:tcPr>
            <w:tcW w:w="4876" w:type="dxa"/>
            <w:tcBorders>
              <w:top w:val="nil"/>
              <w:left w:val="nil"/>
              <w:bottom w:val="nil"/>
              <w:right w:val="nil"/>
            </w:tcBorders>
          </w:tcPr>
          <w:p>
            <w:pPr>
              <w:pStyle w:val="Normal6a"/>
            </w:pPr>
            <w:r>
              <w:t>54.</w:t>
            </w:r>
            <w:r>
              <w:tab/>
            </w:r>
            <w:r>
              <w:t>Demands that, should the Council eliminate certain elements of the basket, it should replace the ensuing gap by increased call-rates for other sources or by replacing them with another source, while the new source should not harm the competitiveness of small and medium-sized enterprises; considers in this sense that the revenue potential of a digital services tax aimed at major digital platforms</w:t>
            </w:r>
            <w:r>
              <w:rPr>
                <w:b/>
                <w:i/>
              </w:rPr>
              <w:t>, taxing extreme wealth, a fossil fuel profit contribution, a levy on aviation or a financial sector tax</w:t>
            </w:r>
            <w:r>
              <w:t xml:space="preserve"> should </w:t>
            </w:r>
            <w:r>
              <w:rPr>
                <w:b/>
                <w:i/>
              </w:rPr>
              <w:t>all</w:t>
            </w:r>
            <w:r>
              <w:t xml:space="preserve"> be explored as a possible </w:t>
            </w:r>
            <w:r>
              <w:rPr>
                <w:b/>
                <w:i/>
              </w:rPr>
              <w:t>solutions</w:t>
            </w:r>
            <w:r>
              <w:t xml:space="preserve"> should other proposed own resources not gain support among Member States, in order to ensure tax fairness and a revenue level that is commensurate with needs;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974</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Demands that, should the Council eliminate certain elements of the basket, it should replace the ensuing gap by increased call-rates for other sources or by replacing them with another source</w:t>
            </w:r>
            <w:r>
              <w:rPr>
                <w:b/>
                <w:i/>
              </w:rPr>
              <w:t>, while</w:t>
            </w:r>
            <w:r>
              <w:t xml:space="preserve"> the new source should not harm the competitiveness of small and medium-sized enterprises; considers in this sense that the revenue potential of a digital services tax aimed at major digital platforms should be explored as a possible solution should other proposed own resources not gain support among Member States, in order to ensure tax fairness and a revenue level that is commensurate with needs;</w:t>
            </w:r>
          </w:p>
        </w:tc>
        <w:tc>
          <w:tcPr>
            <w:tcW w:w="4876" w:type="dxa"/>
            <w:tcBorders>
              <w:top w:val="nil"/>
              <w:left w:val="nil"/>
              <w:bottom w:val="nil"/>
              <w:right w:val="nil"/>
            </w:tcBorders>
          </w:tcPr>
          <w:p>
            <w:pPr>
              <w:pStyle w:val="Normal6a"/>
            </w:pPr>
            <w:r>
              <w:t>54.</w:t>
            </w:r>
            <w:r>
              <w:tab/>
            </w:r>
            <w:r>
              <w:t>Demands that, should the Council eliminate certain elements of the basket, it should replace the ensuing gap by increased call-rates for other sources or by replacing them with another source</w:t>
            </w:r>
            <w:r>
              <w:rPr>
                <w:b/>
                <w:i/>
              </w:rPr>
              <w:t>; strongly emphasises that</w:t>
            </w:r>
            <w:r>
              <w:t xml:space="preserve"> the new source should not harm the competitiveness of small and medium-sized enterprises; considers in this sense that the revenue potential of a digital services tax aimed at major digital platforms should be explored as a possible solution should other proposed own resources not gain support among Member States, in order to ensure tax fairness and a revenue level that is commensurate with needs;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975</w:t>
      </w:r>
      <w:r>
        <w:rPr>
          <w:rStyle w:val="HideTWBExt"/>
        </w:rPr>
        <w:t>&lt;/NumAm&gt;</w:t>
      </w:r>
    </w:p>
    <w:p>
      <w:pPr>
        <w:pStyle w:val="NormalBold"/>
      </w:pPr>
      <w:r>
        <w:rPr>
          <w:rStyle w:val="HideTWBExt"/>
          <w:b w:val="0"/>
        </w:rPr>
        <w:t>&lt;RepeatBlock-By&gt;</w:t>
      </w:r>
      <w:r>
        <w:rPr>
          <w:rStyle w:val="HideTWBExt"/>
          <w:b w:val="0"/>
        </w:rPr>
        <w:t>&lt;Members&gt;</w:t>
      </w:r>
      <w:r>
        <w:t>Nina Carberry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54.</w:t>
            </w:r>
            <w:r>
              <w:tab/>
            </w:r>
            <w:r>
              <w:t xml:space="preserve">Demands that, should the Council eliminate certain elements of the basket, it should replace the ensuing gap by increased call-rates for other sources or by replacing them with another source, while the new source should not harm the competitiveness of small and medium-sized enterprises; </w:t>
            </w:r>
            <w:r>
              <w:rPr>
                <w:b/>
                <w:i/>
              </w:rPr>
              <w:t>considers in this sense that the revenue potential of a digital services tax aimed at major digital platforms should be explored as a possible solution should other proposed</w:t>
            </w:r>
            <w:r>
              <w:t xml:space="preserve"> own resources </w:t>
            </w:r>
            <w:r>
              <w:rPr>
                <w:b/>
                <w:i/>
              </w:rPr>
              <w:t>not gain support among Member</w:t>
            </w:r>
            <w:r>
              <w:t xml:space="preserve"> States</w:t>
            </w:r>
            <w:r>
              <w:rPr>
                <w:b/>
                <w:i/>
              </w:rPr>
              <w:t>, in order to ensure tax fairness and a revenue level that is commensurate with needs</w:t>
            </w:r>
            <w:r>
              <w:t>;</w:t>
            </w:r>
          </w:p>
        </w:tc>
        <w:tc>
          <w:tcPr>
            <w:tcW w:w="4876" w:type="dxa"/>
            <w:tcBorders>
              <w:top w:val="nil"/>
              <w:left w:val="nil"/>
              <w:bottom w:val="nil"/>
              <w:right w:val="nil"/>
            </w:tcBorders>
          </w:tcPr>
          <w:p>
            <w:pPr>
              <w:pStyle w:val="Normal6a"/>
            </w:pPr>
            <w:r>
              <w:t>54.</w:t>
            </w:r>
            <w:r>
              <w:tab/>
            </w:r>
            <w:r>
              <w:t xml:space="preserve">Demands that, should the Council eliminate certain elements of the basket, it should replace the ensuing gap by increased call-rates for other sources or by replacing them with another source, while the new source should not harm the competitiveness of small and medium-sized enterprises; </w:t>
            </w:r>
            <w:r>
              <w:rPr>
                <w:b/>
                <w:i/>
              </w:rPr>
              <w:t>Calls on the Commission and the Council to exercise caution in advancing proposals for new</w:t>
            </w:r>
            <w:r>
              <w:t xml:space="preserve"> own resources</w:t>
            </w:r>
            <w:r>
              <w:rPr>
                <w:b/>
                <w:i/>
              </w:rPr>
              <w:t>, particularly where such measures may disproportionately affect companies headquartered in third countries, and thereby risk exacerbating geopolitical tensions with strategic partners, notably the United</w:t>
            </w:r>
            <w:r>
              <w:t xml:space="preserve">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976</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 a.</w:t>
            </w:r>
            <w:r>
              <w:tab/>
            </w:r>
            <w:r>
              <w:rPr>
                <w:b/>
                <w:i/>
              </w:rPr>
              <w:t>Recalls that, in previous years, multiple attempts have been made both by the Commission and the Parliament, to identify several promising sources for additional revenue to be added to the basket of own resources of the Union, including, but not limited to, a financial transaction tax and a share buyback excise duty; takes note of the extensive preparatory work done on these proposals, and calls for these effort to not be wasted and these proposals to be seriously re-examined as potential sources of additional own resources for the next MFF;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977</w:t>
      </w:r>
      <w:r>
        <w:rPr>
          <w:rStyle w:val="HideTWBExt"/>
        </w:rPr>
        <w:t>&lt;/NumAm&gt;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 a.</w:t>
            </w:r>
            <w:r>
              <w:tab/>
            </w:r>
            <w:r>
              <w:rPr>
                <w:b/>
                <w:i/>
              </w:rPr>
              <w:t>Stresses the need for significant investments at national level to finance decarbonisation in order to achieve the Union’s climate objectives; in this context, calls for a gradual phasing-in of the ETS own resource to ensure that the maximum necessary financial means for decarbonisation are secured for Member States to ensure the rapid and just transition from carbon-intensive economies;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978</w:t>
      </w:r>
      <w:r>
        <w:rPr>
          <w:rStyle w:val="HideTWBExt"/>
        </w:rPr>
        <w:t>&lt;/NumAm&gt;</w:t>
      </w:r>
    </w:p>
    <w:p>
      <w:pPr>
        <w:pStyle w:val="NormalBold"/>
      </w:pPr>
      <w:r>
        <w:rPr>
          <w:rStyle w:val="HideTWBExt"/>
          <w:b w:val="0"/>
        </w:rPr>
        <w:t>&lt;RepeatBlock-By&gt;</w:t>
      </w:r>
      <w:r>
        <w:rPr>
          <w:rStyle w:val="HideTWBExt"/>
          <w:b w:val="0"/>
        </w:rPr>
        <w:t>&lt;Members&gt;</w:t>
      </w:r>
      <w:r>
        <w:t>Roberts Zīle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 a.</w:t>
            </w:r>
            <w:r>
              <w:tab/>
            </w:r>
            <w:r>
              <w:rPr>
                <w:b/>
                <w:i/>
              </w:rPr>
              <w:t>Expresses its concerns about the excessively regressive impact of the ETS- based own resource in low-income and carbon-intensive Member States; considers therefore the ETS-based own resource very problematic from the perspective of social sustainability;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979</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 b.</w:t>
            </w:r>
            <w:r>
              <w:tab/>
            </w:r>
            <w:r>
              <w:rPr>
                <w:b/>
                <w:i/>
              </w:rPr>
              <w:t>Considers that, given the increasingly disproportionate share of European wealth being held by a small segment of the population, while large numbers of EU citizens face serious economic hardship, the potential of a European-wide tax on ultra-high net worth individuals should be examined; takes note of the frequent intra-European mobility of such individuals, and the need to address issues of tax justice and inequality; calls therefore on the Commission to conduct a comprehensive impact assessment examining the feasibility, legal basis, and economic impact of a potential EU-level tax on ultra-high net worth individuals;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980</w:t>
      </w:r>
      <w:r>
        <w:rPr>
          <w:rStyle w:val="HideTWBExt"/>
        </w:rPr>
        <w:t>&lt;/NumAm&gt;</w:t>
      </w:r>
    </w:p>
    <w:p>
      <w:pPr>
        <w:pStyle w:val="NormalBold"/>
      </w:pPr>
      <w:r>
        <w:rPr>
          <w:rStyle w:val="HideTWBExt"/>
          <w:b w:val="0"/>
        </w:rPr>
        <w:t>&lt;RepeatBlock-By&gt;</w:t>
      </w:r>
      <w:r>
        <w:rPr>
          <w:rStyle w:val="HideTWBExt"/>
          <w:b w:val="0"/>
        </w:rPr>
        <w:t>&lt;Members&gt;</w:t>
      </w:r>
      <w:r>
        <w:t>Bogdan Rzońca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 b.</w:t>
            </w:r>
            <w:r>
              <w:tab/>
            </w:r>
            <w:r>
              <w:rPr>
                <w:b/>
                <w:i/>
              </w:rPr>
              <w:t>Expresses its concerns about the excessively regressive impact of the ETS- based own resource in low-income and carbon-intensive Member States; considers therefore the ETS-based own resource very problematic from the perspective of social sustainability;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981</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 c.</w:t>
            </w:r>
            <w:r>
              <w:tab/>
            </w:r>
            <w:r>
              <w:rPr>
                <w:b/>
                <w:i/>
              </w:rPr>
              <w:t>Calls on the Commission to propose, as part of the next Multiannual Financial Framework and in accordance with Articles 113 and 311 TFEU, the establishment of a new EU own resource based on a harmonised levy on online gambling and betting services with the dual objective of strengthening the Union’s revenue base and combating illegal and black-market gambling, while reducing regulatory fragmentation around digital services in the Single Market; stresses that, in the absence of an EU-level regulatory framework for gambling, such an own resource must be preceded by a limited and targeted harmonisation of the taxable base through an EU Directive, accompanied by common reporting obligations and enhanced administrative cooperation between Member States, in order to ensure legal certainty, prevent tax evasion and money laundering, and protect consumers; reiterates that increased revenue from own resources such as this one would allow investment in EU public goods, including for education, skills and digital literacy that are so direly needed, thereby actively contributing to the achievement of the Unions' policy objectives;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982</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54 d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54 d.</w:t>
            </w:r>
            <w:r>
              <w:tab/>
            </w:r>
            <w:r>
              <w:rPr>
                <w:b/>
                <w:i/>
              </w:rPr>
              <w:t>Calls on the Commission to explore, within the framework of the ongoing reflection on new own resources, the feasibility of introducing a European own resource aimed at speculative real estate transactions, in particular short-term resale transactions, multiple transactions carried out within a limited period of time and large-scale investment activities undertaken by investment funds that contribute to distortions in housing markets; stresses that such an instrument should be carefully designed to avoid negative impacts on primary residence ownership and small private property ownership, and fully respect the principles of subsidiarity and proportionality, while contributing to tax fairness, social cohesion and the financing of common European priorities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983</w:t>
      </w:r>
      <w:r>
        <w:rPr>
          <w:rStyle w:val="HideTWBExt"/>
        </w:rPr>
        <w:t>&lt;/NumAm&gt;</w:t>
      </w:r>
    </w:p>
    <w:p>
      <w:pPr>
        <w:pStyle w:val="NormalBold"/>
      </w:pPr>
      <w:r>
        <w:rPr>
          <w:rStyle w:val="HideTWBExt"/>
          <w:b w:val="0"/>
        </w:rPr>
        <w:t>&lt;RepeatBlock-By&gt;</w:t>
      </w:r>
      <w:r>
        <w:rPr>
          <w:rStyle w:val="HideTWBExt"/>
          <w:b w:val="0"/>
        </w:rPr>
        <w:t>&lt;Members&gt;</w:t>
      </w:r>
      <w:r>
        <w:t>Auke Zijlstra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55.</w:t>
            </w:r>
            <w:r>
              <w:tab/>
            </w:r>
            <w:r>
              <w:rPr>
                <w:b/>
                <w:i/>
              </w:rPr>
              <w:t>Takes note of the Commission’s proposal for a novel type of crisis mechanism based on extraordinary borrowing backed by additional headroom under the own resources ceiling and anchored in the EU budget’s consistently excellent credit rating;</w:t>
            </w:r>
            <w:r>
              <w:t xml:space="preserve"> </w:t>
            </w:r>
            <w:r>
              <w:rPr>
                <w:b/>
                <w:i/>
              </w:rPr>
              <w:t>notes that this instrument is time-bound, subject to pre-defined criteria and limitations on its purpose, scope and size delimited by the extra available dedicated headroom compartment;</w:t>
            </w:r>
            <w:r>
              <w:t xml:space="preserve"> </w:t>
            </w:r>
            <w:r>
              <w:rPr>
                <w:b/>
                <w:i/>
              </w:rPr>
              <w:t>considers that joint borrowing presents a viable option that offers the Union the ability to respond swiftly to unexpected developments;</w:t>
            </w:r>
            <w:r>
              <w:t xml:space="preserve"> </w:t>
            </w:r>
            <w:r>
              <w:rPr>
                <w:b/>
                <w:i/>
              </w:rPr>
              <w:t>expresses satisfaction that the proposed mechanism would not be based on Article 122 TFEU, which sidelines Parliament as in previous cases, but on a Council regulation under Article 311(4) TFEU, which entails a consent procedure, thus ensuring institutional balance and procedural accountability;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{NL}</w:t>
      </w:r>
      <w:r>
        <w:t>nl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984</w:t>
      </w:r>
      <w:r>
        <w:rPr>
          <w:rStyle w:val="HideTWBExt"/>
        </w:rPr>
        <w:t>&lt;/NumAm&gt;</w:t>
      </w:r>
    </w:p>
    <w:p>
      <w:pPr>
        <w:pStyle w:val="NormalBold"/>
      </w:pPr>
      <w:r>
        <w:rPr>
          <w:rStyle w:val="HideTWBExt"/>
          <w:b w:val="0"/>
        </w:rPr>
        <w:t>&lt;RepeatBlock-By&gt;</w:t>
      </w:r>
      <w:r>
        <w:rPr>
          <w:rStyle w:val="HideTWBExt"/>
          <w:b w:val="0"/>
        </w:rPr>
        <w:t>&lt;Members&gt;</w:t>
      </w:r>
      <w:r>
        <w:t>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55.</w:t>
            </w:r>
            <w:r>
              <w:tab/>
            </w:r>
            <w:r>
              <w:rPr>
                <w:b/>
                <w:i/>
              </w:rPr>
              <w:t>Takes note of the Commission’s proposal for a novel type of crisis mechanism based on extraordinary borrowing backed by additional headroom under the own resources ceiling and anchored in the EU budget’s consistently excellent credit rating; notes that this instrument is time-bound, subject to pre-defined criteria and limitations on its purpose, scope and size delimited by the extra available dedicated headroom compartment; considers that joint borrowing presents a viable option that offers the Union the ability to respond swiftly to unexpected developments; expresses satisfaction that the proposed mechanism would not be based on Article 122 TFEU, which sidelines Parliament as in previous cases, but on a Council regulation under Article 311(4) TFEU, which entails a consent procedure, thus ensuring institutional balance and procedural accountability;</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985</w:t>
      </w:r>
      <w:r>
        <w:rPr>
          <w:rStyle w:val="HideTWBExt"/>
        </w:rPr>
        <w:t>&lt;/NumAm&gt;</w:t>
      </w:r>
    </w:p>
    <w:p>
      <w:pPr>
        <w:pStyle w:val="NormalBold"/>
      </w:pPr>
      <w:r>
        <w:rPr>
          <w:rStyle w:val="HideTWBExt"/>
          <w:b w:val="0"/>
        </w:rPr>
        <w:t>&lt;RepeatBlock-By&gt;</w:t>
      </w:r>
      <w:r>
        <w:rPr>
          <w:rStyle w:val="HideTWBExt"/>
          <w:b w:val="0"/>
        </w:rPr>
        <w:t>&lt;Members&gt;</w:t>
      </w:r>
      <w:r>
        <w:t>Anouk Van Brug, Katri Kulmuni, Moritz Körner,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rPr>
                <w:b/>
                <w:i/>
              </w:rPr>
              <w:t>Takes note of the Commission’s proposal for a novel type of crisis mechanism based on extraordinary borrowing backed by additional headroom under the own resources ceiling and anchored in the EU budget’s consistently excellent credit rating; notes that this instrument is time-bound, subject to pre-defined criteria and limitations on its purpose, scope and size delimited by the extra available dedicated headroom compartment; considers that</w:t>
            </w:r>
            <w:r>
              <w:t xml:space="preserve"> joint borrowing </w:t>
            </w:r>
            <w:r>
              <w:rPr>
                <w:b/>
                <w:i/>
              </w:rPr>
              <w:t>presents a viable option that offers the Union the ability to respond swiftly to unexpected developments; expresses satisfaction that the proposed mechanism would not be based on Article 122 TFEU, which sidelines Parliament as in previous cases, but on a Council regulation under Article 311(4) TFEU, which entails a consent procedure, thus ensuring institutional balance and procedural accountability</w:t>
            </w:r>
            <w:r>
              <w:t>;</w:t>
            </w:r>
          </w:p>
        </w:tc>
        <w:tc>
          <w:tcPr>
            <w:tcW w:w="4876" w:type="dxa"/>
            <w:tcBorders>
              <w:top w:val="nil"/>
              <w:left w:val="nil"/>
              <w:bottom w:val="nil"/>
              <w:right w:val="nil"/>
            </w:tcBorders>
          </w:tcPr>
          <w:p>
            <w:pPr>
              <w:pStyle w:val="Normal6a"/>
            </w:pPr>
            <w:r>
              <w:t>55.</w:t>
            </w:r>
            <w:r>
              <w:tab/>
            </w:r>
            <w:r>
              <w:rPr>
                <w:b/>
                <w:i/>
              </w:rPr>
              <w:t>Strongly opposes</w:t>
            </w:r>
            <w:r>
              <w:t xml:space="preserve"> joint borrowing </w:t>
            </w:r>
            <w:r>
              <w:rPr>
                <w:b/>
                <w:i/>
              </w:rPr>
              <w:t>by the EU and points at the merit of conventional sources of revenue to finance the EU budget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rPr>
                <w:b/>
                <w:i/>
              </w:rPr>
              <w:t>Takes note of the Commission’s proposal for a novel type of crisis mechanism based on extraordinary borrowing backed by additional headroom under the own resources ceiling and anchored in the EU budget’s consistently excellent credit rating;</w:t>
            </w:r>
            <w:r>
              <w:t xml:space="preserve"> </w:t>
            </w:r>
            <w:r>
              <w:rPr>
                <w:b/>
                <w:i/>
              </w:rPr>
              <w:t>notes that this instrument is time-bound, subject to pre-defined criteria and limitations on its purpose, scope and size delimited by the extra available dedicated headroom compartment;</w:t>
            </w:r>
            <w:r>
              <w:t xml:space="preserve"> considers that joint borrowing presents a viable option </w:t>
            </w:r>
            <w:r>
              <w:rPr>
                <w:b/>
                <w:i/>
              </w:rPr>
              <w:t>that offers the Union the ability to respond swiftly to unexpected developments;</w:t>
            </w:r>
            <w:r>
              <w:t xml:space="preserve"> </w:t>
            </w:r>
            <w:r>
              <w:rPr>
                <w:b/>
                <w:i/>
              </w:rPr>
              <w:t>expresses satisfaction that the proposed mechanism would not be based on Article 122 TFEU, which sidelines Parliament as in previous cases, but on a Council regulation under Article 311(4) TFEU, which entails a consent procedure, thus ensuring institutional balance and procedural accountability</w:t>
            </w:r>
            <w:r>
              <w:t>;</w:t>
            </w:r>
          </w:p>
        </w:tc>
        <w:tc>
          <w:tcPr>
            <w:tcW w:w="4876" w:type="dxa"/>
            <w:tcBorders>
              <w:top w:val="nil"/>
              <w:left w:val="nil"/>
              <w:bottom w:val="nil"/>
              <w:right w:val="nil"/>
            </w:tcBorders>
          </w:tcPr>
          <w:p>
            <w:pPr>
              <w:pStyle w:val="Normal6a"/>
            </w:pPr>
            <w:r>
              <w:t>55.</w:t>
            </w:r>
            <w:r>
              <w:tab/>
            </w:r>
            <w:r>
              <w:t xml:space="preserve">Considers that joint borrowing presents a viable option </w:t>
            </w:r>
            <w:r>
              <w:rPr>
                <w:b/>
                <w:i/>
              </w:rPr>
              <w:t>provided that it facilitates the timely financing of EU policies with clear European added value and is fully in line with the EU's strategic priorities for European public goods, or facilitates investment in cross-border or pan-European projects that boost the EU's growth potential;</w:t>
            </w:r>
            <w:r>
              <w:t xml:space="preserve"> </w:t>
            </w:r>
            <w:r>
              <w:rPr>
                <w:b/>
                <w:i/>
              </w:rPr>
              <w:t>points out that, so as to ensure that no undue constraints are placed on other policy priorities and no undue burdens are placed on Member States, taxpayers and future generations, the EU must devise explicit rules and limits for its borrowing, as well as clear policies for managing its debt, with a view to minimising the overall financial costs to the taxpayer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Takes note of the Commission’s proposal for a novel type of crisis mechanism based on extraordinary borrowing backed by additional headroom under the own resources ceiling and anchored in the EU budget’s consistently excellent credit rating;</w:t>
            </w:r>
            <w:r>
              <w:t xml:space="preserve"> </w:t>
            </w:r>
            <w:r>
              <w:rPr>
                <w:b/>
                <w:i/>
              </w:rPr>
              <w:t>notes that this instrument is time-bound, subject to pre-defined criteria and limitations on its purpose, scope and size delimited by the extra available dedicated headroom compartment;</w:t>
            </w:r>
            <w:r>
              <w:t xml:space="preserve"> </w:t>
            </w:r>
            <w:r>
              <w:rPr>
                <w:b/>
                <w:i/>
              </w:rPr>
              <w:t>expresses satisfaction that the proposed mechanism would not be based on Article 122 TFEU, which sidelines Parliament as in previous cases, but on a Council regulation under Article 311(4) TFEU, which entails a consent procedure, thus ensuring institutional balance and procedural accountability;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987</w:t>
      </w:r>
      <w:r>
        <w:rPr>
          <w:rStyle w:val="HideTWBExt"/>
        </w:rPr>
        <w:t>&lt;/NumAm&gt;</w:t>
      </w:r>
    </w:p>
    <w:p>
      <w:pPr>
        <w:pStyle w:val="NormalBold"/>
      </w:pPr>
      <w:r>
        <w:rPr>
          <w:rStyle w:val="HideTWBExt"/>
          <w:b w:val="0"/>
        </w:rPr>
        <w:t>&lt;RepeatBlock-By&gt;</w:t>
      </w:r>
      <w:r>
        <w:rPr>
          <w:rStyle w:val="HideTWBExt"/>
          <w:b w:val="0"/>
        </w:rPr>
        <w:t>&lt;Members&gt;</w:t>
      </w:r>
      <w:r>
        <w:t>Alexander Jungbluth, Stanisław Tyszka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 xml:space="preserve">Takes note of the Commission’s proposal for a </w:t>
            </w:r>
            <w:r>
              <w:rPr>
                <w:b/>
                <w:i/>
              </w:rPr>
              <w:t>novel type of</w:t>
            </w:r>
            <w:r>
              <w:t xml:space="preserve"> crisis mechanism based on </w:t>
            </w:r>
            <w:r>
              <w:rPr>
                <w:b/>
                <w:i/>
              </w:rPr>
              <w:t>extraordinary</w:t>
            </w:r>
            <w:r>
              <w:t xml:space="preserve"> borrowing backed by additional headroom under the own resources ceiling </w:t>
            </w:r>
            <w:r>
              <w:rPr>
                <w:b/>
                <w:i/>
              </w:rPr>
              <w:t>and anchored in the EU budget’s consistently excellent credit rating</w:t>
            </w:r>
            <w:r>
              <w:t xml:space="preserve">; notes that </w:t>
            </w:r>
            <w:r>
              <w:rPr>
                <w:b/>
                <w:i/>
              </w:rPr>
              <w:t>this instrument is time-bound, subject to pre-defined criteria and limitations on its</w:t>
            </w:r>
            <w:r>
              <w:t xml:space="preserve"> purpose, scope </w:t>
            </w:r>
            <w:r>
              <w:rPr>
                <w:b/>
                <w:i/>
              </w:rPr>
              <w:t>and size delimited by the extra available dedicated headroom compartment;</w:t>
            </w:r>
            <w:r>
              <w:t xml:space="preserve"> </w:t>
            </w:r>
            <w:r>
              <w:rPr>
                <w:b/>
                <w:i/>
              </w:rPr>
              <w:t>considers that joint borrowing presents a viable option that offers the Union the ability to respond swiftly to unexpected developments;</w:t>
            </w:r>
            <w:r>
              <w:t xml:space="preserve"> </w:t>
            </w:r>
            <w:r>
              <w:rPr>
                <w:b/>
                <w:i/>
              </w:rPr>
              <w:t>expresses satisfaction that the proposed mechanism would not be based on Article 122 TFEU, which sidelines</w:t>
            </w:r>
            <w:r>
              <w:t xml:space="preserve"> Parliament as </w:t>
            </w:r>
            <w:r>
              <w:rPr>
                <w:b/>
                <w:i/>
              </w:rPr>
              <w:t>in previous cases, but on a Council regulation under Article 311(4) TFEU, which entails a consent procedure, thus ensuring</w:t>
            </w:r>
            <w:r>
              <w:t xml:space="preserve"> institutional balance and </w:t>
            </w:r>
            <w:r>
              <w:rPr>
                <w:b/>
                <w:i/>
              </w:rPr>
              <w:t>procedural</w:t>
            </w:r>
            <w:r>
              <w:t xml:space="preserve"> accountability;</w:t>
            </w:r>
          </w:p>
        </w:tc>
        <w:tc>
          <w:tcPr>
            <w:tcW w:w="4876" w:type="dxa"/>
            <w:tcBorders>
              <w:top w:val="nil"/>
              <w:left w:val="nil"/>
              <w:bottom w:val="nil"/>
              <w:right w:val="nil"/>
            </w:tcBorders>
          </w:tcPr>
          <w:p>
            <w:pPr>
              <w:pStyle w:val="Normal6a"/>
            </w:pPr>
            <w:r>
              <w:t>55.</w:t>
            </w:r>
            <w:r>
              <w:tab/>
            </w:r>
            <w:r>
              <w:t xml:space="preserve">Takes note of the Commission’s proposal for a </w:t>
            </w:r>
            <w:r>
              <w:rPr>
                <w:b/>
                <w:i/>
              </w:rPr>
              <w:t>new</w:t>
            </w:r>
            <w:r>
              <w:t xml:space="preserve"> crisis mechanism based on </w:t>
            </w:r>
            <w:r>
              <w:rPr>
                <w:b/>
                <w:i/>
              </w:rPr>
              <w:t>exceptional</w:t>
            </w:r>
            <w:r>
              <w:t xml:space="preserve"> borrowing </w:t>
            </w:r>
            <w:r>
              <w:rPr>
                <w:b/>
                <w:i/>
              </w:rPr>
              <w:t>and which is to be</w:t>
            </w:r>
            <w:r>
              <w:t xml:space="preserve"> backed by additional headroom under the own resources ceiling</w:t>
            </w:r>
            <w:r>
              <w:rPr>
                <w:b/>
                <w:i/>
              </w:rPr>
              <w:t>;</w:t>
            </w:r>
            <w:r>
              <w:t xml:space="preserve"> </w:t>
            </w:r>
            <w:r>
              <w:rPr>
                <w:b/>
                <w:i/>
              </w:rPr>
              <w:t>stresses that such an instrument must be strictly limited in time, clearly ring-fenced and limited to well-defined exceptional circumstances</w:t>
            </w:r>
            <w:r>
              <w:t xml:space="preserve">; notes that </w:t>
            </w:r>
            <w:r>
              <w:rPr>
                <w:b/>
                <w:i/>
              </w:rPr>
              <w:t>the</w:t>
            </w:r>
            <w:r>
              <w:t xml:space="preserve"> purpose, scope</w:t>
            </w:r>
            <w:r>
              <w:rPr>
                <w:b/>
                <w:i/>
              </w:rPr>
              <w:t>, size, duration, trigger and termination conditions must be clearly defined ex ante and be subject to comprehensive parliamentary scrutiny;</w:t>
            </w:r>
            <w:r>
              <w:t xml:space="preserve"> </w:t>
            </w:r>
            <w:r>
              <w:rPr>
                <w:b/>
                <w:i/>
              </w:rPr>
              <w:t>stresses that any use of such an instrument requires the full involvement of the European</w:t>
            </w:r>
            <w:r>
              <w:t xml:space="preserve"> Parliament as </w:t>
            </w:r>
            <w:r>
              <w:rPr>
                <w:b/>
                <w:i/>
              </w:rPr>
              <w:t>budgetary authority and must be based on an appropriate legal basis that preserves the</w:t>
            </w:r>
            <w:r>
              <w:t xml:space="preserve"> institutional balance and </w:t>
            </w:r>
            <w:r>
              <w:rPr>
                <w:b/>
                <w:i/>
              </w:rPr>
              <w:t>ensures democratic</w:t>
            </w:r>
            <w:r>
              <w:t xml:space="preserve"> accountability;</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988</w:t>
      </w:r>
      <w:r>
        <w:rPr>
          <w:rStyle w:val="HideTWBExt"/>
        </w:rPr>
        <w:t>&lt;/NumAm&gt;</w:t>
      </w:r>
    </w:p>
    <w:p>
      <w:pPr>
        <w:pStyle w:val="NormalBold"/>
      </w:pPr>
      <w:r>
        <w:rPr>
          <w:rStyle w:val="HideTWBExt"/>
          <w:b w:val="0"/>
        </w:rPr>
        <w:t>&lt;RepeatBlock-By&gt;</w:t>
      </w:r>
      <w:r>
        <w:rPr>
          <w:rStyle w:val="HideTWBExt"/>
          <w:b w:val="0"/>
        </w:rPr>
        <w:t>&lt;Members&gt;</w:t>
      </w:r>
      <w:r>
        <w:t>Jana Nagyová, Klara Dostalova, Ondřej Knotek, Jaroslava Pokorná Jermanová, Jaroslav Bžoch, Jaroslav Knot, Tomáš Kubín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t xml:space="preserve">Takes note of the Commission’s proposal for a novel type of crisis mechanism based on extraordinary borrowing backed by additional headroom under the own resources ceiling and anchored in the EU budget’s consistently excellent credit rating; notes that this instrument is time-bound, subject to pre-defined criteria and limitations on its purpose, scope and size delimited by the extra available dedicated headroom compartment; </w:t>
            </w:r>
            <w:r>
              <w:rPr>
                <w:b/>
                <w:i/>
              </w:rPr>
              <w:t>considers that joint</w:t>
            </w:r>
            <w:r>
              <w:t xml:space="preserve"> borrowing </w:t>
            </w:r>
            <w:r>
              <w:rPr>
                <w:b/>
                <w:i/>
              </w:rPr>
              <w:t>presents a viable option that offers the Union the ability to respond swiftly to unexpected developments; expresses satisfaction that</w:t>
            </w:r>
            <w:r>
              <w:t xml:space="preserve"> the proposed mechanism would </w:t>
            </w:r>
            <w:r>
              <w:rPr>
                <w:b/>
                <w:i/>
              </w:rPr>
              <w:t>not</w:t>
            </w:r>
            <w:r>
              <w:t xml:space="preserve"> be based </w:t>
            </w:r>
            <w:r>
              <w:rPr>
                <w:b/>
                <w:i/>
              </w:rPr>
              <w:t>on Article 122 TFEU, which sidelines Parliament as in previous cases, but</w:t>
            </w:r>
            <w:r>
              <w:t xml:space="preserve"> on a Council regulation under Article 311(4) TFEU, which entails a consent procedure, thus ensuring institutional balance and procedural accountability;</w:t>
            </w:r>
          </w:p>
        </w:tc>
        <w:tc>
          <w:tcPr>
            <w:tcW w:w="4876" w:type="dxa"/>
            <w:tcBorders>
              <w:top w:val="nil"/>
              <w:left w:val="nil"/>
              <w:bottom w:val="nil"/>
              <w:right w:val="nil"/>
            </w:tcBorders>
          </w:tcPr>
          <w:p>
            <w:pPr>
              <w:pStyle w:val="Normal6a"/>
            </w:pPr>
            <w:r>
              <w:t>55.</w:t>
            </w:r>
            <w:r>
              <w:tab/>
            </w:r>
            <w:r>
              <w:t xml:space="preserve">Takes note of the Commission’s proposal for a novel type of crisis mechanism based on extraordinary borrowing backed by additional headroom under the own resources ceiling and anchored in the EU budget’s consistently excellent credit rating; notes that this instrument is time-bound, subject to pre-defined criteria and limitations on its purpose, scope and size delimited by the extra available dedicated headroom compartment; </w:t>
            </w:r>
            <w:r>
              <w:rPr>
                <w:b/>
                <w:i/>
              </w:rPr>
              <w:t>stressed, however, that increased EU</w:t>
            </w:r>
            <w:r>
              <w:t xml:space="preserve"> borrowing </w:t>
            </w:r>
            <w:r>
              <w:rPr>
                <w:b/>
                <w:i/>
              </w:rPr>
              <w:t>undermines sovereignty, risks long-term fiscal sustainability amid shifting global debt markets, and insists that EU budgetary decisions must prioritise selectivity, effectiveness and intergenerational responsibility over additional debt that burdens future generations; calls instead for rigorous prioritisation within existing resources; notes</w:t>
            </w:r>
            <w:r>
              <w:t xml:space="preserve"> the proposed mechanism would be based on a Council regulation under Article 311(4) TFEU, which entails a consent procedure, thus ensuring institutional balance and procedural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989</w:t>
      </w:r>
      <w:r>
        <w:rPr>
          <w:rStyle w:val="HideTWBExt"/>
        </w:rPr>
        <w:t>&lt;/NumAm&gt;</w:t>
      </w:r>
    </w:p>
    <w:p>
      <w:pPr>
        <w:pStyle w:val="NormalBold"/>
      </w:pPr>
      <w:r>
        <w:rPr>
          <w:rStyle w:val="HideTWBExt"/>
          <w:b w:val="0"/>
        </w:rPr>
        <w:t>&lt;RepeatBlock-By&gt;</w:t>
      </w:r>
      <w:r>
        <w:rPr>
          <w:rStyle w:val="HideTWBExt"/>
          <w:b w:val="0"/>
        </w:rPr>
        <w:t>&lt;Members&gt;</w:t>
      </w:r>
      <w:r>
        <w:t>Julien Sanchez, 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rPr>
                <w:b/>
                <w:i/>
              </w:rPr>
              <w:t>Takes note of</w:t>
            </w:r>
            <w:r>
              <w:t xml:space="preserve"> the Commission’s proposal for a novel </w:t>
            </w:r>
            <w:r>
              <w:rPr>
                <w:b/>
                <w:i/>
              </w:rPr>
              <w:t>type of</w:t>
            </w:r>
            <w:r>
              <w:t xml:space="preserve"> crisis mechanism based on extraordinary borrowing backed by additional headroom under the own resources ceiling </w:t>
            </w:r>
            <w:r>
              <w:rPr>
                <w:b/>
                <w:i/>
              </w:rPr>
              <w:t>and anchored in the EU budget’s consistently excellent credit rating;</w:t>
            </w:r>
            <w:r>
              <w:t xml:space="preserve"> </w:t>
            </w:r>
            <w:r>
              <w:rPr>
                <w:b/>
                <w:i/>
              </w:rPr>
              <w:t>notes that this instrument is time-bound, subject to pre-defined criteria and limitations on its purpose, scope and size delimited by the extra available dedicated headroom compartment</w:t>
            </w:r>
            <w:r>
              <w:t xml:space="preserve">; considers that joint borrowing </w:t>
            </w:r>
            <w:r>
              <w:rPr>
                <w:b/>
                <w:i/>
              </w:rPr>
              <w:t>presents a viable option that offers the Union the ability to respond swiftly to unexpected developments;</w:t>
            </w:r>
            <w:r>
              <w:t xml:space="preserve"> </w:t>
            </w:r>
            <w:r>
              <w:rPr>
                <w:b/>
                <w:i/>
              </w:rPr>
              <w:t>expresses satisfaction</w:t>
            </w:r>
            <w:r>
              <w:t xml:space="preserve"> that the </w:t>
            </w:r>
            <w:r>
              <w:rPr>
                <w:b/>
                <w:i/>
              </w:rPr>
              <w:t>proposed mechanism would not be</w:t>
            </w:r>
            <w:r>
              <w:t xml:space="preserve"> based on </w:t>
            </w:r>
            <w:r>
              <w:rPr>
                <w:b/>
                <w:i/>
              </w:rPr>
              <w:t>Article 122 TFEU, which sidelines Parliament as in previous cases, but on a Council regulation under Article 311(4) TFEU, which entails a consent procedure, thus ensuring institutional balance and procedural</w:t>
            </w:r>
            <w:r>
              <w:t xml:space="preserve"> accountability;</w:t>
            </w:r>
          </w:p>
        </w:tc>
        <w:tc>
          <w:tcPr>
            <w:tcW w:w="4876" w:type="dxa"/>
            <w:tcBorders>
              <w:top w:val="nil"/>
              <w:left w:val="nil"/>
              <w:bottom w:val="nil"/>
              <w:right w:val="nil"/>
            </w:tcBorders>
          </w:tcPr>
          <w:p>
            <w:pPr>
              <w:pStyle w:val="Normal6a"/>
            </w:pPr>
            <w:r>
              <w:t>55.</w:t>
            </w:r>
            <w:r>
              <w:tab/>
            </w:r>
            <w:r>
              <w:rPr>
                <w:b/>
                <w:i/>
              </w:rPr>
              <w:t>Rejects</w:t>
            </w:r>
            <w:r>
              <w:t xml:space="preserve"> the Commission's proposal for a novel crisis mechanism based on extraordinary </w:t>
            </w:r>
            <w:r>
              <w:rPr>
                <w:b/>
                <w:i/>
              </w:rPr>
              <w:t>joint</w:t>
            </w:r>
            <w:r>
              <w:t xml:space="preserve"> borrowing backed by additional headroom under the own resources ceiling; considers that joint borrowing</w:t>
            </w:r>
            <w:r>
              <w:rPr>
                <w:b/>
                <w:i/>
              </w:rPr>
              <w:t>, even if temporary and strictly regulated, entails significant budgetary and financial risks, and sets a precedent that could weaken the Union's budgetary discipline in the long term;</w:t>
            </w:r>
            <w:r>
              <w:t xml:space="preserve"> </w:t>
            </w:r>
            <w:r>
              <w:rPr>
                <w:b/>
                <w:i/>
              </w:rPr>
              <w:t>stresses that tying such mechanisms to the EU budget's credit rating exposes it to greater financial commitments, to the detriment of the MFF's long-term sustainability;</w:t>
            </w:r>
            <w:r>
              <w:t xml:space="preserve"> </w:t>
            </w:r>
            <w:r>
              <w:rPr>
                <w:b/>
                <w:i/>
              </w:rPr>
              <w:t>considers</w:t>
            </w:r>
            <w:r>
              <w:t xml:space="preserve"> that the </w:t>
            </w:r>
            <w:r>
              <w:rPr>
                <w:b/>
                <w:i/>
              </w:rPr>
              <w:t>proliferation of instruments</w:t>
            </w:r>
            <w:r>
              <w:t xml:space="preserve"> based on </w:t>
            </w:r>
            <w:r>
              <w:rPr>
                <w:b/>
                <w:i/>
              </w:rPr>
              <w:t>common debt makes the budget less transparent and undermines political</w:t>
            </w:r>
            <w:r>
              <w:t xml:space="preserve"> accountability; </w:t>
            </w:r>
            <w:r>
              <w:rPr>
                <w:b/>
                <w:i/>
              </w:rPr>
              <w:t>recalls that the Union's capacity to react to crises must be based, first and foremost, on internal reallocation, better prioritisation and rigorous use of existing instruments, rather than creating new forms of common debt;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990</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55.</w:t>
            </w:r>
            <w:r>
              <w:tab/>
            </w:r>
            <w:r>
              <w:rPr>
                <w:b/>
                <w:i/>
              </w:rPr>
              <w:t>Takes note of</w:t>
            </w:r>
            <w:r>
              <w:t xml:space="preserve"> the Commission’s proposal for a novel type of crisis mechanism based on extraordinary borrowing backed by additional headroom under the own resources ceiling and anchored in the EU budget’s consistently excellent credit rating; notes that this instrument </w:t>
            </w:r>
            <w:r>
              <w:rPr>
                <w:b/>
                <w:i/>
              </w:rPr>
              <w:t>is time-bound, subject to pre-defined criteria and limitations on its purpose, scope and size delimited by the extra available dedicated headroom compartment</w:t>
            </w:r>
            <w:r>
              <w:t>; considers that joint borrowing presents a viable option that offers the Union the ability to respond swiftly to unexpected developments; expresses satisfaction that the proposed mechanism would not be based on Article 122 TFEU, which sidelines Parliament as in previous cases, but on a Council regulation under Article 311(4) TFEU, which entails a consent procedure, thus ensuring institutional balance and procedural accountability;</w:t>
            </w:r>
          </w:p>
        </w:tc>
        <w:tc>
          <w:tcPr>
            <w:tcW w:w="4876" w:type="dxa"/>
            <w:tcBorders>
              <w:top w:val="nil"/>
              <w:left w:val="nil"/>
              <w:bottom w:val="nil"/>
              <w:right w:val="nil"/>
            </w:tcBorders>
          </w:tcPr>
          <w:p>
            <w:pPr>
              <w:pStyle w:val="Normal6a"/>
            </w:pPr>
            <w:r>
              <w:t>55.</w:t>
            </w:r>
            <w:r>
              <w:tab/>
            </w:r>
            <w:r>
              <w:rPr>
                <w:b/>
                <w:i/>
              </w:rPr>
              <w:t>Welcomes</w:t>
            </w:r>
            <w:r>
              <w:t xml:space="preserve"> the Commission’s proposal for a novel type of crisis mechanism based on extraordinary borrowing backed by additional headroom under the own resources ceiling and anchored in the EU budget’s consistently excellent credit rating; notes that this instrument </w:t>
            </w:r>
            <w:r>
              <w:rPr>
                <w:b/>
                <w:i/>
              </w:rPr>
              <w:t>will enable the Union to mobilise up to €395 billion in loans to Member States when severe crises, severe hardship, or serious threats thereof occur during the 2028-2034 period</w:t>
            </w:r>
            <w:r>
              <w:t>; considers that joint borrowing presents a viable option that offers the Union the ability to respond swiftly to unexpected developments; expresses satisfaction that the proposed mechanism would not be based on Article 122 TFEU, which sidelines Parliament as in previous cases, but on a Council regulation under Article 311(4) TFEU, which entails a consent procedure, thus ensuring institutional balance and procedural accountability;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991</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55 a.</w:t>
            </w:r>
            <w:r>
              <w:tab/>
            </w:r>
            <w:r>
              <w:rPr>
                <w:b/>
                <w:i/>
              </w:rPr>
              <w:t>Considers this mechanism a crucial step towards building genuine fiscal capacity at EU level to respond swiftly and effectively to increasing and often unforeseen needs; emphasises that this crisis borrowing capability, while essential for immediate crisis response, should be viewed as part of a broader trajectory towards the regular and sizeable issuance of an common EU safe asset, as repeatedly advocated by Mario Draghi; believes that establishing a permanent and liquid EU safe asset would not only facilitate the Union’s response to urgent needs, but would also strengthen monetary policy transmission, support risk-sharing across Member States, provide a benchmark for European capital markets comparable to US Treasuries, and accelerate progress towards the Capital Markets Union; calls on the Commission and Member States to use the experience gained from NextGenerationEU and the proposed crisis mechanism to build political and institutional momentum towards permanent common debt issuance for strategic European public goods;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992</w:t>
      </w:r>
      <w:r>
        <w:rPr>
          <w:rStyle w:val="HideTWBExt"/>
        </w:rPr>
        <w:t>&lt;/NumAm&gt;</w:t>
      </w:r>
    </w:p>
    <w:p>
      <w:pPr>
        <w:pStyle w:val="NormalBold"/>
      </w:pPr>
      <w:r>
        <w:rPr>
          <w:rStyle w:val="HideTWBExt"/>
          <w:b w:val="0"/>
        </w:rPr>
        <w:t>&lt;RepeatBlock-By&gt;</w:t>
      </w:r>
      <w:r>
        <w:rPr>
          <w:rStyle w:val="HideTWBExt"/>
          <w:b w:val="0"/>
        </w:rPr>
        <w:t>&lt;Members&gt;</w:t>
      </w:r>
      <w:r>
        <w:t>Jean-Marc Germain</w:t>
      </w:r>
      <w:r>
        <w:rPr>
          <w:rStyle w:val="HideTWBExt"/>
          <w:b w:val="0"/>
        </w:rPr>
        <w:t>&lt;/Members&gt;</w:t>
      </w:r>
    </w:p>
    <w:p>
      <w:r>
        <w:rPr>
          <w:rStyle w:val="HideTWBExt"/>
          <w:b w:val="0"/>
        </w:rPr>
        <w:t>&lt;AuNomDe&gt;</w:t>
      </w:r>
      <w:r>
        <w:rPr>
          <w:rStyle w:val="HideTWBInt"/>
        </w:rPr>
        <w:t>{S&amp;D}</w:t>
      </w:r>
      <w:r>
        <w:t>on behalf of the S&amp;D Group</w:t>
      </w:r>
      <w:r>
        <w:rPr>
          <w:rStyle w:val="HideTWBExt"/>
          <w:b w:val="0"/>
        </w:rPr>
        <w:t>&lt;/AuNomDe&gt;</w:t>
      </w:r>
    </w:p>
    <w:p>
      <w:pPr>
        <w:pStyle w:val="NormalBold"/>
      </w:pPr>
      <w:r>
        <w:rPr>
          <w:rStyle w:val="HideTWBExt"/>
          <w:b w:val="0"/>
        </w:rPr>
        <w:t>&lt;Members&gt;</w:t>
      </w:r>
      <w:r>
        <w:t>Sandra Gómez López, Victor Negrescu, Giuseppe Lupo, Matthias Ecke, Nils Ušakovs, Mohammed Chahim,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56 – point iii – paragraph 55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Chapter 3 - Article 8a </w:t>
            </w:r>
            <w:r>
              <w:rPr>
                <w:b/>
                <w:i/>
              </w:rPr>
              <w:t>(new</w:t>
            </w:r>
            <w:r>
              <w:t>)</w:t>
            </w:r>
          </w:p>
        </w:tc>
        <w:tc>
          <w:tcPr>
            <w:tcW w:w="4876" w:type="dxa"/>
            <w:tcBorders>
              <w:top w:val="nil"/>
              <w:left w:val="nil"/>
              <w:bottom w:val="nil"/>
              <w:right w:val="nil"/>
            </w:tcBorders>
          </w:tcPr>
          <w:p>
            <w:pPr>
              <w:pStyle w:val="Normal6a"/>
            </w:pPr>
            <w:r>
              <w:t>Chapter 3 - Article 8a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The Solidarity Reserve for Natural Disasters may be used to finance rapid responses to specific emergency needs within the Union for emergency responses and support operations, and the recovery and reconstruction needs following natural and climate related disasters.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The Solidarity Reserve for Natural Disasters shall not exceed a maximum annual amount of EUR XXXX million (in 2025 prices</w:t>
            </w:r>
            <w:r>
              <w:t>)</w:t>
            </w:r>
            <w:r>
              <w:rPr>
                <w:b/>
                <w:i/>
              </w:rPr>
              <w:t>. Any portion of the annual amount not used in year n may be used in the following years until 2034. On 1 October of each year, at least one quarter of the annual amount of the Solidarity Reserve for Natural Disasters shall remain available in order to cover needs arising until the end of that year. In exceptional cases and if the remaining financial resources available are not sufficient to cover the amounts considered necessary in the year of occurrence of an event as referred to in paragraph 1, the Commission may propose that the difference be financed through the annual amount referred to in paragraph 2 available in the following year, up to a maximum amount of EUR XXX million (in 2025 prices).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The appropriations for the Solidarity Reserve for Natural Disasters shall be entered in the general budget of the Union as a provision.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993</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56 – point iii – paragraph 60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Mid-term revision of the MFF and extraordinary revision clause in case of a defence emergency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994</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56 – point iii – paragraph 63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Chapter 4 - Article 9 – paragraph </w:t>
            </w:r>
            <w:r>
              <w:rPr>
                <w:b/>
                <w:i/>
              </w:rPr>
              <w:t>1a (new)</w:t>
            </w:r>
          </w:p>
        </w:tc>
        <w:tc>
          <w:tcPr>
            <w:tcW w:w="4876" w:type="dxa"/>
            <w:tcBorders>
              <w:top w:val="nil"/>
              <w:left w:val="nil"/>
              <w:bottom w:val="nil"/>
              <w:right w:val="nil"/>
            </w:tcBorders>
          </w:tcPr>
          <w:p>
            <w:pPr>
              <w:pStyle w:val="Normal6a"/>
            </w:pPr>
            <w:r>
              <w:t xml:space="preserve">Chapter 4 - Article 9 – paragraph </w:t>
            </w:r>
            <w:r>
              <w:rPr>
                <w:b/>
                <w:i/>
              </w:rPr>
              <w:t>1b (new)</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 In the event of a major defence crisis, including armed aggression against a Member-State of the Union, the Commission shall present a review of the functioning of the MFF, allowing the rapid mobilisation of additional funding, strictly purpose-bound and time-limited. This review shall, as appropriate, be accompanied by a legislative proposal for the revision of this Regulation in accordance with the procedures set out in the TFEU. Pre-allocated national envelopes according to the Regulation XXXX/2027 [NRPPs] shall not be reduced through such a revision.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995</w:t>
      </w:r>
      <w:r>
        <w:rPr>
          <w:rStyle w:val="HideTWBExt"/>
        </w:rPr>
        <w:t>&lt;/NumAm&gt;</w:t>
      </w:r>
    </w:p>
    <w:p>
      <w:pPr>
        <w:pStyle w:val="NormalBold"/>
      </w:pPr>
      <w:r>
        <w:rPr>
          <w:rStyle w:val="HideTWBExt"/>
          <w:b w:val="0"/>
        </w:rPr>
        <w:t>&lt;RepeatBlock-By&gt;</w:t>
      </w:r>
      <w:r>
        <w:rPr>
          <w:rStyle w:val="HideTWBExt"/>
          <w:b w:val="0"/>
        </w:rPr>
        <w:t>&lt;Members&gt;</w:t>
      </w:r>
      <w:r>
        <w:t>Siegfried Mureşan, Carla Tavares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57 – subparagraph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Section A – point </w:t>
            </w:r>
            <w:r>
              <w:rPr>
                <w:b/>
                <w:i/>
              </w:rPr>
              <w:t>7</w:t>
            </w:r>
          </w:p>
        </w:tc>
        <w:tc>
          <w:tcPr>
            <w:tcW w:w="4876" w:type="dxa"/>
            <w:tcBorders>
              <w:top w:val="nil"/>
              <w:left w:val="nil"/>
              <w:bottom w:val="nil"/>
              <w:right w:val="nil"/>
            </w:tcBorders>
          </w:tcPr>
          <w:p>
            <w:pPr>
              <w:pStyle w:val="Normal6a"/>
            </w:pPr>
            <w:r>
              <w:t xml:space="preserve">Section A – point </w:t>
            </w:r>
            <w:r>
              <w:rPr>
                <w:b/>
                <w:i/>
              </w:rPr>
              <w:t>7 7</w:t>
            </w:r>
            <w:r>
              <w:br/>
            </w:r>
            <w:r>
              <w:br/>
            </w:r>
            <w:r>
              <w:rPr>
                <w:b/>
                <w:i/>
              </w:rPr>
              <w:t>In line with Article 312(5) TFEU, the Institutions shall take any measure necessary to facilitate the adoption of a new MFF or a revision thereof, in accordance with the special legislative procedure referred to in Article 312(2) TFEU. Such measures shall include:</w:t>
            </w:r>
            <w:r>
              <w:t xml:space="preserve"> </w:t>
            </w:r>
            <w:r>
              <w:br/>
            </w:r>
            <w:r>
              <w:rPr>
                <w:b/>
                <w:i/>
              </w:rPr>
              <w:t>(a) regular meetings and exchange of information between the European Parliament, the Council and the Commission at political and technical level throughout the entire process, including the presence of the European Parliament’s representatives at formal and informal meetings of the General Affairs Council at which the MFF is discussed;</w:t>
            </w:r>
            <w:r>
              <w:t xml:space="preserve"> </w:t>
            </w:r>
            <w:r>
              <w:br/>
            </w:r>
            <w:r>
              <w:rPr>
                <w:b/>
                <w:i/>
              </w:rPr>
              <w:t>(b) on the initiative of the Commission, including where requested by the European Parliament or the Council, meetings of the Presidents of the Institutions as set out in Article 324 TFEU in order to promote consultation and the reconciliation of the positions of the Institutions; The Commission shall duly follow up, without undue delay, requests from the President of the Parliament or the President of the European Council to convene an interinstitutional meeting pursuant Article 324 TFEU.</w:t>
            </w:r>
            <w:r>
              <w:t xml:space="preserve"> </w:t>
            </w:r>
            <w:r>
              <w:br/>
            </w:r>
            <w:r>
              <w:rPr>
                <w:b/>
                <w:i/>
              </w:rPr>
              <w:t>(c) provision by the Commission of timely data and information, including at the request of the European Parliament or the Council, and the organisation of technical briefings for both institutions;</w:t>
            </w:r>
            <w:r>
              <w:t xml:space="preserve"> </w:t>
            </w:r>
            <w:r>
              <w:br/>
            </w:r>
            <w:r>
              <w:rPr>
                <w:b/>
                <w:i/>
              </w:rPr>
              <w:t>(d) trilateral negotiations. Where a proposal for a new MFF or for a substantial revision has been presented, the Institutions shall seek to determine specific arrangements for cooperation and dialogue between them throughout the procedure leading to its adoption on the basis of a calendar proposed by Commission, including in particular the measures laid down in the first subparagraph. Where there are delays to the calendar referred to in the second subparagraph that give rise to a risk of no Council regulation determining a new financial framework being adopted by the end of the previous financial framework, the Commission shall present a contingency plan to the European Parliament and the Council.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996</w:t>
      </w:r>
      <w:r>
        <w:rPr>
          <w:rStyle w:val="HideTWBExt"/>
        </w:rPr>
        <w:t>&lt;/NumAm&gt;</w:t>
      </w:r>
    </w:p>
    <w:p>
      <w:pPr>
        <w:pStyle w:val="NormalBold"/>
      </w:pPr>
      <w:r>
        <w:rPr>
          <w:rStyle w:val="HideTWBExt"/>
          <w:b w:val="0"/>
        </w:rPr>
        <w:t>&lt;RepeatBlock-By&gt;</w:t>
      </w:r>
      <w:r>
        <w:rPr>
          <w:rStyle w:val="HideTWBExt"/>
          <w:b w:val="0"/>
        </w:rPr>
        <w:t>&lt;Members&gt;</w:t>
      </w:r>
      <w:r>
        <w:t>Siegfried Mureşan, Carla Tavares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57 – subparagraph 73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Before announcing financial pledges, including loans, in support of third countries, which involve the use of flexibilities, cushions or otherwise unallocated amounts, the Commission will inform the budgetary authority and examine its remarks. Before announcing financial pledges, the Commission shall provide detailed and comprehensive information on the source of financing for financial commitments irrespective of whether new resources are to be mobilised.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784.204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84</w:t>
    </w:r>
    <w:r>
      <w:fldChar w:fldCharType="end"/>
    </w:r>
    <w:r>
      <w:t>/</w:t>
    </w:r>
    <w:r>
      <w:fldChar w:fldCharType="begin"/>
    </w:r>
    <w:r>
      <w:instrText xml:space="preserve"> NUMPAGES </w:instrText>
    </w:r>
    <w:r>
      <w:fldChar w:fldCharType="separate"/>
    </w:r>
    <w:r>
      <w:t>85</w:t>
    </w:r>
    <w:r>
      <w:fldChar w:fldCharType="end"/>
    </w:r>
    <w:r>
      <w:tab/>
    </w:r>
    <w:r>
      <w:rPr>
        <w:rStyle w:val="HideTWBExt"/>
      </w:rPr>
      <w:t>&lt;PathFdR&gt;</w:t>
    </w:r>
    <w:r>
      <w:t>AM\1336498EN.docx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AM\1336498EN.docx</w:t>
    </w:r>
    <w:r>
      <w:rPr>
        <w:rStyle w:val="HideTWBExt"/>
      </w:rPr>
      <w:t>&lt;/PathFdR&gt;</w:t>
    </w:r>
    <w:r>
      <w:tab/>
    </w:r>
    <w:r>
      <w:fldChar w:fldCharType="begin"/>
    </w:r>
    <w:r>
      <w:instrText xml:space="preserve"> PAGE </w:instrText>
    </w:r>
    <w:r>
      <w:fldChar w:fldCharType="separate"/>
    </w:r>
    <w:r>
      <w:t>85</w:t>
    </w:r>
    <w:r>
      <w:fldChar w:fldCharType="end"/>
    </w:r>
    <w:r>
      <w:t>/</w:t>
    </w:r>
    <w:r>
      <w:fldChar w:fldCharType="begin"/>
    </w:r>
    <w:r>
      <w:instrText xml:space="preserve"> NUMPAGES </w:instrText>
    </w:r>
    <w:r>
      <w:fldChar w:fldCharType="separate"/>
    </w:r>
    <w:r>
      <w:t>85</w:t>
    </w:r>
    <w:r>
      <w:fldChar w:fldCharType="end"/>
    </w:r>
    <w:r>
      <w:tab/>
    </w:r>
    <w:r>
      <w:t>PE</w:t>
    </w:r>
    <w:r>
      <w:rPr>
        <w:rStyle w:val="HideTWBExt"/>
      </w:rPr>
      <w:t>&lt;NoPE&gt;</w:t>
    </w:r>
    <w:r>
      <w:t>784.204</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AM\1336498EN.docx</w:t>
    </w:r>
    <w:r>
      <w:rPr>
        <w:rStyle w:val="HideTWBExt"/>
      </w:rPr>
      <w:t>&lt;/PathFdR&gt;</w:t>
    </w:r>
    <w:r>
      <w:tab/>
    </w:r>
    <w:r>
      <w:tab/>
    </w:r>
    <w:r>
      <w:t>PE</w:t>
    </w:r>
    <w:r>
      <w:rPr>
        <w:rStyle w:val="HideTWBExt"/>
      </w:rPr>
      <w:t>&lt;NoPE&gt;</w:t>
    </w:r>
    <w:r>
      <w:t>784.204</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85</Pages>
  <Words>22323</Words>
  <Characters>126314</Characters>
  <Application>Microsoft Office Word</Application>
  <DocSecurity>0</DocSecurity>
  <Lines>1</Lines>
  <Paragraphs>1127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1336498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367264</vt:lpwstr>
  </property>
  <property fmtid="{D5CDD505-2E9C-101B-9397-08002B2CF9AE}" pid="7" name="dmxml.render.traceId">
    <vt:lpwstr>6989ccf7615c1d07432c33de173c9dfa</vt:lpwstr>
  </property>
  <property fmtid="{D5CDD505-2E9C-101B-9397-08002B2CF9AE}" pid="8" name="FooterPath">
    <vt:lpwstr>AM\1336498EN.docx</vt:lpwstr>
  </property>
  <property fmtid="{D5CDD505-2E9C-101B-9397-08002B2CF9AE}" pid="9" name="PE Number">
    <vt:lpwstr>784.204</vt:lpwstr>
  </property>
  <property fmtid="{D5CDD505-2E9C-101B-9397-08002B2CF9AE}" pid="10" name="UID">
    <vt:lpwstr>eu.europa.europarl-DIN1-2026-0000020147_02.00-en-01.00_text-xml</vt:lpwstr>
  </property>
</Properties>
</file>