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Budgetudvalget</w:t>
      </w:r>
      <w:r>
        <w:rPr>
          <w:rStyle w:val="HideTWBExt"/>
        </w:rPr>
        <w:t>&lt;/Commission&gt;</w:t>
      </w:r>
    </w:p>
    <w:p>
      <w:pPr>
        <w:pStyle w:val="LineBottom"/>
      </w:pPr>
      <w:r>
        <w:t xml:space="preserve"> </w:t>
      </w:r>
    </w:p>
    <w:p>
      <w:pPr>
        <w:pStyle w:val="CoverReference"/>
      </w:pPr>
      <w:r>
        <w:rPr>
          <w:rStyle w:val="HideTWBExt"/>
        </w:rPr>
        <w:t>&lt;RefProc&gt;</w:t>
      </w:r>
      <w:r>
        <w:t>2026/0038</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{04/03/2026}</w:t>
      </w:r>
      <w:r>
        <w:t>4.3.2026</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27</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Hélder Sousa Silva</w:t>
      </w:r>
      <w:r>
        <w:rPr>
          <w:rStyle w:val="HideTWBExt"/>
        </w:rPr>
        <w:t>&lt;/Rapporteur&gt;</w:t>
      </w:r>
    </w:p>
    <w:p>
      <w:pPr>
        <w:pStyle w:val="CoverNormal24a"/>
      </w:pPr>
      <w:r>
        <w:rPr>
          <w:rStyle w:val="HideTWBExt"/>
        </w:rPr>
        <w:t>&lt;DocRefPE&gt;</w:t>
      </w:r>
      <w:r>
        <w:t>(PE784.477v01-00)</w:t>
      </w:r>
      <w:r>
        <w:rPr>
          <w:rStyle w:val="HideTWBExt"/>
        </w:rPr>
        <w:t>&lt;/DocRefPE&gt;</w:t>
      </w:r>
    </w:p>
    <w:p>
      <w:pPr>
        <w:pStyle w:val="CoverNormal"/>
      </w:pPr>
      <w:r>
        <w:rPr>
          <w:rStyle w:val="HideTWBExt"/>
        </w:rPr>
        <w:t>&lt;Titre&gt;</w:t>
      </w:r>
      <w:r>
        <w:t>Mobilisering af Den Europæiske Fond for Tilpasning til Globaliseringen for Afskedigede Arbejdstagere på baggrund af en ansøgning fra Belgien (EGF/2025/007 BE/Casa)</w:t>
      </w:r>
      <w:r>
        <w:rPr>
          <w:rStyle w:val="HideTWBExt"/>
        </w:rPr>
        <w:t>&lt;/Titre&gt;</w:t>
      </w:r>
    </w:p>
    <w:p>
      <w:pPr>
        <w:pStyle w:val="CoverNormal24a"/>
      </w:pPr>
      <w:r>
        <w:rPr>
          <w:rStyle w:val="HideTWBExt"/>
        </w:rPr>
        <w:t>&lt;DocRef&gt;</w:t>
      </w:r>
      <w:r>
        <w:t>(2026/0038(BUD))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Henvisning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henviser til den europæiske søjle for sociale rettigheder,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tc>
        <w:tc>
          <w:tcPr>
            <w:tcW w:w="4876" w:type="dxa"/>
            <w:tcBorders>
              <w:top w:val="nil"/>
              <w:left w:val="nil"/>
              <w:bottom w:val="nil"/>
              <w:right w:val="nil"/>
            </w:tcBorders>
          </w:tcPr>
          <w:p>
            <w:pPr>
              <w:pStyle w:val="Normal6a"/>
            </w:pPr>
            <w:r>
              <w:t>A.</w:t>
            </w:r>
            <w:r>
              <w:tab/>
            </w:r>
            <w:r>
              <w:t xml:space="preserve">der henviser til, at Unionen har indført lovgivnings- og budgetinstrumenter for at yde supplerende støtte til arbejdstagere, der er ramt af følgerne af gennemgribende strukturelle begivenheder og ændringer i verdenshandelsmønstrene, </w:t>
            </w:r>
            <w:r>
              <w:rPr>
                <w:b/>
                <w:i/>
              </w:rPr>
              <w:t>som forværres af unfair og dereguleret international konkurrence,</w:t>
            </w:r>
            <w:r>
              <w:t xml:space="preserve"> med henblik på at hjælpe dem med at vende tilbage til arbejdsmarkedet; der henviser til, at denne bistand ydes gennem økonomisk støtte til arbejdstagere;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der henviser til, at Casa indgav konkursbegæring den 6. marts 2025; der henviser til, at antallet af konkurser har været stigende i Belgien siden 2022;</w:t>
            </w:r>
          </w:p>
        </w:tc>
        <w:tc>
          <w:tcPr>
            <w:tcW w:w="4876" w:type="dxa"/>
            <w:tcBorders>
              <w:top w:val="nil"/>
              <w:left w:val="nil"/>
              <w:bottom w:val="nil"/>
              <w:right w:val="nil"/>
            </w:tcBorders>
          </w:tcPr>
          <w:p>
            <w:pPr>
              <w:pStyle w:val="Normal6a"/>
            </w:pPr>
            <w:r>
              <w:t>D.</w:t>
            </w:r>
            <w:r>
              <w:tab/>
            </w:r>
            <w:r>
              <w:t>der henviser til, at Casa indgav konkursbegæring den 6. marts 2025; der henviser til, at antallet af konkurser har været stigende i Belgien siden 2022</w:t>
            </w:r>
            <w:r>
              <w:rPr>
                <w:b/>
                <w:i/>
              </w:rPr>
              <w:t>, navnlig i detailsektoren, som gennemgår en gennemgribende strukturel omstilling som følge af stigningen i e-handel og ændrede forbrugervaner</w:t>
            </w:r>
            <w:r>
              <w:t xml:space="preserve">; </w:t>
            </w:r>
            <w:r>
              <w:rPr>
                <w:b/>
                <w:i/>
              </w:rPr>
              <w:t>der henviser til, at disse forstyrrelser påvirker lavtlønnede arbejdstagere, deltidsansatte og arbejdstagere med usikre ansættelsesforhold, hvoraf mange er kvinder;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Casa indgav konkursbegæring den 6. marts 2025; der henviser til, at antallet af konkurser har været stigende i </w:t>
            </w:r>
            <w:r>
              <w:rPr>
                <w:b/>
                <w:i/>
              </w:rPr>
              <w:t>Belgien</w:t>
            </w:r>
            <w:r>
              <w:t xml:space="preserve"> siden 2022;</w:t>
            </w:r>
          </w:p>
        </w:tc>
        <w:tc>
          <w:tcPr>
            <w:tcW w:w="4876" w:type="dxa"/>
            <w:tcBorders>
              <w:top w:val="nil"/>
              <w:left w:val="nil"/>
              <w:bottom w:val="nil"/>
              <w:right w:val="nil"/>
            </w:tcBorders>
          </w:tcPr>
          <w:p>
            <w:pPr>
              <w:pStyle w:val="Normal6a"/>
            </w:pPr>
            <w:r>
              <w:t>D.</w:t>
            </w:r>
            <w:r>
              <w:tab/>
            </w:r>
            <w:r>
              <w:t xml:space="preserve">der henviser til, at Casa indgav konkursbegæring den 6. marts 2025; der henviser til, at antallet af konkurser har været stigende i </w:t>
            </w:r>
            <w:r>
              <w:rPr>
                <w:b/>
                <w:i/>
              </w:rPr>
              <w:t>Europa</w:t>
            </w:r>
            <w:r>
              <w:t xml:space="preserve"> siden 2022</w:t>
            </w:r>
            <w:r>
              <w:rPr>
                <w:b/>
                <w:i/>
              </w:rPr>
              <w:t>, hovedsagelig som følge af inflation og en energikrise, der til dels skyldes det europæiske energimarkedssystem, som har fået priserne til at eksplodere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der henviser til, at detailsektoren beskæftiger en høj andel af kvindelige arbejdstagere, ofte som deltidsansatte og i lavtlønnede stillinger;</w:t>
            </w:r>
            <w:r>
              <w:t xml:space="preserve"> </w:t>
            </w:r>
            <w:r>
              <w:rPr>
                <w:b/>
                <w:i/>
              </w:rPr>
              <w:t>der henviser til, at det derfor er afgørende, at de støtteforanstaltninger, der tilbydes under denne EGF-ansøgning, er skræddersyet til at imødekomme de specifikke behov og hindringer, som kvinder står over for med hensyn til at vende tilbage til arbejdsmarkedet, herunder fleksible uddannelsesplaner og adgang til børnepasningsstøtte;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den økonomiske støtte fra EGF primært bør være rettet mod aktive arbejdsmarkedspolitiske foranstaltninger og individualiserede tilbud, som har til formål hurtigt at reintegrere støttemodtagerne </w:t>
            </w:r>
            <w:r>
              <w:rPr>
                <w:b/>
                <w:i/>
              </w:rPr>
              <w:t>i anstændig og bæredygtig beskæftigelse og</w:t>
            </w:r>
            <w:r>
              <w:t xml:space="preserve"> tilbyde dem uddannelse i færdigheder for at lette deres adgang til arbejdsmarkedet</w:t>
            </w:r>
            <w:r>
              <w:rPr>
                <w:b/>
                <w:i/>
              </w:rPr>
              <w:t>, samtidig med at de gøres parate til en grønnere og mere digital europæisk økonomi</w:t>
            </w:r>
            <w:r>
              <w:t>;</w:t>
            </w:r>
          </w:p>
        </w:tc>
        <w:tc>
          <w:tcPr>
            <w:tcW w:w="4876" w:type="dxa"/>
            <w:tcBorders>
              <w:top w:val="nil"/>
              <w:left w:val="nil"/>
              <w:bottom w:val="nil"/>
              <w:right w:val="nil"/>
            </w:tcBorders>
          </w:tcPr>
          <w:p>
            <w:pPr>
              <w:pStyle w:val="Normal6a"/>
            </w:pPr>
            <w:r>
              <w:t>G.</w:t>
            </w:r>
            <w:r>
              <w:tab/>
            </w:r>
            <w:r>
              <w:t xml:space="preserve">der henviser til, at den økonomiske støtte fra EGF primært bør være rettet mod aktive arbejdsmarkedspolitiske foranstaltninger og individualiserede tilbud, som har til formål hurtigt at reintegrere støttemodtagerne </w:t>
            </w:r>
            <w:r>
              <w:rPr>
                <w:b/>
                <w:i/>
              </w:rPr>
              <w:t>på arbejdsmarkedet og samtidig</w:t>
            </w:r>
            <w:r>
              <w:t xml:space="preserve"> tilbyde dem uddannelse i færdigheder for at lette deres adgang til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den økonomiske støtte fra EGF primært bør være rettet mod aktive arbejdsmarkedspolitiske foranstaltninger og individualiserede tilbud, som har til formål hurtigt at reintegrere støttemodtagerne i anstændig og bæredygtig beskæftigelse og tilbyde dem uddannelse i færdigheder for at lette deres adgang til arbejdsmarkedet, samtidig med at de gøres parate til en </w:t>
            </w:r>
            <w:r>
              <w:rPr>
                <w:b/>
                <w:i/>
              </w:rPr>
              <w:t>grønnere og</w:t>
            </w:r>
            <w:r>
              <w:t xml:space="preserve"> mere digital europæisk økonomi;</w:t>
            </w:r>
          </w:p>
        </w:tc>
        <w:tc>
          <w:tcPr>
            <w:tcW w:w="4876" w:type="dxa"/>
            <w:tcBorders>
              <w:top w:val="nil"/>
              <w:left w:val="nil"/>
              <w:bottom w:val="nil"/>
              <w:right w:val="nil"/>
            </w:tcBorders>
          </w:tcPr>
          <w:p>
            <w:pPr>
              <w:pStyle w:val="Normal6a"/>
            </w:pPr>
            <w:r>
              <w:t>G.</w:t>
            </w:r>
            <w:r>
              <w:tab/>
            </w:r>
            <w:r>
              <w:t xml:space="preserve">der henviser til, at den økonomiske støtte fra EGF primært bør være rettet mod aktive arbejdsmarkedspolitiske foranstaltninger og individualiserede tilbud, som har til formål hurtigt at reintegrere støttemodtagerne i anstændig og bæredygtig beskæftigelse og tilbyde dem uddannelse i færdigheder for at lette deres adgang til arbejdsmarkedet, samtidig med at de gøres parate til en mere </w:t>
            </w:r>
            <w:r>
              <w:rPr>
                <w:b/>
                <w:i/>
              </w:rPr>
              <w:t>konkurrencedygtig,</w:t>
            </w:r>
            <w:r>
              <w:t xml:space="preserve"> digital </w:t>
            </w:r>
            <w:r>
              <w:rPr>
                <w:b/>
                <w:i/>
              </w:rPr>
              <w:t>og genindustrialiseret</w:t>
            </w:r>
            <w:r>
              <w:t> europæisk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er enig med Kommissionen i, at betingelserne i EGF-forordningen og særlig i</w:t>
            </w:r>
            <w:r>
              <w:t xml:space="preserve"> artikel </w:t>
            </w:r>
            <w:r>
              <w:rPr>
                <w:b/>
                <w:i/>
              </w:rPr>
              <w:t>4, stk. 2, litra a), er opfyldt, og at Belgien</w:t>
            </w:r>
            <w:r>
              <w:t xml:space="preserve"> derfor er berettiget </w:t>
            </w:r>
            <w:r>
              <w:rPr>
                <w:b/>
                <w:i/>
              </w:rPr>
              <w:t>til økonomisk støtte på 1 916 733 EUR i henhold til nævnte forordning, hvilket svarer til 85 % af de samlede omkostninger på 2 254 980 EUR og omfatter udgifterne til individualiserede tilbud på 2 168 980 EUR samt udgifter til forberedende arbejde, forvaltning, oplysning, offentlig omtale, kontrol- og rapporteringsaktiviteter på 86 000 EUR</w:t>
            </w:r>
            <w:r>
              <w:t>;</w:t>
            </w:r>
          </w:p>
        </w:tc>
        <w:tc>
          <w:tcPr>
            <w:tcW w:w="4876" w:type="dxa"/>
            <w:tcBorders>
              <w:top w:val="nil"/>
              <w:left w:val="nil"/>
              <w:bottom w:val="nil"/>
              <w:right w:val="nil"/>
            </w:tcBorders>
          </w:tcPr>
          <w:p>
            <w:pPr>
              <w:pStyle w:val="Normal6a"/>
            </w:pPr>
            <w:r>
              <w:rPr>
                <w:b/>
                <w:i/>
              </w:rPr>
              <w:t>1.</w:t>
            </w:r>
            <w:r>
              <w:tab/>
            </w:r>
            <w:r>
              <w:rPr>
                <w:b/>
                <w:i/>
              </w:rPr>
              <w:t>mener, at arbejdsmarkedspolitik og støtte til arbejdstagerne, der er berørt af konkurser, primært henhører under medlemsstaternes kompetence i overensstemmelse med nærhedsprincippet, jf.</w:t>
            </w:r>
            <w:r>
              <w:t xml:space="preserve"> artikel </w:t>
            </w:r>
            <w:r>
              <w:rPr>
                <w:b/>
                <w:i/>
              </w:rPr>
              <w:t>5 i TEU;</w:t>
            </w:r>
            <w:r>
              <w:t xml:space="preserve"> </w:t>
            </w:r>
            <w:r>
              <w:rPr>
                <w:b/>
                <w:i/>
              </w:rPr>
              <w:t>mener</w:t>
            </w:r>
            <w:r>
              <w:t xml:space="preserve"> derfor</w:t>
            </w:r>
            <w:r>
              <w:rPr>
                <w:b/>
                <w:i/>
              </w:rPr>
              <w:t>, at anvendelsen af EGF ikke</w:t>
            </w:r>
            <w:r>
              <w:t xml:space="preserve"> er berettiget;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bemærker, at de belgiske myndigheder indgav ansøgningen den 23. september 2025, og at Kommissionen efter at have modtaget yderligere oplysninger fra Belgien den 6. februar 2026 afsluttede sin vurdering heraf og fremsendte den til Parlamentet den 11. februar 2026;</w:t>
            </w:r>
          </w:p>
        </w:tc>
        <w:tc>
          <w:tcPr>
            <w:tcW w:w="4876" w:type="dxa"/>
            <w:tcBorders>
              <w:top w:val="nil"/>
              <w:left w:val="nil"/>
              <w:bottom w:val="nil"/>
              <w:right w:val="nil"/>
            </w:tcBorders>
          </w:tcPr>
          <w:p>
            <w:pPr>
              <w:pStyle w:val="Normal6a"/>
            </w:pPr>
            <w:r>
              <w:t>2.</w:t>
            </w:r>
            <w:r>
              <w:tab/>
            </w:r>
            <w:r>
              <w:t xml:space="preserve">bemærker, at de belgiske myndigheder indgav ansøgningen den 23. september 2025, og at Kommissionen efter at have modtaget yderligere oplysninger fra Belgien den 6. februar 2026 afsluttede sin vurdering heraf og fremsendte den til Parlamentet den 11. februar 2026; </w:t>
            </w:r>
            <w:r>
              <w:rPr>
                <w:b/>
                <w:i/>
              </w:rPr>
              <w:t>understreger betydningen af at afkorte tidsrummet mellem indgivelsen af en ansøgning om EGF-støtte og finansieringsafgørelsen, samtidig med at Europa-Parlamentets rettigheder som den ene af budgetmyndighedens to parter beskyttes fuldt 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noterer sig, at Casa oplevede finansielle vanskeligheder i flere år forud for konkurserklæringen som følge af den stigende udbredelse af e-handel, øget international konkurrence og urimelige konkurrencevilkår, hvilket i sidste ende resulterede i alvorlig likviditetsmangel og manglende evne til at identificere potentielle købere til virksomheden;</w:t>
            </w:r>
          </w:p>
        </w:tc>
        <w:tc>
          <w:tcPr>
            <w:tcW w:w="4876" w:type="dxa"/>
            <w:tcBorders>
              <w:top w:val="nil"/>
              <w:left w:val="nil"/>
              <w:bottom w:val="nil"/>
              <w:right w:val="nil"/>
            </w:tcBorders>
          </w:tcPr>
          <w:p>
            <w:pPr>
              <w:pStyle w:val="Normal6a"/>
            </w:pPr>
            <w:r>
              <w:t>4</w:t>
            </w:r>
            <w:r>
              <w:rPr>
                <w:b/>
                <w:i/>
              </w:rPr>
              <w:t>.</w:t>
            </w:r>
            <w:r>
              <w:tab/>
            </w:r>
            <w:r>
              <w:t xml:space="preserve">noterer sig, at Casa oplevede finansielle vanskeligheder i flere år forud for konkurserklæringen som følge af den stigende udbredelse af e-handel, øget international konkurrence og urimelige konkurrencevilkår, hvilket i sidste ende resulterede i alvorlig likviditetsmangel og manglende evne til at identificere potentielle købere til virksomheden; </w:t>
            </w:r>
            <w:r>
              <w:rPr>
                <w:b/>
                <w:i/>
              </w:rPr>
              <w:t>fremhæver behovet for at styrke virksomhedsledelsens kapacitet til at forebygge afskedigelser ved at tilpasse sig den nuværende geopolitiske kontekst og til proaktivt at håndtere større omstruktureringer;</w:t>
            </w:r>
            <w:r>
              <w:t xml:space="preserve"> </w:t>
            </w:r>
            <w:r>
              <w:rPr>
                <w:b/>
                <w:i/>
              </w:rPr>
              <w:t>opfordrer derfor medlemsstaterne til at anvende de tilgængelige EU-midler til dette formål, herunder innovative erhvervsuddannelser;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noterer sig, at Casa oplevede finansielle vanskeligheder i flere år forud for konkurserklæringen som følge af den stigende udbredelse af e-handel, øget international konkurrence og urimelige konkurrencevilkår, hvilket i sidste ende resulterede i alvorlig likviditetsmangel og manglende evne til at identificere potentielle købere til virksomheden;</w:t>
            </w:r>
          </w:p>
        </w:tc>
        <w:tc>
          <w:tcPr>
            <w:tcW w:w="4876" w:type="dxa"/>
            <w:tcBorders>
              <w:top w:val="nil"/>
              <w:left w:val="nil"/>
              <w:bottom w:val="nil"/>
              <w:right w:val="nil"/>
            </w:tcBorders>
          </w:tcPr>
          <w:p>
            <w:pPr>
              <w:pStyle w:val="Normal6a"/>
            </w:pPr>
            <w:r>
              <w:t>4</w:t>
            </w:r>
            <w:r>
              <w:rPr>
                <w:b/>
                <w:i/>
              </w:rPr>
              <w:t>.</w:t>
            </w:r>
            <w:r>
              <w:tab/>
            </w:r>
            <w:r>
              <w:t xml:space="preserve">noterer sig, at Casa oplevede finansielle vanskeligheder i flere år forud for konkurserklæringen som følge af den stigende udbredelse af e-handel, øget international konkurrence og urimelige konkurrencevilkår, </w:t>
            </w:r>
            <w:r>
              <w:rPr>
                <w:b/>
                <w:i/>
              </w:rPr>
              <w:t>som blev forværret af Kommissionens frihandelsepolitikker og dens manglende beskyttelse af det indre marked,</w:t>
            </w:r>
            <w:r>
              <w:t xml:space="preserve"> hvilket i sidste ende resulterede i alvorlig likviditetsmangel og manglende evne til at identificere potentielle købere til virksomheden;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noterer sig, at Casa oplevede finansielle vanskeligheder i flere år forud for konkurserklæringen som følge af </w:t>
            </w:r>
            <w:r>
              <w:rPr>
                <w:b/>
                <w:i/>
              </w:rPr>
              <w:t>den stigende udbredelse af e-handel, øget international konkurrence og urimelige konkurrencevilkår, hvilket i sidste ende resulterede i alvorlig likviditetsmangel og manglende evne til at identificere potentielle købere til virksomheden</w:t>
            </w:r>
            <w:r>
              <w:t>;</w:t>
            </w:r>
          </w:p>
        </w:tc>
        <w:tc>
          <w:tcPr>
            <w:tcW w:w="4876" w:type="dxa"/>
            <w:tcBorders>
              <w:top w:val="nil"/>
              <w:left w:val="nil"/>
              <w:bottom w:val="nil"/>
              <w:right w:val="nil"/>
            </w:tcBorders>
          </w:tcPr>
          <w:p>
            <w:pPr>
              <w:pStyle w:val="Normal6a"/>
            </w:pPr>
            <w:r>
              <w:t>4</w:t>
            </w:r>
            <w:r>
              <w:rPr>
                <w:b/>
                <w:i/>
              </w:rPr>
              <w:t>.</w:t>
            </w:r>
            <w:r>
              <w:tab/>
            </w:r>
            <w:r>
              <w:t>noterer sig, at Casa oplevede finansielle vanskeligheder i flere år forud for konkurserklæringen</w:t>
            </w:r>
            <w:r>
              <w:rPr>
                <w:b/>
                <w:i/>
              </w:rPr>
              <w:t>, primært</w:t>
            </w:r>
            <w:r>
              <w:t xml:space="preserve"> som følge af </w:t>
            </w:r>
            <w:r>
              <w:rPr>
                <w:b/>
                <w:i/>
              </w:rPr>
              <w:t>strukturelle og ledelsesmæssige udfordringer på virksomhedsniveau og bredere økonomiske forhold i medlemsstaten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noterer sig, at de afskedigede salgsassistenter har de mest gunstige beskæftigelsesudsigter, mens lagerarbejderne står over for større vanskeligheder med at finde et nyt job og har brug for yderligere støtte gennem opkvalificering, omskoling, flytning eller omplacering; opfordrer de belgiske myndigheder til at yde specifik skræddersyet støtte med henblik på at hjælpe arbejdstagerne med at overvinde deres begrænsninger og finde nye job, der er i overensstemmelse med arbejdsmarkedets behov;</w:t>
            </w:r>
          </w:p>
        </w:tc>
        <w:tc>
          <w:tcPr>
            <w:tcW w:w="4876" w:type="dxa"/>
            <w:tcBorders>
              <w:top w:val="nil"/>
              <w:left w:val="nil"/>
              <w:bottom w:val="nil"/>
              <w:right w:val="nil"/>
            </w:tcBorders>
          </w:tcPr>
          <w:p>
            <w:pPr>
              <w:pStyle w:val="Normal6a"/>
            </w:pPr>
            <w:r>
              <w:t>5.</w:t>
            </w:r>
            <w:r>
              <w:tab/>
            </w:r>
            <w:r>
              <w:t xml:space="preserve">noterer sig, at de afskedigede salgsassistenter har de mest gunstige beskæftigelsesudsigter, mens lagerarbejderne står over for større vanskeligheder med at finde et nyt job og har brug for yderligere støtte gennem opkvalificering, omskoling, flytning eller omplacering; opfordrer de belgiske myndigheder til at yde specifik skræddersyet støtte med henblik på at hjælpe arbejdstagerne med at overvinde deres begrænsninger og finde nye job, der er i overensstemmelse med arbejdsmarkedets behov; </w:t>
            </w:r>
            <w:r>
              <w:rPr>
                <w:b/>
                <w:i/>
              </w:rPr>
              <w:t>understreger, at reintegration af afskedigede arbejdstagere er afgørende for en fremtidssikret europæisk økonomi med et stærkt industrigrundlag;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noterer sig, at de afskedigede salgsassistenter har de mest gunstige beskæftigelsesudsigter, mens lagerarbejderne står over for større vanskeligheder med at finde et nyt job og har brug for yderligere støtte gennem opkvalificering, omskoling, flytning eller omplacering; opfordrer </w:t>
            </w:r>
            <w:r>
              <w:rPr>
                <w:b/>
                <w:i/>
              </w:rPr>
              <w:t>de belgiske myndigheder</w:t>
            </w:r>
            <w:r>
              <w:t xml:space="preserve"> til </w:t>
            </w:r>
            <w:r>
              <w:rPr>
                <w:b/>
                <w:i/>
              </w:rPr>
              <w:t>at yde</w:t>
            </w:r>
            <w:r>
              <w:t xml:space="preserve"> specifik skræddersyet støtte </w:t>
            </w:r>
            <w:r>
              <w:rPr>
                <w:b/>
                <w:i/>
              </w:rPr>
              <w:t>med henblik på</w:t>
            </w:r>
            <w:r>
              <w:t xml:space="preserve"> at hjælpe arbejdstagerne med at </w:t>
            </w:r>
            <w:r>
              <w:rPr>
                <w:b/>
                <w:i/>
              </w:rPr>
              <w:t>overvinde</w:t>
            </w:r>
            <w:r>
              <w:t xml:space="preserve"> deres </w:t>
            </w:r>
            <w:r>
              <w:rPr>
                <w:b/>
                <w:i/>
              </w:rPr>
              <w:t>begrænsninger</w:t>
            </w:r>
            <w:r>
              <w:t xml:space="preserve"> og finde nye job, der er i overensstemmelse med </w:t>
            </w:r>
            <w:r>
              <w:rPr>
                <w:b/>
                <w:i/>
              </w:rPr>
              <w:t>arbejdsmarkedets behov</w:t>
            </w:r>
            <w:r>
              <w:t>;</w:t>
            </w:r>
          </w:p>
        </w:tc>
        <w:tc>
          <w:tcPr>
            <w:tcW w:w="4876" w:type="dxa"/>
            <w:tcBorders>
              <w:top w:val="nil"/>
              <w:left w:val="nil"/>
              <w:bottom w:val="nil"/>
              <w:right w:val="nil"/>
            </w:tcBorders>
          </w:tcPr>
          <w:p>
            <w:pPr>
              <w:pStyle w:val="Normal6a"/>
            </w:pPr>
            <w:r>
              <w:t>5.</w:t>
            </w:r>
            <w:r>
              <w:tab/>
            </w:r>
            <w:r>
              <w:t>noterer sig, at de afskedigede salgsassistenter har de mest gunstige beskæftigelsesudsigter, mens lagerarbejderne står over for større vanskeligheder med at finde et nyt job og har brug for yderligere støtte gennem opkvalificering, omskoling, flytning eller omplacering</w:t>
            </w:r>
            <w:r>
              <w:rPr>
                <w:b/>
                <w:i/>
              </w:rPr>
              <w:t>, samtidig med at lokal beskæftigelse prioriteres for at undgå tvungen geografisk mobilitet</w:t>
            </w:r>
            <w:r>
              <w:t>; opfordrer til</w:t>
            </w:r>
            <w:r>
              <w:rPr>
                <w:b/>
                <w:i/>
              </w:rPr>
              <w:t>, at der ydes</w:t>
            </w:r>
            <w:r>
              <w:t xml:space="preserve"> specifik skræddersyet støtte </w:t>
            </w:r>
            <w:r>
              <w:rPr>
                <w:b/>
                <w:i/>
              </w:rPr>
              <w:t>for</w:t>
            </w:r>
            <w:r>
              <w:t xml:space="preserve"> at hjælpe arbejdstagerne med at </w:t>
            </w:r>
            <w:r>
              <w:rPr>
                <w:b/>
                <w:i/>
              </w:rPr>
              <w:t>forbedre</w:t>
            </w:r>
            <w:r>
              <w:t xml:space="preserve"> deres </w:t>
            </w:r>
            <w:r>
              <w:rPr>
                <w:b/>
                <w:i/>
              </w:rPr>
              <w:t>færdigheder</w:t>
            </w:r>
            <w:r>
              <w:t xml:space="preserve"> og finde nye job, der er i overensstemmelse med </w:t>
            </w:r>
            <w:r>
              <w:rPr>
                <w:b/>
                <w:i/>
              </w:rPr>
              <w:t>de lokale arbejdsmarkedsbehov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understreger vigtigheden af at have et erhvervsvenligt miljø, som gør det muligt for virksomhederne at forblive konkurrencedygtige, skaber arbejdspladser og bidrager til bæredygtig økonomisk vækst;</w:t>
            </w:r>
          </w:p>
        </w:tc>
        <w:tc>
          <w:tcPr>
            <w:tcW w:w="4876" w:type="dxa"/>
            <w:tcBorders>
              <w:top w:val="nil"/>
              <w:left w:val="nil"/>
              <w:bottom w:val="nil"/>
              <w:right w:val="nil"/>
            </w:tcBorders>
          </w:tcPr>
          <w:p>
            <w:pPr>
              <w:pStyle w:val="Normal6a"/>
            </w:pPr>
            <w:r>
              <w:t>6.</w:t>
            </w:r>
            <w:r>
              <w:tab/>
            </w:r>
            <w:r>
              <w:t xml:space="preserve">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w:t>
            </w:r>
            <w:r>
              <w:rPr>
                <w:b/>
                <w:i/>
              </w:rPr>
              <w:t>fremhæver, at risikoen for arbejdsløshed i Flandern er over dobbelt så stor for personer med et lavt uddannelsesniveau;</w:t>
            </w:r>
            <w:r>
              <w:t xml:space="preserve"> understreger vigtigheden af at have et erhvervsvenligt miljø, som gør det muligt for virksomhederne at forblive konkurrencedygtige, skaber arbejdspladser og bidrager til bæredygtig økonomisk vækst;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understreger vigtigheden af at have et erhvervsvenligt miljø, som gør det muligt for virksomhederne at forblive konkurrencedygtige, skaber arbejdspladser og bidrager til </w:t>
            </w:r>
            <w:r>
              <w:rPr>
                <w:b/>
                <w:i/>
              </w:rPr>
              <w:t>bæredygtig</w:t>
            </w:r>
            <w:r>
              <w:t xml:space="preserve"> økonomisk vækst;</w:t>
            </w:r>
          </w:p>
        </w:tc>
        <w:tc>
          <w:tcPr>
            <w:tcW w:w="4876" w:type="dxa"/>
            <w:tcBorders>
              <w:top w:val="nil"/>
              <w:left w:val="nil"/>
              <w:bottom w:val="nil"/>
              <w:right w:val="nil"/>
            </w:tcBorders>
          </w:tcPr>
          <w:p>
            <w:pPr>
              <w:pStyle w:val="Normal6a"/>
            </w:pPr>
            <w:r>
              <w:t>6.</w:t>
            </w:r>
            <w:r>
              <w:tab/>
            </w:r>
            <w:r>
              <w:t xml:space="preserve">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understreger vigtigheden af at have et erhvervsvenligt miljø </w:t>
            </w:r>
            <w:r>
              <w:rPr>
                <w:b/>
                <w:i/>
              </w:rPr>
              <w:t>uden overdreven europæisk overregulering</w:t>
            </w:r>
            <w:r>
              <w:t xml:space="preserve">, som gør det muligt for virksomhederne at forblive konkurrencedygtige, skaber arbejdspladser og bidrager til </w:t>
            </w:r>
            <w:r>
              <w:rPr>
                <w:b/>
                <w:i/>
              </w:rPr>
              <w:t>reel</w:t>
            </w:r>
            <w:r>
              <w:t xml:space="preserve"> økonomisk vækst;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understreger </w:t>
            </w:r>
            <w:r>
              <w:rPr>
                <w:b/>
                <w:i/>
              </w:rPr>
              <w:t>vigtigheden af at have et erhvervsvenligt miljø, som gør det muligt for virksomhederne at forblive konkurrencedygtige, skaber arbejdspladser og bidrager til</w:t>
            </w:r>
            <w:r>
              <w:t xml:space="preserve"> bæredygtig </w:t>
            </w:r>
            <w:r>
              <w:rPr>
                <w:b/>
                <w:i/>
              </w:rPr>
              <w:t>økonomisk vækst</w:t>
            </w:r>
            <w:r>
              <w:t>;</w:t>
            </w:r>
          </w:p>
        </w:tc>
        <w:tc>
          <w:tcPr>
            <w:tcW w:w="4876" w:type="dxa"/>
            <w:tcBorders>
              <w:top w:val="nil"/>
              <w:left w:val="nil"/>
              <w:bottom w:val="nil"/>
              <w:right w:val="nil"/>
            </w:tcBorders>
          </w:tcPr>
          <w:p>
            <w:pPr>
              <w:pStyle w:val="Normal6a"/>
            </w:pPr>
            <w:r>
              <w:t>6.</w:t>
            </w:r>
            <w:r>
              <w:tab/>
            </w:r>
            <w:r>
              <w:t>beklager, at stigningen i antallet af konkurser i løbet af de seneste to år har haft negativ indvirkning på beskæftigelsesgraden i visse regioner i Belgien, navnlig i Bruxelles og Olen (Provinsen Antwerpen); bemærker, at omkring 45 000 arbejdspladser gik tabt i Belgien inden for 18 måneder på grund af konkurser, hovedsagelig i Flandern; understreger</w:t>
            </w:r>
            <w:r>
              <w:rPr>
                <w:b/>
                <w:i/>
              </w:rPr>
              <w:t>, at</w:t>
            </w:r>
            <w:r>
              <w:t xml:space="preserve"> bæredygtig </w:t>
            </w:r>
            <w:r>
              <w:rPr>
                <w:b/>
                <w:i/>
              </w:rPr>
              <w:t>jobskabelse primært afhænger af sunde nationale økonomiske politikker, reducerede reguleringsmæssige byrder og konkurrencedygtig beskatning snarere end af midlertidige finansielle EU-instrumenter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Unionens langsigtede økonomiske og sociale modstandsdygtighed;</w:t>
            </w:r>
          </w:p>
        </w:tc>
        <w:tc>
          <w:tcPr>
            <w:tcW w:w="4876" w:type="dxa"/>
            <w:tcBorders>
              <w:top w:val="nil"/>
              <w:left w:val="nil"/>
              <w:bottom w:val="nil"/>
              <w:right w:val="nil"/>
            </w:tcBorders>
          </w:tcPr>
          <w:p>
            <w:pPr>
              <w:pStyle w:val="Normal6a"/>
            </w:pPr>
            <w:r>
              <w:t>7.</w:t>
            </w:r>
            <w:r>
              <w:tab/>
            </w:r>
            <w:r>
              <w:t xml:space="preserve">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Unionens langsigtede økonomiske og sociale modstandsdygtighed; </w:t>
            </w:r>
            <w:r>
              <w:rPr>
                <w:b/>
                <w:i/>
              </w:rPr>
              <w:t>understreger, at fagforeningsrepræsentanter bør inddrages under hele gennemførelsen af EGF-foranstaltningerne, herunder overvågningsfasen, for at sikre kvaliteten og relevansen af den støtte, der tilbydes støttemodtagerne;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Unionens langsigtede økonomiske og sociale modstandsdygtighed;</w:t>
            </w:r>
          </w:p>
        </w:tc>
        <w:tc>
          <w:tcPr>
            <w:tcW w:w="4876" w:type="dxa"/>
            <w:tcBorders>
              <w:top w:val="nil"/>
              <w:left w:val="nil"/>
              <w:bottom w:val="nil"/>
              <w:right w:val="nil"/>
            </w:tcBorders>
          </w:tcPr>
          <w:p>
            <w:pPr>
              <w:pStyle w:val="Normal6a"/>
            </w:pPr>
            <w:r>
              <w:t>7.</w:t>
            </w:r>
            <w:r>
              <w:tab/>
            </w:r>
            <w:r>
              <w:t xml:space="preserve">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Unionens langsigtede økonomiske og sociale modstandsdygtighed; </w:t>
            </w:r>
            <w:r>
              <w:rPr>
                <w:b/>
                <w:i/>
              </w:rPr>
              <w:t>minder om, at lignende foranstaltninger kan finansieres gennem eksisterende nationale instrumenter og Den Europæiske Socialfond Plus (ESF+), hvilket giver anledning til bekymring med hensyn til overlapninger og effektiviteten af Unionens udgifter;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w:t>
            </w:r>
            <w:r>
              <w:rPr>
                <w:b/>
                <w:i/>
              </w:rPr>
              <w:t>Unionens</w:t>
            </w:r>
            <w:r>
              <w:t xml:space="preserve"> langsigtede økonomiske </w:t>
            </w:r>
            <w:r>
              <w:rPr>
                <w:b/>
                <w:i/>
              </w:rPr>
              <w:t>og sociale</w:t>
            </w:r>
            <w:r>
              <w:t xml:space="preserve"> modstandsdygtighed;</w:t>
            </w:r>
          </w:p>
        </w:tc>
        <w:tc>
          <w:tcPr>
            <w:tcW w:w="4876" w:type="dxa"/>
            <w:tcBorders>
              <w:top w:val="nil"/>
              <w:left w:val="nil"/>
              <w:bottom w:val="nil"/>
              <w:right w:val="nil"/>
            </w:tcBorders>
          </w:tcPr>
          <w:p>
            <w:pPr>
              <w:pStyle w:val="Normal6a"/>
            </w:pPr>
            <w:r>
              <w:t>7.</w:t>
            </w:r>
            <w:r>
              <w:tab/>
            </w:r>
            <w:r>
              <w:t xml:space="preserve">minder om, at individualiserede tilbud til arbejdstagerne efter aftale med eksperter og arbejdsmarkedets parter består af følgende foranstaltninger: informationsmøder med henblik på at yde vejledning om reintegrationen på arbejdsmarkedet, genplaceringsforanstaltninger med henblik på at vejlede arbejdstagerne i deres jobsøgning, aktiv mægling med fokus på den enkelte jobsøgendes profil, individualiserede programmer med henblik på udvikling af færdigheder, herunder IT-færdigheder, efter- og videreuddannelse og omskoling, individuel uddannelse på arbejdspladsen og deltagelse i jobmesser; understreger vigtigheden af at fremme fremtidsorienterede job af høj kvalitet, som styrker konkurrenceevnen og støtter den digitale omstilling, samtidig med at det sikres, at EGF gennemføres korrekt og bidrager til </w:t>
            </w:r>
            <w:r>
              <w:rPr>
                <w:b/>
                <w:i/>
              </w:rPr>
              <w:t>medlemsstaternes</w:t>
            </w:r>
            <w:r>
              <w:t xml:space="preserve"> langsigtede økonomiske modstandsdygtighed;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minder om, at EGF er et instrument til solidaritet og retfærdig omstilling, og selv om den yder støtte efter tab af arbejdspladser, kan den ikke erstatte en proaktiv industripolitik;</w:t>
            </w:r>
            <w:r>
              <w:t xml:space="preserve"> </w:t>
            </w:r>
            <w:r>
              <w:rPr>
                <w:b/>
                <w:i/>
              </w:rPr>
              <w:t>mener, at mobiliseringen af EGF skal integreres i en større politisk indsats på alle politiske niveauer for at sikre, at de berørte arbejdstagere finder passende muligheder i overensstemmelse med deres kvalifikationer og færdigheder;</w:t>
            </w:r>
            <w:r>
              <w:t xml:space="preserve"> </w:t>
            </w:r>
            <w:r>
              <w:rPr>
                <w:b/>
                <w:i/>
              </w:rPr>
              <w:t>understreger, at Unionens primære opgave skal være at forhindre sådanne lukninger i første omgang ved at skabe betingelserne for at holde industriproduktionen konkurrencedygtig, samtidig med at der investeres i færdigheder for både højt kvalificerede arbejdstagere og industriarbejdere;</w:t>
            </w:r>
            <w:r>
              <w:t xml:space="preserve"> </w:t>
            </w:r>
            <w:r>
              <w:rPr>
                <w:b/>
                <w:i/>
              </w:rPr>
              <w:t>understreger behovet for at yde specifik støtte, der er skræddersyet til lavtuddannede arbejdstageres profiler, samtidig med at der træffes foranstaltninger til at mindske konkurser og afhjælpe sociale forskelle, der fører til udelukkelse fra arbejdsstyrken;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fremhæver betydningen af en konsekvensanalyse af denne fond og de foranstaltninger, der er forbundet hermed, med henblik på at vurdere, om de faktisk har nået de mål, som EGF blev oprettet til, herunder en vurdering af de berørte arbejdstagere og de job, de har fået adgang til, samt de involverede tidsfrister;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understreger, at de belgiske myndigheder skal sikre synligheden af EU-finansieringen og fremhæve dens merværdi ved at give effektive og målrettede oplysninger til støttemodtagere, regionale og lokale myndigheder, arbejdsmarkedets parter og den brede offentlighed;</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opfordrer til</w:t>
            </w:r>
            <w:r>
              <w:rPr>
                <w:b/>
                <w:i/>
              </w:rPr>
              <w:t>, at der foretages grundige endelige evalueringer af de gennemførte foranstaltninger</w:t>
            </w:r>
            <w:r>
              <w:t xml:space="preserve">, herunder </w:t>
            </w:r>
            <w:r>
              <w:rPr>
                <w:b/>
                <w:i/>
              </w:rPr>
              <w:t>at der tilvejebringes klare oplysninger om, hvordan midlerne er blevet anvendt, om det er lykkedes at reintegrere arbejdstagerne på arbejdsmarkedet, og hvorvidt de mål, som var formålet med oprettelsen af EGF, blev nået ved hjælp af foranstaltningerne</w:t>
            </w:r>
            <w:r>
              <w:t>;</w:t>
            </w:r>
          </w:p>
        </w:tc>
        <w:tc>
          <w:tcPr>
            <w:tcW w:w="4876" w:type="dxa"/>
            <w:tcBorders>
              <w:top w:val="nil"/>
              <w:left w:val="nil"/>
              <w:bottom w:val="nil"/>
              <w:right w:val="nil"/>
            </w:tcBorders>
          </w:tcPr>
          <w:p>
            <w:pPr>
              <w:pStyle w:val="Normal6a"/>
            </w:pPr>
            <w:r>
              <w:t>9.</w:t>
            </w:r>
            <w:r>
              <w:tab/>
            </w:r>
            <w:r>
              <w:t xml:space="preserve">opfordrer til </w:t>
            </w:r>
            <w:r>
              <w:rPr>
                <w:b/>
                <w:i/>
              </w:rPr>
              <w:t>en omfattende og uafhængig cost-benefit-analyse af EGF</w:t>
            </w:r>
            <w:r>
              <w:t xml:space="preserve">, herunder </w:t>
            </w:r>
            <w:r>
              <w:rPr>
                <w:b/>
                <w:i/>
              </w:rPr>
              <w:t>en vurdering af reintegrationsrater på lang sigt og administrative omkostninger, inden yderligere mobilisering af fonden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tc>
        <w:tc>
          <w:tcPr>
            <w:tcW w:w="4876" w:type="dxa"/>
            <w:tcBorders>
              <w:top w:val="nil"/>
              <w:left w:val="nil"/>
              <w:bottom w:val="nil"/>
              <w:right w:val="nil"/>
            </w:tcBorders>
          </w:tcPr>
          <w:p>
            <w:pPr>
              <w:pStyle w:val="Normal6a"/>
            </w:pPr>
            <w:r>
              <w:t>12.</w:t>
            </w:r>
            <w:r>
              <w:tab/>
            </w:r>
            <w:r>
              <w:t xml:space="preserve">bemærker, at de belgiske myndigheder har givet garanti for, at principperne om ligebehandling og ikkeforskelsbehandling vil blive overholdt i forbindelse med adgangen til de foreslåede foranstaltninger og deres gennemførelse, </w:t>
            </w:r>
            <w:r>
              <w:rPr>
                <w:b/>
                <w:i/>
              </w:rPr>
              <w:t>uden at dette fører til nogen form for positiv forskelsbehandling eller ideologiske kvoter,</w:t>
            </w:r>
            <w:r>
              <w:t xml:space="preserve"> og at dobbeltfinansiering vil blive forhindret;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minder om, at EGF blev udformet som et ekstraordinært og midlertidigt instrument, og sætter spørgsmålstegn ved dens fortsatte udvidelse og rutinemæssige anvendelse i tilfælde af nationale konkurser;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godkender</w:t>
            </w:r>
            <w:r>
              <w:t xml:space="preserve"> den afgørelse, der er vedføjet denne beslutning;</w:t>
            </w:r>
          </w:p>
        </w:tc>
        <w:tc>
          <w:tcPr>
            <w:tcW w:w="4876" w:type="dxa"/>
            <w:tcBorders>
              <w:top w:val="nil"/>
              <w:left w:val="nil"/>
              <w:bottom w:val="nil"/>
              <w:right w:val="nil"/>
            </w:tcBorders>
          </w:tcPr>
          <w:p>
            <w:pPr>
              <w:pStyle w:val="Normal6a"/>
            </w:pPr>
            <w:r>
              <w:t>14.</w:t>
            </w:r>
            <w:r>
              <w:tab/>
            </w:r>
            <w:r>
              <w:rPr>
                <w:b/>
                <w:i/>
              </w:rPr>
              <w:t>forkaster</w:t>
            </w:r>
            <w:r>
              <w:t xml:space="preserve"> den afgørelse, der er vedføjet denne beslutning;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784.487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w:t>
    </w:r>
    <w:r>
      <w:fldChar w:fldCharType="end"/>
    </w:r>
    <w:r>
      <w:t>/</w:t>
    </w:r>
    <w:r>
      <w:fldChar w:fldCharType="begin"/>
    </w:r>
    <w:r>
      <w:instrText xml:space="preserve"> NUMPAGES </w:instrText>
    </w:r>
    <w:r>
      <w:fldChar w:fldCharType="separate"/>
    </w:r>
    <w:r>
      <w:t>17</w:t>
    </w:r>
    <w:r>
      <w:fldChar w:fldCharType="end"/>
    </w:r>
    <w:r>
      <w:tab/>
    </w:r>
    <w:r>
      <w:rPr>
        <w:rStyle w:val="HideTWBExt"/>
      </w:rPr>
      <w:t>&lt;PathFdR&gt;</w:t>
    </w:r>
    <w:r>
      <w:t>AM\1337770DA.docx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AM\1337770DA.docx</w:t>
    </w:r>
    <w:r>
      <w:rPr>
        <w:rStyle w:val="HideTWBExt"/>
      </w:rPr>
      <w:t>&lt;/PathFdR&gt;</w:t>
    </w:r>
    <w:r>
      <w:tab/>
    </w:r>
    <w:r>
      <w:fldChar w:fldCharType="begin"/>
    </w:r>
    <w:r>
      <w:instrText xml:space="preserve"> PAGE </w:instrText>
    </w:r>
    <w:r>
      <w:fldChar w:fldCharType="separate"/>
    </w:r>
    <w:r>
      <w:t>17</w:t>
    </w:r>
    <w:r>
      <w:fldChar w:fldCharType="end"/>
    </w:r>
    <w:r>
      <w:t>/</w:t>
    </w:r>
    <w:r>
      <w:fldChar w:fldCharType="begin"/>
    </w:r>
    <w:r>
      <w:instrText xml:space="preserve"> NUMPAGES </w:instrText>
    </w:r>
    <w:r>
      <w:fldChar w:fldCharType="separate"/>
    </w:r>
    <w:r>
      <w:t>17</w:t>
    </w:r>
    <w:r>
      <w:fldChar w:fldCharType="end"/>
    </w:r>
    <w:r>
      <w:tab/>
    </w:r>
    <w:r>
      <w:t>PE</w:t>
    </w:r>
    <w:r>
      <w:rPr>
        <w:rStyle w:val="HideTWBExt"/>
      </w:rPr>
      <w:t>&lt;NoPE&gt;</w:t>
    </w:r>
    <w:r>
      <w:t>784.487</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AM\1337770DA.docx</w:t>
    </w:r>
    <w:r>
      <w:rPr>
        <w:rStyle w:val="HideTWBExt"/>
      </w:rPr>
      <w:t>&lt;/PathFdR&gt;</w:t>
    </w:r>
    <w:r>
      <w:tab/>
    </w:r>
    <w:r>
      <w:tab/>
    </w:r>
    <w:r>
      <w:t>PE</w:t>
    </w:r>
    <w:r>
      <w:rPr>
        <w:rStyle w:val="HideTWBExt"/>
      </w:rPr>
      <w:t>&lt;NoPE&gt;</w:t>
    </w:r>
    <w:r>
      <w:t>784.487</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Pages>
  <Words>3526</Words>
  <Characters>22638</Characters>
  <Application>Microsoft Office Word</Application>
  <DocSecurity>0</DocSecurity>
  <Lines>1</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1337770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421845</vt:lpwstr>
  </property>
  <property fmtid="{D5CDD505-2E9C-101B-9397-08002B2CF9AE}" pid="7" name="dmxml.render.traceId">
    <vt:lpwstr>69b7e1111080d1add31c920c25f3039b</vt:lpwstr>
  </property>
  <property fmtid="{D5CDD505-2E9C-101B-9397-08002B2CF9AE}" pid="8" name="FooterPath">
    <vt:lpwstr>AM\1337770DA.docx</vt:lpwstr>
  </property>
  <property fmtid="{D5CDD505-2E9C-101B-9397-08002B2CF9AE}" pid="9" name="PE Number">
    <vt:lpwstr>784.487</vt:lpwstr>
  </property>
  <property fmtid="{D5CDD505-2E9C-101B-9397-08002B2CF9AE}" pid="10" name="UID">
    <vt:lpwstr>eu.europa.europarl-DIN1-2026-0000052035_02.00-da-01.00_text-xml</vt:lpwstr>
  </property>
</Properties>
</file>