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Haushaltsausschuss</w:t>
      </w:r>
      <w:r>
        <w:rPr>
          <w:rStyle w:val="HideTWBExt"/>
        </w:rPr>
        <w:t>&lt;/Commission&gt;</w:t>
      </w:r>
    </w:p>
    <w:p>
      <w:pPr>
        <w:pStyle w:val="LineBottom"/>
      </w:pPr>
      <w:r>
        <w:t xml:space="preserve"> </w:t>
      </w:r>
    </w:p>
    <w:p>
      <w:pPr>
        <w:pStyle w:val="CoverReference"/>
      </w:pPr>
      <w:r>
        <w:rPr>
          <w:rStyle w:val="HideTWBExt"/>
        </w:rPr>
        <w:t>&lt;RefProc&gt;</w:t>
      </w:r>
      <w:r>
        <w:t>2026/0038</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{04/03/2026}</w:t>
      </w:r>
      <w:r>
        <w:t>4.3.2026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27</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Hélder Sousa Silva</w:t>
      </w:r>
      <w:r>
        <w:rPr>
          <w:rStyle w:val="HideTWBExt"/>
        </w:rPr>
        <w:t>&lt;/Rapporteur&gt;</w:t>
      </w:r>
    </w:p>
    <w:p>
      <w:pPr>
        <w:pStyle w:val="CoverNormal24a"/>
      </w:pPr>
      <w:r>
        <w:rPr>
          <w:rStyle w:val="HideTWBExt"/>
        </w:rPr>
        <w:t>&lt;DocRefPE&gt;</w:t>
      </w:r>
      <w:r>
        <w:t>(PE784.477v01-00)</w:t>
      </w:r>
      <w:r>
        <w:rPr>
          <w:rStyle w:val="HideTWBExt"/>
        </w:rPr>
        <w:t>&lt;/DocRefPE&gt;</w:t>
      </w:r>
    </w:p>
    <w:p>
      <w:pPr>
        <w:pStyle w:val="CoverNormal"/>
      </w:pPr>
      <w:r>
        <w:rPr>
          <w:rStyle w:val="HideTWBExt"/>
        </w:rPr>
        <w:t>&lt;Titre&gt;</w:t>
      </w:r>
      <w:r>
        <w:t>Inanspruchnahme des Europäischen Fonds für die Anpassung an die Globalisierung zugunsten entlassener Arbeitnehmer – Antrag Belgiens (EGF/2025/007 BE/Casa)</w:t>
      </w:r>
      <w:r>
        <w:rPr>
          <w:rStyle w:val="HideTWBExt"/>
        </w:rPr>
        <w:t>&lt;/Titre&gt;</w:t>
      </w:r>
    </w:p>
    <w:p>
      <w:pPr>
        <w:pStyle w:val="CoverNormal24a"/>
      </w:pPr>
      <w:r>
        <w:rPr>
          <w:rStyle w:val="HideTWBExt"/>
        </w:rPr>
        <w:t>&lt;DocRef&gt;</w:t>
      </w:r>
      <w:r>
        <w:t>(2026/0038(BUD))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Europäische Säule sozialer Rechte,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Union Legislativ- und Haushaltsinstrumente geschaffen hat, um Arbeitnehmer, die unter den Folgen weitreichender struktureller Ereignisse und Veränderungen im Welthandelsgefüge zu leiden haben, zusätzlich zu unterstützen und ihnen bei der Wiedereingliederung in den Arbeitsmarkt behilflich zu sein; in der Erwägung, dass diese Unterstützung im Wege einer finanziellen Unterstützung für die Arbeitnehmer geleistet wird;</w:t>
            </w:r>
          </w:p>
        </w:tc>
        <w:tc>
          <w:tcPr>
            <w:tcW w:w="4876" w:type="dxa"/>
            <w:tcBorders>
              <w:top w:val="nil"/>
              <w:left w:val="nil"/>
              <w:bottom w:val="nil"/>
              <w:right w:val="nil"/>
            </w:tcBorders>
          </w:tcPr>
          <w:p>
            <w:pPr>
              <w:pStyle w:val="Normal6a"/>
            </w:pPr>
            <w:r>
              <w:t>A.</w:t>
            </w:r>
            <w:r>
              <w:tab/>
            </w:r>
            <w:r>
              <w:t>in der Erwägung, dass die Union Legislativ- und Haushaltsinstrumente geschaffen hat, um Arbeitnehmer, die unter den Folgen weitreichender struktureller Ereignisse und Veränderungen im Welthandelsgefüge zu leiden haben</w:t>
            </w:r>
            <w:r>
              <w:rPr>
                <w:b/>
                <w:i/>
              </w:rPr>
              <w:t>, die durch unlauteren und deregulierten globalen Wettbewerb noch verschärft werden</w:t>
            </w:r>
            <w:r>
              <w:t>, zusätzlich zu unterstützen und ihnen bei der Wiedereingliederung in den Arbeitsmarkt behilflich zu sein; in der Erwägung, dass diese Unterstützung im Wege einer finanziellen Unterstützung für die Arbeitnehmer geleistet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Casa am 6. März 2025 Insolvenz angemeldet hat; in der Erwägung, dass Belgien seit 2022 vermehrt Insolvenzen verzeichnet;</w:t>
            </w:r>
          </w:p>
        </w:tc>
        <w:tc>
          <w:tcPr>
            <w:tcW w:w="4876" w:type="dxa"/>
            <w:tcBorders>
              <w:top w:val="nil"/>
              <w:left w:val="nil"/>
              <w:bottom w:val="nil"/>
              <w:right w:val="nil"/>
            </w:tcBorders>
          </w:tcPr>
          <w:p>
            <w:pPr>
              <w:pStyle w:val="Normal6a"/>
            </w:pPr>
            <w:r>
              <w:t>D.</w:t>
            </w:r>
            <w:r>
              <w:tab/>
            </w:r>
            <w:r>
              <w:t>in der Erwägung, dass Casa am 6. März 2025 Insolvenz angemeldet hat; in der Erwägung, dass Belgien seit 2022 vermehrt Insolvenzen verzeichnet</w:t>
            </w:r>
            <w:r>
              <w:rPr>
                <w:b/>
                <w:i/>
              </w:rPr>
              <w:t>, insbesondere im Einzelhandel, der aufgrund der Zunahme des elektronischen Handels und der sich verändernden Verbrauchergewohnheiten einen tiefgreifenden Strukturwandel erfährt</w:t>
            </w:r>
            <w:r>
              <w:t xml:space="preserve">; </w:t>
            </w:r>
            <w:r>
              <w:rPr>
                <w:b/>
                <w:i/>
              </w:rPr>
              <w:t>in der Erwägung, dass diese Störungen Arbeitnehmer in Niedriglohn-, Teilzeit- und prekären Beschäftigungsverhältnissen betreffen, von denen viele Frauen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Casa am 6. März 2025 Insolvenz angemeldet hat; in der Erwägung, dass </w:t>
            </w:r>
            <w:r>
              <w:rPr>
                <w:b/>
                <w:i/>
              </w:rPr>
              <w:t>Belgien</w:t>
            </w:r>
            <w:r>
              <w:t xml:space="preserve"> seit 2022 vermehrt Insolvenzen verzeichnet;</w:t>
            </w:r>
          </w:p>
        </w:tc>
        <w:tc>
          <w:tcPr>
            <w:tcW w:w="4876" w:type="dxa"/>
            <w:tcBorders>
              <w:top w:val="nil"/>
              <w:left w:val="nil"/>
              <w:bottom w:val="nil"/>
              <w:right w:val="nil"/>
            </w:tcBorders>
          </w:tcPr>
          <w:p>
            <w:pPr>
              <w:pStyle w:val="Normal6a"/>
            </w:pPr>
            <w:r>
              <w:t>D.</w:t>
            </w:r>
            <w:r>
              <w:tab/>
            </w:r>
            <w:r>
              <w:t xml:space="preserve">in der Erwägung, dass Casa am 6. März 2025 Insolvenz angemeldet hat; in der Erwägung, dass </w:t>
            </w:r>
            <w:r>
              <w:rPr>
                <w:b/>
                <w:i/>
              </w:rPr>
              <w:t>Europa</w:t>
            </w:r>
            <w:r>
              <w:t xml:space="preserve"> seit 2022 vermehrt Insolvenzen verzeichnet</w:t>
            </w:r>
            <w:r>
              <w:rPr>
                <w:b/>
                <w:i/>
              </w:rPr>
              <w:t>, was vor allem auf die Inflation und eine Energiekrise zurückzuführen ist, die zum Teil auf das europäische Energiemarktsystem zurückzuführen ist, das zu einer Preisexplosion geführt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im Einzelhandel ein hoher Anteil von Arbeitnehmerinnen beschäftigt ist, häufig in Teilzeit und schlecht bezahlten Positionen;</w:t>
            </w:r>
            <w:r>
              <w:t xml:space="preserve"> </w:t>
            </w:r>
            <w:r>
              <w:rPr>
                <w:b/>
                <w:i/>
              </w:rPr>
              <w:t>in der Erwägung, dass es daher von entscheidender Bedeutung ist, dass die im Rahmen dieses EGF-Antrags angebotenen Unterstützungsmaßnahmen auf die spezifischen Bedürfnisse von Frauen und die Hindernisse zugeschnitten sind, mit denen sie beim Wiedereinstieg in den Arbeitsmarkt konfrontiert sind, einschließlich flexibler Schulungspläne und des Zugangs zu Unterstützung bei der Kinderbetreuung;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Finanzbeiträge aus dem EGF in erster Linie in aktive arbeitsmarktpolitische Maßnahmen und personalisierte Dienstleistungen fließen sollten, die </w:t>
            </w:r>
            <w:r>
              <w:rPr>
                <w:b/>
                <w:i/>
              </w:rPr>
              <w:t>darauf abzielen, die</w:t>
            </w:r>
            <w:r>
              <w:t xml:space="preserve"> Begünstigten </w:t>
            </w:r>
            <w:r>
              <w:rPr>
                <w:b/>
                <w:i/>
              </w:rPr>
              <w:t>rasch wieder in eine menschenwürdige und nachhaltige Beschäftigung einzugliedern, indem ihnen Qualifizierungsmaßnahmen</w:t>
            </w:r>
            <w:r>
              <w:t xml:space="preserve"> angeboten werden, um ihnen den Zugang zum Arbeitsmarkt zu erleichtern </w:t>
            </w:r>
            <w:r>
              <w:rPr>
                <w:b/>
                <w:i/>
              </w:rPr>
              <w:t>und sie gleichzeitig auf eine umweltfreundlichere und stärker digitalisierte europäische Wirtschaft vorzubereiten</w:t>
            </w:r>
            <w:r>
              <w:t>;</w:t>
            </w:r>
          </w:p>
        </w:tc>
        <w:tc>
          <w:tcPr>
            <w:tcW w:w="4876" w:type="dxa"/>
            <w:tcBorders>
              <w:top w:val="nil"/>
              <w:left w:val="nil"/>
              <w:bottom w:val="nil"/>
              <w:right w:val="nil"/>
            </w:tcBorders>
          </w:tcPr>
          <w:p>
            <w:pPr>
              <w:pStyle w:val="Normal6a"/>
            </w:pPr>
            <w:r>
              <w:t>G.</w:t>
            </w:r>
            <w:r>
              <w:tab/>
            </w:r>
            <w:r>
              <w:t xml:space="preserve">in der Erwägung, dass Finanzbeiträge aus dem EGF in erster Linie in aktive arbeitsmarktpolitische Maßnahmen und personalisierte Dienstleistungen fließen sollten, die </w:t>
            </w:r>
            <w:r>
              <w:rPr>
                <w:b/>
                <w:i/>
              </w:rPr>
              <w:t>auf die rasche Wiedereingliederung der</w:t>
            </w:r>
            <w:r>
              <w:t xml:space="preserve"> Begünstigten </w:t>
            </w:r>
            <w:r>
              <w:rPr>
                <w:b/>
                <w:i/>
              </w:rPr>
              <w:t>in den Arbeitsmarkt abzielen, und dass den Begünstigten gleichzeitig Weiterbildungsmaßnahmen</w:t>
            </w:r>
            <w:r>
              <w:t xml:space="preserve"> angeboten werden </w:t>
            </w:r>
            <w:r>
              <w:rPr>
                <w:b/>
                <w:i/>
              </w:rPr>
              <w:t>sollten</w:t>
            </w:r>
            <w:r>
              <w:t>, um ihnen den Zugang zum Arbeitsmarkt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Finanzbeiträge aus dem EGF in erster Linie in aktive arbeitsmarktpolitische Maßnahmen und personalisierte Dienstleistungen fließen sollten, die darauf abzielen, die Begünstigten rasch wieder in eine menschenwürdige und nachhaltige Beschäftigung einzugliedern, indem ihnen Qualifizierungsmaßnahmen angeboten werden, um ihnen den Zugang zum Arbeitsmarkt zu erleichtern und sie gleichzeitig auf eine </w:t>
            </w:r>
            <w:r>
              <w:rPr>
                <w:b/>
                <w:i/>
              </w:rPr>
              <w:t>umweltfreundlichere und</w:t>
            </w:r>
            <w:r>
              <w:t xml:space="preserve"> stärker digitalisierte europäische Wirtschaft vorzubereiten;</w:t>
            </w:r>
          </w:p>
        </w:tc>
        <w:tc>
          <w:tcPr>
            <w:tcW w:w="4876" w:type="dxa"/>
            <w:tcBorders>
              <w:top w:val="nil"/>
              <w:left w:val="nil"/>
              <w:bottom w:val="nil"/>
              <w:right w:val="nil"/>
            </w:tcBorders>
          </w:tcPr>
          <w:p>
            <w:pPr>
              <w:pStyle w:val="Normal6a"/>
            </w:pPr>
            <w:r>
              <w:t>G.</w:t>
            </w:r>
            <w:r>
              <w:tab/>
            </w:r>
            <w:r>
              <w:t xml:space="preserve">in der Erwägung, dass Finanzbeiträge aus dem EGF in erster Linie in aktive arbeitsmarktpolitische Maßnahmen und personalisierte Dienstleistungen fließen sollten, die darauf abzielen, die Begünstigten rasch wieder in eine menschenwürdige und nachhaltige Beschäftigung einzugliedern, indem ihnen Qualifizierungsmaßnahmen angeboten werden, um ihnen den Zugang zum Arbeitsmarkt zu erleichtern und sie gleichzeitig auf eine </w:t>
            </w:r>
            <w:r>
              <w:rPr>
                <w:b/>
                <w:i/>
              </w:rPr>
              <w:t>wettbewerbsfähigere,</w:t>
            </w:r>
            <w:r>
              <w:t xml:space="preserve"> stärker digitalisierte </w:t>
            </w:r>
            <w:r>
              <w:rPr>
                <w:b/>
                <w:i/>
              </w:rPr>
              <w:t>und reindustrialisierte</w:t>
            </w:r>
            <w:r>
              <w:t xml:space="preserve"> europäische Wirtschaft vorzubereiten;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teilt die Auffassung der Kommission, dass die in der EGF-Verordnung und insbesondere</w:t>
            </w:r>
            <w:r>
              <w:t xml:space="preserve"> in Artikel </w:t>
            </w:r>
            <w:r>
              <w:rPr>
                <w:b/>
                <w:i/>
              </w:rPr>
              <w:t>4 Absatz 2 Buchstabe a festgelegten Bedingungen erfüllt sind und Belgien Anspruch auf einen Finanzbeitrag gemäß dieser Verordnung in Höhe von 1 916 733 EUR hat, was 85 % der sich auf 2 254 980 EUR belaufenden Gesamtkosten entspricht, die sich aus Ausgaben für personalisierte Dienstleistungen in Höhe von 2 168 980 EUR und Ausgaben für Vorbereitung, Verwaltung, Information und Werbung sowie Kontrolle und Berichterstattung in Höhe von 86 000 EUR zusammensetzen</w:t>
            </w:r>
            <w:r>
              <w:t>;</w:t>
            </w:r>
          </w:p>
        </w:tc>
        <w:tc>
          <w:tcPr>
            <w:tcW w:w="4876" w:type="dxa"/>
            <w:tcBorders>
              <w:top w:val="nil"/>
              <w:left w:val="nil"/>
              <w:bottom w:val="nil"/>
              <w:right w:val="nil"/>
            </w:tcBorders>
          </w:tcPr>
          <w:p>
            <w:pPr>
              <w:pStyle w:val="Normal6a"/>
            </w:pPr>
            <w:r>
              <w:t>1.</w:t>
            </w:r>
            <w:r>
              <w:tab/>
            </w:r>
            <w:r>
              <w:rPr>
                <w:b/>
                <w:i/>
              </w:rPr>
              <w:t>ist der Ansicht, dass Arbeitsmarktpolitik und die Unterstützung von Arbeitnehmern, die von Insolvenzen betroffen sind, gemäß dem</w:t>
            </w:r>
            <w:r>
              <w:t xml:space="preserve"> in Artikel </w:t>
            </w:r>
            <w:r>
              <w:rPr>
                <w:b/>
                <w:i/>
              </w:rPr>
              <w:t>5 EUV verankerten Subsidiaritätsprinzip in erster Linie in die Zuständigkeit der Mitgliedstaaten fallen;</w:t>
            </w:r>
            <w:r>
              <w:t xml:space="preserve"> </w:t>
            </w:r>
            <w:r>
              <w:rPr>
                <w:b/>
                <w:i/>
              </w:rPr>
              <w:t>ist daher der Ansicht, dass die Inanspruchnahme des EGF nicht gerechtfertigt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stellt fest, dass die belgischen Behörden den Antrag am 23. September 2025 eingereicht haben und dass die Kommission ihre Bewertung des Antrags, nach Vorlage zusätzlicher Informationen durch Belgien, am 6. Februar 2026 abgeschlossen und das Parlament am 11. Februar 2026 davon in Kenntnis gesetzt hat;</w:t>
            </w:r>
          </w:p>
        </w:tc>
        <w:tc>
          <w:tcPr>
            <w:tcW w:w="4876" w:type="dxa"/>
            <w:tcBorders>
              <w:top w:val="nil"/>
              <w:left w:val="nil"/>
              <w:bottom w:val="nil"/>
              <w:right w:val="nil"/>
            </w:tcBorders>
          </w:tcPr>
          <w:p>
            <w:pPr>
              <w:pStyle w:val="Normal6a"/>
            </w:pPr>
            <w:r>
              <w:t>2.</w:t>
            </w:r>
            <w:r>
              <w:tab/>
            </w:r>
            <w:r>
              <w:t xml:space="preserve">stellt fest, dass die belgischen Behörden den Antrag am 23. September 2025 eingereicht haben und dass die Kommission ihre Bewertung des Antrags, nach Vorlage zusätzlicher Informationen durch Belgien, am 6. Februar 2026 abgeschlossen und das Parlament am 11. Februar 2026 davon in Kenntnis gesetzt hat; </w:t>
            </w:r>
            <w:r>
              <w:rPr>
                <w:b/>
                <w:i/>
              </w:rPr>
              <w:t>betont, dass es wichtig ist, den Zeitraum zwischen der Einreichung eines Antrags auf EGF-Unterstützung und dem Finanzierungsbeschluss zu verkürzen, während zugleich die Rechte des Europäischen Parlaments als einer der beiden Teile der Haushaltsbehörde uneingeschränkt zu wahren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nimmt zur Kenntnis, dass Casa vor der Insolvenzerklärung mehrere Jahre finanzielle Schwierigkeiten hatte, die auf die zunehmende Verbreitung des elektronischen Handels, den verschärften internationalen Wettbewerb und unfaire Wettbewerbsbedingungen zurückzuführen waren, was letztlich zu schwerwiegenden Liquiditätsengpässen und der Tatsache führte, dass keine potenziellen Käufer für das Unternehmen gefunden werden konnten;</w:t>
            </w:r>
          </w:p>
        </w:tc>
        <w:tc>
          <w:tcPr>
            <w:tcW w:w="4876" w:type="dxa"/>
            <w:tcBorders>
              <w:top w:val="nil"/>
              <w:left w:val="nil"/>
              <w:bottom w:val="nil"/>
              <w:right w:val="nil"/>
            </w:tcBorders>
          </w:tcPr>
          <w:p>
            <w:pPr>
              <w:pStyle w:val="Normal6a"/>
            </w:pPr>
            <w:r>
              <w:t>4.</w:t>
            </w:r>
            <w:r>
              <w:tab/>
            </w:r>
            <w:r>
              <w:t xml:space="preserve">nimmt zur Kenntnis, dass Casa vor der Insolvenzerklärung mehrere Jahre finanzielle Schwierigkeiten hatte, die auf die zunehmende Verbreitung des elektronischen Handels, den verschärften internationalen Wettbewerb und unfaire Wettbewerbsbedingungen zurückzuführen waren, was letztlich zu schwerwiegenden Liquiditätsengpässen und der Tatsache führte, dass keine potenziellen Käufer für das Unternehmen gefunden werden konnten; </w:t>
            </w:r>
            <w:r>
              <w:rPr>
                <w:b/>
                <w:i/>
              </w:rPr>
              <w:t>betont, dass die Fähigkeit der Unternehmensleitung verbessert werden muss, Entlassungen zu verhindern, indem sie sich an den derzeitigen geopolitischen Kontext anpasst, und größere Umstrukturierungen proaktiv zu bewältigen;</w:t>
            </w:r>
            <w:r>
              <w:t xml:space="preserve"> </w:t>
            </w:r>
            <w:r>
              <w:rPr>
                <w:b/>
                <w:i/>
              </w:rPr>
              <w:t>fordert die Mitgliedstaaten daher auf, die verfügbaren EU-Mittel für diesen Zweck zu nutzen, einschließlich innovativer beruflicher Aus- und Weiterbildung;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nimmt zur Kenntnis, dass Casa vor der Insolvenzerklärung mehrere Jahre finanzielle Schwierigkeiten hatte, die auf die zunehmende Verbreitung des elektronischen Handels, den verschärften internationalen Wettbewerb und unfaire Wettbewerbsbedingungen zurückzuführen waren, was letztlich zu schwerwiegenden Liquiditätsengpässen und der Tatsache führte, dass keine potenziellen Käufer für das Unternehmen gefunden werden konnten;</w:t>
            </w:r>
          </w:p>
        </w:tc>
        <w:tc>
          <w:tcPr>
            <w:tcW w:w="4876" w:type="dxa"/>
            <w:tcBorders>
              <w:top w:val="nil"/>
              <w:left w:val="nil"/>
              <w:bottom w:val="nil"/>
              <w:right w:val="nil"/>
            </w:tcBorders>
          </w:tcPr>
          <w:p>
            <w:pPr>
              <w:pStyle w:val="Normal6a"/>
            </w:pPr>
            <w:r>
              <w:t>4.</w:t>
            </w:r>
            <w:r>
              <w:tab/>
            </w:r>
            <w:r>
              <w:t xml:space="preserve">nimmt zur Kenntnis, dass Casa vor der Insolvenzerklärung mehrere Jahre finanzielle Schwierigkeiten hatte, die auf die zunehmende Verbreitung des elektronischen Handels, den verschärften internationalen Wettbewerb und unfaire Wettbewerbsbedingungen zurückzuführen waren, </w:t>
            </w:r>
            <w:r>
              <w:rPr>
                <w:b/>
                <w:i/>
              </w:rPr>
              <w:t>die durch die Freihandelspolitik der Kommission und das Versäumnis, den Binnenmarkt zu schützen, noch verschärft wurden,</w:t>
            </w:r>
            <w:r>
              <w:t xml:space="preserve"> was letztlich zu schwerwiegenden Liquiditätsengpässen und der Tatsache führte, dass keine potenziellen Käufer für das Unternehmen gefunden werden konnten;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nimmt zur Kenntnis, dass Casa vor der Insolvenzerklärung mehrere Jahre finanzielle Schwierigkeiten hatte, die </w:t>
            </w:r>
            <w:r>
              <w:rPr>
                <w:b/>
                <w:i/>
              </w:rPr>
              <w:t>auf die zunehmende Verbreitung des elektronischen Handels, den verschärften internationalen Wettbewerb und unfaire Wettbewerbsbedingungen</w:t>
            </w:r>
            <w:r>
              <w:t xml:space="preserve"> zurückzuführen waren</w:t>
            </w:r>
            <w:r>
              <w:rPr>
                <w:b/>
                <w:i/>
              </w:rPr>
              <w:t>, was letztlich zu schwerwiegenden Liquiditätsengpässen und der Tatsache führte, dass keine potenziellen Käufer für das Unternehmen gefunden werden konnten</w:t>
            </w:r>
            <w:r>
              <w:t>;</w:t>
            </w:r>
          </w:p>
        </w:tc>
        <w:tc>
          <w:tcPr>
            <w:tcW w:w="4876" w:type="dxa"/>
            <w:tcBorders>
              <w:top w:val="nil"/>
              <w:left w:val="nil"/>
              <w:bottom w:val="nil"/>
              <w:right w:val="nil"/>
            </w:tcBorders>
          </w:tcPr>
          <w:p>
            <w:pPr>
              <w:pStyle w:val="Normal6a"/>
            </w:pPr>
            <w:r>
              <w:t>4.</w:t>
            </w:r>
            <w:r>
              <w:tab/>
            </w:r>
            <w:r>
              <w:t xml:space="preserve">nimmt zur Kenntnis, dass Casa vor der Insolvenzerklärung mehrere Jahre finanzielle Schwierigkeiten hatte, die </w:t>
            </w:r>
            <w:r>
              <w:rPr>
                <w:b/>
                <w:i/>
              </w:rPr>
              <w:t>in erster Linie auf strukturelle und verwaltungstechnische Herausforderungen auf Unternehmensebene und die allgemeineren wirtschaftlichen Bedingungen in dem Mitgliedstaat</w:t>
            </w:r>
            <w:r>
              <w:t xml:space="preserve"> zurückzuführen waren;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stellt fest, dass entlassene Verkäufer und Verkaufshilfskräfte zwar die besten Beschäftigungsaussichten haben, Lagerarbeiter jedoch größere Schwierigkeiten haben, neue Stellen zu finden, und zusätzliche Unterstützung durch Weiterbildung, Umschulung, Versetzung oder Wiedereingliederung benötigen; fordert die belgischen Behörden auf, dem Bedarf des Arbeitsmarktes entsprechend gezielte, maßgeschneiderte Unterstützung zu leisten, um den Arbeitnehmern dabei zu helfen, ihr Bildungsniveau zu verbessern und einen neuen Arbeitsplatz zu finden;</w:t>
            </w:r>
          </w:p>
        </w:tc>
        <w:tc>
          <w:tcPr>
            <w:tcW w:w="4876" w:type="dxa"/>
            <w:tcBorders>
              <w:top w:val="nil"/>
              <w:left w:val="nil"/>
              <w:bottom w:val="nil"/>
              <w:right w:val="nil"/>
            </w:tcBorders>
          </w:tcPr>
          <w:p>
            <w:pPr>
              <w:pStyle w:val="Normal6a"/>
            </w:pPr>
            <w:r>
              <w:t>5.</w:t>
            </w:r>
            <w:r>
              <w:tab/>
            </w:r>
            <w:r>
              <w:t xml:space="preserve">stellt fest, dass entlassene Verkäufer und Verkaufshilfskräfte zwar die besten Beschäftigungsaussichten haben, Lagerarbeiter jedoch größere Schwierigkeiten haben, neue Stellen zu finden, und zusätzliche Unterstützung durch Weiterbildung, Umschulung, Versetzung oder Wiedereingliederung benötigen; fordert die belgischen Behörden auf, dem Bedarf des Arbeitsmarktes entsprechend gezielte, maßgeschneiderte Unterstützung zu leisten, um den Arbeitnehmern dabei zu helfen, ihr Bildungsniveau zu verbessern und einen neuen Arbeitsplatz zu finden; </w:t>
            </w:r>
            <w:r>
              <w:rPr>
                <w:b/>
                <w:i/>
              </w:rPr>
              <w:t>betont, dass die Wiedereingliederung entlassener Arbeitnehmer von entscheidender Bedeutung für eine zukunftssichere europäische Wirtschaft mit einer starken industriellen Basis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stellt fest, dass entlassene Verkäufer und Verkaufshilfskräfte zwar die besten Beschäftigungsaussichten haben, Lagerarbeiter jedoch größere Schwierigkeiten haben, neue Stellen zu finden, und zusätzliche Unterstützung durch Weiterbildung, Umschulung, Versetzung oder Wiedereingliederung benötigen; fordert </w:t>
            </w:r>
            <w:r>
              <w:rPr>
                <w:b/>
                <w:i/>
              </w:rPr>
              <w:t>die belgischen Behörden auf,</w:t>
            </w:r>
            <w:r>
              <w:t xml:space="preserve"> dem Bedarf des Arbeitsmarktes entsprechend gezielte, maßgeschneiderte Unterstützung </w:t>
            </w:r>
            <w:r>
              <w:rPr>
                <w:b/>
                <w:i/>
              </w:rPr>
              <w:t>zu leisten</w:t>
            </w:r>
            <w:r>
              <w:t xml:space="preserve">, um den Arbeitnehmern dabei zu helfen, </w:t>
            </w:r>
            <w:r>
              <w:rPr>
                <w:b/>
                <w:i/>
              </w:rPr>
              <w:t>ihr Bildungsniveau</w:t>
            </w:r>
            <w:r>
              <w:t xml:space="preserve"> zu verbessern und einen neuen Arbeitsplatz zu finden;</w:t>
            </w:r>
          </w:p>
        </w:tc>
        <w:tc>
          <w:tcPr>
            <w:tcW w:w="4876" w:type="dxa"/>
            <w:tcBorders>
              <w:top w:val="nil"/>
              <w:left w:val="nil"/>
              <w:bottom w:val="nil"/>
              <w:right w:val="nil"/>
            </w:tcBorders>
          </w:tcPr>
          <w:p>
            <w:pPr>
              <w:pStyle w:val="Normal6a"/>
            </w:pPr>
            <w:r>
              <w:t>5.</w:t>
            </w:r>
            <w:r>
              <w:tab/>
            </w:r>
            <w:r>
              <w:t>stellt fest, dass entlassene Verkäufer und Verkaufshilfskräfte zwar die besten Beschäftigungsaussichten haben, Lagerarbeiter jedoch größere Schwierigkeiten haben, neue Stellen zu finden, und zusätzliche Unterstützung durch Weiterbildung, Umschulung, Versetzung oder Wiedereingliederung benötigen</w:t>
            </w:r>
            <w:r>
              <w:rPr>
                <w:b/>
                <w:i/>
              </w:rPr>
              <w:t>, wobei der lokalen Beschäftigung Vorrang eingeräumt werden sollte, um eine erzwungene geografische Mobilität zu vermeiden</w:t>
            </w:r>
            <w:r>
              <w:t xml:space="preserve">; fordert dem Bedarf des </w:t>
            </w:r>
            <w:r>
              <w:rPr>
                <w:b/>
                <w:i/>
              </w:rPr>
              <w:t>lokalen</w:t>
            </w:r>
            <w:r>
              <w:t xml:space="preserve"> Arbeitsmarktes entsprechend gezielte, maßgeschneiderte Unterstützung, um den Arbeitnehmern dabei zu helfen, </w:t>
            </w:r>
            <w:r>
              <w:rPr>
                <w:b/>
                <w:i/>
              </w:rPr>
              <w:t>ihre Kompetenzen</w:t>
            </w:r>
            <w:r>
              <w:t xml:space="preserve"> zu verbessern und einen neuen Arbeitsplatz zu 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bedauert, dass die Zunahme der Insolvenzen in den letzten zwei Jahren negative Auswirkungen auf die Beschäftigungsquote in einigen Regionen Belgiens hatte, insbesondere in Brüssel und Olen (Provincie Antwerpen); stellt fest, dass in Belgien innerhalb von 18 Monaten etwa 45 000 Arbeitsplätze aufgrund von Insolvenzen verloren gingen, die meisten davon in Flandern; betont die Bedeutung eines unternehmensfreundlichen Umfelds, das es Unternehmen ermöglicht, wettbewerbsfähig zu bleiben, Arbeitsplätze zu schaffen und zu einem nachhaltigen Wirtschaftswachstum beizutragen;</w:t>
            </w:r>
          </w:p>
        </w:tc>
        <w:tc>
          <w:tcPr>
            <w:tcW w:w="4876" w:type="dxa"/>
            <w:tcBorders>
              <w:top w:val="nil"/>
              <w:left w:val="nil"/>
              <w:bottom w:val="nil"/>
              <w:right w:val="nil"/>
            </w:tcBorders>
          </w:tcPr>
          <w:p>
            <w:pPr>
              <w:pStyle w:val="Normal6a"/>
            </w:pPr>
            <w:r>
              <w:t>6.</w:t>
            </w:r>
            <w:r>
              <w:tab/>
            </w:r>
            <w:r>
              <w:t>bedauert, dass die Zunahme der Insolvenzen in den letzten zwei Jahren negative Auswirkungen auf die Beschäftigungsquote in einigen Regionen Belgiens hatte, insbesondere in Brüssel und Olen (Provincie Antwerpen); stellt fest, dass in Belgien innerhalb von 18 Monaten etwa 45 000 Arbeitsplätze aufgrund von Insolvenzen verloren gingen, die meisten davon in Flandern; betont</w:t>
            </w:r>
            <w:r>
              <w:rPr>
                <w:b/>
                <w:i/>
              </w:rPr>
              <w:t>, dass das Arbeitslosigkeitsrisiko für Menschen mit niedrigem Bildungsniveau in Flandern mehr als doppelt so hoch ist;</w:t>
            </w:r>
            <w:r>
              <w:t xml:space="preserve"> </w:t>
            </w:r>
            <w:r>
              <w:rPr>
                <w:b/>
                <w:i/>
              </w:rPr>
              <w:t>betont</w:t>
            </w:r>
            <w:r>
              <w:t xml:space="preserve"> die Bedeutung eines unternehmensfreundlichen Umfelds, das es Unternehmen ermöglicht, wettbewerbsfähig zu bleiben, Arbeitsplätze zu schaffen und zu einem nachhaltigen Wirtschaftswachstum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bedauert, dass die Zunahme der Insolvenzen in den letzten zwei Jahren negative Auswirkungen auf die Beschäftigungsquote in einigen Regionen Belgiens hatte, insbesondere in Brüssel und Olen (Provincie Antwerpen); stellt fest, dass in Belgien innerhalb von 18 Monaten etwa 45 000 Arbeitsplätze aufgrund von Insolvenzen verloren gingen, die meisten davon in Flandern; betont die Bedeutung eines unternehmensfreundlichen Umfelds, das es Unternehmen ermöglicht, wettbewerbsfähig zu bleiben, Arbeitsplätze zu schaffen und zu einem </w:t>
            </w:r>
            <w:r>
              <w:rPr>
                <w:b/>
                <w:i/>
              </w:rPr>
              <w:t>nachhaltigen</w:t>
            </w:r>
            <w:r>
              <w:t xml:space="preserve"> Wirtschaftswachstum beizutragen;</w:t>
            </w:r>
          </w:p>
        </w:tc>
        <w:tc>
          <w:tcPr>
            <w:tcW w:w="4876" w:type="dxa"/>
            <w:tcBorders>
              <w:top w:val="nil"/>
              <w:left w:val="nil"/>
              <w:bottom w:val="nil"/>
              <w:right w:val="nil"/>
            </w:tcBorders>
          </w:tcPr>
          <w:p>
            <w:pPr>
              <w:pStyle w:val="Normal6a"/>
            </w:pPr>
            <w:r>
              <w:t>6.</w:t>
            </w:r>
            <w:r>
              <w:tab/>
            </w:r>
            <w:r>
              <w:t xml:space="preserve">bedauert, dass die Zunahme der Insolvenzen in den letzten zwei Jahren negative Auswirkungen auf die Beschäftigungsquote in einigen Regionen Belgiens hatte, insbesondere in Brüssel und Olen (Provincie Antwerpen); stellt fest, dass in Belgien innerhalb von 18 Monaten etwa 45 000 Arbeitsplätze aufgrund von Insolvenzen verloren gingen, die meisten davon in Flandern; betont die Bedeutung eines unternehmensfreundlichen Umfelds </w:t>
            </w:r>
            <w:r>
              <w:rPr>
                <w:b/>
                <w:i/>
              </w:rPr>
              <w:t>ohne übermäßige europäische Überregulierung</w:t>
            </w:r>
            <w:r>
              <w:t xml:space="preserve">, das es Unternehmen ermöglicht, wettbewerbsfähig zu bleiben, Arbeitsplätze zu schaffen und zu einem </w:t>
            </w:r>
            <w:r>
              <w:rPr>
                <w:b/>
                <w:i/>
              </w:rPr>
              <w:t>realen</w:t>
            </w:r>
            <w:r>
              <w:t xml:space="preserve"> Wirtschaftswachstum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bedauert, dass die Zunahme der Insolvenzen in den letzten zwei Jahren negative Auswirkungen auf die Beschäftigungsquote in einigen Regionen Belgiens hatte, insbesondere in Brüssel und Olen (Provincie Antwerpen); stellt fest, dass in Belgien innerhalb von 18 Monaten etwa 45 000 Arbeitsplätze aufgrund von Insolvenzen verloren gingen, die meisten davon in Flandern; betont </w:t>
            </w:r>
            <w:r>
              <w:rPr>
                <w:b/>
                <w:i/>
              </w:rPr>
              <w:t>die Bedeutung eines unternehmensfreundlichen Umfelds, das es Unternehmen ermöglicht, wettbewerbsfähig zu bleiben,</w:t>
            </w:r>
            <w:r>
              <w:t xml:space="preserve"> Arbeitsplätze </w:t>
            </w:r>
            <w:r>
              <w:rPr>
                <w:b/>
                <w:i/>
              </w:rPr>
              <w:t>zu schaffen und zu einem nachhaltigen Wirtschaftswachstum beizutragen</w:t>
            </w:r>
            <w:r>
              <w:t>;</w:t>
            </w:r>
          </w:p>
        </w:tc>
        <w:tc>
          <w:tcPr>
            <w:tcW w:w="4876" w:type="dxa"/>
            <w:tcBorders>
              <w:top w:val="nil"/>
              <w:left w:val="nil"/>
              <w:bottom w:val="nil"/>
              <w:right w:val="nil"/>
            </w:tcBorders>
          </w:tcPr>
          <w:p>
            <w:pPr>
              <w:pStyle w:val="Normal6a"/>
            </w:pPr>
            <w:r>
              <w:t>6.</w:t>
            </w:r>
            <w:r>
              <w:tab/>
            </w:r>
            <w:r>
              <w:t>bedauert, dass die Zunahme der Insolvenzen in den letzten zwei Jahren negative Auswirkungen auf die Beschäftigungsquote in einigen Regionen Belgiens hatte, insbesondere in Brüssel und Olen (Provincie Antwerpen); stellt fest, dass in Belgien innerhalb von 18 Monaten etwa 45 000 Arbeitsplätze aufgrund von Insolvenzen verloren gingen, die meisten davon in Flandern; betont</w:t>
            </w:r>
            <w:r>
              <w:rPr>
                <w:b/>
                <w:i/>
              </w:rPr>
              <w:t>, dass die Schaffung nachhaltiger</w:t>
            </w:r>
            <w:r>
              <w:t xml:space="preserve"> Arbeitsplätze </w:t>
            </w:r>
            <w:r>
              <w:rPr>
                <w:b/>
                <w:i/>
              </w:rPr>
              <w:t>in erster Linie von einer soliden nationalen Wirtschaftspolitik, einer Verringerung des Regelungsaufwands und einer wettbewerbsfähigen Besteuerung abhängt und nicht von befristeten Finanzinstrumenten der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weist darauf hin, dass es sich bei den in Abstimmung mit Sachverständigen und Sozialpartnern vereinbarten personalisierten Dienstleistungen, die den Arbeitnehmern angeboten werden sollen, um folgende Maßnahmen handelt: Informationsveranstaltungen zur Wiedereingliederung in den Arbeitsmarkt; Outplacement-Dienste zur Unterstützung der Arbeitnehmer bei der Stellensuche; aktive Vermittlung unter Berücksichtigung des Profils jedes Arbeitsuchenden; personalisierte Programme zur Entwicklung von Kompetenzen, einschließlich IT-Kenntnissen; Aus- und Weiterbildung; individuelle Ausbildung am Arbeitsplatz; Teilnahme an Jobmessen; betont, dass es wichtig ist, hochwertige, zukunftsorientierte Arbeitsplätze zu fördern, die die Wettbewerbsfähigkeit stärken und den digitalen Wandel unterstützen, und gleichzeitig sicherzustellen, dass der EGF ordnungsgemäß umgesetzt wird und zur langfristigen wirtschaftlichen und sozialen Widerstandsfähigkeit der Union beiträgt;</w:t>
            </w:r>
          </w:p>
        </w:tc>
        <w:tc>
          <w:tcPr>
            <w:tcW w:w="4876" w:type="dxa"/>
            <w:tcBorders>
              <w:top w:val="nil"/>
              <w:left w:val="nil"/>
              <w:bottom w:val="nil"/>
              <w:right w:val="nil"/>
            </w:tcBorders>
          </w:tcPr>
          <w:p>
            <w:pPr>
              <w:pStyle w:val="Normal6a"/>
            </w:pPr>
            <w:r>
              <w:t>7.</w:t>
            </w:r>
            <w:r>
              <w:tab/>
            </w:r>
            <w:r>
              <w:t xml:space="preserve">weist darauf hin, dass es sich bei den in Abstimmung mit Sachverständigen und Sozialpartnern vereinbarten personalisierten Dienstleistungen, die den Arbeitnehmern angeboten werden sollen, um folgende Maßnahmen handelt: Informationsveranstaltungen zur Wiedereingliederung in den Arbeitsmarkt; Outplacement-Dienste zur Unterstützung der Arbeitnehmer bei der Stellensuche; aktive Vermittlung unter Berücksichtigung des Profils jedes Arbeitsuchenden; personalisierte Programme zur Entwicklung von Kompetenzen, einschließlich IT-Kenntnissen; Aus- und Weiterbildung; individuelle Ausbildung am Arbeitsplatz; Teilnahme an Jobmessen; betont, dass es wichtig ist, hochwertige, zukunftsorientierte Arbeitsplätze zu fördern, die die Wettbewerbsfähigkeit stärken und den digitalen Wandel unterstützen, und gleichzeitig sicherzustellen, dass der EGF ordnungsgemäß umgesetzt wird und zur langfristigen wirtschaftlichen und sozialen Widerstandsfähigkeit der Union beiträgt; </w:t>
            </w:r>
            <w:r>
              <w:rPr>
                <w:b/>
                <w:i/>
              </w:rPr>
              <w:t>betont, dass Gewerkschaftsvertreter während der gesamten Umsetzung der EGF-Maßnahmen, einschließlich der Überwachungsphase, einbezogen werden sollten, um die Qualität und Relevanz der den Begünstigten angebotenen Unterstützung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weist darauf hin, dass es sich bei den in Abstimmung mit Sachverständigen und Sozialpartnern vereinbarten personalisierten Dienstleistungen, die den Arbeitnehmern angeboten werden sollen, um folgende Maßnahmen handelt: Informationsveranstaltungen zur Wiedereingliederung in den Arbeitsmarkt; Outplacement-Dienste zur Unterstützung der Arbeitnehmer bei der Stellensuche; aktive Vermittlung unter Berücksichtigung des Profils jedes Arbeitsuchenden; personalisierte Programme zur Entwicklung von Kompetenzen, einschließlich IT-Kenntnissen; Aus- und Weiterbildung; individuelle Ausbildung am Arbeitsplatz; Teilnahme an Jobmessen; betont, dass es wichtig ist, hochwertige, zukunftsorientierte Arbeitsplätze zu fördern, die die Wettbewerbsfähigkeit stärken und den digitalen Wandel unterstützen, und gleichzeitig sicherzustellen, dass der EGF ordnungsgemäß umgesetzt wird und zur langfristigen wirtschaftlichen und sozialen Widerstandsfähigkeit der Union beiträgt;</w:t>
            </w:r>
          </w:p>
        </w:tc>
        <w:tc>
          <w:tcPr>
            <w:tcW w:w="4876" w:type="dxa"/>
            <w:tcBorders>
              <w:top w:val="nil"/>
              <w:left w:val="nil"/>
              <w:bottom w:val="nil"/>
              <w:right w:val="nil"/>
            </w:tcBorders>
          </w:tcPr>
          <w:p>
            <w:pPr>
              <w:pStyle w:val="Normal6a"/>
            </w:pPr>
            <w:r>
              <w:t>7.</w:t>
            </w:r>
            <w:r>
              <w:tab/>
            </w:r>
            <w:r>
              <w:t xml:space="preserve">weist darauf hin, dass es sich bei den in Abstimmung mit Sachverständigen und Sozialpartnern vereinbarten personalisierten Dienstleistungen, die den Arbeitnehmern angeboten werden sollen, um folgende Maßnahmen handelt: Informationsveranstaltungen zur Wiedereingliederung in den Arbeitsmarkt; Outplacement-Dienste zur Unterstützung der Arbeitnehmer bei der Stellensuche; aktive Vermittlung unter Berücksichtigung des Profils jedes Arbeitsuchenden; personalisierte Programme zur Entwicklung von Kompetenzen, einschließlich IT-Kenntnissen; Aus- und Weiterbildung; individuelle Ausbildung am Arbeitsplatz; Teilnahme an Jobmessen; betont, dass es wichtig ist, hochwertige, zukunftsorientierte Arbeitsplätze zu fördern, die die Wettbewerbsfähigkeit stärken und den digitalen Wandel unterstützen, und gleichzeitig sicherzustellen, dass der EGF ordnungsgemäß umgesetzt wird und zur langfristigen wirtschaftlichen und sozialen Widerstandsfähigkeit der Union beiträgt; </w:t>
            </w:r>
            <w:r>
              <w:rPr>
                <w:b/>
                <w:i/>
              </w:rPr>
              <w:t>weist darauf hin, dass ähnliche Maßnahmen über bestehende nationale Instrumente und den Europäischen Sozialfonds Plus (ESF+) finanziert werden können, was Bedenken hinsichtlich Überschneidungen und Effizienz der Ausgaben der Union aufwirft;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weist darauf hin, dass es sich bei den in Abstimmung mit Sachverständigen und Sozialpartnern vereinbarten personalisierten Dienstleistungen, die den Arbeitnehmern angeboten werden sollen, um folgende Maßnahmen handelt: Informationsveranstaltungen zur Wiedereingliederung in den Arbeitsmarkt; Outplacement-Dienste zur Unterstützung der Arbeitnehmer bei der Stellensuche; aktive Vermittlung unter Berücksichtigung des Profils jedes Arbeitsuchenden; personalisierte Programme zur Entwicklung von Kompetenzen, einschließlich IT-Kenntnissen; Aus- und Weiterbildung; individuelle Ausbildung am Arbeitsplatz; Teilnahme an Jobmessen; betont, dass es wichtig ist, hochwertige, zukunftsorientierte Arbeitsplätze zu fördern, die die Wettbewerbsfähigkeit stärken und den digitalen Wandel unterstützen, und gleichzeitig sicherzustellen, dass der EGF ordnungsgemäß umgesetzt wird und zur langfristigen wirtschaftlichen </w:t>
            </w:r>
            <w:r>
              <w:rPr>
                <w:b/>
                <w:i/>
              </w:rPr>
              <w:t>und sozialen</w:t>
            </w:r>
            <w:r>
              <w:t xml:space="preserve"> Widerstandsfähigkeit der </w:t>
            </w:r>
            <w:r>
              <w:rPr>
                <w:b/>
                <w:i/>
              </w:rPr>
              <w:t>Union</w:t>
            </w:r>
            <w:r>
              <w:t xml:space="preserve"> beiträgt;</w:t>
            </w:r>
          </w:p>
        </w:tc>
        <w:tc>
          <w:tcPr>
            <w:tcW w:w="4876" w:type="dxa"/>
            <w:tcBorders>
              <w:top w:val="nil"/>
              <w:left w:val="nil"/>
              <w:bottom w:val="nil"/>
              <w:right w:val="nil"/>
            </w:tcBorders>
          </w:tcPr>
          <w:p>
            <w:pPr>
              <w:pStyle w:val="Normal6a"/>
            </w:pPr>
            <w:r>
              <w:t>7.</w:t>
            </w:r>
            <w:r>
              <w:tab/>
            </w:r>
            <w:r>
              <w:t xml:space="preserve">weist darauf hin, dass es sich bei den in Abstimmung mit Sachverständigen und Sozialpartnern vereinbarten personalisierten Dienstleistungen, die den Arbeitnehmern angeboten werden sollen, um folgende Maßnahmen handelt: Informationsveranstaltungen zur Wiedereingliederung in den Arbeitsmarkt; Outplacement-Dienste zur Unterstützung der Arbeitnehmer bei der Stellensuche; aktive Vermittlung unter Berücksichtigung des Profils jedes Arbeitsuchenden; personalisierte Programme zur Entwicklung von Kompetenzen, einschließlich IT-Kenntnissen; Aus- und Weiterbildung; individuelle Ausbildung am Arbeitsplatz; Teilnahme an Jobmessen; betont, dass es wichtig ist, hochwertige, zukunftsorientierte Arbeitsplätze zu fördern, die die Wettbewerbsfähigkeit stärken und den digitalen Wandel unterstützen, und gleichzeitig sicherzustellen, dass der EGF ordnungsgemäß umgesetzt wird und zur langfristigen wirtschaftlichen Widerstandsfähigkeit der </w:t>
            </w:r>
            <w:r>
              <w:rPr>
                <w:b/>
                <w:i/>
              </w:rPr>
              <w:t>Mitgliedstaaten</w:t>
            </w:r>
            <w:r>
              <w:t xml:space="preserve">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erinnert daran, dass der EGF ein Instrument der Solidarität und des gerechten Übergangs ist und zwar Unterstützung nach dem Verlust von Arbeitsplätzen bietet, jedoch keine proaktive Industriepolitik ersetzen kann;</w:t>
            </w:r>
            <w:r>
              <w:t xml:space="preserve"> </w:t>
            </w:r>
            <w:r>
              <w:rPr>
                <w:b/>
                <w:i/>
              </w:rPr>
              <w:t>ist der Ansicht, dass die Inanspruchnahme des EGF in eine breiter angelegte politische Reaktion auf allen politischen Ebenen einzubetten ist, damit den betroffenen Arbeitnehmern angemessene Möglichkeiten im Einklang mit ihren Qualifikationen und Kompetenzen offenstehen;</w:t>
            </w:r>
            <w:r>
              <w:t xml:space="preserve"> </w:t>
            </w:r>
            <w:r>
              <w:rPr>
                <w:b/>
                <w:i/>
              </w:rPr>
              <w:t>betont, dass die vorrangige Aufgabe der Union darin bestehen muss, solche Schließungen von vornherein zu verhindern, indem sie die Voraussetzungen schafft, damit die industrielle Produktion wettbewerbsfähig bleibt, und gleichzeitig in die Kompetenzentwicklung sowohl von hochqualifizierten Arbeitnehmern als auch von Industriearbeitern investiert;</w:t>
            </w:r>
            <w:r>
              <w:t xml:space="preserve"> </w:t>
            </w:r>
            <w:r>
              <w:rPr>
                <w:b/>
                <w:i/>
              </w:rPr>
              <w:t>betont, dass spezifische, auf die Profile von gering qualifizierten Arbeitnehmern zugeschnittene Unterstützung zu leisten ist und gleichzeitig Maßnahmen zu ergreifen sind, um die Zahl der Insolvenzen zu verringern und die soziale Ungleichheit anzugehen, die zum Ausschluss von Arbeitskräften aus dem Arbeitsmarkt 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betont, dass es wichtig ist, eine Beurteilung der Wirkungen dieses Fonds und der damit verbundenen Maßnahmen vorzunehmen, einschließlich einer Bewertung der betroffenen Arbeitnehmer und der von ihnen aufgenommenen Tätigkeiten sowie der damit verbundenen Zeiträume, um zu beurteilen, ob die mit dem EGF verfolgten Ziele tatsächlich erreicht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betont, dass die belgischen Behörden die Sichtbarkeit der Finanzierung durch die Union sicherstellen und ihren Mehrwert hervorheben müssen, indem sie den Begünstigten, den regionalen und lokalen Behörden, den Sozialpartnern und der breiten Öffentlichkeit aussagekräftige und zielgerichtete Informationen zur Verfügung 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fordert eine </w:t>
            </w:r>
            <w:r>
              <w:rPr>
                <w:b/>
                <w:i/>
              </w:rPr>
              <w:t>gründliche abschließende Bewertung der umgesetzten Maßnahmen</w:t>
            </w:r>
            <w:r>
              <w:t xml:space="preserve">, einschließlich </w:t>
            </w:r>
            <w:r>
              <w:rPr>
                <w:b/>
                <w:i/>
              </w:rPr>
              <w:t>klarer Informationen darüber, wie die Mittel verwendet wurden, wie erfolgreich die Wiedereingliederung der Arbeitnehmer in den Arbeitsmarkt war und ob die mit dem EGF verfolgten Ziele tatsächlich durch die Maßnahmen erreicht wurden</w:t>
            </w:r>
            <w:r>
              <w:t>;</w:t>
            </w:r>
          </w:p>
        </w:tc>
        <w:tc>
          <w:tcPr>
            <w:tcW w:w="4876" w:type="dxa"/>
            <w:tcBorders>
              <w:top w:val="nil"/>
              <w:left w:val="nil"/>
              <w:bottom w:val="nil"/>
              <w:right w:val="nil"/>
            </w:tcBorders>
          </w:tcPr>
          <w:p>
            <w:pPr>
              <w:pStyle w:val="Normal6a"/>
            </w:pPr>
            <w:r>
              <w:t>9.</w:t>
            </w:r>
            <w:r>
              <w:tab/>
            </w:r>
            <w:r>
              <w:t xml:space="preserve">fordert eine </w:t>
            </w:r>
            <w:r>
              <w:rPr>
                <w:b/>
                <w:i/>
              </w:rPr>
              <w:t>umfassende und unabhängige Kosten-Nutzen-Analyse des EGF</w:t>
            </w:r>
            <w:r>
              <w:t xml:space="preserve">, einschließlich </w:t>
            </w:r>
            <w:r>
              <w:rPr>
                <w:b/>
                <w:i/>
              </w:rPr>
              <w:t>einer Bewertung der langfristigen Wiedereingliederungsquoten und der Verwaltungskosten, bevor der Fonds weiter in Anspruch genommen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stellt fest, dass nach Zusicherung der belgischen Behörden der Grundsatz der Gleichbehandlung und das Diskriminierungsverbot beim Zugang zu den vorgeschlagenen Maßnahmen und bei ihrer Durchführung beachtet werden </w:t>
            </w:r>
            <w:r>
              <w:rPr>
                <w:b/>
                <w:i/>
              </w:rPr>
              <w:t>und</w:t>
            </w:r>
            <w:r>
              <w:t xml:space="preserve"> jegliche Doppelfinanzierung verhindert wird;</w:t>
            </w:r>
          </w:p>
        </w:tc>
        <w:tc>
          <w:tcPr>
            <w:tcW w:w="4876" w:type="dxa"/>
            <w:tcBorders>
              <w:top w:val="nil"/>
              <w:left w:val="nil"/>
              <w:bottom w:val="nil"/>
              <w:right w:val="nil"/>
            </w:tcBorders>
          </w:tcPr>
          <w:p>
            <w:pPr>
              <w:pStyle w:val="Normal6a"/>
            </w:pPr>
            <w:r>
              <w:t>12.</w:t>
            </w:r>
            <w:r>
              <w:tab/>
            </w:r>
            <w:r>
              <w:t>stellt fest, dass nach Zusicherung der belgischen Behörden der Grundsatz der Gleichbehandlung und das Diskriminierungsverbot beim Zugang zu den vorgeschlagenen Maßnahmen und bei ihrer Durchführung beachtet werden</w:t>
            </w:r>
            <w:r>
              <w:rPr>
                <w:b/>
                <w:i/>
              </w:rPr>
              <w:t>, ohne dass dies zu einer positiven Diskriminierung oder ideologischen Quoten führt, und dass</w:t>
            </w:r>
            <w:r>
              <w:t xml:space="preserve"> jegliche Doppelfinanzierung verhindert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weist darauf hin, dass der EGF als außerordentliches und befristetes Instrument konzipiert wurde, und stellt seine kontinuierliche Ausweitung und routinemäßige Nutzung im Falle von Insolvenzen auf nationaler Ebene infrage;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billigt</w:t>
            </w:r>
            <w:r>
              <w:t xml:space="preserve"> den dieser Entschließung beigefügten Beschluss;</w:t>
            </w:r>
          </w:p>
        </w:tc>
        <w:tc>
          <w:tcPr>
            <w:tcW w:w="4876" w:type="dxa"/>
            <w:tcBorders>
              <w:top w:val="nil"/>
              <w:left w:val="nil"/>
              <w:bottom w:val="nil"/>
              <w:right w:val="nil"/>
            </w:tcBorders>
          </w:tcPr>
          <w:p>
            <w:pPr>
              <w:pStyle w:val="Normal6a"/>
            </w:pPr>
            <w:r>
              <w:t>14.</w:t>
            </w:r>
            <w:r>
              <w:tab/>
            </w:r>
            <w:r>
              <w:rPr>
                <w:b/>
                <w:i/>
              </w:rPr>
              <w:t>lehnt</w:t>
            </w:r>
            <w:r>
              <w:t xml:space="preserve"> den dieser Entschließung beigefügten Beschluss </w:t>
            </w:r>
            <w:r>
              <w:rPr>
                <w:b/>
                <w:i/>
              </w:rPr>
              <w:t>ab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784.487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w:t>
    </w:r>
    <w:r>
      <w:fldChar w:fldCharType="end"/>
    </w:r>
    <w:r>
      <w:t>/</w:t>
    </w:r>
    <w:r>
      <w:fldChar w:fldCharType="begin"/>
    </w:r>
    <w:r>
      <w:instrText xml:space="preserve"> NUMPAGES </w:instrText>
    </w:r>
    <w:r>
      <w:fldChar w:fldCharType="separate"/>
    </w:r>
    <w:r>
      <w:t>18</w:t>
    </w:r>
    <w:r>
      <w:fldChar w:fldCharType="end"/>
    </w:r>
    <w:r>
      <w:tab/>
    </w:r>
    <w:r>
      <w:rPr>
        <w:rStyle w:val="HideTWBExt"/>
      </w:rPr>
      <w:t>&lt;PathFdR&gt;</w:t>
    </w:r>
    <w:r>
      <w:t>AM\1337770DE.docx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AM\1337770DE.docx</w:t>
    </w:r>
    <w:r>
      <w:rPr>
        <w:rStyle w:val="HideTWBExt"/>
      </w:rPr>
      <w:t>&lt;/PathFdR&gt;</w:t>
    </w:r>
    <w:r>
      <w:tab/>
    </w:r>
    <w:r>
      <w:fldChar w:fldCharType="begin"/>
    </w:r>
    <w:r>
      <w:instrText xml:space="preserve"> PAGE </w:instrText>
    </w:r>
    <w:r>
      <w:fldChar w:fldCharType="separate"/>
    </w:r>
    <w:r>
      <w:t>17</w:t>
    </w:r>
    <w:r>
      <w:fldChar w:fldCharType="end"/>
    </w:r>
    <w:r>
      <w:t>/</w:t>
    </w:r>
    <w:r>
      <w:fldChar w:fldCharType="begin"/>
    </w:r>
    <w:r>
      <w:instrText xml:space="preserve"> NUMPAGES </w:instrText>
    </w:r>
    <w:r>
      <w:fldChar w:fldCharType="separate"/>
    </w:r>
    <w:r>
      <w:t>18</w:t>
    </w:r>
    <w:r>
      <w:fldChar w:fldCharType="end"/>
    </w:r>
    <w:r>
      <w:tab/>
    </w:r>
    <w:r>
      <w:t>PE</w:t>
    </w:r>
    <w:r>
      <w:rPr>
        <w:rStyle w:val="HideTWBExt"/>
      </w:rPr>
      <w:t>&lt;NoPE&gt;</w:t>
    </w:r>
    <w:r>
      <w:t>784.487</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AM\1337770DE.docx</w:t>
    </w:r>
    <w:r>
      <w:rPr>
        <w:rStyle w:val="HideTWBExt"/>
      </w:rPr>
      <w:t>&lt;/PathFdR&gt;</w:t>
    </w:r>
    <w:r>
      <w:tab/>
    </w:r>
    <w:r>
      <w:tab/>
    </w:r>
    <w:r>
      <w:t>PE</w:t>
    </w:r>
    <w:r>
      <w:rPr>
        <w:rStyle w:val="HideTWBExt"/>
      </w:rPr>
      <w:t>&lt;NoPE&gt;</w:t>
    </w:r>
    <w:r>
      <w:t>784.487</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Pages>
  <Words>3461</Words>
  <Characters>25180</Characters>
  <Application>Microsoft Office Word</Application>
  <DocSecurity>0</DocSecurity>
  <Lines>1</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1337770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421633</vt:lpwstr>
  </property>
  <property fmtid="{D5CDD505-2E9C-101B-9397-08002B2CF9AE}" pid="7" name="dmxml.render.traceId">
    <vt:lpwstr>69b7d124fcc124b7572acb93e002955a</vt:lpwstr>
  </property>
  <property fmtid="{D5CDD505-2E9C-101B-9397-08002B2CF9AE}" pid="8" name="FooterPath">
    <vt:lpwstr>AM\1337770DE.docx</vt:lpwstr>
  </property>
  <property fmtid="{D5CDD505-2E9C-101B-9397-08002B2CF9AE}" pid="9" name="PE Number">
    <vt:lpwstr>784.487</vt:lpwstr>
  </property>
  <property fmtid="{D5CDD505-2E9C-101B-9397-08002B2CF9AE}" pid="10" name="UID">
    <vt:lpwstr>eu.europa.europarl-DIN1-2026-0000052035_02.00-de-01.00_text-xml</vt:lpwstr>
  </property>
</Properties>
</file>