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Committee on Budgets</w:t>
      </w:r>
      <w:r>
        <w:rPr>
          <w:rStyle w:val="HideTWBExt"/>
        </w:rPr>
        <w:t>&lt;/Commission&gt;</w:t>
      </w:r>
    </w:p>
    <w:p>
      <w:pPr>
        <w:pStyle w:val="LineBottom"/>
      </w:pPr>
      <w:r>
        <w:t xml:space="preserve"> </w:t>
      </w:r>
    </w:p>
    <w:p>
      <w:pPr>
        <w:pStyle w:val="CoverReference"/>
      </w:pPr>
      <w:r>
        <w:rPr>
          <w:rStyle w:val="HideTWBExt"/>
        </w:rPr>
        <w:t>&lt;RefProc&gt;</w:t>
      </w:r>
      <w:r>
        <w:t>2026/0284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{02/10/2026}</w:t>
      </w:r>
      <w:r>
        <w:t>2.10.2026</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53</w:t>
      </w:r>
      <w:r>
        <w:rPr>
          <w:rStyle w:val="HideTWBExt"/>
        </w:rPr>
        <w:t>&lt;/RangeAM&gt;</w:t>
      </w:r>
    </w:p>
    <w:p>
      <w:pPr>
        <w:pStyle w:val="CoverBold"/>
      </w:pPr>
      <w:r>
        <w:rPr>
          <w:rStyle w:val="HideTWBExt"/>
        </w:rPr>
        <w:t>&lt;TitreType&gt;</w:t>
      </w:r>
      <w:r>
        <w:t>Draft report</w:t>
      </w:r>
      <w:r>
        <w:rPr>
          <w:rStyle w:val="HideTWBExt"/>
        </w:rPr>
        <w:t>&lt;/TitreType&gt;</w:t>
      </w:r>
    </w:p>
    <w:p>
      <w:pPr>
        <w:pStyle w:val="CoverBold"/>
      </w:pPr>
      <w:r>
        <w:rPr>
          <w:rStyle w:val="HideTWBExt"/>
        </w:rPr>
        <w:t>&lt;Rapporteur&gt;</w:t>
      </w:r>
      <w:r>
        <w:t>Lucia Yar</w:t>
      </w:r>
      <w:r>
        <w:rPr>
          <w:rStyle w:val="HideTWBExt"/>
        </w:rPr>
        <w:t>&lt;/Rapporteur&gt;</w:t>
      </w:r>
    </w:p>
    <w:p>
      <w:pPr>
        <w:pStyle w:val="CoverNormal24a"/>
      </w:pPr>
      <w:r>
        <w:rPr>
          <w:rStyle w:val="HideTWBExt"/>
        </w:rPr>
        <w:t>&lt;DocRefPE&gt;</w:t>
      </w:r>
      <w:r>
        <w:t>(PE796.158v01-00)</w:t>
      </w:r>
      <w:r>
        <w:rPr>
          <w:rStyle w:val="HideTWBExt"/>
        </w:rPr>
        <w:t>&lt;/DocRefPE&gt;</w:t>
      </w:r>
    </w:p>
    <w:p>
      <w:pPr>
        <w:pStyle w:val="CoverNormal"/>
      </w:pPr>
      <w:r>
        <w:rPr>
          <w:rStyle w:val="HideTWBExt"/>
        </w:rPr>
        <w:t>&lt;Titre&gt;</w:t>
      </w:r>
      <w:r>
        <w:t>Mobilisation of the European Union Solidarity Fund to provide assistance to Malta and Italy regarding storm Harry in January 2026 and to Portugal and Spain following the storms in January and February 2026</w:t>
      </w:r>
      <w:r>
        <w:rPr>
          <w:rStyle w:val="HideTWBExt"/>
        </w:rPr>
        <w:t>&lt;/Titre&gt;</w:t>
      </w:r>
    </w:p>
    <w:p>
      <w:pPr>
        <w:pStyle w:val="CoverNormal24a"/>
      </w:pPr>
      <w:r>
        <w:rPr>
          <w:rStyle w:val="HideTWBExt"/>
        </w:rPr>
        <w:t>&lt;DocRef&gt;</w:t>
      </w:r>
      <w:r>
        <w:t>(2026/0284(BUD))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Lucia Yar, Olivier Chastel,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whereas, between 18 and 21 January 2026, storm Harry struck the Maltese islands bringing strong winds, heavy rainfall, increased sea levels and wave activity, causing widespread damage across Malta and Gozo, resulting in total direct damage estimated by the Maltese authorities at EUR 132,97 million;</w:t>
            </w:r>
          </w:p>
        </w:tc>
        <w:tc>
          <w:tcPr>
            <w:tcW w:w="4876" w:type="dxa"/>
            <w:tcBorders>
              <w:top w:val="nil"/>
              <w:left w:val="nil"/>
              <w:bottom w:val="nil"/>
              <w:right w:val="nil"/>
            </w:tcBorders>
          </w:tcPr>
          <w:p>
            <w:pPr>
              <w:pStyle w:val="Normal6a"/>
            </w:pPr>
            <w:r>
              <w:t>A.</w:t>
            </w:r>
            <w:r>
              <w:tab/>
            </w:r>
            <w:r>
              <w:t xml:space="preserve">whereas, between 18 and 21 January 2026, storm Harry struck the Maltese islands bringing strong winds, heavy rainfall, increased sea levels and wave activity, causing widespread damage across Malta and Gozo, resulting in total direct damage estimated by the Maltese authorities at EUR 132,97 million </w:t>
            </w:r>
            <w:r>
              <w:rPr>
                <w:b/>
                <w:i/>
              </w:rPr>
              <w:t>and affecting many municipalities, especially coastal and harbour areas</w:t>
            </w:r>
            <w:r>
              <w:t xml:space="preserve">; </w:t>
            </w:r>
            <w:r>
              <w:rPr>
                <w:b/>
                <w:i/>
              </w:rPr>
              <w:t>whereas the storm led to significant disruption to the normal functioning of essential services, such as blocked roads and interrupted transport links; whereas damage to the agricultural sector, aquaculture and the fishery industry was also recorded;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Lucia Yar, Olivier Chastel,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between 18 and 21 January 2026, the regions of Sardinia, Sicily and Calabria were affected by storm Harry which brought about intense and persistent rainfall, strong winds and storm surges, resulting in total direct damage estimated by the Italian authorities at EUR 2 995,4 million;</w:t>
            </w:r>
          </w:p>
        </w:tc>
        <w:tc>
          <w:tcPr>
            <w:tcW w:w="4876" w:type="dxa"/>
            <w:tcBorders>
              <w:top w:val="nil"/>
              <w:left w:val="nil"/>
              <w:bottom w:val="nil"/>
              <w:right w:val="nil"/>
            </w:tcBorders>
          </w:tcPr>
          <w:p>
            <w:pPr>
              <w:pStyle w:val="Normal6a"/>
            </w:pPr>
            <w:r>
              <w:t>B.</w:t>
            </w:r>
            <w:r>
              <w:tab/>
            </w:r>
            <w:r>
              <w:t xml:space="preserve">whereas, between 18 and 21 January 2026, the regions of Sardinia, Sicily and Calabria were affected by storm Harry which brought about intense and persistent rainfall, strong winds and storm surges, resulting in total direct damage estimated by the Italian authorities at EUR 2 995,4 million; </w:t>
            </w:r>
            <w:r>
              <w:rPr>
                <w:b/>
                <w:i/>
              </w:rPr>
              <w:t>whereas the most severe damage occurred in coastal areas and along rivers, where rising water levels significantly affected several dams, and as a result, thousands of people were evacuated and hundreds of homes were declared uninhabitable; whereas the storm also destroyed public buildings, railway lines, port infrastructure and roads which led to the temporary isolation of some communities;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whereas, between 18 and 21 January 2026, the regions of Sardinia, Sicily and Calabria were affected by storm Harry which brought about intense and persistent rainfall, strong winds and storm surges, resulting in total direct damage estimated by the Italian authorities at EUR 2 995,4 million;</w:t>
            </w:r>
          </w:p>
        </w:tc>
        <w:tc>
          <w:tcPr>
            <w:tcW w:w="4876" w:type="dxa"/>
            <w:tcBorders>
              <w:top w:val="nil"/>
              <w:left w:val="nil"/>
              <w:bottom w:val="nil"/>
              <w:right w:val="nil"/>
            </w:tcBorders>
          </w:tcPr>
          <w:p>
            <w:pPr>
              <w:pStyle w:val="Normal6a"/>
            </w:pPr>
            <w:r>
              <w:t>B.</w:t>
            </w:r>
            <w:r>
              <w:tab/>
            </w:r>
            <w:r>
              <w:t xml:space="preserve">whereas, between 18 and 21 January 2026, the regions of Sardinia, Sicily and Calabria were affected by storm Harry which brought about intense and persistent rainfall, strong winds and storm surges, resulting in total direct damage estimated by the Italian authorities at EUR 2 995,4 million; </w:t>
            </w:r>
            <w:r>
              <w:rPr>
                <w:b/>
                <w:i/>
              </w:rPr>
              <w:t>whereas the storm also caused severe damage to infrastructure and essential services, the evacuation of thousands of people and the temporary isolation of some communities;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whereas restoring damaged transport infrastructure and essential services is particularly important for communities that have been temporarily isolated and for affected island territories, in order to restore accessibility and ensure continuity of services for the population;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Lucia Yar, Olivier Chastel,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whereas, between 22 January and 15 February 2026, Portugal experienced a succession of severe storms bringing strong winds, intense precipitation which caused devastating floods and landslides, resulting in total direct damage estimated by the Portuguese authorities at EUR 5 351,97 million;</w:t>
            </w:r>
          </w:p>
        </w:tc>
        <w:tc>
          <w:tcPr>
            <w:tcW w:w="4876" w:type="dxa"/>
            <w:tcBorders>
              <w:top w:val="nil"/>
              <w:left w:val="nil"/>
              <w:bottom w:val="nil"/>
              <w:right w:val="nil"/>
            </w:tcBorders>
          </w:tcPr>
          <w:p>
            <w:pPr>
              <w:pStyle w:val="Normal6a"/>
            </w:pPr>
            <w:r>
              <w:t>C.</w:t>
            </w:r>
            <w:r>
              <w:tab/>
            </w:r>
            <w:r>
              <w:t xml:space="preserve">whereas, between 22 January and 15 February 2026, Portugal experienced a succession of severe storms bringing strong winds, intense precipitation which caused devastating floods and landslides, resulting in total direct damage estimated by the Portuguese authorities at EUR 5 351,97 million; </w:t>
            </w:r>
            <w:r>
              <w:rPr>
                <w:b/>
                <w:i/>
              </w:rPr>
              <w:t>whereas the storms created significant material damage in public and private infrastructure and destroyed numerous homes; whereas, additionally, essential infrastructure and services in the fields of energy, water, wastewater, transport, healthcare and education were interrupted, and the disaster led to the evacuation of thousands of people and to 18 fatalities;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Lucia Yar, Olivier Chastel,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whereas, between 22 January and 14 February 2026, Spain was hit by a succession of severe storms that caused greatest damage in the Autonomous Communities of Andalusia and Extremadura, resulting in total direct damage estimated by the Spanish authorities at EUR 4 839,53 million;</w:t>
            </w:r>
          </w:p>
        </w:tc>
        <w:tc>
          <w:tcPr>
            <w:tcW w:w="4876" w:type="dxa"/>
            <w:tcBorders>
              <w:top w:val="nil"/>
              <w:left w:val="nil"/>
              <w:bottom w:val="nil"/>
              <w:right w:val="nil"/>
            </w:tcBorders>
          </w:tcPr>
          <w:p>
            <w:pPr>
              <w:pStyle w:val="Normal6a"/>
            </w:pPr>
            <w:r>
              <w:t>D.</w:t>
            </w:r>
            <w:r>
              <w:tab/>
            </w:r>
            <w:r>
              <w:t xml:space="preserve">whereas, between 22 January and 14 February 2026, Spain was hit by a succession of severe storms that caused greatest damage in the Autonomous Communities of Andalusia and Extremadura, resulting in total direct damage estimated by the Spanish authorities at EUR 4 839,53 million; </w:t>
            </w:r>
            <w:r>
              <w:rPr>
                <w:b/>
                <w:i/>
              </w:rPr>
              <w:t>whereas the intense rainfall associated with the storms led to the evacuation of thousands of people, the closure of over 150 roads and significant structural damage to people’s homes, and, additionally, electricity, water and telecommunications infrastructure were cut off for a prolonged amount of time which caused significant economic damage and left communities isolated;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Recital D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whereas the increasing severity and frequency of floods across Member States reflects the accelerating impacts of climate change, requiring strengthened Union action in adaptation, prevention and resilience measures;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Welcomes the decision as a tangible and visible form of the Union’s solidarity with the citizens and regions affected by the storms in Malta, Italy, Portugal and Spain;</w:t>
            </w:r>
          </w:p>
        </w:tc>
        <w:tc>
          <w:tcPr>
            <w:tcW w:w="4876" w:type="dxa"/>
            <w:tcBorders>
              <w:top w:val="nil"/>
              <w:left w:val="nil"/>
              <w:bottom w:val="nil"/>
              <w:right w:val="nil"/>
            </w:tcBorders>
          </w:tcPr>
          <w:p>
            <w:pPr>
              <w:pStyle w:val="Normal6a"/>
            </w:pPr>
            <w:r>
              <w:t>2.</w:t>
            </w:r>
            <w:r>
              <w:tab/>
            </w:r>
            <w:r>
              <w:t xml:space="preserve">Welcomes the decision as a tangible and visible form of the Union’s solidarity with the citizens and regions affected by the storms in Malta, Italy, Portugal and Spain; </w:t>
            </w:r>
            <w:r>
              <w:rPr>
                <w:b/>
                <w:i/>
              </w:rPr>
              <w:t>underlines that EUSF assistance complements the efforts of the Member States concerned, in accordance with the principle of subsidiarity and the competences of national, regional and local authorities;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Strongly regrets that instead of allocating sufficient resources for prevention and mitigation measures, Europe has to spend funds for coping with consequences of inaction, and endure damages and losses;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Highlights the increasing number of severe, destructive and deadly natural disasters in Europe and calls on Member States and the Commission to further invest in adaptation measures to mitigate human and economic losses; considers that the budget of the European Union Solidarity Fund (EUSF) or its future equivalent should be sufficiently expanded, so that it can adequately respond to the intensification of natural disasters within the Union and provide tangible support to the Member States affected by it;</w:t>
            </w:r>
          </w:p>
        </w:tc>
        <w:tc>
          <w:tcPr>
            <w:tcW w:w="4876" w:type="dxa"/>
            <w:tcBorders>
              <w:top w:val="nil"/>
              <w:left w:val="nil"/>
              <w:bottom w:val="nil"/>
              <w:right w:val="nil"/>
            </w:tcBorders>
          </w:tcPr>
          <w:p>
            <w:pPr>
              <w:pStyle w:val="Normal6a"/>
            </w:pPr>
            <w:r>
              <w:t>3.</w:t>
            </w:r>
            <w:r>
              <w:tab/>
            </w:r>
            <w:r>
              <w:t>Highlights the increasing number of severe, destructive and deadly natural disasters in Europe and calls on Member States and the Commission to further invest in adaptation measures to mitigate human and economic losses</w:t>
            </w:r>
            <w:r>
              <w:rPr>
                <w:b/>
                <w:i/>
              </w:rPr>
              <w:t>; calls on Member States to take into consideration that climate risks disproportionally affect vulnerable populations due to socio-economic factors; notes that Member States should prioritise recovery measures to support the affected populations, primarily the vulnerable communities, to ensure access to adequate housing and essential services during recovery</w:t>
            </w:r>
            <w:r>
              <w:t>; considers that the budget of the European Union Solidarity Fund (EUSF) or its future equivalent should be sufficiently expanded, so that it can adequately respond to the intensification of natural disasters within the Union and provide tangible support to the Member States affected by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Highlights the increasing number of severe, destructive and deadly natural disasters in Europe and calls on Member States and the Commission to further invest in adaptation measures to mitigate human and economic losses; considers that the budget of the European Union Solidarity Fund (EUSF) or its future equivalent should be sufficiently expanded, so that it can adequately respond to the intensification of natural disasters within the Union and provide tangible support to the Member States affected by it;</w:t>
            </w:r>
          </w:p>
        </w:tc>
        <w:tc>
          <w:tcPr>
            <w:tcW w:w="4876" w:type="dxa"/>
            <w:tcBorders>
              <w:top w:val="nil"/>
              <w:left w:val="nil"/>
              <w:bottom w:val="nil"/>
              <w:right w:val="nil"/>
            </w:tcBorders>
          </w:tcPr>
          <w:p>
            <w:pPr>
              <w:pStyle w:val="Normal6a"/>
            </w:pPr>
            <w:r>
              <w:t>3.</w:t>
            </w:r>
            <w:r>
              <w:tab/>
            </w:r>
            <w:r>
              <w:t xml:space="preserve">Highlights the increasing number of severe, destructive and deadly natural disasters in Europe and calls on Member States and the Commission to further invest in adaptation measures to mitigate human and economic losses; considers that the budget of the European Union Solidarity Fund (EUSF) or its future equivalent should be sufficiently expanded, so that it can adequately respond to the intensification of natural disasters within the Union and provide tangible support to the Member States affected by it; </w:t>
            </w:r>
            <w:r>
              <w:rPr>
                <w:b/>
                <w:i/>
              </w:rPr>
              <w:t>calls on the Commission, in preparation for the next multiannual financial framework, to put forward proposals to ensure that the Fund has sufficient financial capacity, including when several disasters occur in the same year, and to shorten mobilisation times; stresses that this revision must not delay the disbursement of assistance already envisaged;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Highlights the increasing number of severe, destructive and deadly natural disasters in Europe and calls on Member States and the Commission to further invest in adaptation measures to mitigate human and economic losses; considers that the budget of the European Union Solidarity Fund (EUSF) or its future equivalent should be sufficiently expanded, so that it can adequately respond to the intensification of natural disasters within the Union and provide tangible support to the Member States affected by it;</w:t>
            </w:r>
          </w:p>
        </w:tc>
        <w:tc>
          <w:tcPr>
            <w:tcW w:w="4876" w:type="dxa"/>
            <w:tcBorders>
              <w:top w:val="nil"/>
              <w:left w:val="nil"/>
              <w:bottom w:val="nil"/>
              <w:right w:val="nil"/>
            </w:tcBorders>
          </w:tcPr>
          <w:p>
            <w:pPr>
              <w:pStyle w:val="Normal6a"/>
            </w:pPr>
            <w:r>
              <w:t>3.</w:t>
            </w:r>
            <w:r>
              <w:tab/>
            </w:r>
            <w:r>
              <w:t xml:space="preserve">Highlights the increasing number of severe, destructive and deadly </w:t>
            </w:r>
            <w:r>
              <w:rPr>
                <w:b/>
                <w:i/>
              </w:rPr>
              <w:t>human-caused</w:t>
            </w:r>
            <w:r>
              <w:t xml:space="preserve"> natural disasters in Europe and calls on Member States and the Commission to further invest in adaptation </w:t>
            </w:r>
            <w:r>
              <w:rPr>
                <w:b/>
                <w:i/>
              </w:rPr>
              <w:t>and mitigation</w:t>
            </w:r>
            <w:r>
              <w:t xml:space="preserve"> measures to mitigate human and economic losses</w:t>
            </w:r>
            <w:r>
              <w:rPr>
                <w:b/>
                <w:i/>
              </w:rPr>
              <w:t>; underlines that without additional protection and prevention measures, hundreds of thousands of people could potentially die from extreme weather events, and economic losses from coastal floods alone could exceed EUR 1 trillion per year</w:t>
            </w:r>
            <w:r>
              <w:t>; considers that the budget of the European Union Solidarity Fund (EUSF) or its future equivalent should be sufficiently expanded, so that it can adequately respond to the intensification of natural disasters within the Union and provide tangible support to the Member States affected by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Highlights the increasing number of severe, destructive and deadly natural disasters in Europe and calls on Member States and the Commission to further invest in adaptation measures to mitigate human and economic losses; considers that the budget of the European Union Solidarity Fund (EUSF) or its future equivalent should be </w:t>
            </w:r>
            <w:r>
              <w:rPr>
                <w:b/>
                <w:i/>
              </w:rPr>
              <w:t>sufficiently</w:t>
            </w:r>
            <w:r>
              <w:t xml:space="preserve"> expanded, so that it can adequately respond to the intensification of natural disasters within the Union and provide tangible support to the Member States affected by it;</w:t>
            </w:r>
          </w:p>
        </w:tc>
        <w:tc>
          <w:tcPr>
            <w:tcW w:w="4876" w:type="dxa"/>
            <w:tcBorders>
              <w:top w:val="nil"/>
              <w:left w:val="nil"/>
              <w:bottom w:val="nil"/>
              <w:right w:val="nil"/>
            </w:tcBorders>
          </w:tcPr>
          <w:p>
            <w:pPr>
              <w:pStyle w:val="Normal6a"/>
            </w:pPr>
            <w:r>
              <w:t>3.</w:t>
            </w:r>
            <w:r>
              <w:tab/>
            </w:r>
            <w:r>
              <w:t>Highlights the increasing number of severe, destructive and deadly natural disasters in Europe and calls on Member States and the Commission to further invest in</w:t>
            </w:r>
            <w:r>
              <w:rPr>
                <w:b/>
                <w:i/>
              </w:rPr>
              <w:t> prevention, resilience and</w:t>
            </w:r>
            <w:r>
              <w:t xml:space="preserve"> adaptation measures to mitigate human and economic losses; considers that the budget of the European Union Solidarity Fund (EUSF) or its future equivalent should be </w:t>
            </w:r>
            <w:r>
              <w:rPr>
                <w:b/>
                <w:i/>
              </w:rPr>
              <w:t>significantly</w:t>
            </w:r>
            <w:r>
              <w:t xml:space="preserve"> expanded, so that it can adequately respond to the intensification of natural disasters within the Union and provide tangible support to the Member States affected by it;</w:t>
            </w:r>
            <w:r>
              <w:rPr>
                <w:b/>
                <w:i/>
              </w:rPr>
              <w:t> notes that such an increase would allow Member States to respond more effectively and quickly to disasters while other instruments, particularly cohesion funds whose primary purpose is not disaster response, could be preserved;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Highlights the increasing number of severe, destructive and deadly natural disasters in Europe and calls on Member States and the Commission to further invest in adaptation measures to mitigate human and economic losses; considers that the </w:t>
            </w:r>
            <w:r>
              <w:rPr>
                <w:b/>
                <w:i/>
              </w:rPr>
              <w:t>budget</w:t>
            </w:r>
            <w:r>
              <w:t xml:space="preserve"> of the </w:t>
            </w:r>
            <w:r>
              <w:rPr>
                <w:b/>
                <w:i/>
              </w:rPr>
              <w:t>European Union Solidarity Fund (EUSF) or its future equivalent</w:t>
            </w:r>
            <w:r>
              <w:t xml:space="preserve"> should be </w:t>
            </w:r>
            <w:r>
              <w:rPr>
                <w:b/>
                <w:i/>
              </w:rPr>
              <w:t>sufficiently expanded, so that it can adequately respond to the intensification of natural disasters within the Union and provide tangible support to the Member States affected by it</w:t>
            </w:r>
            <w:r>
              <w:t>;</w:t>
            </w:r>
          </w:p>
        </w:tc>
        <w:tc>
          <w:tcPr>
            <w:tcW w:w="4876" w:type="dxa"/>
            <w:tcBorders>
              <w:top w:val="nil"/>
              <w:left w:val="nil"/>
              <w:bottom w:val="nil"/>
              <w:right w:val="nil"/>
            </w:tcBorders>
          </w:tcPr>
          <w:p>
            <w:pPr>
              <w:pStyle w:val="Normal6a"/>
            </w:pPr>
            <w:r>
              <w:t>3.</w:t>
            </w:r>
            <w:r>
              <w:tab/>
            </w:r>
            <w:r>
              <w:t xml:space="preserve">Highlights the increasing number of severe, destructive and deadly natural disasters in Europe and calls on Member States and the Commission to further invest in adaptation measures to mitigate human and economic losses; considers that the </w:t>
            </w:r>
            <w:r>
              <w:rPr>
                <w:b/>
                <w:i/>
              </w:rPr>
              <w:t>adequacy</w:t>
            </w:r>
            <w:r>
              <w:t xml:space="preserve"> of the </w:t>
            </w:r>
            <w:r>
              <w:rPr>
                <w:b/>
                <w:i/>
              </w:rPr>
              <w:t>resources available for the EUSF</w:t>
            </w:r>
            <w:r>
              <w:t xml:space="preserve"> should be </w:t>
            </w:r>
            <w:r>
              <w:rPr>
                <w:b/>
                <w:i/>
              </w:rPr>
              <w:t>regularly assessed in light of actual needs and budget implementation, without presupposing any automatic increase in the Fund’s budget and in compliance with the applicable ceilings laid down in the MFF Regulation and with budgetary discipline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Highlights the increasing number of severe, destructive and deadly natural disasters in Europe and </w:t>
            </w:r>
            <w:r>
              <w:rPr>
                <w:b/>
                <w:i/>
              </w:rPr>
              <w:t>calls on Member States and the Commission to further invest in adaptation measures to mitigate human and economic losses</w:t>
            </w:r>
            <w:r>
              <w:t>; considers that the budget of the European Union Solidarity Fund (EUSF) or its future equivalent should be sufficiently expanded, so that it can adequately respond to the intensification of natural disasters within the Union and provide tangible support to the Member States affected by it;</w:t>
            </w:r>
          </w:p>
        </w:tc>
        <w:tc>
          <w:tcPr>
            <w:tcW w:w="4876" w:type="dxa"/>
            <w:tcBorders>
              <w:top w:val="nil"/>
              <w:left w:val="nil"/>
              <w:bottom w:val="nil"/>
              <w:right w:val="nil"/>
            </w:tcBorders>
          </w:tcPr>
          <w:p>
            <w:pPr>
              <w:pStyle w:val="Normal6a"/>
            </w:pPr>
            <w:r>
              <w:t>3.</w:t>
            </w:r>
            <w:r>
              <w:tab/>
            </w:r>
            <w:r>
              <w:t xml:space="preserve">Highlights the increasing number of severe, destructive and deadly natural disasters in Europe and </w:t>
            </w:r>
            <w:r>
              <w:rPr>
                <w:b/>
                <w:i/>
              </w:rPr>
              <w:t>welcomes the efforts already made at Union, national, regional and local level to strengthen disaster preparedness, prevention and resilience</w:t>
            </w:r>
            <w:r>
              <w:t xml:space="preserve">; considers that the budget of the European Union Solidarity Fund (EUSF) or its future equivalent should be sufficiently expanded, so that it can adequately respond to the intensification of natural disasters within the Union and provide tangible support to the Member States </w:t>
            </w:r>
            <w:r>
              <w:rPr>
                <w:b/>
                <w:i/>
              </w:rPr>
              <w:t>and regions</w:t>
            </w:r>
            <w:r>
              <w:t xml:space="preserve"> affected by 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Highlights the particular vulnerability of islands, including island Member States, to the increasing impacts of the climate crisis; calls on the Commission and the Member States to ensure targeted adaptation, prevention and resilience measures for these regions; believes that islands should receive adequate funding, through simplified administrative procedures and appropriate technical assistance, in order to address their specific structural and climate-related vulnerabilities;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Stresses that the EUSF is only a curative instrument and that </w:t>
            </w:r>
            <w:r>
              <w:rPr>
                <w:b/>
                <w:i/>
              </w:rPr>
              <w:t>the Union should also continue to address climate change adaptation and mitigation by supporting European and national policies to prevent natural disasters; underlines that EEA Report No 1/2024 ‘European Climate Risk Assessment’ warned that the Union is unprepared for the effects of climate change even if the world manages to keep global temperature rise to 1,5 degrees Celsius, as set out in the Paris Agreement, and stresses the need for action to avoid the climate risks identified reaching critical levels; calls therefore on</w:t>
            </w:r>
            <w:r>
              <w:t xml:space="preserve"> Member States </w:t>
            </w:r>
            <w:r>
              <w:rPr>
                <w:b/>
                <w:i/>
              </w:rPr>
              <w:t>and the Commission to take the necessary</w:t>
            </w:r>
            <w:r>
              <w:t xml:space="preserve"> measures </w:t>
            </w:r>
            <w:r>
              <w:rPr>
                <w:b/>
                <w:i/>
              </w:rPr>
              <w:t>to bring the Union to achieve the commitments made in the Paris Agreement</w:t>
            </w:r>
            <w:r>
              <w:t>;</w:t>
            </w:r>
          </w:p>
        </w:tc>
        <w:tc>
          <w:tcPr>
            <w:tcW w:w="4876" w:type="dxa"/>
            <w:tcBorders>
              <w:top w:val="nil"/>
              <w:left w:val="nil"/>
              <w:bottom w:val="nil"/>
              <w:right w:val="nil"/>
            </w:tcBorders>
          </w:tcPr>
          <w:p>
            <w:pPr>
              <w:pStyle w:val="Normal6a"/>
            </w:pPr>
            <w:r>
              <w:t>4.</w:t>
            </w:r>
            <w:r>
              <w:tab/>
            </w:r>
            <w:r>
              <w:t xml:space="preserve">Stresses that the EUSF is only a curative instrument and that Member States </w:t>
            </w:r>
            <w:r>
              <w:rPr>
                <w:b/>
                <w:i/>
              </w:rPr>
              <w:t>should continue to strengthen effective disaster prevention, preparedness and adaptation measures; stresses that such</w:t>
            </w:r>
            <w:r>
              <w:t xml:space="preserve"> measures </w:t>
            </w:r>
            <w:r>
              <w:rPr>
                <w:b/>
                <w:i/>
              </w:rPr>
              <w:t>should take account of national and regional circumstances and respect the principles of subsidiarity and proportionality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Stresses that the EUSF is </w:t>
            </w:r>
            <w:r>
              <w:rPr>
                <w:b/>
                <w:i/>
              </w:rPr>
              <w:t>only a curative instrument and that the Union should also continue to address climate change adaptation and mitigation by supporting European and national policies to prevent natural</w:t>
            </w:r>
            <w:r>
              <w:t xml:space="preserve"> disasters; </w:t>
            </w:r>
            <w:r>
              <w:rPr>
                <w:b/>
                <w:i/>
              </w:rPr>
              <w:t>underlines that EEA Report No 1/2024 ‘European Climate Risk Assessment’ warned</w:t>
            </w:r>
            <w:r>
              <w:t xml:space="preserve"> that the </w:t>
            </w:r>
            <w:r>
              <w:rPr>
                <w:b/>
                <w:i/>
              </w:rPr>
              <w:t>Union is unprepared for the effects of climate change even if the world manages to keep global temperature rise to 1,5 degrees Celsius, as set out in the Paris Agreement, and stresses the need for action to avoid the climate risks identified reaching critical levels; calls therefore on</w:t>
            </w:r>
            <w:r>
              <w:t xml:space="preserve"> Member States and </w:t>
            </w:r>
            <w:r>
              <w:rPr>
                <w:b/>
                <w:i/>
              </w:rPr>
              <w:t>the Commission to take the necessary measures to bring the Union to achieve the commitments made in the Paris Agreement</w:t>
            </w:r>
            <w:r>
              <w:t>;</w:t>
            </w:r>
          </w:p>
        </w:tc>
        <w:tc>
          <w:tcPr>
            <w:tcW w:w="4876" w:type="dxa"/>
            <w:tcBorders>
              <w:top w:val="nil"/>
              <w:left w:val="nil"/>
              <w:bottom w:val="nil"/>
              <w:right w:val="nil"/>
            </w:tcBorders>
          </w:tcPr>
          <w:p>
            <w:pPr>
              <w:pStyle w:val="Normal6a"/>
            </w:pPr>
            <w:r>
              <w:t>4.</w:t>
            </w:r>
            <w:r>
              <w:tab/>
            </w:r>
            <w:r>
              <w:t xml:space="preserve">Stresses that the EUSF is </w:t>
            </w:r>
            <w:r>
              <w:rPr>
                <w:b/>
                <w:i/>
              </w:rPr>
              <w:t>intended to provide a rapid response to specific damage caused by</w:t>
            </w:r>
            <w:r>
              <w:t xml:space="preserve"> disasters; </w:t>
            </w:r>
            <w:r>
              <w:rPr>
                <w:b/>
                <w:i/>
              </w:rPr>
              <w:t>supports proportionate and technology-neutral measures adapted to local circumstances for disaster prevention, flood and coastal protection and the strengthening of critical infrastructure; stresses</w:t>
            </w:r>
            <w:r>
              <w:t xml:space="preserve"> that the </w:t>
            </w:r>
            <w:r>
              <w:rPr>
                <w:b/>
                <w:i/>
              </w:rPr>
              <w:t>selection and design of such measures fall primarily within the competence of the</w:t>
            </w:r>
            <w:r>
              <w:t xml:space="preserve"> Member States and </w:t>
            </w:r>
            <w:r>
              <w:rPr>
                <w:b/>
                <w:i/>
              </w:rPr>
              <w:t>their regional and local authorities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Isabel Benjumea Benjumea, Elena Nevado del Campo,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Stresses that the EUSF is only a curative instrument and that the Union should also continue to </w:t>
            </w:r>
            <w:r>
              <w:rPr>
                <w:b/>
                <w:i/>
              </w:rPr>
              <w:t>address climate change adaptation and mitigation by supporting European and national policies to prevent</w:t>
            </w:r>
            <w:r>
              <w:t xml:space="preserve"> natural disasters; </w:t>
            </w:r>
            <w:r>
              <w:rPr>
                <w:b/>
                <w:i/>
              </w:rPr>
              <w:t>underlines that EEA Report No 1/2024 ‘European Climate Risk Assessment’ warned that the Union is unprepared for the effects of climate change even if the world manages to keep global temperature rise to 1,5 degrees Celsius, as set out in the Paris Agreement, and</w:t>
            </w:r>
            <w:r>
              <w:t xml:space="preserve"> stresses the </w:t>
            </w:r>
            <w:r>
              <w:rPr>
                <w:b/>
                <w:i/>
              </w:rPr>
              <w:t>need for action to avoid the climate risks identified reaching critical levels</w:t>
            </w:r>
            <w:r>
              <w:t xml:space="preserve">; calls </w:t>
            </w:r>
            <w:r>
              <w:rPr>
                <w:b/>
                <w:i/>
              </w:rPr>
              <w:t>therefore</w:t>
            </w:r>
            <w:r>
              <w:t xml:space="preserve"> on Member States and the Commission to </w:t>
            </w:r>
            <w:r>
              <w:rPr>
                <w:b/>
                <w:i/>
              </w:rPr>
              <w:t>take the necessary</w:t>
            </w:r>
            <w:r>
              <w:t xml:space="preserve"> measures </w:t>
            </w:r>
            <w:r>
              <w:rPr>
                <w:b/>
                <w:i/>
              </w:rPr>
              <w:t>to bring the Union to achieve the commitments made in the Paris Agreement</w:t>
            </w:r>
            <w:r>
              <w:t>;</w:t>
            </w:r>
          </w:p>
        </w:tc>
        <w:tc>
          <w:tcPr>
            <w:tcW w:w="4876" w:type="dxa"/>
            <w:tcBorders>
              <w:top w:val="nil"/>
              <w:left w:val="nil"/>
              <w:bottom w:val="nil"/>
              <w:right w:val="nil"/>
            </w:tcBorders>
          </w:tcPr>
          <w:p>
            <w:pPr>
              <w:pStyle w:val="Normal6a"/>
            </w:pPr>
            <w:r>
              <w:t>4.</w:t>
            </w:r>
            <w:r>
              <w:tab/>
            </w:r>
            <w:r>
              <w:t xml:space="preserve">Stresses that the EUSF is only a curative instrument and that the Union should also continue to </w:t>
            </w:r>
            <w:r>
              <w:rPr>
                <w:b/>
                <w:i/>
              </w:rPr>
              <w:t>strengthen prevention, preparedness and resilience against</w:t>
            </w:r>
            <w:r>
              <w:t xml:space="preserve"> natural disasters; stresses the </w:t>
            </w:r>
            <w:r>
              <w:rPr>
                <w:b/>
                <w:i/>
              </w:rPr>
              <w:t>importance of effective risk management and resilient infrastructure in reducing their human and economic impact</w:t>
            </w:r>
            <w:r>
              <w:t xml:space="preserve">; calls on Member States and the Commission to </w:t>
            </w:r>
            <w:r>
              <w:rPr>
                <w:b/>
                <w:i/>
              </w:rPr>
              <w:t>ensure that prevention</w:t>
            </w:r>
            <w:r>
              <w:t xml:space="preserve"> measures </w:t>
            </w:r>
            <w:r>
              <w:rPr>
                <w:b/>
                <w:i/>
              </w:rPr>
              <w:t>are effective, proportionate and adapted to national, regional and local circumstances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Stresses that the EUSF is only a curative instrument and that the Union should </w:t>
            </w:r>
            <w:r>
              <w:rPr>
                <w:b/>
                <w:i/>
              </w:rPr>
              <w:t>also</w:t>
            </w:r>
            <w:r>
              <w:t xml:space="preserve"> continue </w:t>
            </w:r>
            <w:r>
              <w:rPr>
                <w:b/>
                <w:i/>
              </w:rPr>
              <w:t>to address</w:t>
            </w:r>
            <w:r>
              <w:t xml:space="preserve"> climate </w:t>
            </w:r>
            <w:r>
              <w:rPr>
                <w:b/>
                <w:i/>
              </w:rPr>
              <w:t>change</w:t>
            </w:r>
            <w:r>
              <w:t xml:space="preserve"> adaptation </w:t>
            </w:r>
            <w:r>
              <w:rPr>
                <w:b/>
                <w:i/>
              </w:rPr>
              <w:t>and mitigation by supporting European and national policies to prevent</w:t>
            </w:r>
            <w:r>
              <w:t xml:space="preserve"> natural disasters; </w:t>
            </w:r>
            <w:r>
              <w:rPr>
                <w:b/>
                <w:i/>
              </w:rPr>
              <w:t>underlines that EEA Report No 1/2024 ‘European Climate Risk Assessment’ warned that the Union is unprepared for the effects of climate change even if the world manages to keep global temperature rise to 1,5 degrees Celsius, as set out in the Paris Agreement, and stresses the need for action to avoid the climate risks identified reaching critical levels; calls therefore on</w:t>
            </w:r>
            <w:r>
              <w:t xml:space="preserve"> Member States and the Commission to </w:t>
            </w:r>
            <w:r>
              <w:rPr>
                <w:b/>
                <w:i/>
              </w:rPr>
              <w:t>take the necessary</w:t>
            </w:r>
            <w:r>
              <w:t xml:space="preserve"> measures </w:t>
            </w:r>
            <w:r>
              <w:rPr>
                <w:b/>
                <w:i/>
              </w:rPr>
              <w:t>to bring the Union to achieve the commitments made in the Paris Agreement</w:t>
            </w:r>
            <w:r>
              <w:t>;</w:t>
            </w:r>
          </w:p>
        </w:tc>
        <w:tc>
          <w:tcPr>
            <w:tcW w:w="4876" w:type="dxa"/>
            <w:tcBorders>
              <w:top w:val="nil"/>
              <w:left w:val="nil"/>
              <w:bottom w:val="nil"/>
              <w:right w:val="nil"/>
            </w:tcBorders>
          </w:tcPr>
          <w:p>
            <w:pPr>
              <w:pStyle w:val="Normal6a"/>
            </w:pPr>
            <w:r>
              <w:t>4.</w:t>
            </w:r>
            <w:r>
              <w:tab/>
            </w:r>
            <w:r>
              <w:t xml:space="preserve">Stresses that the EUSF is only a curative instrument and that the Union should continue </w:t>
            </w:r>
            <w:r>
              <w:rPr>
                <w:b/>
                <w:i/>
              </w:rPr>
              <w:t>the efforts already undertaken at Union, national, regional and local level to strengthen</w:t>
            </w:r>
            <w:r>
              <w:t xml:space="preserve"> climate adaptation</w:t>
            </w:r>
            <w:r>
              <w:rPr>
                <w:b/>
                <w:i/>
              </w:rPr>
              <w:t>, prevention and resilience against</w:t>
            </w:r>
            <w:r>
              <w:t xml:space="preserve"> natural disasters; </w:t>
            </w:r>
            <w:r>
              <w:rPr>
                <w:b/>
                <w:i/>
              </w:rPr>
              <w:t>welcomes the progress already made in strengthening the Union’s preparedness and resilience and encourages</w:t>
            </w:r>
            <w:r>
              <w:t xml:space="preserve"> Member States and the Commission to </w:t>
            </w:r>
            <w:r>
              <w:rPr>
                <w:b/>
                <w:i/>
              </w:rPr>
              <w:t>build on existing</w:t>
            </w:r>
            <w:r>
              <w:t xml:space="preserve"> measures </w:t>
            </w:r>
            <w:r>
              <w:rPr>
                <w:b/>
                <w:i/>
              </w:rPr>
              <w:t>and instruments to reduce the human and economic impact of future disasters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Stresses also the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 emphasises that all reconstruction financed by EUSF must be climate-resilient and underlines the importance of resilient critical infrastructure as an essential component of Europe's economic security and territorial cohesion;</w:t>
            </w:r>
          </w:p>
        </w:tc>
        <w:tc>
          <w:tcPr>
            <w:tcW w:w="4876" w:type="dxa"/>
            <w:tcBorders>
              <w:top w:val="nil"/>
              <w:left w:val="nil"/>
              <w:bottom w:val="nil"/>
              <w:right w:val="nil"/>
            </w:tcBorders>
          </w:tcPr>
          <w:p>
            <w:pPr>
              <w:pStyle w:val="Normal6a"/>
            </w:pPr>
            <w:r>
              <w:t>5.</w:t>
            </w:r>
            <w:r>
              <w:tab/>
            </w:r>
            <w:r>
              <w:t xml:space="preserve">Stresses also the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 </w:t>
            </w:r>
            <w:r>
              <w:rPr>
                <w:b/>
                <w:i/>
              </w:rPr>
              <w:t>calls on Member States to take into consideration that climate risks and other natural disasters disproportionately affect vulnerable populations and vulnerable territories</w:t>
            </w:r>
            <w:r>
              <w:t xml:space="preserve">; emphasises that all reconstruction financed by EUSF must be climate-resilient and underlines the importance of resilient critical infrastructure as an essential component of Europe's economic security and territorial cohesion; </w:t>
            </w:r>
            <w:r>
              <w:rPr>
                <w:b/>
                <w:i/>
              </w:rPr>
              <w:t>highlights the importance of protecting, restoring and reinforcing critical infrastructure and entities against natural and man-made risks, in order to enhance the resilience of affected regions;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Stresses </w:t>
            </w:r>
            <w:r>
              <w:rPr>
                <w:b/>
                <w:i/>
              </w:rPr>
              <w:t>also the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 emphasises that all reconstruction financed by EUSF must be climate-resilient and underlines</w:t>
            </w:r>
            <w:r>
              <w:t xml:space="preserve"> the importance of resilient </w:t>
            </w:r>
            <w:r>
              <w:rPr>
                <w:b/>
                <w:i/>
              </w:rPr>
              <w:t>critical</w:t>
            </w:r>
            <w:r>
              <w:t xml:space="preserve"> infrastructure </w:t>
            </w:r>
            <w:r>
              <w:rPr>
                <w:b/>
                <w:i/>
              </w:rPr>
              <w:t>as an essential component of Europe's economic security and territorial cohesion</w:t>
            </w:r>
            <w:r>
              <w:t>;</w:t>
            </w:r>
          </w:p>
        </w:tc>
        <w:tc>
          <w:tcPr>
            <w:tcW w:w="4876" w:type="dxa"/>
            <w:tcBorders>
              <w:top w:val="nil"/>
              <w:left w:val="nil"/>
              <w:bottom w:val="nil"/>
              <w:right w:val="nil"/>
            </w:tcBorders>
          </w:tcPr>
          <w:p>
            <w:pPr>
              <w:pStyle w:val="Normal6a"/>
            </w:pPr>
            <w:r>
              <w:t>5.</w:t>
            </w:r>
            <w:r>
              <w:tab/>
            </w:r>
            <w:r>
              <w:t xml:space="preserve">Stresses the importance of </w:t>
            </w:r>
            <w:r>
              <w:rPr>
                <w:b/>
                <w:i/>
              </w:rPr>
              <w:t>effective prevention and</w:t>
            </w:r>
            <w:r>
              <w:t xml:space="preserve"> resilient </w:t>
            </w:r>
            <w:r>
              <w:rPr>
                <w:b/>
                <w:i/>
              </w:rPr>
              <w:t>reconstruction in order to limit future damage; considers that risk assessments and protective measures must be based on verifiable data, regional circumstances and cost-benefit assessments; stresses that reconstruction measures financed by the EUSF should be proportionate, cost-effective and focused on restoring essential</w:t>
            </w:r>
            <w:r>
              <w:t xml:space="preserve"> infrastructure </w:t>
            </w:r>
            <w:r>
              <w:rPr>
                <w:b/>
                <w:i/>
              </w:rPr>
              <w:t>and services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Stresses also the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w:t>
            </w:r>
            <w:r>
              <w:rPr>
                <w:b/>
                <w:i/>
              </w:rPr>
              <w:t>; emphasises that all reconstruction</w:t>
            </w:r>
            <w:r>
              <w:t xml:space="preserve"> financed by </w:t>
            </w:r>
            <w:r>
              <w:rPr>
                <w:b/>
                <w:i/>
              </w:rPr>
              <w:t>EUSF must be climate-resilient and</w:t>
            </w:r>
            <w:r>
              <w:t xml:space="preserve"> underlines the importance of resilient critical infrastructure as an essential component of Europe's economic security and territorial cohesion;</w:t>
            </w:r>
          </w:p>
        </w:tc>
        <w:tc>
          <w:tcPr>
            <w:tcW w:w="4876" w:type="dxa"/>
            <w:tcBorders>
              <w:top w:val="nil"/>
              <w:left w:val="nil"/>
              <w:bottom w:val="nil"/>
              <w:right w:val="nil"/>
            </w:tcBorders>
          </w:tcPr>
          <w:p>
            <w:pPr>
              <w:pStyle w:val="Normal6a"/>
            </w:pPr>
            <w:r>
              <w:t>5.</w:t>
            </w:r>
            <w:r>
              <w:tab/>
            </w:r>
            <w:r>
              <w:t xml:space="preserve">Stresses also the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 </w:t>
            </w:r>
            <w:r>
              <w:rPr>
                <w:b/>
                <w:i/>
              </w:rPr>
              <w:t>stresses that restoration operations</w:t>
            </w:r>
            <w:r>
              <w:t xml:space="preserve"> financed by </w:t>
            </w:r>
            <w:r>
              <w:rPr>
                <w:b/>
                <w:i/>
              </w:rPr>
              <w:t>the EUSF should take climate resilience into account, in accordance with the eligibility conditions and limits laid down in the EUSF Regulation, and that the additional investment needed to strengthen such resilience should be supported through other relevant instruments;</w:t>
            </w:r>
            <w:r>
              <w:t xml:space="preserve"> underlines the importance of resilient critical infrastructure as an essential component of Europe’s economic security and territorial cohesion;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Stresses also the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w:t>
            </w:r>
            <w:r>
              <w:rPr>
                <w:b/>
                <w:i/>
              </w:rPr>
              <w:t>;</w:t>
            </w:r>
            <w:r>
              <w:t xml:space="preserve"> emphasises that all reconstruction financed by EUSF must be climate-resilient and underlines the importance of resilient critical infrastructure as an essential component of Europe's economic security and territorial cohesion;</w:t>
            </w:r>
          </w:p>
        </w:tc>
        <w:tc>
          <w:tcPr>
            <w:tcW w:w="4876" w:type="dxa"/>
            <w:tcBorders>
              <w:top w:val="nil"/>
              <w:left w:val="nil"/>
              <w:bottom w:val="nil"/>
              <w:right w:val="nil"/>
            </w:tcBorders>
          </w:tcPr>
          <w:p>
            <w:pPr>
              <w:pStyle w:val="Normal6a"/>
            </w:pPr>
            <w:r>
              <w:t>5.</w:t>
            </w:r>
            <w:r>
              <w:tab/>
            </w:r>
            <w:r>
              <w:t xml:space="preserve">Stresses also the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 emphasises that all reconstruction financed by EUSF must be climate-resilient and underlines the importance of resilient critical infrastructure as an essential component of Europe's economic security and territorial cohesion; </w:t>
            </w:r>
            <w:r>
              <w:rPr>
                <w:b/>
                <w:i/>
              </w:rPr>
              <w:t>calls on Member States to take into consideration that climate risks disproportionately affect vulnerable populations due to socio-economic factors further hampering the ability of vulnerable groups to recover from disasters;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Stresses also the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w:t>
            </w:r>
            <w:r>
              <w:rPr>
                <w:b/>
                <w:i/>
              </w:rPr>
              <w:t>;</w:t>
            </w:r>
            <w:r>
              <w:t xml:space="preserve"> emphasises that </w:t>
            </w:r>
            <w:r>
              <w:rPr>
                <w:b/>
                <w:i/>
              </w:rPr>
              <w:t>all</w:t>
            </w:r>
            <w:r>
              <w:t xml:space="preserve"> reconstruction financed by </w:t>
            </w:r>
            <w:r>
              <w:rPr>
                <w:b/>
                <w:i/>
              </w:rPr>
              <w:t>EUSF must be climate-resilient and underlines the importance of resilient critical</w:t>
            </w:r>
            <w:r>
              <w:t xml:space="preserve"> infrastructure </w:t>
            </w:r>
            <w:r>
              <w:rPr>
                <w:b/>
                <w:i/>
              </w:rPr>
              <w:t>as an essential component of Europe's economic security and territorial cohesion</w:t>
            </w:r>
            <w:r>
              <w:t>;</w:t>
            </w:r>
          </w:p>
        </w:tc>
        <w:tc>
          <w:tcPr>
            <w:tcW w:w="4876" w:type="dxa"/>
            <w:tcBorders>
              <w:top w:val="nil"/>
              <w:left w:val="nil"/>
              <w:bottom w:val="nil"/>
              <w:right w:val="nil"/>
            </w:tcBorders>
          </w:tcPr>
          <w:p>
            <w:pPr>
              <w:pStyle w:val="Normal6a"/>
            </w:pPr>
            <w:r>
              <w:t>5.</w:t>
            </w:r>
            <w:r>
              <w:tab/>
            </w:r>
            <w:r>
              <w:t xml:space="preserve">Stresses also the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 emphasises that reconstruction financed by </w:t>
            </w:r>
            <w:r>
              <w:rPr>
                <w:b/>
                <w:i/>
              </w:rPr>
              <w:t>the EUSF should prioritise the rapid restoration of essential</w:t>
            </w:r>
            <w:r>
              <w:t xml:space="preserve"> infrastructure </w:t>
            </w:r>
            <w:r>
              <w:rPr>
                <w:b/>
                <w:i/>
              </w:rPr>
              <w:t>and services, while ensuring that reconstruction requirements remain proportionate, technically justified and cost-effective and do not unnecessarily increase reconstruction costs or delay assistance to affected populations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Isabel Benjumea Benjumea, Elena Nevado del Campo,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Stresses also the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w:t>
            </w:r>
            <w:r>
              <w:rPr>
                <w:b/>
                <w:i/>
              </w:rPr>
              <w:t>;</w:t>
            </w:r>
            <w:r>
              <w:t xml:space="preserve"> emphasises that all reconstruction financed by EUSF must </w:t>
            </w:r>
            <w:r>
              <w:rPr>
                <w:b/>
                <w:i/>
              </w:rPr>
              <w:t>be climate-resilient</w:t>
            </w:r>
            <w:r>
              <w:t xml:space="preserve"> and underlines the importance of resilient critical infrastructure as an essential component of Europe's economic security and territorial cohesion;</w:t>
            </w:r>
          </w:p>
        </w:tc>
        <w:tc>
          <w:tcPr>
            <w:tcW w:w="4876" w:type="dxa"/>
            <w:tcBorders>
              <w:top w:val="nil"/>
              <w:left w:val="nil"/>
              <w:bottom w:val="nil"/>
              <w:right w:val="nil"/>
            </w:tcBorders>
          </w:tcPr>
          <w:p>
            <w:pPr>
              <w:pStyle w:val="Normal6a"/>
            </w:pPr>
            <w:r>
              <w:t>5.</w:t>
            </w:r>
            <w:r>
              <w:tab/>
            </w:r>
            <w:r>
              <w:t xml:space="preserve">Stresses also the need for preventive measures, not only to mitigate future damage but also to prevent the exacerbation of risk conditions following catastrophic events; in particular, invites Member States to further build comprehensive risk-assessment and adaptation policy architecture, in light of the EEA's evidence of diverse preparedness levels across Member States; further stresses the risks that extreme weather and natural disasters such as storms possess for the public health across Europe and calls on the Commission to consider this aspect in relevant policies; emphasises that all reconstruction financed by EUSF must </w:t>
            </w:r>
            <w:r>
              <w:rPr>
                <w:b/>
                <w:i/>
              </w:rPr>
              <w:t>aim to reduce vulnerability to future natural disasters and ensure the efficient and effective use of Union funds</w:t>
            </w:r>
            <w:r>
              <w:t xml:space="preserve"> and underlines the importance of resilient critical infrastructure as an essential component of Europe's economic security and territorial cohesion;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Calls on the Commission and the Member States to prioritise, when using the relevant funding instruments, the prevention of floods and landslides, coastal protection and the resilience of water, energy and transport networks; calls for particular attention to island territories and communities at risk of isolation, to ensure that extreme events do not disrupt access to emergency assistance and essential services;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5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Calls on the Commission to support the Member States in monitoring and exchanging information on preventive measures and health and social care measures in the event of extreme weather, including heatwaves, using existing European instruments; calls for particular attention to older people, persons with disabilities and people with chronic illnesses, to continuity of care and home care, and to the preparedness of healthcare facilities, while respecting national competences; stresses the need to link early warning systems to timely action by health, social and civil protection services at local level;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Encourages the use of innovative digital tools, satellite data (e.g. Copernicus), and early-warning systems to enhance disaster preparedness; welcomes in particular the support provided through the European Union Civil Protection Mechanism to the Portuguese authorities having requested the activation of satellite Earth Observation data from the Copernicus programme to map the flooded areas and the storm impact zone;</w:t>
            </w:r>
          </w:p>
        </w:tc>
        <w:tc>
          <w:tcPr>
            <w:tcW w:w="4876" w:type="dxa"/>
            <w:tcBorders>
              <w:top w:val="nil"/>
              <w:left w:val="nil"/>
              <w:bottom w:val="nil"/>
              <w:right w:val="nil"/>
            </w:tcBorders>
          </w:tcPr>
          <w:p>
            <w:pPr>
              <w:pStyle w:val="Normal6a"/>
            </w:pPr>
            <w:r>
              <w:t>6.</w:t>
            </w:r>
            <w:r>
              <w:tab/>
            </w:r>
            <w:r>
              <w:t xml:space="preserve">Encourages the use of innovative digital tools, satellite data (e.g. Copernicus), and early-warning systems to enhance disaster preparedness; welcomes in particular the support provided through the European Union Civil Protection Mechanism to the Portuguese authorities having requested the activation of satellite Earth Observation data from the Copernicus programme to map the flooded areas and the storm impact zone; </w:t>
            </w:r>
            <w:r>
              <w:rPr>
                <w:b/>
                <w:i/>
              </w:rPr>
              <w:t>calls on the Commission and the Member States to identify gaps in their capacity to respond to simultaneous extreme events and to set priorities and timelines for addressing them within the framework of the Union Civil Protection Mechanism; calls for faster procedures for mobilising assets and teams, while maintaining safety and transparency standards and ensuring that European support, activated upon request, complements national capacities;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Encourages the use of innovative digital tools, satellite data (e.g. Copernicus), and early-warning systems to enhance disaster preparedness; welcomes in particular the support provided through the European Union Civil Protection Mechanism to the Portuguese authorities having requested the activation of satellite Earth Observation data from the Copernicus programme to map the flooded areas and the storm impact zone;</w:t>
            </w:r>
          </w:p>
        </w:tc>
        <w:tc>
          <w:tcPr>
            <w:tcW w:w="4876" w:type="dxa"/>
            <w:tcBorders>
              <w:top w:val="nil"/>
              <w:left w:val="nil"/>
              <w:bottom w:val="nil"/>
              <w:right w:val="nil"/>
            </w:tcBorders>
          </w:tcPr>
          <w:p>
            <w:pPr>
              <w:pStyle w:val="Normal6a"/>
            </w:pPr>
            <w:r>
              <w:t>6.</w:t>
            </w:r>
            <w:r>
              <w:tab/>
            </w:r>
            <w:r>
              <w:t>Encourages the use of innovative digital tools, satellite data (e.g. Copernicus), and early-warning systems to enhance disaster preparedness</w:t>
            </w:r>
            <w:r>
              <w:rPr>
                <w:b/>
                <w:i/>
              </w:rPr>
              <w:t>; calls on Member States and relevant authorities to make full use of existing Union programmes and instruments in this area and to strengthen the coordination and interconnection of relevant services and programmes, including across borders</w:t>
            </w:r>
            <w:r>
              <w:t>; welcomes in particular the support provided through the European Union Civil Protection Mechanism to the Portuguese authorities having requested the activation of satellite Earth Observation data from the Copernicus programme to map the flooded areas and the storm impact zone;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Encourages</w:t>
            </w:r>
            <w:r>
              <w:t xml:space="preserve"> the use of innovative digital tools, satellite data (e.g. Copernicus), and early-warning systems to enhance disaster preparedness; welcomes in particular the support provided through the European Union Civil Protection Mechanism to the Portuguese authorities having requested the activation of satellite Earth Observation data from the Copernicus programme to map the flooded areas and the storm impact zone;</w:t>
            </w:r>
          </w:p>
        </w:tc>
        <w:tc>
          <w:tcPr>
            <w:tcW w:w="4876" w:type="dxa"/>
            <w:tcBorders>
              <w:top w:val="nil"/>
              <w:left w:val="nil"/>
              <w:bottom w:val="nil"/>
              <w:right w:val="nil"/>
            </w:tcBorders>
          </w:tcPr>
          <w:p>
            <w:pPr>
              <w:pStyle w:val="Normal6a"/>
            </w:pPr>
            <w:r>
              <w:t>6.</w:t>
            </w:r>
            <w:r>
              <w:tab/>
            </w:r>
            <w:r>
              <w:rPr>
                <w:b/>
                <w:i/>
              </w:rPr>
              <w:t>Notes that the mobilisation of the European Union Solidarity Fund should be accompanied by reinforced investment in disaster prevention and preparedness and climate resilience, and</w:t>
            </w:r>
            <w:r>
              <w:t xml:space="preserve"> the use of innovative digital tools, satellite data (e.g. Copernicus), and early-warning systems to enhance disaster preparedness; welcomes in particular the support provided through the European Union Civil Protection Mechanism to the Portuguese authorities having requested the activation of satellite Earth Observation data from the Copernicus programme to map the flooded areas and the storm impact zone;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Encourages the </w:t>
            </w:r>
            <w:r>
              <w:rPr>
                <w:b/>
                <w:i/>
              </w:rPr>
              <w:t>use</w:t>
            </w:r>
            <w:r>
              <w:t xml:space="preserve"> of innovative digital tools, satellite data (e.g. Copernicus), and early-warning systems to enhance </w:t>
            </w:r>
            <w:r>
              <w:rPr>
                <w:b/>
                <w:i/>
              </w:rPr>
              <w:t>disaster</w:t>
            </w:r>
            <w:r>
              <w:t xml:space="preserve"> preparedness; welcomes in particular the support provided through the European Union Civil Protection Mechanism to the Portuguese authorities having requested the activation of satellite Earth Observation data from the Copernicus programme to map the flooded areas and the storm impact zone;</w:t>
            </w:r>
          </w:p>
        </w:tc>
        <w:tc>
          <w:tcPr>
            <w:tcW w:w="4876" w:type="dxa"/>
            <w:tcBorders>
              <w:top w:val="nil"/>
              <w:left w:val="nil"/>
              <w:bottom w:val="nil"/>
              <w:right w:val="nil"/>
            </w:tcBorders>
          </w:tcPr>
          <w:p>
            <w:pPr>
              <w:pStyle w:val="Normal6a"/>
            </w:pPr>
            <w:r>
              <w:t>6.</w:t>
            </w:r>
            <w:r>
              <w:tab/>
            </w:r>
            <w:r>
              <w:t xml:space="preserve">Encourages the </w:t>
            </w:r>
            <w:r>
              <w:rPr>
                <w:b/>
                <w:i/>
              </w:rPr>
              <w:t>systematic use and operational integration</w:t>
            </w:r>
            <w:r>
              <w:t xml:space="preserve"> of innovative digital tools, satellite data (e.g. Copernicus), </w:t>
            </w:r>
            <w:r>
              <w:rPr>
                <w:b/>
                <w:i/>
              </w:rPr>
              <w:t>artificial intelligence</w:t>
            </w:r>
            <w:r>
              <w:t xml:space="preserve"> and early-warning systems to enhance </w:t>
            </w:r>
            <w:r>
              <w:rPr>
                <w:b/>
                <w:i/>
              </w:rPr>
              <w:t>risk assessment, anticipation,</w:t>
            </w:r>
            <w:r>
              <w:t xml:space="preserve"> preparedness</w:t>
            </w:r>
            <w:r>
              <w:rPr>
                <w:b/>
                <w:i/>
              </w:rPr>
              <w:t>, response and recovery</w:t>
            </w:r>
            <w:r>
              <w:t>; welcomes in particular the support provided through the European Union Civil Protection Mechanism to the Portuguese authorities having requested the activation of satellite Earth Observation data from the Copernicus programme to map the flooded areas and the storm impact zone;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Insists on the need for effective synergies with other Union policies and programmes and underlines that Member States should make best use of funding opportunities in particular, of the European Regional Development Fund, the European Social Fund+ and the rural development programmes;</w:t>
            </w:r>
          </w:p>
        </w:tc>
        <w:tc>
          <w:tcPr>
            <w:tcW w:w="4876" w:type="dxa"/>
            <w:tcBorders>
              <w:top w:val="nil"/>
              <w:left w:val="nil"/>
              <w:bottom w:val="nil"/>
              <w:right w:val="nil"/>
            </w:tcBorders>
          </w:tcPr>
          <w:p>
            <w:pPr>
              <w:pStyle w:val="Normal6a"/>
            </w:pPr>
            <w:r>
              <w:t>7.</w:t>
            </w:r>
            <w:r>
              <w:tab/>
            </w:r>
            <w:r>
              <w:t xml:space="preserve">Insists on the need for effective synergies with other Union policies and programmes and underlines that Member States should make best use of funding opportunities in particular, of the European Regional Development Fund, the European Social Fund+ and the rural development programmes; </w:t>
            </w:r>
            <w:r>
              <w:rPr>
                <w:b/>
                <w:i/>
              </w:rPr>
              <w:t>calls on the Commission and Member States to maximise possibilities for cooperation with the Union agencies (e.g. European Space Agency, European Environment Agency) to protect Union citizens from repercussions of climate change related natural emergencies;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Insists on the need for effective synergies with other Union policies and programmes and underlines that Member States should make best use of funding opportunities in particular, of the European Regional Development Fund, the European Social Fund+ and the rural development programmes;</w:t>
            </w:r>
          </w:p>
        </w:tc>
        <w:tc>
          <w:tcPr>
            <w:tcW w:w="4876" w:type="dxa"/>
            <w:tcBorders>
              <w:top w:val="nil"/>
              <w:left w:val="nil"/>
              <w:bottom w:val="nil"/>
              <w:right w:val="nil"/>
            </w:tcBorders>
          </w:tcPr>
          <w:p>
            <w:pPr>
              <w:pStyle w:val="Normal6a"/>
            </w:pPr>
            <w:r>
              <w:t>7.</w:t>
            </w:r>
            <w:r>
              <w:tab/>
            </w:r>
            <w:r>
              <w:t xml:space="preserve">Insists on the need for effective synergies with other Union policies and programmes and underlines that Member States should make best use of funding opportunities in particular, of the European Regional Development Fund, the European Social Fund+ and the rural development programmes; </w:t>
            </w:r>
            <w:r>
              <w:rPr>
                <w:b/>
                <w:i/>
              </w:rPr>
              <w:t>calls for operational coordination between these instruments and the EUSF to avoid gaps in support and double funding of the same expenditure;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Giuseppe Lupo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Insists on the need for effective synergies with other Union policies and programmes and underlines that Member States should make best use of funding opportunities in particular, of the European Regional Development Fund, the European Social Fund+ and the rural development programmes;</w:t>
            </w:r>
          </w:p>
        </w:tc>
        <w:tc>
          <w:tcPr>
            <w:tcW w:w="4876" w:type="dxa"/>
            <w:tcBorders>
              <w:top w:val="nil"/>
              <w:left w:val="nil"/>
              <w:bottom w:val="nil"/>
              <w:right w:val="nil"/>
            </w:tcBorders>
          </w:tcPr>
          <w:p>
            <w:pPr>
              <w:pStyle w:val="Normal6a"/>
            </w:pPr>
            <w:r>
              <w:t>7.</w:t>
            </w:r>
            <w:r>
              <w:tab/>
            </w:r>
            <w:r>
              <w:t xml:space="preserve">Insists on the need for effective synergies with other Union policies and programmes and underlines that Member States should make best use of funding opportunities in particular, of the European Regional Development Fund, the European Social Fund+ and the rural development programmes; </w:t>
            </w:r>
            <w:r>
              <w:rPr>
                <w:b/>
                <w:i/>
              </w:rPr>
              <w:t>underlines the importance of adequate flexibility between the different programmes;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Calls on the Commission to urgently submit a legislative proposal extending the specific RESTORE provisions to natural disasters occurring in 2026 and 2027, so that the territories affected by the storms covered by this decision can also benefit from the corresponding flexibilities and support arrangements, in accordance with the eligibility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7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Calls for any reprogramming of cohesion policy funds for disaster response to be undertaken at the initiative of the Member States, in partnership with the regional and local authorities concerned; calls on the Commission to provide technical assistance and to swiftly assess programme amendments; stresses that the emergency response must preserve territorial development and convergence objectives and that access to the EUSF must not be made conditional on such reprogramming;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Underscores that assistance provided under the EUSF should not be to the detriment of Union funding received by Member States under other Union policies or programmes; recalls that Member States can grant State aid, in accordance with the applicable Union rules;</w:t>
            </w:r>
          </w:p>
        </w:tc>
        <w:tc>
          <w:tcPr>
            <w:tcW w:w="4876" w:type="dxa"/>
            <w:tcBorders>
              <w:top w:val="nil"/>
              <w:left w:val="nil"/>
              <w:bottom w:val="nil"/>
              <w:right w:val="nil"/>
            </w:tcBorders>
          </w:tcPr>
          <w:p>
            <w:pPr>
              <w:pStyle w:val="Normal6a"/>
            </w:pPr>
            <w:r>
              <w:t>8.</w:t>
            </w:r>
            <w:r>
              <w:tab/>
            </w:r>
            <w:r>
              <w:t xml:space="preserve">Underscores that assistance provided under the EUSF should not be to the detriment of Union funding received by Member States under other Union policies or programmes; </w:t>
            </w:r>
            <w:r>
              <w:rPr>
                <w:b/>
                <w:i/>
              </w:rPr>
              <w:t>stresses that expenditure financed under the EUSF must not give rise to double financing from other Union instruments and calls on the Commission and the Member States concerned to ensure full traceability of expenditure and effective coordination between the EUSF, cohesion policy funds, rural development programmes and other relevant Union instruments;</w:t>
            </w:r>
            <w:r>
              <w:t xml:space="preserve"> recalls that Member States can grant State aid , in accordance with the applicable Union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Isabel Benjumea Benjumea, Elena Nevado del Campo,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Underscores that assistance provided under the EUSF should not be to the detriment of Union funding received by Member States under other Union policies or programmes; recalls that Member States can grant State aid, in accordance with the applicable Union rules;</w:t>
            </w:r>
          </w:p>
        </w:tc>
        <w:tc>
          <w:tcPr>
            <w:tcW w:w="4876" w:type="dxa"/>
            <w:tcBorders>
              <w:top w:val="nil"/>
              <w:left w:val="nil"/>
              <w:bottom w:val="nil"/>
              <w:right w:val="nil"/>
            </w:tcBorders>
          </w:tcPr>
          <w:p>
            <w:pPr>
              <w:pStyle w:val="Normal6a"/>
            </w:pPr>
            <w:r>
              <w:t>8.</w:t>
            </w:r>
            <w:r>
              <w:tab/>
            </w:r>
            <w:r>
              <w:t xml:space="preserve">Underscores that assistance provided under the EUSF should not be to the detriment of Union funding received by Member States under other Union policies or programmes; </w:t>
            </w:r>
            <w:r>
              <w:rPr>
                <w:b/>
                <w:i/>
              </w:rPr>
              <w:t>stresses the need to ensure the efficient and transparent use of Union resources;</w:t>
            </w:r>
            <w:r>
              <w:t xml:space="preserve"> recalls that Member States can grant State aid, in accordance with the applicable Union rules;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Calls on the Commission to promptly provide the Member States concerned with an operational overview of the European instruments and State aid options available to support families, safeguard employment and facilitate the reopening of affected businesses, particularly microenterprises and SMEs in the tourism, agriculture, fisheries and aquaculture sectors; calls on the Commission to support, including through the Technical Support Instrument (TSI), at the request of Member States and in accordance with the applicable procedures, the strengthening of the administrative capacity of regional and local authorities, particularly affected municipalities, to facilitate access to Union funding and the implementation of interventions, in accordance with the respective eligibility conditions; calls for the continuity of such support to be ensured under the next multiannual financial framework;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Draws attention to the specific difficulties faced by businesses in damaged coastal and port areas, including those operating under concessions; calls on the Commission to work with the Member States concerned to identify temporary and proportionate measures to facilitate the restoration of facilities and the resumption of activities, while ensuring legal certainty for operators and compliance with Union law and the principles of transparency and equal treatment;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Isabel Benjumea Benjumea, Elena Nevado del Campo, Carmen Crespo Díaz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Underlines that citizens, businesses and public authorities affected by a natural disaster should not have to wait unnecessarily long for assistance and that the use of advance payments is therefore welcome where the conditions of the EUSF Regulation are fulfilled; urges also the Commission to explore all possible avenues for accelerating the mobilisation of the EUSF, while ensuring the Union budget is protected in line with the principles leading to sound financial management;</w:t>
            </w:r>
          </w:p>
        </w:tc>
        <w:tc>
          <w:tcPr>
            <w:tcW w:w="4876" w:type="dxa"/>
            <w:tcBorders>
              <w:top w:val="nil"/>
              <w:left w:val="nil"/>
              <w:bottom w:val="nil"/>
              <w:right w:val="nil"/>
            </w:tcBorders>
          </w:tcPr>
          <w:p>
            <w:pPr>
              <w:pStyle w:val="Normal6a"/>
            </w:pPr>
            <w:r>
              <w:t>9.</w:t>
            </w:r>
            <w:r>
              <w:tab/>
            </w:r>
            <w:r>
              <w:t xml:space="preserve">Underlines that citizens, businesses and public authorities affected by a natural disaster should not have to wait unnecessarily long for assistance and that the use of advance payments is therefore welcome where the conditions of the EUSF Regulation are fulfilled; urges also the Commission to explore all possible avenues for accelerating the mobilisation of the EUSF, </w:t>
            </w:r>
            <w:r>
              <w:rPr>
                <w:b/>
                <w:i/>
              </w:rPr>
              <w:t>including by simplifying administrative requirements and reducing unnecessary administrative burdens for affected Member States and final beneficiaries,</w:t>
            </w:r>
            <w:r>
              <w:t xml:space="preserve"> while ensuring the Union budget is protected in line with the principles leading to sound financial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Underlines that citizens, businesses and public authorities affected by a natural disaster should not have to wait unnecessarily long for assistance and that the use of advance payments is therefore welcome where the conditions of the EUSF Regulation are fulfilled; urges also the Commission to explore all possible avenues for accelerating the mobilisation of the EUSF, while ensuring the Union budget is protected in line with the principles leading to sound financial management;</w:t>
            </w:r>
          </w:p>
        </w:tc>
        <w:tc>
          <w:tcPr>
            <w:tcW w:w="4876" w:type="dxa"/>
            <w:tcBorders>
              <w:top w:val="nil"/>
              <w:left w:val="nil"/>
              <w:bottom w:val="nil"/>
              <w:right w:val="nil"/>
            </w:tcBorders>
          </w:tcPr>
          <w:p>
            <w:pPr>
              <w:pStyle w:val="Normal6a"/>
            </w:pPr>
            <w:r>
              <w:t>9.</w:t>
            </w:r>
            <w:r>
              <w:tab/>
            </w:r>
            <w:r>
              <w:t xml:space="preserve">Underlines that citizens, businesses and public authorities affected by a natural disaster should not have to wait unnecessarily long for assistance and that the use of advance payments is therefore welcome where the conditions of the EUSF Regulation are fulfilled; urges also the Commission to explore all possible avenues for accelerating the mobilisation of the EUSF, while ensuring the Union budget is protected in line with the principles leading to sound financial management; </w:t>
            </w:r>
            <w:r>
              <w:rPr>
                <w:b/>
                <w:i/>
              </w:rPr>
              <w:t>stresses that faster mobilisation must not weaken ex ante verification, audit requirements or mechanisms for recovering amounts unduly paid;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Underlines that citizens, businesses and public authorities affected by a natural disaster should not have to wait unnecessarily long for assistance and that the use of advance payments is therefore welcome where the conditions of the EUSF Regulation are fulfilled; urges also the Commission to explore all possible avenues for accelerating the mobilisation of the EUSF, while ensuring the Union budget is protected in line with the principles leading to sound financial management;</w:t>
            </w:r>
          </w:p>
        </w:tc>
        <w:tc>
          <w:tcPr>
            <w:tcW w:w="4876" w:type="dxa"/>
            <w:tcBorders>
              <w:top w:val="nil"/>
              <w:left w:val="nil"/>
              <w:bottom w:val="nil"/>
              <w:right w:val="nil"/>
            </w:tcBorders>
          </w:tcPr>
          <w:p>
            <w:pPr>
              <w:pStyle w:val="Normal6a"/>
            </w:pPr>
            <w:r>
              <w:t>9.</w:t>
            </w:r>
            <w:r>
              <w:tab/>
            </w:r>
            <w:r>
              <w:t xml:space="preserve">Underlines that citizens, businesses and public authorities affected by a natural disaster should not have to wait unnecessarily long for assistance and that the use of advance payments is therefore welcome where the conditions of the EUSF Regulation are fulfilled; urges also the Commission to explore all possible avenues for accelerating the mobilisation of the EUSF </w:t>
            </w:r>
            <w:r>
              <w:rPr>
                <w:b/>
                <w:i/>
              </w:rPr>
              <w:t>and simplifying its procedures, in particular by amending current rules and granting higher advance payments to applicant countries</w:t>
            </w:r>
            <w:r>
              <w:t>, while ensuring the Union budget is protected in line with the principles leading to sound financial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Hélder Sousa Silva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Underlines that citizens, businesses and public authorities affected by a natural disaster should not have to wait unnecessarily long for assistance and that the use of advance payments is therefore welcome where the conditions of the EUSF Regulation are fulfilled; urges also the Commission to explore all possible avenues for accelerating the mobilisation of the EUSF, while ensuring the Union budget is protected in line with the principles leading to sound financial management;</w:t>
            </w:r>
          </w:p>
        </w:tc>
        <w:tc>
          <w:tcPr>
            <w:tcW w:w="4876" w:type="dxa"/>
            <w:tcBorders>
              <w:top w:val="nil"/>
              <w:left w:val="nil"/>
              <w:bottom w:val="nil"/>
              <w:right w:val="nil"/>
            </w:tcBorders>
          </w:tcPr>
          <w:p>
            <w:pPr>
              <w:pStyle w:val="Normal6a"/>
            </w:pPr>
            <w:r>
              <w:t>9.</w:t>
            </w:r>
            <w:r>
              <w:tab/>
            </w:r>
            <w:r>
              <w:t xml:space="preserve">Underlines that citizens, businesses and public authorities affected by a natural disaster should not have to wait unnecessarily long for assistance and that the use of advance payments is therefore welcome where the conditions of the EUSF Regulation are fulfilled; urges also the Commission to explore all possible avenues for accelerating the mobilisation of the EUSF, </w:t>
            </w:r>
            <w:r>
              <w:rPr>
                <w:b/>
                <w:i/>
              </w:rPr>
              <w:t>including by reducing unnecessary administrative burdens and avoiding unnecessary red tape,</w:t>
            </w:r>
            <w:r>
              <w:t xml:space="preserve"> while ensuring the Union budget is protected in line with the principles leading to sound financial management;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Stresses the urgent need to release immediate financial assistance through the EUSF to ensure that support can reach Malta, Italy, Portugal and Spain in a timely manner to support a quick and long-lasting recovery; stresses the importance of reducing the time between the submission of an application for EUSF assistance and the financing decision; calls for effort to be made to ensure that EUSF aid reaches its final recipients promptly, including businesses, SMEs, families, and affected citizens, as well as infrastructure reconstruction and material damage repair, all with the corresponding impact assessment and appropriate control mechanisms;</w:t>
            </w:r>
          </w:p>
        </w:tc>
        <w:tc>
          <w:tcPr>
            <w:tcW w:w="4876" w:type="dxa"/>
            <w:tcBorders>
              <w:top w:val="nil"/>
              <w:left w:val="nil"/>
              <w:bottom w:val="nil"/>
              <w:right w:val="nil"/>
            </w:tcBorders>
          </w:tcPr>
          <w:p>
            <w:pPr>
              <w:pStyle w:val="Normal6a"/>
            </w:pPr>
            <w:r>
              <w:t>10.</w:t>
            </w:r>
            <w:r>
              <w:tab/>
            </w:r>
            <w:r>
              <w:t xml:space="preserve">Stresses the urgent need to release immediate financial assistance through the EUSF to ensure that support can reach Malta, Italy, Portugal and Spain in a timely manner to support a quick and long-lasting recovery; stresses the importance of reducing the time between the submission of an application for EUSF assistance and the financing decision; calls for effort to be made to ensure that EUSF aid reaches its final recipients promptly, including businesses, SMEs, families, and affected citizens, as well as infrastructure reconstruction and material damage repair, all with the corresponding impact assessment and appropriate control mechanisms; </w:t>
            </w:r>
            <w:r>
              <w:rPr>
                <w:b/>
                <w:i/>
              </w:rPr>
              <w:t>calls on the Commission to proceed without delay, once the relevant appropriations are available, with the adoption of implementing decisions and the disbursement of contributions; calls on the Member States to promptly allocate resources to eligible public emergency and recovery operations, including expenditure already incurred by the competent authorities, in accordance with the EUSF Regulation and subject to appropriate controls;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Angéline Furet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Stresses the urgent need to release immediate financial assistance through the EUSF to ensure that support can reach Malta, Italy, Portugal and Spain in a timely manner to support a quick and long-lasting recovery; stresses the importance of reducing the time between the submission of an application for EUSF assistance and the financing decision; calls for effort to be made to ensure that EUSF aid reaches its final recipients promptly, including businesses, SMEs, families, and affected citizens, as well as infrastructure reconstruction and material damage repair, all with the corresponding impact assessment and appropriate control mechanisms;</w:t>
            </w:r>
          </w:p>
        </w:tc>
        <w:tc>
          <w:tcPr>
            <w:tcW w:w="4876" w:type="dxa"/>
            <w:tcBorders>
              <w:top w:val="nil"/>
              <w:left w:val="nil"/>
              <w:bottom w:val="nil"/>
              <w:right w:val="nil"/>
            </w:tcBorders>
          </w:tcPr>
          <w:p>
            <w:pPr>
              <w:pStyle w:val="Normal6a"/>
            </w:pPr>
            <w:r>
              <w:t>10.</w:t>
            </w:r>
            <w:r>
              <w:tab/>
            </w:r>
            <w:r>
              <w:t>Stresses the urgent need to release immediate financial assistance through the EUSF to ensure that support can reach Malta, Italy, Portugal and Spain in a timely manner to support a quick and long-lasting recovery; stresses the importance of reducing the time between the submission of an application for EUSF assistance and the financing decision; calls for effort to be made to ensure that EUSF aid reaches its final recipients promptly, including businesses, SMEs, families, and affected citizens, as well as infrastructure reconstruction and material damage repair, all with the corresponding impact assessment and appropriate control mechanisms;</w:t>
            </w:r>
            <w:r>
              <w:rPr>
                <w:b/>
                <w:i/>
              </w:rPr>
              <w:t> calls on the Commission to provide transparent information on the allocation and effective use of EUSF assistance in each beneficiary Member State, including the share of expenditure devoted to emergency operations and reconstruction, administrative expenditure and, where applicable, assistance effectively reaching final beneficiaries;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Underlines the need to simplify and accelerate internal procedures without undermining the institutional balance, in particular the rights of the European Parliament as budgetary and discharge authority;</w:t>
            </w:r>
          </w:p>
        </w:tc>
        <w:tc>
          <w:tcPr>
            <w:tcW w:w="4876" w:type="dxa"/>
            <w:tcBorders>
              <w:top w:val="nil"/>
              <w:left w:val="nil"/>
              <w:bottom w:val="nil"/>
              <w:right w:val="nil"/>
            </w:tcBorders>
          </w:tcPr>
          <w:p>
            <w:pPr>
              <w:pStyle w:val="Normal6a"/>
            </w:pPr>
            <w:r>
              <w:t>11.</w:t>
            </w:r>
            <w:r>
              <w:tab/>
            </w:r>
            <w:r>
              <w:t xml:space="preserve">Underlines the need to simplify and accelerate internal procedures without undermining the institutional balance, in particular the rights of the European Parliament as budgetary and discharge authority; </w:t>
            </w:r>
            <w:r>
              <w:rPr>
                <w:b/>
                <w:i/>
              </w:rPr>
              <w:t>calls on the Commission and the Member States to reduce repetitive requests for documentation, promote the reuse of data already available and provide clear guidance to local administrations, particularly those with limited administrative capacity; stresses that simplification must be accompanied by proportionate controls, expenditure traceability and fraud prevention;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Reiterates the importance of communicating to the public the tangible benefits brought about by EUSF, also to further increase citizens’ awareness of Union tools and programmes and reinforce public’s adherence to the European project;</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Lucia Yar, Olivier Chastel, Joachim Streit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Reiterates the importance of communicating to the public the tangible benefits brought about by EUSF, also to further increase citizens’ awareness of Union tools and programmes and reinforce public’s adherence to the European project;</w:t>
            </w:r>
          </w:p>
        </w:tc>
        <w:tc>
          <w:tcPr>
            <w:tcW w:w="4876" w:type="dxa"/>
            <w:tcBorders>
              <w:top w:val="nil"/>
              <w:left w:val="nil"/>
              <w:bottom w:val="nil"/>
              <w:right w:val="nil"/>
            </w:tcBorders>
          </w:tcPr>
          <w:p>
            <w:pPr>
              <w:pStyle w:val="Normal6a"/>
            </w:pPr>
            <w:r>
              <w:t>12.</w:t>
            </w:r>
            <w:r>
              <w:tab/>
            </w:r>
            <w:r>
              <w:t xml:space="preserve">Reiterates the importance of communicating to the public the tangible benefits brought about by EUSF, also to further increase citizens’ awareness of Union tools and programmes and reinforce public’s adherence to the European project; </w:t>
            </w:r>
            <w:r>
              <w:rPr>
                <w:b/>
                <w:i/>
              </w:rPr>
              <w:t>underlines that the EUSF is a concrete expression of European solidarity, demonstrating that the Union stands with victims, citizens, communities and regions affected by storms in Malta, Italy, Portugal and Spain; stresses that communicating the tangible benefits of EUSF support is essential to strengthening citizens’ confidence in the European project and in the Union’s capacity to protect people during an increasing number of severe, destructive and deadly natural disasters in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Ruggero Razza, Denis Nesci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Reiterates the importance of communicating to the public the tangible benefits brought about by EUSF, also to further increase citizens’ awareness of Union tools and programmes and reinforce public’s adherence to the European project;</w:t>
            </w:r>
          </w:p>
        </w:tc>
        <w:tc>
          <w:tcPr>
            <w:tcW w:w="4876" w:type="dxa"/>
            <w:tcBorders>
              <w:top w:val="nil"/>
              <w:left w:val="nil"/>
              <w:bottom w:val="nil"/>
              <w:right w:val="nil"/>
            </w:tcBorders>
          </w:tcPr>
          <w:p>
            <w:pPr>
              <w:pStyle w:val="Normal6a"/>
            </w:pPr>
            <w:r>
              <w:t>12.</w:t>
            </w:r>
            <w:r>
              <w:tab/>
            </w:r>
            <w:r>
              <w:t xml:space="preserve">Reiterates the importance of communicating to the public the tangible benefits brought about by EUSF, also to further increase citizens’ awareness of Union tools and programmes and reinforce public’s adherence to the European project; </w:t>
            </w:r>
            <w:r>
              <w:rPr>
                <w:b/>
                <w:i/>
              </w:rPr>
              <w:t>calls on the Commission and the Member States to make information on the amounts disbursed, the operations supported and the results achieved easily accessible through existing channels, so that citizens can understand and scrutinise how resources are used;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Elena Kountoura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Reiterates the importance of communicating to the public the tangible benefits brought about by EUSF, also to further increase citizens’ awareness of Union tools and programmes and reinforce public’s adherence to the European project;</w:t>
            </w:r>
          </w:p>
        </w:tc>
        <w:tc>
          <w:tcPr>
            <w:tcW w:w="4876" w:type="dxa"/>
            <w:tcBorders>
              <w:top w:val="nil"/>
              <w:left w:val="nil"/>
              <w:bottom w:val="nil"/>
              <w:right w:val="nil"/>
            </w:tcBorders>
          </w:tcPr>
          <w:p>
            <w:pPr>
              <w:pStyle w:val="Normal6a"/>
            </w:pPr>
            <w:r>
              <w:t>12.</w:t>
            </w:r>
            <w:r>
              <w:tab/>
            </w:r>
            <w:r>
              <w:t xml:space="preserve">Reiterates the importance of </w:t>
            </w:r>
            <w:r>
              <w:rPr>
                <w:b/>
                <w:i/>
              </w:rPr>
              <w:t>effectively</w:t>
            </w:r>
            <w:r>
              <w:t xml:space="preserve"> communicating to the public the tangible benefits brought about by EUSF, also </w:t>
            </w:r>
            <w:r>
              <w:rPr>
                <w:b/>
                <w:i/>
              </w:rPr>
              <w:t>to strengthen targeted communication and visibility measures, and</w:t>
            </w:r>
            <w:r>
              <w:t xml:space="preserve"> to further increase citizens’ awareness of Union tools and programmes and reinforce public’s adherence to the European project; </w:t>
            </w:r>
            <w:r>
              <w:rPr>
                <w:b/>
                <w:i/>
              </w:rPr>
              <w:t>calls on the Member States to share best practices on increasing the EUSF’s visibility;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Motion for a resolution</w:t>
      </w:r>
      <w:r>
        <w:rPr>
          <w:rStyle w:val="HideTWBExt"/>
        </w:rPr>
        <w:t>&lt;/DocAmend&gt;</w:t>
      </w:r>
    </w:p>
    <w:p>
      <w:pPr>
        <w:pStyle w:val="NormalBold"/>
      </w:pPr>
      <w:r>
        <w:rPr>
          <w:rStyle w:val="HideTWBExt"/>
        </w:rPr>
        <w:t>&lt;Article&gt;</w:t>
      </w:r>
      <w:r>
        <w:t>Paragraph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Motion for a resolution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Reiterates the importance of communicating to</w:t>
            </w:r>
            <w:r>
              <w:t xml:space="preserve"> the public </w:t>
            </w:r>
            <w:r>
              <w:rPr>
                <w:b/>
                <w:i/>
              </w:rPr>
              <w:t>the tangible benefits brought about by EUSF, also to further increase citizens’ awareness of Union tools and programmes and reinforce public’s adherence to the European project</w:t>
            </w:r>
            <w:r>
              <w:t>;</w:t>
            </w:r>
          </w:p>
        </w:tc>
        <w:tc>
          <w:tcPr>
            <w:tcW w:w="4876" w:type="dxa"/>
            <w:tcBorders>
              <w:top w:val="nil"/>
              <w:left w:val="nil"/>
              <w:bottom w:val="nil"/>
              <w:right w:val="nil"/>
            </w:tcBorders>
          </w:tcPr>
          <w:p>
            <w:pPr>
              <w:pStyle w:val="Normal6a"/>
            </w:pPr>
            <w:r>
              <w:t>12.</w:t>
            </w:r>
            <w:r>
              <w:tab/>
            </w:r>
            <w:r>
              <w:rPr>
                <w:b/>
                <w:i/>
              </w:rPr>
              <w:t>Stresses that potential beneficiaries and</w:t>
            </w:r>
            <w:r>
              <w:t xml:space="preserve"> the public </w:t>
            </w:r>
            <w:r>
              <w:rPr>
                <w:b/>
                <w:i/>
              </w:rPr>
              <w:t>must be provided with clear, factual and easily accessible information on the support available, the amounts granted, the recipients, the specific use of the funds and the results achieved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796.263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34</w:t>
    </w:r>
    <w:r>
      <w:fldChar w:fldCharType="end"/>
    </w:r>
    <w:r>
      <w:t>/</w:t>
    </w:r>
    <w:r>
      <w:fldChar w:fldCharType="begin"/>
    </w:r>
    <w:r>
      <w:instrText xml:space="preserve"> NUMPAGES </w:instrText>
    </w:r>
    <w:r>
      <w:fldChar w:fldCharType="separate"/>
    </w:r>
    <w:r>
      <w:t>34</w:t>
    </w:r>
    <w:r>
      <w:fldChar w:fldCharType="end"/>
    </w:r>
    <w:r>
      <w:tab/>
    </w:r>
    <w:r>
      <w:rPr>
        <w:rStyle w:val="HideTWBExt"/>
      </w:rPr>
      <w:t>&lt;PathFdR&gt;</w:t>
    </w:r>
    <w:r>
      <w:t>AM\1351626EN.docx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AM\1351626EN.docx</w:t>
    </w:r>
    <w:r>
      <w:rPr>
        <w:rStyle w:val="HideTWBExt"/>
      </w:rPr>
      <w:t>&lt;/PathFdR&gt;</w:t>
    </w:r>
    <w:r>
      <w:tab/>
    </w:r>
    <w:r>
      <w:fldChar w:fldCharType="begin"/>
    </w:r>
    <w:r>
      <w:instrText xml:space="preserve"> PAGE </w:instrText>
    </w:r>
    <w:r>
      <w:fldChar w:fldCharType="separate"/>
    </w:r>
    <w:r>
      <w:t>33</w:t>
    </w:r>
    <w:r>
      <w:fldChar w:fldCharType="end"/>
    </w:r>
    <w:r>
      <w:t>/</w:t>
    </w:r>
    <w:r>
      <w:fldChar w:fldCharType="begin"/>
    </w:r>
    <w:r>
      <w:instrText xml:space="preserve"> NUMPAGES </w:instrText>
    </w:r>
    <w:r>
      <w:fldChar w:fldCharType="separate"/>
    </w:r>
    <w:r>
      <w:t>34</w:t>
    </w:r>
    <w:r>
      <w:fldChar w:fldCharType="end"/>
    </w:r>
    <w:r>
      <w:tab/>
    </w:r>
    <w:r>
      <w:t>PE</w:t>
    </w:r>
    <w:r>
      <w:rPr>
        <w:rStyle w:val="HideTWBExt"/>
      </w:rPr>
      <w:t>&lt;NoPE&gt;</w:t>
    </w:r>
    <w:r>
      <w:t>796.263</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AM\1351626EN.docx</w:t>
    </w:r>
    <w:r>
      <w:rPr>
        <w:rStyle w:val="HideTWBExt"/>
      </w:rPr>
      <w:t>&lt;/PathFdR&gt;</w:t>
    </w:r>
    <w:r>
      <w:tab/>
    </w:r>
    <w:r>
      <w:tab/>
    </w:r>
    <w:r>
      <w:t>PE</w:t>
    </w:r>
    <w:r>
      <w:rPr>
        <w:rStyle w:val="HideTWBExt"/>
      </w:rPr>
      <w:t>&lt;NoPE&gt;</w:t>
    </w:r>
    <w:r>
      <w:t>796.263</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overNormal">
    <w:name w:val="CoverNormal"/>
    <w:basedOn w:val="Normal"/>
    <w:pPr>
      <w:widowControl/>
      <w:ind w:left="1418"/>
    </w:p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34</Pages>
  <Words>8620</Words>
  <Characters>49845</Characters>
  <Application>Microsoft Office Word</Application>
  <DocSecurity>0</DocSecurity>
  <Lines>1</Lines>
  <Paragraphs>480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1351626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637538</vt:lpwstr>
  </property>
  <property fmtid="{D5CDD505-2E9C-101B-9397-08002B2CF9AE}" pid="7" name="dmxml.render.traceId">
    <vt:lpwstr>6abfc6d96e39e74e1f586d91a426ef3b</vt:lpwstr>
  </property>
  <property fmtid="{D5CDD505-2E9C-101B-9397-08002B2CF9AE}" pid="8" name="FooterPath">
    <vt:lpwstr>AM\1351626EN.docx</vt:lpwstr>
  </property>
  <property fmtid="{D5CDD505-2E9C-101B-9397-08002B2CF9AE}" pid="9" name="PE Number">
    <vt:lpwstr>796.263</vt:lpwstr>
  </property>
  <property fmtid="{D5CDD505-2E9C-101B-9397-08002B2CF9AE}" pid="10" name="UID">
    <vt:lpwstr>eu.europa.europarl-DIN1-2026-0000261066_02.00-en-01.00_text-xml</vt:lpwstr>
  </property>
</Properties>
</file>