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{DEVE}</w:t>
      </w:r>
      <w:r>
        <w:t>Committee on Development</w:t>
      </w:r>
      <w:r>
        <w:br/>
      </w:r>
      <w:r>
        <w:rPr>
          <w:rStyle w:val="HideTWBInt"/>
        </w:rPr>
        <w:t>{FEMM}</w:t>
      </w:r>
      <w:r>
        <w:t>Committee on Women’s Rights and Gender Equality</w:t>
      </w:r>
      <w:r>
        <w:rPr>
          <w:rStyle w:val="HideTWBExt"/>
        </w:rPr>
        <w:t>&lt;/Commission&gt;</w:t>
      </w:r>
    </w:p>
    <w:p>
      <w:pPr>
        <w:pStyle w:val="LineBottom"/>
      </w:pPr>
      <w:r>
        <w:t xml:space="preserve"> </w:t>
      </w:r>
    </w:p>
    <w:p>
      <w:pPr>
        <w:pStyle w:val="CoverReference"/>
      </w:pPr>
      <w:r>
        <w:rPr>
          <w:rStyle w:val="HideTWBExt"/>
        </w:rPr>
        <w:t>&lt;RefProc&gt;</w:t>
      </w:r>
      <w:r>
        <w:t>2026/2039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{02/10/2026}</w:t>
      </w:r>
      <w:r>
        <w:t>2.10.2026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251</w:t>
      </w:r>
      <w:r>
        <w:t xml:space="preserve"> - </w:t>
      </w:r>
      <w:r>
        <w:t>545</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Abir Al-Sahlani, Paulo do Nascimento Cabral</w:t>
      </w:r>
      <w:r>
        <w:rPr>
          <w:rStyle w:val="HideTWBExt"/>
        </w:rPr>
        <w:t>&lt;/Rapporteur&gt;</w:t>
      </w:r>
    </w:p>
    <w:p>
      <w:pPr>
        <w:pStyle w:val="CoverNormal24a"/>
      </w:pPr>
      <w:r>
        <w:rPr>
          <w:rStyle w:val="HideTWBExt"/>
        </w:rPr>
        <w:t>&lt;DocRefPE&gt;</w:t>
      </w:r>
      <w:r>
        <w:t>(PE791.053v01-00)</w:t>
      </w:r>
      <w:r>
        <w:rPr>
          <w:rStyle w:val="HideTWBExt"/>
        </w:rPr>
        <w:t>&lt;/DocRefPE&gt;</w:t>
      </w:r>
    </w:p>
    <w:p>
      <w:pPr>
        <w:pStyle w:val="CoverNormal"/>
      </w:pPr>
      <w:r>
        <w:rPr>
          <w:rStyle w:val="HideTWBExt"/>
        </w:rPr>
        <w:t>&lt;Titre&gt;</w:t>
      </w:r>
      <w:r>
        <w:t>EU Gender Action Plan IV – priorities for gender equality and women’s rights in external action</w:t>
      </w:r>
      <w:r>
        <w:rPr>
          <w:rStyle w:val="HideTWBExt"/>
        </w:rPr>
        <w:t>&lt;/Titre&gt;</w:t>
      </w:r>
    </w:p>
    <w:p>
      <w:pPr>
        <w:pStyle w:val="CoverNormal24a"/>
      </w:pPr>
      <w:r>
        <w:rPr>
          <w:rStyle w:val="HideTWBExt"/>
        </w:rPr>
        <w:t>&lt;DocRef&gt;</w:t>
      </w:r>
      <w:r>
        <w:t>(2026/2039(INI))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Paulo do Nascimento Cabral,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Calls on the Commission and the EEAS to ensure the availability of adequate gender expertise; underlines the crucial role of the EEAS Ambassador for Equality and the Taskforce for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Paulo do Nascimento Cabral,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Calls on the Commission and the EEAS to promote training on gender equality and GAP IV for staff;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Calls on the Commission to adopt a differentiated context-specific approach to partner countries that reflects the specific needs, vulnerabilities and development priorities of low- and middle-income countries and fragile states; calls for all conflict-sensitive analyses for programming in situations of crisis, post-crisis or fragility and vulnerability to integrate a gender analysis;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Stresses that responsibility for the implementation of GAP IV must include senior management and across relevant services and programmes, and must not be confined to gender focal points only; calls for adequate staffing, continuous training and awareness raising among staff including high management and the political level, expertise, resources and dedicated working time for gender equality within EU Delegations;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Mieke Andriese, Elisabeth Dieringer, Margarita de la Pisa Carrión,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for action to </w:t>
            </w:r>
            <w:r>
              <w:rPr>
                <w:b/>
                <w:i/>
              </w:rPr>
              <w:t>be taken to prevent and eliminate</w:t>
            </w:r>
            <w:r>
              <w:t xml:space="preserve"> all forms of </w:t>
            </w:r>
            <w:r>
              <w:rPr>
                <w:b/>
                <w:i/>
              </w:rPr>
              <w:t>gender-based</w:t>
            </w:r>
            <w:r>
              <w:t xml:space="preserve"> violence and </w:t>
            </w:r>
            <w:r>
              <w:rPr>
                <w:b/>
                <w:i/>
              </w:rPr>
              <w:t>to combat</w:t>
            </w:r>
            <w:r>
              <w:t xml:space="preserve"> impunity;</w:t>
            </w:r>
          </w:p>
        </w:tc>
        <w:tc>
          <w:tcPr>
            <w:tcW w:w="4876" w:type="dxa"/>
            <w:tcBorders>
              <w:top w:val="nil"/>
              <w:left w:val="nil"/>
              <w:bottom w:val="nil"/>
              <w:right w:val="nil"/>
            </w:tcBorders>
          </w:tcPr>
          <w:p>
            <w:pPr>
              <w:pStyle w:val="Normal6a"/>
            </w:pPr>
            <w:r>
              <w:t>8.</w:t>
            </w:r>
            <w:r>
              <w:tab/>
            </w:r>
            <w:r>
              <w:t xml:space="preserve">calls for action to </w:t>
            </w:r>
            <w:r>
              <w:rPr>
                <w:b/>
                <w:i/>
              </w:rPr>
              <w:t>combat</w:t>
            </w:r>
            <w:r>
              <w:t xml:space="preserve"> all forms of violence </w:t>
            </w:r>
            <w:r>
              <w:rPr>
                <w:b/>
                <w:i/>
              </w:rPr>
              <w:t>against women</w:t>
            </w:r>
            <w:r>
              <w:t xml:space="preserve"> and impunity; </w:t>
            </w:r>
            <w:r>
              <w:rPr>
                <w:b/>
                <w:i/>
              </w:rPr>
              <w:t>condemns female genital mutilation, honour-based violence, stoning, forced marriage and forced veiling;</w:t>
            </w:r>
            <w:r>
              <w:t xml:space="preserve"> </w:t>
            </w:r>
            <w:r>
              <w:rPr>
                <w:b/>
                <w:i/>
              </w:rPr>
              <w:t>rejects Islamist ideologies and Sharia laws that subordinate women to men;</w:t>
            </w:r>
            <w:r>
              <w:t xml:space="preserve"> </w:t>
            </w:r>
            <w:r>
              <w:rPr>
                <w:b/>
                <w:i/>
              </w:rPr>
              <w:t>emphasises that no religion takes precedence over women’s equal rights;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for action </w:t>
            </w:r>
            <w:r>
              <w:rPr>
                <w:b/>
                <w:i/>
              </w:rPr>
              <w:t>to be taken</w:t>
            </w:r>
            <w:r>
              <w:t xml:space="preserve"> to prevent and eliminate all forms of </w:t>
            </w:r>
            <w:r>
              <w:rPr>
                <w:b/>
                <w:i/>
              </w:rPr>
              <w:t>gender-based</w:t>
            </w:r>
            <w:r>
              <w:t xml:space="preserve"> violence and </w:t>
            </w:r>
            <w:r>
              <w:rPr>
                <w:b/>
                <w:i/>
              </w:rPr>
              <w:t>to combat</w:t>
            </w:r>
            <w:r>
              <w:t xml:space="preserve"> impunity;</w:t>
            </w:r>
          </w:p>
        </w:tc>
        <w:tc>
          <w:tcPr>
            <w:tcW w:w="4876" w:type="dxa"/>
            <w:tcBorders>
              <w:top w:val="nil"/>
              <w:left w:val="nil"/>
              <w:bottom w:val="nil"/>
              <w:right w:val="nil"/>
            </w:tcBorders>
          </w:tcPr>
          <w:p>
            <w:pPr>
              <w:pStyle w:val="Normal6a"/>
            </w:pPr>
            <w:r>
              <w:t>8.</w:t>
            </w:r>
            <w:r>
              <w:tab/>
            </w:r>
            <w:r>
              <w:t xml:space="preserve">Calls for </w:t>
            </w:r>
            <w:r>
              <w:rPr>
                <w:b/>
                <w:i/>
              </w:rPr>
              <w:t>decisive</w:t>
            </w:r>
            <w:r>
              <w:t xml:space="preserve"> action </w:t>
            </w:r>
            <w:r>
              <w:rPr>
                <w:b/>
                <w:i/>
              </w:rPr>
              <w:t>from law enforcement authorities</w:t>
            </w:r>
            <w:r>
              <w:t xml:space="preserve"> to prevent and eliminate all forms of </w:t>
            </w:r>
            <w:r>
              <w:rPr>
                <w:b/>
                <w:i/>
              </w:rPr>
              <w:t>domestic</w:t>
            </w:r>
            <w:r>
              <w:t xml:space="preserve"> violence and </w:t>
            </w:r>
            <w:r>
              <w:rPr>
                <w:b/>
                <w:i/>
              </w:rPr>
              <w:t>violence against women and children, and to counter</w:t>
            </w:r>
            <w:r>
              <w:t xml:space="preserve"> impunity </w:t>
            </w:r>
            <w:r>
              <w:rPr>
                <w:b/>
                <w:i/>
              </w:rPr>
              <w:t>through systematic prosecution</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for action </w:t>
            </w:r>
            <w:r>
              <w:rPr>
                <w:b/>
                <w:i/>
              </w:rPr>
              <w:t>to be taken</w:t>
            </w:r>
            <w:r>
              <w:t xml:space="preserve"> to prevent and eliminate all forms of gender-based violence and to combat impunity;</w:t>
            </w:r>
          </w:p>
        </w:tc>
        <w:tc>
          <w:tcPr>
            <w:tcW w:w="4876" w:type="dxa"/>
            <w:tcBorders>
              <w:top w:val="nil"/>
              <w:left w:val="nil"/>
              <w:bottom w:val="nil"/>
              <w:right w:val="nil"/>
            </w:tcBorders>
          </w:tcPr>
          <w:p>
            <w:pPr>
              <w:pStyle w:val="Normal6a"/>
            </w:pPr>
            <w:r>
              <w:t>8.</w:t>
            </w:r>
            <w:r>
              <w:tab/>
            </w:r>
            <w:r>
              <w:t xml:space="preserve">Calls for </w:t>
            </w:r>
            <w:r>
              <w:rPr>
                <w:b/>
                <w:i/>
              </w:rPr>
              <w:t>comprehensive</w:t>
            </w:r>
            <w:r>
              <w:t xml:space="preserve"> action to prevent and eliminate all forms of gender-based violence</w:t>
            </w:r>
            <w:r>
              <w:rPr>
                <w:b/>
                <w:i/>
              </w:rPr>
              <w:t>, including domestic and intimate-partner violence, sexual violence, technology-facilitated violence, harmful practices and conflict-related sexual violence,</w:t>
            </w:r>
            <w:r>
              <w:t xml:space="preserve"> and to combat impunity; </w:t>
            </w:r>
            <w:r>
              <w:rPr>
                <w:b/>
                <w:i/>
              </w:rPr>
              <w:t>stresses the need for accessible, survivor-centred and adequately funded protection, healthcare, psychosocial support and access to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for action </w:t>
            </w:r>
            <w:r>
              <w:rPr>
                <w:b/>
                <w:i/>
              </w:rPr>
              <w:t>to be taken</w:t>
            </w:r>
            <w:r>
              <w:t xml:space="preserve"> to prevent and eliminate all forms of gender-based violence and to combat impunity;</w:t>
            </w:r>
          </w:p>
        </w:tc>
        <w:tc>
          <w:tcPr>
            <w:tcW w:w="4876" w:type="dxa"/>
            <w:tcBorders>
              <w:top w:val="nil"/>
              <w:left w:val="nil"/>
              <w:bottom w:val="nil"/>
              <w:right w:val="nil"/>
            </w:tcBorders>
          </w:tcPr>
          <w:p>
            <w:pPr>
              <w:pStyle w:val="Normal6a"/>
            </w:pPr>
            <w:r>
              <w:t>8.</w:t>
            </w:r>
            <w:r>
              <w:tab/>
            </w:r>
            <w:r>
              <w:t xml:space="preserve">Calls for action to prevent and eliminate all forms of gender-based violence and to combat impunity; </w:t>
            </w:r>
            <w:r>
              <w:rPr>
                <w:b/>
                <w:i/>
              </w:rPr>
              <w:t>stresses the important role of comprehensive, age-appropriate and evidence-based sexuality education in preventing gender-based violence and promoting healthy and respectful relationships, bodily autonomy and gender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Calls for action to be taken to prevent and eliminate all forms of gender-based violence and to combat impunity;</w:t>
            </w:r>
          </w:p>
        </w:tc>
        <w:tc>
          <w:tcPr>
            <w:tcW w:w="4876" w:type="dxa"/>
            <w:tcBorders>
              <w:top w:val="nil"/>
              <w:left w:val="nil"/>
              <w:bottom w:val="nil"/>
              <w:right w:val="nil"/>
            </w:tcBorders>
          </w:tcPr>
          <w:p>
            <w:pPr>
              <w:pStyle w:val="Normal6a"/>
            </w:pPr>
            <w:r>
              <w:t>8.</w:t>
            </w:r>
            <w:r>
              <w:tab/>
            </w:r>
            <w:r>
              <w:t xml:space="preserve">Calls for action to be taken to prevent and eliminate all forms of gender-based violence and to combat impunity </w:t>
            </w:r>
            <w:r>
              <w:rPr>
                <w:b/>
                <w:i/>
              </w:rPr>
              <w:t>and ensure survivors’ access to justice and to specialised medical, psychological and legal support</w:t>
            </w:r>
            <w:r>
              <w:t xml:space="preserve"> ; </w:t>
            </w:r>
            <w:r>
              <w:rPr>
                <w:b/>
                <w:i/>
              </w:rPr>
              <w:t>calls for definitions of rape based on the absence of freely given consent, including within marriage;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Paulo do Nascimento Cabral,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for action </w:t>
            </w:r>
            <w:r>
              <w:rPr>
                <w:b/>
                <w:i/>
              </w:rPr>
              <w:t>to be taken</w:t>
            </w:r>
            <w:r>
              <w:t xml:space="preserve"> to prevent and eliminate all forms of gender-based violence and to combat impunity;</w:t>
            </w:r>
          </w:p>
        </w:tc>
        <w:tc>
          <w:tcPr>
            <w:tcW w:w="4876" w:type="dxa"/>
            <w:tcBorders>
              <w:top w:val="nil"/>
              <w:left w:val="nil"/>
              <w:bottom w:val="nil"/>
              <w:right w:val="nil"/>
            </w:tcBorders>
          </w:tcPr>
          <w:p>
            <w:pPr>
              <w:pStyle w:val="Normal6a"/>
            </w:pPr>
            <w:r>
              <w:t>8.</w:t>
            </w:r>
            <w:r>
              <w:tab/>
            </w:r>
            <w:r>
              <w:t>Calls for action to prevent and eliminate all forms of gender-based violence</w:t>
            </w:r>
            <w:r>
              <w:rPr>
                <w:b/>
                <w:i/>
              </w:rPr>
              <w:t>, including domestic or conflict-related sexual violence and harmful practices, such as forced marriage and female genital mutilation,</w:t>
            </w:r>
            <w:r>
              <w:t xml:space="preserve"> and to combat impunity;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Calls for action to be taken to prevent and eliminate all forms of gender-based violence and to combat impunity;</w:t>
            </w:r>
          </w:p>
        </w:tc>
        <w:tc>
          <w:tcPr>
            <w:tcW w:w="4876" w:type="dxa"/>
            <w:tcBorders>
              <w:top w:val="nil"/>
              <w:left w:val="nil"/>
              <w:bottom w:val="nil"/>
              <w:right w:val="nil"/>
            </w:tcBorders>
          </w:tcPr>
          <w:p>
            <w:pPr>
              <w:pStyle w:val="Normal6a"/>
            </w:pPr>
            <w:r>
              <w:t>8.</w:t>
            </w:r>
            <w:r>
              <w:tab/>
            </w:r>
            <w:r>
              <w:t>Calls for action to be taken to prevent and eliminate all forms of gender-based violence and to combat impunity</w:t>
            </w:r>
            <w:r>
              <w:rPr>
                <w:b/>
                <w:i/>
              </w:rPr>
              <w:t>, including through comprehensive age-appropriate sexual education and the involvement of men and boys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Calls for strengthened action to prevent and eliminate child, early and forced marriage, notably through education, awareness-raising and access to protection and support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8e.</w:t>
            </w:r>
            <w:r>
              <w:tab/>
            </w:r>
            <w:r>
              <w:rPr>
                <w:b/>
                <w:i/>
              </w:rPr>
              <w:t>Calls on the Commission to maintain dedicated and specialised programming on gender-based violence, including survivor-centred health care, psychosocial support, legal aid and economic assistance, and to ensure the meaningful participation of women and girls in programme design and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8f.</w:t>
            </w:r>
            <w:r>
              <w:tab/>
            </w:r>
            <w:r>
              <w:rPr>
                <w:b/>
                <w:i/>
              </w:rPr>
              <w:t>Calls on the EU to strengthen action to prevent honour-related violence and harmful practices, including child and forced marriage and female genital mutilation, particularly in conflict and emergency settings;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Condemns the practice of female genital mutilation (FGM) and calls on the Commission and EEAS to strengthen the cooperation with international partners in a zero-tolerance approach towards FGM;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Calls for stronger and more effective mechanisms to prevent, identify and report gender-based violence, and to ensure timely, safe and effective access to justice, protection and support services for survivors in humanitarian and conflict settings;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Marc Jongen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Expresses concern over the persistently high rate of genital mutilation, particularly in countries in the Islamic world and in sub-Saharan Africa;</w:t>
            </w:r>
            <w:r>
              <w:t xml:space="preserve"> </w:t>
            </w:r>
            <w:r>
              <w:rPr>
                <w:b/>
                <w:i/>
              </w:rPr>
              <w:t>calls on the Commission to prioritise the fight against genital mutilation as part of its efforts to tackle gender-based violence;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Deplores that, in many Muslim-majority countries, forms of gender-based violence remain uncriminalised or are sanctioned by law; strongly condemns, in particular, legal provisions and practices permitting the flogging or stoning of women for alleged adultery; stresses that no religious or cultural justification can excuse such violence; stresses that under no circumstance EU funding and assistance should be provided to projects, programmes or public authorities that support, implement or directly benefit from laws or practices that discriminate against women and girls or that legally sanction violence against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Calls on the Commission and the EEAS to make FGM and other violent practices against girls and women a central issue in their human rights dialogues with the third countries concerned; calls on the EEAS to intensify talks with third countries to encourage them to tackle FGM;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Calls on the EU to address economic violence and economic dependency as factors that can prevent women and girls from leaving situations of violence, including by strengthening access to social protection, decent work, housing and economic independence;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Emphasises the key role of local and regional governments in preventing gender-based violence through safe public spaces, transport and gender-responsive planning, and calls on the EU to provide stronger institutional support and dedicated funding for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Calls on the Commission to adopt a whole-of-system approach to GBV, embedding prevention, risk mitigation, and survivor centred response across all sectors, so that survivors can be identified and connected to support;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Calls for adequate and sustainable funding for specialised, accessible and survivor-centred services, including healthcare, psychosocial support, legal assistance, case management and economic support;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Calls on the Commission to maintain dedicated GBV programming and capacity, including victim-centred support and community-based prevention initiatives, such as Women and Girls Safe Spaces (WGSS);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Calls for gender-based violence prevention, risk mitigation and survivor-centred response to be systematically integrated across EU-funded humanitarian and development action, while maintaining dedicated and specialised GBV programmes and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Calls for GAP IV to support efforts to eradicate harmful practices, such as child, early and forced marriage and female genital mutilation, including through community-based education and targeted local interventions;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Calls on the Commission to invest in long-term GBV prevention, engaging men and boys, addressing harmful norms, and linking GBV to conflict, economic, and governance drivers;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Calls on the Commission to maintain dedicated and specialised GBV programming and capacity, including by scaling up survivor-centred GBV response services (health care, psychosocial support, legal aid, economic assistance and case management) and community-based prevention initiatives, while ensuring the meaningful participation of women and girls in the design, implementation, monitoring and evaluation of such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Calls on the EU to address the root causes of gender-based violence, including discriminatory social norms and stereotypes, through long-term prevention, engagement with men and boys, transformative projects and close cooperation with partner countries and civil society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Calls on the Commission to strengthen long-term prevention of gender-based violence by engaging men and boys, challenging harmful social norms and addressing the structural factors, including conflict-related, economic and governance-related drivers, that contribute to such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Mieke Andriese, Elisabeth Dieringer, Margarita de la Pisa Carrión,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for increased international cooperation to combat human trafficking and sexual exploitation;</w:t>
            </w:r>
          </w:p>
        </w:tc>
        <w:tc>
          <w:tcPr>
            <w:tcW w:w="4876" w:type="dxa"/>
            <w:tcBorders>
              <w:top w:val="nil"/>
              <w:left w:val="nil"/>
              <w:bottom w:val="nil"/>
              <w:right w:val="nil"/>
            </w:tcBorders>
          </w:tcPr>
          <w:p>
            <w:pPr>
              <w:pStyle w:val="Normal6a"/>
            </w:pPr>
            <w:r>
              <w:t>9.</w:t>
            </w:r>
            <w:r>
              <w:tab/>
            </w:r>
            <w:r>
              <w:t xml:space="preserve">Calls for increased international cooperation </w:t>
            </w:r>
            <w:r>
              <w:rPr>
                <w:b/>
                <w:i/>
              </w:rPr>
              <w:t>with countries of origin and transit</w:t>
            </w:r>
            <w:r>
              <w:t xml:space="preserve"> to combat human trafficking</w:t>
            </w:r>
            <w:r>
              <w:rPr>
                <w:b/>
                <w:i/>
              </w:rPr>
              <w:t>, people smuggling</w:t>
            </w:r>
            <w:r>
              <w:t xml:space="preserve"> and sexual exploitation; </w:t>
            </w:r>
            <w:r>
              <w:rPr>
                <w:b/>
                <w:i/>
              </w:rPr>
              <w:t>emphasises the importance of effective border control, the dismantling of criminal networks and the protection of victims, including the provision of safe shelter in the region;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for increased international cooperation to combat human trafficking </w:t>
            </w:r>
            <w:r>
              <w:rPr>
                <w:b/>
                <w:i/>
              </w:rPr>
              <w:t>and</w:t>
            </w:r>
            <w:r>
              <w:t xml:space="preserve"> sexual exploitation;</w:t>
            </w:r>
          </w:p>
        </w:tc>
        <w:tc>
          <w:tcPr>
            <w:tcW w:w="4876" w:type="dxa"/>
            <w:tcBorders>
              <w:top w:val="nil"/>
              <w:left w:val="nil"/>
              <w:bottom w:val="nil"/>
              <w:right w:val="nil"/>
            </w:tcBorders>
          </w:tcPr>
          <w:p>
            <w:pPr>
              <w:pStyle w:val="Normal6a"/>
            </w:pPr>
            <w:r>
              <w:t>9.</w:t>
            </w:r>
            <w:r>
              <w:tab/>
            </w:r>
            <w:r>
              <w:t>Calls for increased international cooperation to combat human trafficking</w:t>
            </w:r>
            <w:r>
              <w:rPr>
                <w:b/>
                <w:i/>
              </w:rPr>
              <w:t>,</w:t>
            </w:r>
            <w:r>
              <w:t xml:space="preserve"> sexual exploitation </w:t>
            </w:r>
            <w:r>
              <w:rPr>
                <w:b/>
                <w:i/>
              </w:rPr>
              <w:t>and sex tourism, including through stronger cross-border law-enforcement cooperation and effective prosecution of offenders who commit such crimes abroad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for increased international cooperation to combat human trafficking and sexual exploitation;</w:t>
            </w:r>
          </w:p>
        </w:tc>
        <w:tc>
          <w:tcPr>
            <w:tcW w:w="4876" w:type="dxa"/>
            <w:tcBorders>
              <w:top w:val="nil"/>
              <w:left w:val="nil"/>
              <w:bottom w:val="nil"/>
              <w:right w:val="nil"/>
            </w:tcBorders>
          </w:tcPr>
          <w:p>
            <w:pPr>
              <w:pStyle w:val="Normal6a"/>
            </w:pPr>
            <w:r>
              <w:t>9.</w:t>
            </w:r>
            <w:r>
              <w:tab/>
            </w:r>
            <w:r>
              <w:t xml:space="preserve">Calls for increased international cooperation to combat human trafficking and sexual exploitation </w:t>
            </w:r>
            <w:r>
              <w:rPr>
                <w:b/>
                <w:i/>
              </w:rPr>
              <w:t>and to end harmful practices such as child, early and forced marriage, so-called ‘honour’ based violence, sterilisation and female genital mutilation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for increased international cooperation to combat </w:t>
            </w:r>
            <w:r>
              <w:rPr>
                <w:b/>
                <w:i/>
              </w:rPr>
              <w:t>human</w:t>
            </w:r>
            <w:r>
              <w:t xml:space="preserve"> trafficking and sexual exploitation;</w:t>
            </w:r>
          </w:p>
        </w:tc>
        <w:tc>
          <w:tcPr>
            <w:tcW w:w="4876" w:type="dxa"/>
            <w:tcBorders>
              <w:top w:val="nil"/>
              <w:left w:val="nil"/>
              <w:bottom w:val="nil"/>
              <w:right w:val="nil"/>
            </w:tcBorders>
          </w:tcPr>
          <w:p>
            <w:pPr>
              <w:pStyle w:val="Normal6a"/>
            </w:pPr>
            <w:r>
              <w:t>9.</w:t>
            </w:r>
            <w:r>
              <w:tab/>
            </w:r>
            <w:r>
              <w:t xml:space="preserve">Calls for increased international cooperation to </w:t>
            </w:r>
            <w:r>
              <w:rPr>
                <w:b/>
                <w:i/>
              </w:rPr>
              <w:t>prevent and</w:t>
            </w:r>
            <w:r>
              <w:t xml:space="preserve"> combat trafficking and sexual exploitation </w:t>
            </w:r>
            <w:r>
              <w:rPr>
                <w:b/>
                <w:i/>
              </w:rPr>
              <w:t>and to ensure accessible, survivor-centred protection, assistance and support for victims and survivors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for increased international cooperation to combat human trafficking and sexual exploitation;</w:t>
            </w:r>
          </w:p>
        </w:tc>
        <w:tc>
          <w:tcPr>
            <w:tcW w:w="4876" w:type="dxa"/>
            <w:tcBorders>
              <w:top w:val="nil"/>
              <w:left w:val="nil"/>
              <w:bottom w:val="nil"/>
              <w:right w:val="nil"/>
            </w:tcBorders>
          </w:tcPr>
          <w:p>
            <w:pPr>
              <w:pStyle w:val="Normal6a"/>
            </w:pPr>
            <w:r>
              <w:t>9.</w:t>
            </w:r>
            <w:r>
              <w:tab/>
            </w:r>
            <w:r>
              <w:t>Calls for increased international cooperation to combat human trafficking and sexual exploitation</w:t>
            </w:r>
            <w:r>
              <w:rPr>
                <w:b/>
                <w:i/>
              </w:rPr>
              <w:t>, and for the introduction of appropriate penalties for traffickers, harmonised at EU level</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Paulo do Nascimento Cabral,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for increased international cooperation to combat </w:t>
            </w:r>
            <w:r>
              <w:rPr>
                <w:b/>
                <w:i/>
              </w:rPr>
              <w:t>human</w:t>
            </w:r>
            <w:r>
              <w:t xml:space="preserve"> trafficking and sexual exploitation;</w:t>
            </w:r>
          </w:p>
        </w:tc>
        <w:tc>
          <w:tcPr>
            <w:tcW w:w="4876" w:type="dxa"/>
            <w:tcBorders>
              <w:top w:val="nil"/>
              <w:left w:val="nil"/>
              <w:bottom w:val="nil"/>
              <w:right w:val="nil"/>
            </w:tcBorders>
          </w:tcPr>
          <w:p>
            <w:pPr>
              <w:pStyle w:val="Normal6a"/>
            </w:pPr>
            <w:r>
              <w:t>9.</w:t>
            </w:r>
            <w:r>
              <w:tab/>
            </w:r>
            <w:r>
              <w:t xml:space="preserve">Calls for increased international cooperation to combat trafficking and sexual exploitation </w:t>
            </w:r>
            <w:r>
              <w:rPr>
                <w:b/>
                <w:i/>
              </w:rPr>
              <w:t>of which women and girls are main victims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for increased international cooperation to combat human trafficking and sexual exploitation;</w:t>
            </w:r>
          </w:p>
        </w:tc>
        <w:tc>
          <w:tcPr>
            <w:tcW w:w="4876" w:type="dxa"/>
            <w:tcBorders>
              <w:top w:val="nil"/>
              <w:left w:val="nil"/>
              <w:bottom w:val="nil"/>
              <w:right w:val="nil"/>
            </w:tcBorders>
          </w:tcPr>
          <w:p>
            <w:pPr>
              <w:pStyle w:val="Normal6a"/>
            </w:pPr>
            <w:r>
              <w:t>9.</w:t>
            </w:r>
            <w:r>
              <w:tab/>
            </w:r>
            <w:r>
              <w:t xml:space="preserve">Calls for increased international cooperation to </w:t>
            </w:r>
            <w:r>
              <w:rPr>
                <w:b/>
                <w:i/>
              </w:rPr>
              <w:t>prevent and</w:t>
            </w:r>
            <w:r>
              <w:t xml:space="preserve"> combat human trafficking and sexual exploitation;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for increased international cooperation to combat human trafficking and sexual exploitation;</w:t>
            </w:r>
          </w:p>
        </w:tc>
        <w:tc>
          <w:tcPr>
            <w:tcW w:w="4876" w:type="dxa"/>
            <w:tcBorders>
              <w:top w:val="nil"/>
              <w:left w:val="nil"/>
              <w:bottom w:val="nil"/>
              <w:right w:val="nil"/>
            </w:tcBorders>
          </w:tcPr>
          <w:p>
            <w:pPr>
              <w:pStyle w:val="Normal6a"/>
            </w:pPr>
            <w:r>
              <w:t>9.</w:t>
            </w:r>
            <w:r>
              <w:tab/>
            </w:r>
            <w:r>
              <w:t xml:space="preserve">Calls for increased international cooperation </w:t>
            </w:r>
            <w:r>
              <w:rPr>
                <w:b/>
                <w:i/>
              </w:rPr>
              <w:t>and funding</w:t>
            </w:r>
            <w:r>
              <w:t xml:space="preserve"> to combat human trafficking and sexual exploitation;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Recognises that human trafficking and organised crime networks encourage uncontrolled illegal immigration flows to generate illicit profits and subject women and girls to sexual exploitation, violence and serious abuse; condemns the instrumentalisation of these flows by third parties for geopolitical purposes, using people as instruments of pressure; rejects policies that encourage illegal immigration and public funding for entities that facilitate criminal activities, thereby strengthening these networks and perpetuating such abuses; calls for stronger national and international cooperation on border control, the prevention of illegal immigration, the dismantling of these networks, the protection of victims and the effective return of persons with no legal right to remain;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Is, in this regard, concerned that the systematic sexual exploitation of 250,000 primarily white British girls by Muslim grooming gangs in the United Kingdom did not receive adequate media and political attention across the EU; encourages the EU Member States to tackle the rise in sex crimes and foreign criminal networks, to follow a 'zero tolerance approach' and to prioritise the expulsion of foreign sex offenders;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Laurence Trochu,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Calls for resolute action against forced and early marriage, female genital mutilation, so-called honour crimes and forced abductions and conversions of women and girls belonging to religious minorities, particularly Christian minorities, as happens in Pakistan or Nigeria;</w:t>
            </w:r>
            <w:r>
              <w:t xml:space="preserve"> </w:t>
            </w:r>
            <w:r>
              <w:rPr>
                <w:b/>
                <w:i/>
              </w:rPr>
              <w:t>calls for cooperation with third countries to take into account their effective efforts to combat these practices;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Mieke Andriese, Elisabeth Dieringer, Margarita de la Pisa Carrión,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opposes mass immigration and calls for a restrictive admission policy;</w:t>
            </w:r>
            <w:r>
              <w:t xml:space="preserve"> </w:t>
            </w:r>
            <w:r>
              <w:rPr>
                <w:b/>
                <w:i/>
              </w:rPr>
              <w:t>calls on Member States to make full use of all legal means available to terminate the residence status of, expel and impose entry bans on third-country nationals who have been irrevocably convicted of serious violent or sexual offences against women;</w:t>
            </w:r>
            <w:r>
              <w:t xml:space="preserve"> </w:t>
            </w:r>
            <w:r>
              <w:rPr>
                <w:b/>
                <w:i/>
              </w:rPr>
              <w:t>calls on countries of origin to comply with their readmission obligations;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Arba Kokalari,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Calls for the EU to support and work with women's shelters or women's aid to combat domestic and sexual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Calls on the Commission and the EEAS to address</w:t>
            </w:r>
            <w:r>
              <w:t xml:space="preserve"> technology-facilitated </w:t>
            </w:r>
            <w:r>
              <w:rPr>
                <w:b/>
                <w:i/>
              </w:rPr>
              <w:t>gender-based</w:t>
            </w:r>
            <w:r>
              <w:t xml:space="preserve"> violence;</w:t>
            </w:r>
          </w:p>
        </w:tc>
        <w:tc>
          <w:tcPr>
            <w:tcW w:w="4876" w:type="dxa"/>
            <w:tcBorders>
              <w:top w:val="nil"/>
              <w:left w:val="nil"/>
              <w:bottom w:val="nil"/>
              <w:right w:val="nil"/>
            </w:tcBorders>
          </w:tcPr>
          <w:p>
            <w:pPr>
              <w:pStyle w:val="Normal6a"/>
            </w:pPr>
            <w:r>
              <w:t>10.</w:t>
            </w:r>
            <w:r>
              <w:tab/>
            </w:r>
            <w:r>
              <w:rPr>
                <w:b/>
                <w:i/>
              </w:rPr>
              <w:t>Urges the Member States to better equip their national justice systems to tackle cybercrime and</w:t>
            </w:r>
            <w:r>
              <w:t xml:space="preserve"> technology-facilitated violence </w:t>
            </w:r>
            <w:r>
              <w:rPr>
                <w:b/>
                <w:i/>
              </w:rPr>
              <w:t>against individuals, while upholding the freedom of opinion and national sovereignty</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Commission and the EEAS to address technology-facilitated gender-based violence;</w:t>
            </w:r>
          </w:p>
        </w:tc>
        <w:tc>
          <w:tcPr>
            <w:tcW w:w="4876" w:type="dxa"/>
            <w:tcBorders>
              <w:top w:val="nil"/>
              <w:left w:val="nil"/>
              <w:bottom w:val="nil"/>
              <w:right w:val="nil"/>
            </w:tcBorders>
          </w:tcPr>
          <w:p>
            <w:pPr>
              <w:pStyle w:val="Normal6a"/>
            </w:pPr>
            <w:r>
              <w:t>10.</w:t>
            </w:r>
            <w:r>
              <w:tab/>
            </w:r>
            <w:r>
              <w:t>Calls on the Commission and the EEAS to address technology-facilitated gender-based violence</w:t>
            </w:r>
            <w:r>
              <w:rPr>
                <w:b/>
                <w:i/>
              </w:rPr>
              <w:t>, including online harassment, digital surveillance, image-based abuse, the creation and dissemination of non-consensual sexually explicit deepfakes, including those generated by artificial intelligence, and gendered disinformation, as well as its impact on women’s and girls’ rights and their civic and political participation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Commission and the EEAS to address technology-facilitated gender-based violence;</w:t>
            </w:r>
          </w:p>
        </w:tc>
        <w:tc>
          <w:tcPr>
            <w:tcW w:w="4876" w:type="dxa"/>
            <w:tcBorders>
              <w:top w:val="nil"/>
              <w:left w:val="nil"/>
              <w:bottom w:val="nil"/>
              <w:right w:val="nil"/>
            </w:tcBorders>
          </w:tcPr>
          <w:p>
            <w:pPr>
              <w:pStyle w:val="Normal6a"/>
            </w:pPr>
            <w:r>
              <w:t>10.</w:t>
            </w:r>
            <w:r>
              <w:tab/>
            </w:r>
            <w:r>
              <w:t xml:space="preserve">Calls on the Commission and the EEAS to address technology-facilitated gender-based violence </w:t>
            </w:r>
            <w:r>
              <w:rPr>
                <w:b/>
                <w:i/>
              </w:rPr>
              <w:t>including online harassment, digital surveillance, image-based abuse, including non-consensual deepfakes and disinformation campaigns, as a significant and growing dimension of gender-based violence that restricts women's civic and political participation and undermines democratic participation and public debate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Commission and the EEAS to address technology-facilitated gender-based violence;</w:t>
            </w:r>
          </w:p>
        </w:tc>
        <w:tc>
          <w:tcPr>
            <w:tcW w:w="4876" w:type="dxa"/>
            <w:tcBorders>
              <w:top w:val="nil"/>
              <w:left w:val="nil"/>
              <w:bottom w:val="nil"/>
              <w:right w:val="nil"/>
            </w:tcBorders>
          </w:tcPr>
          <w:p>
            <w:pPr>
              <w:pStyle w:val="Normal6a"/>
            </w:pPr>
            <w:r>
              <w:t>10.</w:t>
            </w:r>
            <w:r>
              <w:tab/>
            </w:r>
            <w:r>
              <w:t>Calls on the Commission and the EEAS to address technology-facilitated gender-based violence</w:t>
            </w:r>
            <w:r>
              <w:rPr>
                <w:b/>
                <w:i/>
              </w:rPr>
              <w:t>, including online harassment, image-based abuse, disinformation campaigns and the use of digital platforms to facilitate sexual violence, including exchanging advice on how to drug, assault and rape women, including their partners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Commission and the EEAS to address technology-facilitated gender-based violence;</w:t>
            </w:r>
          </w:p>
        </w:tc>
        <w:tc>
          <w:tcPr>
            <w:tcW w:w="4876" w:type="dxa"/>
            <w:tcBorders>
              <w:top w:val="nil"/>
              <w:left w:val="nil"/>
              <w:bottom w:val="nil"/>
              <w:right w:val="nil"/>
            </w:tcBorders>
          </w:tcPr>
          <w:p>
            <w:pPr>
              <w:pStyle w:val="Normal6a"/>
            </w:pPr>
            <w:r>
              <w:t>10.</w:t>
            </w:r>
            <w:r>
              <w:tab/>
            </w:r>
            <w:r>
              <w:t>Calls on the Commission and the EEAS to address technology-facilitated gender-based violence</w:t>
            </w:r>
            <w:r>
              <w:rPr>
                <w:b/>
                <w:i/>
              </w:rPr>
              <w:t>, including by preventing and combating online harassment, image-based abuse and other forms of online violence, as well as by strengthening the protection and support given to victims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Commission and the EEAS to address technology-facilitated gender-based violence;</w:t>
            </w:r>
          </w:p>
        </w:tc>
        <w:tc>
          <w:tcPr>
            <w:tcW w:w="4876" w:type="dxa"/>
            <w:tcBorders>
              <w:top w:val="nil"/>
              <w:left w:val="nil"/>
              <w:bottom w:val="nil"/>
              <w:right w:val="nil"/>
            </w:tcBorders>
          </w:tcPr>
          <w:p>
            <w:pPr>
              <w:pStyle w:val="Normal6a"/>
            </w:pPr>
            <w:r>
              <w:t>10.</w:t>
            </w:r>
            <w:r>
              <w:tab/>
            </w:r>
            <w:r>
              <w:t>Calls on the Commission and the EEAS to address technology-facilitated gender-based violence</w:t>
            </w:r>
            <w:r>
              <w:rPr>
                <w:b/>
                <w:i/>
              </w:rPr>
              <w:t>, such as disinformation, hate speech, online harassment or image-based abuse, including AI-enabled forms, which can aim to reduce or silence women’s participation in public and political life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Paulo do Nascimento Cabral,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Commission and the EEAS to address technology-facilitated gender-based violence;</w:t>
            </w:r>
          </w:p>
        </w:tc>
        <w:tc>
          <w:tcPr>
            <w:tcW w:w="4876" w:type="dxa"/>
            <w:tcBorders>
              <w:top w:val="nil"/>
              <w:left w:val="nil"/>
              <w:bottom w:val="nil"/>
              <w:right w:val="nil"/>
            </w:tcBorders>
          </w:tcPr>
          <w:p>
            <w:pPr>
              <w:pStyle w:val="Normal6a"/>
            </w:pPr>
            <w:r>
              <w:t>10.</w:t>
            </w:r>
            <w:r>
              <w:tab/>
            </w:r>
            <w:r>
              <w:t>Calls on the Commission and the EEAS to address technology-facilitated gender-based violence</w:t>
            </w:r>
            <w:r>
              <w:rPr>
                <w:b/>
                <w:i/>
              </w:rPr>
              <w:t>, and to support partner countries in developing comprehensive legal frameworks, prevention measures, digital literacy initiatives and survivor-centred responses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Commission and the EEAS to address technology-facilitated gender-based violence;</w:t>
            </w:r>
          </w:p>
        </w:tc>
        <w:tc>
          <w:tcPr>
            <w:tcW w:w="4876" w:type="dxa"/>
            <w:tcBorders>
              <w:top w:val="nil"/>
              <w:left w:val="nil"/>
              <w:bottom w:val="nil"/>
              <w:right w:val="nil"/>
            </w:tcBorders>
          </w:tcPr>
          <w:p>
            <w:pPr>
              <w:pStyle w:val="Normal6a"/>
            </w:pPr>
            <w:r>
              <w:t>10.</w:t>
            </w:r>
            <w:r>
              <w:tab/>
            </w:r>
            <w:r>
              <w:t>Calls on the Commission and the EEAS to address technology-facilitated gender-based violence</w:t>
            </w:r>
            <w:r>
              <w:rPr>
                <w:b/>
                <w:i/>
              </w:rPr>
              <w:t>, including online hate speech, harassment, stalking and digital surveillance, non-consensual intimate image abuse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Regrets that women’s sexual and reproductive rights remain limited globally, and stresses the importance of addressing the barriers that hinder women’s ability to make decisions about contraception, healthcare access and sexual consent;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Stresses that measures to prevent and combat technology-facilitated gender-based violence must fully respect the rights to privacy, protection of personal data and freedom of expression, and must not undermine online anonymity; rejects the use of such measures to justify blanket real-name requirements, indiscriminate surveillance or the weakening of end-to-end encryption; calls on the Commission and the EEAS to ensure that any action in this area complies with the principles of necessity and proportionality and includes effective safeguards against abuse;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Calls for strengthened cooperation with social networks and online platforms, as well as with the competent national authorities, to improve the collection and monitoring of data on these forms of violence, develop accessible and efficient mechanisms for reporting and removing abusive content and ensure appropriate services providing protection, support and access to justice for victims;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Paulo do Nascimento Cabral,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Stresses that EU action must enhance protection by supporting legislation that criminalises all forms of gender-based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Recalls the EU’s commitment to the promotion, protection and fulfilment of the right of every individual to have full control over and decide freely and responsibly on matters related to their sexuality and sexual and reproductive rights, free from discrimination, coercion and violence; warns that targets set by SDG 5 will not be achieved if universal access to sexual and reproductive health and reproductive rights is not guaranteed in the EU and globally; highlights that SRHR are an integral part of the universal health coverage;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Ensuring access to healthcare services </w:t>
            </w:r>
            <w:r>
              <w:rPr>
                <w:b/>
                <w:i/>
              </w:rPr>
              <w:t>for women, including for sexual and reproductive health</w:t>
            </w:r>
          </w:p>
        </w:tc>
        <w:tc>
          <w:tcPr>
            <w:tcW w:w="4876" w:type="dxa"/>
            <w:tcBorders>
              <w:top w:val="nil"/>
              <w:left w:val="nil"/>
              <w:bottom w:val="nil"/>
              <w:right w:val="nil"/>
            </w:tcBorders>
          </w:tcPr>
          <w:p>
            <w:pPr>
              <w:pStyle w:val="Normal6a"/>
            </w:pPr>
            <w:r>
              <w:t>Ensuring access to healthcare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Ensuring access to healthcare services for women</w:t>
            </w:r>
            <w:r>
              <w:rPr>
                <w:b/>
                <w:i/>
              </w:rPr>
              <w:t>, including for sexual and reproductive health</w:t>
            </w:r>
          </w:p>
        </w:tc>
        <w:tc>
          <w:tcPr>
            <w:tcW w:w="4876" w:type="dxa"/>
            <w:tcBorders>
              <w:top w:val="nil"/>
              <w:left w:val="nil"/>
              <w:bottom w:val="nil"/>
              <w:right w:val="nil"/>
            </w:tcBorders>
          </w:tcPr>
          <w:p>
            <w:pPr>
              <w:pStyle w:val="Normal6a"/>
            </w:pPr>
            <w:r>
              <w:t>Ensuring access to healthcare services for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Ensuring access to healthcare services for women, including for sexual and reproductive health</w:t>
            </w:r>
          </w:p>
        </w:tc>
        <w:tc>
          <w:tcPr>
            <w:tcW w:w="4876" w:type="dxa"/>
            <w:tcBorders>
              <w:top w:val="nil"/>
              <w:left w:val="nil"/>
              <w:bottom w:val="nil"/>
              <w:right w:val="nil"/>
            </w:tcBorders>
          </w:tcPr>
          <w:p>
            <w:pPr>
              <w:pStyle w:val="Normal6a"/>
            </w:pPr>
            <w:r>
              <w:t xml:space="preserve">Ensuring access to healthcare services for women, including for sexual and reproductive health </w:t>
            </w:r>
            <w:r>
              <w:rPr>
                <w:b/>
                <w:i/>
              </w:rPr>
              <w:t>and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Ensuring access to healthcare services for women, including for sexual and reproductive health</w:t>
            </w:r>
          </w:p>
        </w:tc>
        <w:tc>
          <w:tcPr>
            <w:tcW w:w="4876" w:type="dxa"/>
            <w:tcBorders>
              <w:top w:val="nil"/>
              <w:left w:val="nil"/>
              <w:bottom w:val="nil"/>
              <w:right w:val="nil"/>
            </w:tcBorders>
          </w:tcPr>
          <w:p>
            <w:pPr>
              <w:pStyle w:val="Normal6a"/>
            </w:pPr>
            <w:r>
              <w:t xml:space="preserve">Ensuring access to healthcare services for women, including for sexual and reproductive health </w:t>
            </w:r>
            <w:r>
              <w:rPr>
                <w:b/>
                <w:i/>
              </w:rPr>
              <w:t>and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Ensuring access to healthcare services for women, including for sexual and reproductive health</w:t>
            </w:r>
          </w:p>
        </w:tc>
        <w:tc>
          <w:tcPr>
            <w:tcW w:w="4876" w:type="dxa"/>
            <w:tcBorders>
              <w:top w:val="nil"/>
              <w:left w:val="nil"/>
              <w:bottom w:val="nil"/>
              <w:right w:val="nil"/>
            </w:tcBorders>
          </w:tcPr>
          <w:p>
            <w:pPr>
              <w:pStyle w:val="Normal6a"/>
            </w:pPr>
            <w:r>
              <w:t xml:space="preserve">Ensuring access to healthcare services for women, including for sexual and reproductive health </w:t>
            </w:r>
            <w:r>
              <w:rPr>
                <w:b/>
                <w:i/>
              </w:rPr>
              <w:t>and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Ensuring access to healthcare services for women, including for sexual and reproductive health</w:t>
            </w:r>
          </w:p>
        </w:tc>
        <w:tc>
          <w:tcPr>
            <w:tcW w:w="4876" w:type="dxa"/>
            <w:tcBorders>
              <w:top w:val="nil"/>
              <w:left w:val="nil"/>
              <w:bottom w:val="nil"/>
              <w:right w:val="nil"/>
            </w:tcBorders>
          </w:tcPr>
          <w:p>
            <w:pPr>
              <w:pStyle w:val="Normal6a"/>
            </w:pPr>
            <w:r>
              <w:t xml:space="preserve">Ensuring access to healthcare services for women, including for sexual and reproductive health </w:t>
            </w:r>
            <w:r>
              <w:rPr>
                <w:b/>
                <w:i/>
              </w:rPr>
              <w:t>and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Calls on the EU to facilitate access to sexual and reproductive health services, keeping a focus on SRHR and ensuring adequate funding for it; expresses concern that SRHR programming has been heavily impacted by funding cuts;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Calls on the EU to facilitate access to sexual and reproductive health services, keeping a focus on SRHR and ensuring adequate funding for it; expresses concern that SRHR programming has been heavily impacted by funding cuts;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Marc Jongen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on the EU to </w:t>
            </w:r>
            <w:r>
              <w:rPr>
                <w:b/>
                <w:i/>
              </w:rPr>
              <w:t>facilitate access to sexual and reproductive health services, keeping a focus on SRHR and ensuring adequate</w:t>
            </w:r>
            <w:r>
              <w:t xml:space="preserve"> funding </w:t>
            </w:r>
            <w:r>
              <w:rPr>
                <w:b/>
                <w:i/>
              </w:rPr>
              <w:t>for it;</w:t>
            </w:r>
            <w:r>
              <w:t xml:space="preserve"> </w:t>
            </w:r>
            <w:r>
              <w:rPr>
                <w:b/>
                <w:i/>
              </w:rPr>
              <w:t>expresses concern that SRHR programming has been heavily impacted by funding cuts</w:t>
            </w:r>
            <w:r>
              <w:t>;</w:t>
            </w:r>
          </w:p>
        </w:tc>
        <w:tc>
          <w:tcPr>
            <w:tcW w:w="4876" w:type="dxa"/>
            <w:tcBorders>
              <w:top w:val="nil"/>
              <w:left w:val="nil"/>
              <w:bottom w:val="nil"/>
              <w:right w:val="nil"/>
            </w:tcBorders>
          </w:tcPr>
          <w:p>
            <w:pPr>
              <w:pStyle w:val="Normal6a"/>
            </w:pPr>
            <w:r>
              <w:t>11.</w:t>
            </w:r>
            <w:r>
              <w:tab/>
            </w:r>
            <w:r>
              <w:t xml:space="preserve">Calls on the EU to </w:t>
            </w:r>
            <w:r>
              <w:rPr>
                <w:b/>
                <w:i/>
              </w:rPr>
              <w:t>prioritise the protection of human life from the point of conception and to rule out the possibility of</w:t>
            </w:r>
            <w:r>
              <w:t xml:space="preserve"> funding</w:t>
            </w:r>
            <w:r>
              <w:rPr>
                <w:b/>
                <w:i/>
              </w:rPr>
              <w:t>, or directly or indirectly supporting, abortion under any EU-funded or EU-backed programmes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on the EU to facilitate access to </w:t>
            </w:r>
            <w:r>
              <w:rPr>
                <w:b/>
                <w:i/>
              </w:rPr>
              <w:t>sexual and reproductive</w:t>
            </w:r>
            <w:r>
              <w:t xml:space="preserve"> health services, </w:t>
            </w:r>
            <w:r>
              <w:rPr>
                <w:b/>
                <w:i/>
              </w:rPr>
              <w:t>keeping a focus on SRHR and</w:t>
            </w:r>
            <w:r>
              <w:t xml:space="preserve"> ensuring adequate funding for it; </w:t>
            </w:r>
            <w:r>
              <w:rPr>
                <w:b/>
                <w:i/>
              </w:rPr>
              <w:t>expresses concern that SRHR programming has been heavily impacted by funding cuts;</w:t>
            </w:r>
          </w:p>
        </w:tc>
        <w:tc>
          <w:tcPr>
            <w:tcW w:w="4876" w:type="dxa"/>
            <w:tcBorders>
              <w:top w:val="nil"/>
              <w:left w:val="nil"/>
              <w:bottom w:val="nil"/>
              <w:right w:val="nil"/>
            </w:tcBorders>
          </w:tcPr>
          <w:p>
            <w:pPr>
              <w:pStyle w:val="Normal6a"/>
            </w:pPr>
            <w:r>
              <w:t>11.</w:t>
            </w:r>
            <w:r>
              <w:tab/>
            </w:r>
            <w:r>
              <w:t>Calls on the EU to facilitate access to health services, ensuring adequate funding for it;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on the EU to </w:t>
            </w:r>
            <w:r>
              <w:rPr>
                <w:b/>
                <w:i/>
              </w:rPr>
              <w:t>facilitate access to sexual and reproductive health services, keeping a</w:t>
            </w:r>
            <w:r>
              <w:t xml:space="preserve"> focus </w:t>
            </w:r>
            <w:r>
              <w:rPr>
                <w:b/>
                <w:i/>
              </w:rPr>
              <w:t>on SRHR and ensuring adequate</w:t>
            </w:r>
            <w:r>
              <w:t xml:space="preserve"> funding </w:t>
            </w:r>
            <w:r>
              <w:rPr>
                <w:b/>
                <w:i/>
              </w:rPr>
              <w:t>for it; expresses concern that SRHR programming has been heavily impacted by funding cuts</w:t>
            </w:r>
            <w:r>
              <w:t>;</w:t>
            </w:r>
          </w:p>
        </w:tc>
        <w:tc>
          <w:tcPr>
            <w:tcW w:w="4876" w:type="dxa"/>
            <w:tcBorders>
              <w:top w:val="nil"/>
              <w:left w:val="nil"/>
              <w:bottom w:val="nil"/>
              <w:right w:val="nil"/>
            </w:tcBorders>
          </w:tcPr>
          <w:p>
            <w:pPr>
              <w:pStyle w:val="Normal6a"/>
            </w:pPr>
            <w:r>
              <w:t>11.</w:t>
            </w:r>
            <w:r>
              <w:tab/>
            </w:r>
            <w:r>
              <w:rPr>
                <w:b/>
                <w:i/>
              </w:rPr>
              <w:t>Calls on the EU, </w:t>
            </w:r>
            <w:r>
              <w:rPr>
                <w:b/>
                <w:i/>
              </w:rPr>
              <w:t>where and if it decides to provide</w:t>
            </w:r>
            <w:r>
              <w:t xml:space="preserve"> </w:t>
            </w:r>
            <w:r>
              <w:rPr>
                <w:b/>
                <w:i/>
              </w:rPr>
              <w:t>funding for</w:t>
            </w:r>
            <w:r>
              <w:t xml:space="preserve"> </w:t>
            </w:r>
            <w:r>
              <w:rPr>
                <w:b/>
                <w:i/>
              </w:rPr>
              <w:t>healthcare, to focus on primary healthcare, basic disease prevention, and essential maternal care, while acknowledging that healthcare and family legislation are strictly national competencies;</w:t>
            </w:r>
            <w:r>
              <w:t xml:space="preserve"> calls on the EU to focus </w:t>
            </w:r>
            <w:r>
              <w:rPr>
                <w:b/>
                <w:i/>
              </w:rPr>
              <w:t>healthcare</w:t>
            </w:r>
            <w:r>
              <w:t xml:space="preserve"> funding </w:t>
            </w:r>
            <w:r>
              <w:rPr>
                <w:b/>
                <w:i/>
              </w:rPr>
              <w:t>on primary healthcare, basic disease prevention, and essential maternal care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Calls on the EU to facilitate access to sexual and reproductive</w:t>
            </w:r>
            <w:r>
              <w:t xml:space="preserve"> health </w:t>
            </w:r>
            <w:r>
              <w:rPr>
                <w:b/>
                <w:i/>
              </w:rPr>
              <w:t>services, keeping a focus on SRHR and ensuring adequate</w:t>
            </w:r>
            <w:r>
              <w:t xml:space="preserve"> funding for </w:t>
            </w:r>
            <w:r>
              <w:rPr>
                <w:b/>
                <w:i/>
              </w:rPr>
              <w:t>it;</w:t>
            </w:r>
            <w:r>
              <w:t xml:space="preserve"> </w:t>
            </w:r>
            <w:r>
              <w:rPr>
                <w:b/>
                <w:i/>
              </w:rPr>
              <w:t>expresses concern that SRHR programming has been heavily impacted by funding cuts</w:t>
            </w:r>
            <w:r>
              <w:t>;</w:t>
            </w:r>
          </w:p>
        </w:tc>
        <w:tc>
          <w:tcPr>
            <w:tcW w:w="4876" w:type="dxa"/>
            <w:tcBorders>
              <w:top w:val="nil"/>
              <w:left w:val="nil"/>
              <w:bottom w:val="nil"/>
              <w:right w:val="nil"/>
            </w:tcBorders>
          </w:tcPr>
          <w:p>
            <w:pPr>
              <w:pStyle w:val="Normal6a"/>
            </w:pPr>
            <w:r>
              <w:t>11.</w:t>
            </w:r>
            <w:r>
              <w:tab/>
            </w:r>
            <w:r>
              <w:rPr>
                <w:b/>
                <w:i/>
              </w:rPr>
              <w:t>Stresses that</w:t>
            </w:r>
            <w:r>
              <w:t xml:space="preserve"> health </w:t>
            </w:r>
            <w:r>
              <w:rPr>
                <w:b/>
                <w:i/>
              </w:rPr>
              <w:t>policy, which includes family planning and the protection of unborn life, remains an exclusive competence of the Member States;</w:t>
            </w:r>
            <w:r>
              <w:t xml:space="preserve"> </w:t>
            </w:r>
            <w:r>
              <w:rPr>
                <w:b/>
                <w:i/>
              </w:rPr>
              <w:t>welcomes the cut in EU</w:t>
            </w:r>
            <w:r>
              <w:t xml:space="preserve"> funding for </w:t>
            </w:r>
            <w:r>
              <w:rPr>
                <w:b/>
                <w:i/>
              </w:rPr>
              <w:t>controversial international programmes which interfere in national ethical and legal frameworks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on the EU to facilitate access to sexual and reproductive health services, keeping a focus on SRHR and </w:t>
            </w:r>
            <w:r>
              <w:rPr>
                <w:b/>
                <w:i/>
              </w:rPr>
              <w:t>ensuring adequate funding for it</w:t>
            </w:r>
            <w:r>
              <w:t>; expresses concern that SRHR programming has been heavily impacted by funding cuts;</w:t>
            </w:r>
          </w:p>
        </w:tc>
        <w:tc>
          <w:tcPr>
            <w:tcW w:w="4876" w:type="dxa"/>
            <w:tcBorders>
              <w:top w:val="nil"/>
              <w:left w:val="nil"/>
              <w:bottom w:val="nil"/>
              <w:right w:val="nil"/>
            </w:tcBorders>
          </w:tcPr>
          <w:p>
            <w:pPr>
              <w:pStyle w:val="Normal6a"/>
            </w:pPr>
            <w:r>
              <w:t>11.</w:t>
            </w:r>
            <w:r>
              <w:tab/>
            </w:r>
            <w:r>
              <w:rPr>
                <w:b/>
                <w:i/>
              </w:rPr>
              <w:t>Reaffirms the EU’s commitment to a comprehensive and rights-based approach to SRHR by retaining and strengthening a standalone pillar on SRHR with dedicated objectives, actions and indicators;</w:t>
            </w:r>
            <w:r>
              <w:t xml:space="preserve"> calls on the EU to facilitate access to sexual and reproductive health services, keeping a focus on SRHR and </w:t>
            </w:r>
            <w:r>
              <w:rPr>
                <w:b/>
                <w:i/>
              </w:rPr>
              <w:t>safeguarding SRHR financing against political volatility by ring-fencing funds in dedicated budget lines</w:t>
            </w:r>
            <w:r>
              <w:t xml:space="preserve">; expresses concern that SRHR programming has been heavily impacted by funding cuts </w:t>
            </w:r>
            <w:r>
              <w:rPr>
                <w:b/>
                <w:i/>
              </w:rPr>
              <w:t>and that SRHR are among the first rights to be despite being a prerequisite for gender equality</w:t>
            </w:r>
            <w:r>
              <w:t xml:space="preserve">; </w:t>
            </w:r>
            <w:r>
              <w:rPr>
                <w:b/>
                <w:i/>
              </w:rPr>
              <w:t>notes with concern that EU’s funding to SRHR continued to decline over the past years, with only 0.7 % of EU’s ODA dedicated to SRHR in 2024; calls on the Commission to counter the impact of externally imposed funding restrictions and conditionalities on SRHR funding and service provision by reinforcing SRHR funding through EU external financing instruments under the next Multiannual Financial Framework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on the EU to facilitate access to sexual and reproductive health services, keeping a focus on SRHR and </w:t>
            </w:r>
            <w:r>
              <w:rPr>
                <w:b/>
                <w:i/>
              </w:rPr>
              <w:t>ensuring adequate funding for it</w:t>
            </w:r>
            <w:r>
              <w:t>; expresses concern that SRHR programming has been heavily impacted by funding cuts;</w:t>
            </w:r>
          </w:p>
        </w:tc>
        <w:tc>
          <w:tcPr>
            <w:tcW w:w="4876" w:type="dxa"/>
            <w:tcBorders>
              <w:top w:val="nil"/>
              <w:left w:val="nil"/>
              <w:bottom w:val="nil"/>
              <w:right w:val="nil"/>
            </w:tcBorders>
          </w:tcPr>
          <w:p>
            <w:pPr>
              <w:pStyle w:val="Normal6a"/>
            </w:pPr>
            <w:r>
              <w:t>11.</w:t>
            </w:r>
            <w:r>
              <w:tab/>
            </w:r>
            <w:r>
              <w:t xml:space="preserve">Calls on the EU to facilitate </w:t>
            </w:r>
            <w:r>
              <w:rPr>
                <w:b/>
                <w:i/>
              </w:rPr>
              <w:t>affordable and confidential</w:t>
            </w:r>
            <w:r>
              <w:t xml:space="preserve"> access to </w:t>
            </w:r>
            <w:r>
              <w:rPr>
                <w:b/>
                <w:i/>
              </w:rPr>
              <w:t>comprehensive and quality</w:t>
            </w:r>
            <w:r>
              <w:t xml:space="preserve"> sexual and reproductive health services, keeping a focus on SRHR and </w:t>
            </w:r>
            <w:r>
              <w:rPr>
                <w:b/>
                <w:i/>
              </w:rPr>
              <w:t>safeguarding SRHR against political volatility by ring-fencing funds in dedicated budget lines</w:t>
            </w:r>
            <w:r>
              <w:t xml:space="preserve">; expresses concern that SRHR programming has been heavily impacted by funding cuts; </w:t>
            </w:r>
            <w:r>
              <w:rPr>
                <w:b/>
                <w:i/>
              </w:rPr>
              <w:t>calls for access to safe, legal and free abortion, including through decriminalisation and the removal of practical barriers to care; reaffirms that SRHR are an integral part of human rights and underpin bodily autonomy;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on the EU to </w:t>
            </w:r>
            <w:r>
              <w:rPr>
                <w:b/>
                <w:i/>
              </w:rPr>
              <w:t>facilitate access</w:t>
            </w:r>
            <w:r>
              <w:t xml:space="preserve"> to sexual and reproductive health </w:t>
            </w:r>
            <w:r>
              <w:rPr>
                <w:b/>
                <w:i/>
              </w:rPr>
              <w:t>services</w:t>
            </w:r>
            <w:r>
              <w:t xml:space="preserve">, keeping </w:t>
            </w:r>
            <w:r>
              <w:rPr>
                <w:b/>
                <w:i/>
              </w:rPr>
              <w:t>a</w:t>
            </w:r>
            <w:r>
              <w:t xml:space="preserve"> focus on SRHR and ensuring adequate funding for it; expresses </w:t>
            </w:r>
            <w:r>
              <w:rPr>
                <w:b/>
                <w:i/>
              </w:rPr>
              <w:t>concern</w:t>
            </w:r>
            <w:r>
              <w:t xml:space="preserve"> that SRHR programming </w:t>
            </w:r>
            <w:r>
              <w:rPr>
                <w:b/>
                <w:i/>
              </w:rPr>
              <w:t>has</w:t>
            </w:r>
            <w:r>
              <w:t xml:space="preserve"> been heavily impacted by funding cuts;</w:t>
            </w:r>
          </w:p>
        </w:tc>
        <w:tc>
          <w:tcPr>
            <w:tcW w:w="4876" w:type="dxa"/>
            <w:tcBorders>
              <w:top w:val="nil"/>
              <w:left w:val="nil"/>
              <w:bottom w:val="nil"/>
              <w:right w:val="nil"/>
            </w:tcBorders>
          </w:tcPr>
          <w:p>
            <w:pPr>
              <w:pStyle w:val="Normal6a"/>
            </w:pPr>
            <w:r>
              <w:t>11.</w:t>
            </w:r>
            <w:r>
              <w:tab/>
            </w:r>
            <w:r>
              <w:t xml:space="preserve">Calls on the EU to </w:t>
            </w:r>
            <w:r>
              <w:rPr>
                <w:b/>
                <w:i/>
              </w:rPr>
              <w:t>strengthen its commitment</w:t>
            </w:r>
            <w:r>
              <w:t xml:space="preserve"> to sexual and reproductive health </w:t>
            </w:r>
            <w:r>
              <w:rPr>
                <w:b/>
                <w:i/>
              </w:rPr>
              <w:t>and Rights (SRHR), with dedicated objectives, actions, and indicators</w:t>
            </w:r>
            <w:r>
              <w:t xml:space="preserve"> , keeping focus on SRHR and ensuring adequate funding for it; expresses </w:t>
            </w:r>
            <w:r>
              <w:rPr>
                <w:b/>
                <w:i/>
              </w:rPr>
              <w:t>concerns</w:t>
            </w:r>
            <w:r>
              <w:t xml:space="preserve"> that SRHR programming </w:t>
            </w:r>
            <w:r>
              <w:rPr>
                <w:b/>
                <w:i/>
              </w:rPr>
              <w:t>have</w:t>
            </w:r>
            <w:r>
              <w:t xml:space="preserve"> been heavily impacted by funding cuts; </w:t>
            </w:r>
            <w:r>
              <w:rPr>
                <w:b/>
                <w:i/>
              </w:rPr>
              <w:t>Reiterates that SRHR are human rights and constitute fundamental elements of human dignity and women’s empowerment and they are fundamental to achieving sustainable development enabling women to fully participate in and contribute to the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on the EU to facilitate access to sexual and reproductive health services, </w:t>
            </w:r>
            <w:r>
              <w:rPr>
                <w:b/>
                <w:i/>
              </w:rPr>
              <w:t>keeping a focus on</w:t>
            </w:r>
            <w:r>
              <w:t xml:space="preserve"> SRHR and </w:t>
            </w:r>
            <w:r>
              <w:rPr>
                <w:b/>
                <w:i/>
              </w:rPr>
              <w:t>ensuring</w:t>
            </w:r>
            <w:r>
              <w:t xml:space="preserve"> adequate funding </w:t>
            </w:r>
            <w:r>
              <w:rPr>
                <w:b/>
                <w:i/>
              </w:rPr>
              <w:t>for it</w:t>
            </w:r>
            <w:r>
              <w:t xml:space="preserve">; expresses concern that SRHR programming has been heavily </w:t>
            </w:r>
            <w:r>
              <w:rPr>
                <w:b/>
                <w:i/>
              </w:rPr>
              <w:t>impacted</w:t>
            </w:r>
            <w:r>
              <w:t xml:space="preserve"> by funding cuts;</w:t>
            </w:r>
          </w:p>
        </w:tc>
        <w:tc>
          <w:tcPr>
            <w:tcW w:w="4876" w:type="dxa"/>
            <w:tcBorders>
              <w:top w:val="nil"/>
              <w:left w:val="nil"/>
              <w:bottom w:val="nil"/>
              <w:right w:val="nil"/>
            </w:tcBorders>
          </w:tcPr>
          <w:p>
            <w:pPr>
              <w:pStyle w:val="Normal6a"/>
            </w:pPr>
            <w:r>
              <w:t>11.</w:t>
            </w:r>
            <w:r>
              <w:tab/>
            </w:r>
            <w:r>
              <w:t xml:space="preserve">Calls on the EU to facilitate </w:t>
            </w:r>
            <w:r>
              <w:rPr>
                <w:b/>
                <w:i/>
              </w:rPr>
              <w:t>universal</w:t>
            </w:r>
            <w:r>
              <w:t xml:space="preserve"> access to </w:t>
            </w:r>
            <w:r>
              <w:rPr>
                <w:b/>
                <w:i/>
              </w:rPr>
              <w:t>comprehensive, affordable and high-quality</w:t>
            </w:r>
            <w:r>
              <w:t xml:space="preserve"> sexual and reproductive health services, </w:t>
            </w:r>
            <w:r>
              <w:rPr>
                <w:b/>
                <w:i/>
              </w:rPr>
              <w:t>to fully uphold</w:t>
            </w:r>
            <w:r>
              <w:t xml:space="preserve"> SRHR and </w:t>
            </w:r>
            <w:r>
              <w:rPr>
                <w:b/>
                <w:i/>
              </w:rPr>
              <w:t>to ensure</w:t>
            </w:r>
            <w:r>
              <w:t xml:space="preserve"> adequate </w:t>
            </w:r>
            <w:r>
              <w:rPr>
                <w:b/>
                <w:i/>
              </w:rPr>
              <w:t>and predictable</w:t>
            </w:r>
            <w:r>
              <w:t xml:space="preserve"> funding; expresses concern that SRHR programming has been heavily </w:t>
            </w:r>
            <w:r>
              <w:rPr>
                <w:b/>
                <w:i/>
              </w:rPr>
              <w:t>affected</w:t>
            </w:r>
            <w:r>
              <w:t xml:space="preserve"> by funding cuts;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on the EU to facilitate access to sexual and reproductive health services, keeping a focus on SRHR and ensuring adequate funding for it; expresses concern that SRHR programming has been heavily impacted by funding cuts;</w:t>
            </w:r>
          </w:p>
        </w:tc>
        <w:tc>
          <w:tcPr>
            <w:tcW w:w="4876" w:type="dxa"/>
            <w:tcBorders>
              <w:top w:val="nil"/>
              <w:left w:val="nil"/>
              <w:bottom w:val="nil"/>
              <w:right w:val="nil"/>
            </w:tcBorders>
          </w:tcPr>
          <w:p>
            <w:pPr>
              <w:pStyle w:val="Normal6a"/>
            </w:pPr>
            <w:r>
              <w:t>11.</w:t>
            </w:r>
            <w:r>
              <w:tab/>
            </w:r>
            <w:r>
              <w:t xml:space="preserve">Calls on the EU to facilitate access to sexual and reproductive health services, </w:t>
            </w:r>
            <w:r>
              <w:rPr>
                <w:b/>
                <w:i/>
              </w:rPr>
              <w:t>particularly maternal healthcare and disease prevention and treatment,</w:t>
            </w:r>
            <w:r>
              <w:t xml:space="preserve"> keeping a focus on SRHR and ensuring adequate funding for it</w:t>
            </w:r>
            <w:r>
              <w:rPr>
                <w:b/>
                <w:i/>
              </w:rPr>
              <w:t>, in full respect of the principle of subsidiarity and the competences of partner countries and Member States in this domain</w:t>
            </w:r>
            <w:r>
              <w:t>; expresses concern that SRHR programming has been heavily impacted by funding cuts;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on the EU to facilitate access to sexual and reproductive health services</w:t>
            </w:r>
            <w:r>
              <w:rPr>
                <w:b/>
                <w:i/>
              </w:rPr>
              <w:t>, keeping a focus on SRHR and ensuring adequate funding for it</w:t>
            </w:r>
            <w:r>
              <w:t>; expresses concern that SRHR programming has been heavily impacted by funding cuts;</w:t>
            </w:r>
          </w:p>
        </w:tc>
        <w:tc>
          <w:tcPr>
            <w:tcW w:w="4876" w:type="dxa"/>
            <w:tcBorders>
              <w:top w:val="nil"/>
              <w:left w:val="nil"/>
              <w:bottom w:val="nil"/>
              <w:right w:val="nil"/>
            </w:tcBorders>
          </w:tcPr>
          <w:p>
            <w:pPr>
              <w:pStyle w:val="Normal6a"/>
            </w:pPr>
            <w:r>
              <w:t>11.</w:t>
            </w:r>
            <w:r>
              <w:tab/>
            </w:r>
            <w:r>
              <w:t xml:space="preserve">Calls on the EU to facilitate access to sexual and reproductive health services; expresses concern that SRHR programming has been heavily impacted by funding cuts; </w:t>
            </w:r>
            <w:r>
              <w:rPr>
                <w:b/>
                <w:i/>
              </w:rPr>
              <w:t>calls on the Commission to safeguard SRHR against political volatility by ring-fencing funds in dedicated budget lines and to ensure that SRHR are included in EU initiatives and programmes on universal health coverage;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on the EU to facilitate access to sexual and reproductive health </w:t>
            </w:r>
            <w:r>
              <w:rPr>
                <w:b/>
                <w:i/>
              </w:rPr>
              <w:t>services</w:t>
            </w:r>
            <w:r>
              <w:t xml:space="preserve">, </w:t>
            </w:r>
            <w:r>
              <w:rPr>
                <w:b/>
                <w:i/>
              </w:rPr>
              <w:t>keeping a focus on SRHR and</w:t>
            </w:r>
            <w:r>
              <w:t xml:space="preserve"> ensuring adequate funding for it</w:t>
            </w:r>
            <w:r>
              <w:rPr>
                <w:b/>
                <w:i/>
              </w:rPr>
              <w:t>; expresses concern that SRHR programming has been heavily impacted by funding cuts</w:t>
            </w:r>
            <w:r>
              <w:t>;</w:t>
            </w:r>
          </w:p>
        </w:tc>
        <w:tc>
          <w:tcPr>
            <w:tcW w:w="4876" w:type="dxa"/>
            <w:tcBorders>
              <w:top w:val="nil"/>
              <w:left w:val="nil"/>
              <w:bottom w:val="nil"/>
              <w:right w:val="nil"/>
            </w:tcBorders>
          </w:tcPr>
          <w:p>
            <w:pPr>
              <w:pStyle w:val="Normal6a"/>
            </w:pPr>
            <w:r>
              <w:t>11.</w:t>
            </w:r>
            <w:r>
              <w:tab/>
            </w:r>
            <w:r>
              <w:t xml:space="preserve">Calls on the EU to facilitate access to sexual and reproductive health </w:t>
            </w:r>
            <w:r>
              <w:rPr>
                <w:b/>
                <w:i/>
              </w:rPr>
              <w:t>care</w:t>
            </w:r>
            <w:r>
              <w:t xml:space="preserve">, ensuring adequate funding for it </w:t>
            </w:r>
            <w:r>
              <w:rPr>
                <w:b/>
                <w:i/>
              </w:rPr>
              <w:t>ensuring access to frontline maternal health care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Reaffirms its commitment to SRHR as fundamental human rights, that every person has the right to free and informed decisions on their sexuality, sexual and reproductive health; stresses that access to safe and legal abortion is a human right;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Calls for the full integration of sexual and reproductive health and rights into EU humanitarian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Calls on the EU to strengthen SRHR by supporting access to affordable, quality and rights-based services, including maternal healthcare, contraception, STI and HIV services, care for survivors of sexual violence and comprehensive age-appropriate sexuality and relationship education, while promoting equitable access to modern contraceptive technologies and shared responsibility in family planning;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11f.</w:t>
            </w:r>
            <w:r>
              <w:tab/>
            </w:r>
            <w:r>
              <w:rPr>
                <w:b/>
                <w:i/>
              </w:rPr>
              <w:t>Stresses that access to sexual and reproductive healthcare, including emergency contraception, safe abortion and post-abortion care, must be ensured as part of essential healthcare in humanitarian emergencies and conflict settings, including for survivors of sexual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11h.</w:t>
            </w:r>
            <w:r>
              <w:tab/>
            </w:r>
            <w:r>
              <w:rPr>
                <w:b/>
                <w:i/>
              </w:rPr>
              <w:t>Expresses deep concern at global funding cuts and organised efforts to restrict sexual and reproductive health and rights; calls on the EU to protect and, where necessary, increase funding for SRHR programmes and service providers, including local civil society organisations delivering essential healthcare;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11i.</w:t>
            </w:r>
            <w:r>
              <w:tab/>
            </w:r>
            <w:r>
              <w:rPr>
                <w:b/>
                <w:i/>
              </w:rPr>
              <w:t>Welcomes the Commission’s response of 26 February 2026 to the European Citizens’ Initiative ‘My Voice, My Choice: For Safe and Accessible Abortion’; calls for the EU to ensure a coherent approach to sexual and reproductive health and rights across its external policies and to uphold access to safe and legal abortion in its external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Giusi Princi,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for actions to be taken to reduce inequalities between women and men in terms of access to quality healthcare;</w:t>
            </w:r>
          </w:p>
        </w:tc>
        <w:tc>
          <w:tcPr>
            <w:tcW w:w="4876" w:type="dxa"/>
            <w:tcBorders>
              <w:top w:val="nil"/>
              <w:left w:val="nil"/>
              <w:bottom w:val="nil"/>
              <w:right w:val="nil"/>
            </w:tcBorders>
          </w:tcPr>
          <w:p>
            <w:pPr>
              <w:pStyle w:val="Normal6a"/>
            </w:pPr>
            <w:r>
              <w:t>12.</w:t>
            </w:r>
            <w:r>
              <w:tab/>
            </w:r>
            <w:r>
              <w:t xml:space="preserve">Calls for actions to be taken to reduce inequalities between women and men in terms of access to quality healthcare; </w:t>
            </w:r>
            <w:r>
              <w:rPr>
                <w:b/>
                <w:i/>
              </w:rPr>
              <w:t>s</w:t>
            </w:r>
            <w:r>
              <w:rPr>
                <w:b/>
                <w:i/>
              </w:rPr>
              <w:t>tresses that such inequalities are further compounded for women and girls with disabilities, who face additional barriers to accessing healthcare, including the physical inaccessibility of healthcare facilities, the lack of accessible health information and appropriate communication formats, and discriminatory attitudes on the part of healthcare professionals;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Calls for actions to </w:t>
            </w:r>
            <w:r>
              <w:rPr>
                <w:b/>
                <w:i/>
              </w:rPr>
              <w:t>be taken to</w:t>
            </w:r>
            <w:r>
              <w:t xml:space="preserve"> reduce inequalities between women and men in </w:t>
            </w:r>
            <w:r>
              <w:rPr>
                <w:b/>
                <w:i/>
              </w:rPr>
              <w:t>terms of</w:t>
            </w:r>
            <w:r>
              <w:t xml:space="preserve"> access to quality healthcare;</w:t>
            </w:r>
          </w:p>
        </w:tc>
        <w:tc>
          <w:tcPr>
            <w:tcW w:w="4876" w:type="dxa"/>
            <w:tcBorders>
              <w:top w:val="nil"/>
              <w:left w:val="nil"/>
              <w:bottom w:val="nil"/>
              <w:right w:val="nil"/>
            </w:tcBorders>
          </w:tcPr>
          <w:p>
            <w:pPr>
              <w:pStyle w:val="Normal6a"/>
            </w:pPr>
            <w:r>
              <w:t>12.</w:t>
            </w:r>
            <w:r>
              <w:tab/>
            </w:r>
            <w:r>
              <w:t xml:space="preserve">Calls for actions to reduce </w:t>
            </w:r>
            <w:r>
              <w:rPr>
                <w:b/>
                <w:i/>
              </w:rPr>
              <w:t>gender</w:t>
            </w:r>
            <w:r>
              <w:t xml:space="preserve"> inequalities between </w:t>
            </w:r>
            <w:r>
              <w:rPr>
                <w:b/>
                <w:i/>
              </w:rPr>
              <w:t>girls and boys, and between</w:t>
            </w:r>
            <w:r>
              <w:t xml:space="preserve"> women and men</w:t>
            </w:r>
            <w:r>
              <w:rPr>
                <w:b/>
                <w:i/>
              </w:rPr>
              <w:t>,</w:t>
            </w:r>
            <w:r>
              <w:t xml:space="preserve"> in access to quality healthcare</w:t>
            </w:r>
            <w:r>
              <w:rPr>
                <w:b/>
                <w:i/>
              </w:rPr>
              <w:t>, especially through a context-specific approach and the protection of girls and women in conflict and crisis-afflicted settings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Paulo do Nascimento Cabral,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Calls on the Commission and Member States to support gender-responsive water, sanitation and hygiene (WASH) interventions, including by improving menstrual hygiene facilities on school premises;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Calls for the EU to support accessible and quality maternal health services, and to invest in HIV prevention and treatments for women;</w:t>
            </w:r>
          </w:p>
        </w:tc>
        <w:tc>
          <w:tcPr>
            <w:tcW w:w="4876" w:type="dxa"/>
            <w:tcBorders>
              <w:top w:val="nil"/>
              <w:left w:val="nil"/>
              <w:bottom w:val="nil"/>
              <w:right w:val="nil"/>
            </w:tcBorders>
          </w:tcPr>
          <w:p>
            <w:pPr>
              <w:pStyle w:val="Normal6a"/>
            </w:pPr>
            <w:r>
              <w:t>13.</w:t>
            </w:r>
            <w:r>
              <w:tab/>
            </w:r>
            <w:r>
              <w:t xml:space="preserve">Calls for the EU to support </w:t>
            </w:r>
            <w:r>
              <w:rPr>
                <w:b/>
                <w:i/>
              </w:rPr>
              <w:t>and strengthen the standalone SRHR pillar established in GAP III, with its own objectives and indicators, reaffirming the full scope of SRHR, including</w:t>
            </w:r>
            <w:r>
              <w:t xml:space="preserve"> accessible and quality maternal health</w:t>
            </w:r>
            <w:r>
              <w:rPr>
                <w:b/>
                <w:i/>
              </w:rPr>
              <w:t>, </w:t>
            </w:r>
            <w:r>
              <w:rPr>
                <w:b/>
                <w:i/>
              </w:rPr>
              <w:t>services contraception based on free and informed consent, prevention and treatment of STIs, clinical management of rape, adolescent-friendly</w:t>
            </w:r>
            <w:r>
              <w:t xml:space="preserve"> services, and to invest in HIV prevention and treatments for women;</w:t>
            </w:r>
            <w:r>
              <w:rPr>
                <w:b/>
                <w:i/>
              </w:rPr>
              <w:t> stresses the need to address barriers to these services faced by women with disabilities, lesbian and bisexual women, trans and non-binary persons, and migrant and refugee women; calls for continued access to sexual and reproductive health services and specialised support for survivors of gender-based violence during humanitarian emergencies;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Marc Jongen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Calls for the EU to support accessible and quality maternal health services, and to invest in HIV prevention and treatments for women;</w:t>
            </w:r>
          </w:p>
        </w:tc>
        <w:tc>
          <w:tcPr>
            <w:tcW w:w="4876" w:type="dxa"/>
            <w:tcBorders>
              <w:top w:val="nil"/>
              <w:left w:val="nil"/>
              <w:bottom w:val="nil"/>
              <w:right w:val="nil"/>
            </w:tcBorders>
          </w:tcPr>
          <w:p>
            <w:pPr>
              <w:pStyle w:val="Normal6a"/>
            </w:pPr>
            <w:r>
              <w:t>13.</w:t>
            </w:r>
            <w:r>
              <w:tab/>
            </w:r>
            <w:r>
              <w:t xml:space="preserve">Calls for the EU to support accessible and quality maternal health services, and to invest in HIV prevention and treatments for women; </w:t>
            </w:r>
            <w:r>
              <w:rPr>
                <w:b/>
                <w:i/>
              </w:rPr>
              <w:t>points out that maternal mortality could be reduced by 95 % through relatively simple measures, such as basic healthcare, the presence of medical staff at deliveries, and improved nutrition and hygiene;</w:t>
            </w:r>
            <w:r>
              <w:rPr>
                <w:b/>
                <w:i/>
                <w:vertAlign w:val="superscript"/>
              </w:rPr>
              <w:t>1a</w:t>
            </w:r>
            <w:r>
              <w:t xml:space="preserve"> </w:t>
            </w:r>
            <w:r>
              <w:rPr>
                <w:b/>
                <w:i/>
              </w:rPr>
              <w:t>is in favour of prioritising these measures in the support for healthcare for women;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https://ourworldindata.org/saving-maternal-lives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Calls for the EU to support accessible and quality maternal health services, and to invest in HIV prevention and treatments for women;</w:t>
            </w:r>
          </w:p>
        </w:tc>
        <w:tc>
          <w:tcPr>
            <w:tcW w:w="4876" w:type="dxa"/>
            <w:tcBorders>
              <w:top w:val="nil"/>
              <w:left w:val="nil"/>
              <w:bottom w:val="nil"/>
              <w:right w:val="nil"/>
            </w:tcBorders>
          </w:tcPr>
          <w:p>
            <w:pPr>
              <w:pStyle w:val="Normal6a"/>
            </w:pPr>
            <w:r>
              <w:t>13.</w:t>
            </w:r>
            <w:r>
              <w:tab/>
            </w:r>
            <w:r>
              <w:t xml:space="preserve">Calls for the EU to support accessible and quality maternal health services, </w:t>
            </w:r>
            <w:r>
              <w:rPr>
                <w:b/>
                <w:i/>
              </w:rPr>
              <w:t>including clinical management of rape,</w:t>
            </w:r>
            <w:r>
              <w:t xml:space="preserve"> and to invest in HIV prevention and treatments for women</w:t>
            </w:r>
            <w:r>
              <w:rPr>
                <w:b/>
                <w:i/>
              </w:rPr>
              <w:t>, and to invest in equitable access to, and development of, modern contraceptive technologies for all genders, including male contraceptives, with the aim of achieving greater gender equality and shared responsibility in family planning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Calls </w:t>
            </w:r>
            <w:r>
              <w:rPr>
                <w:b/>
                <w:i/>
              </w:rPr>
              <w:t>for</w:t>
            </w:r>
            <w:r>
              <w:t xml:space="preserve"> the EU to support accessible and quality maternal health services, and to invest in HIV prevention and treatments for women;</w:t>
            </w:r>
          </w:p>
        </w:tc>
        <w:tc>
          <w:tcPr>
            <w:tcW w:w="4876" w:type="dxa"/>
            <w:tcBorders>
              <w:top w:val="nil"/>
              <w:left w:val="nil"/>
              <w:bottom w:val="nil"/>
              <w:right w:val="nil"/>
            </w:tcBorders>
          </w:tcPr>
          <w:p>
            <w:pPr>
              <w:pStyle w:val="Normal6a"/>
            </w:pPr>
            <w:r>
              <w:t>13.</w:t>
            </w:r>
            <w:r>
              <w:tab/>
            </w:r>
            <w:r>
              <w:t xml:space="preserve">Calls </w:t>
            </w:r>
            <w:r>
              <w:rPr>
                <w:b/>
                <w:i/>
              </w:rPr>
              <w:t>on</w:t>
            </w:r>
            <w:r>
              <w:t xml:space="preserve"> the EU to support accessible and quality maternal health services, and to invest in </w:t>
            </w:r>
            <w:r>
              <w:rPr>
                <w:b/>
                <w:i/>
              </w:rPr>
              <w:t>STI and</w:t>
            </w:r>
            <w:r>
              <w:t xml:space="preserve"> HIV prevention and treatments for </w:t>
            </w:r>
            <w:r>
              <w:rPr>
                <w:b/>
                <w:i/>
              </w:rPr>
              <w:t>girls and</w:t>
            </w:r>
            <w:r>
              <w:t xml:space="preserve"> women</w:t>
            </w:r>
            <w:r>
              <w:rPr>
                <w:b/>
                <w:i/>
              </w:rPr>
              <w:t>, and access to the broad range of contraceptive methods for all genders to increase awareness and burden-sharing for family planning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Calls for the EU to support accessible and quality maternal health services, and to invest in </w:t>
            </w:r>
            <w:r>
              <w:rPr>
                <w:b/>
                <w:i/>
              </w:rPr>
              <w:t>HIV</w:t>
            </w:r>
            <w:r>
              <w:t xml:space="preserve"> prevention and treatments for women;</w:t>
            </w:r>
          </w:p>
        </w:tc>
        <w:tc>
          <w:tcPr>
            <w:tcW w:w="4876" w:type="dxa"/>
            <w:tcBorders>
              <w:top w:val="nil"/>
              <w:left w:val="nil"/>
              <w:bottom w:val="nil"/>
              <w:right w:val="nil"/>
            </w:tcBorders>
          </w:tcPr>
          <w:p>
            <w:pPr>
              <w:pStyle w:val="Normal6a"/>
            </w:pPr>
            <w:r>
              <w:t>13.</w:t>
            </w:r>
            <w:r>
              <w:tab/>
            </w:r>
            <w:r>
              <w:t xml:space="preserve">Calls for the EU to support accessible and quality maternal </w:t>
            </w:r>
            <w:r>
              <w:rPr>
                <w:b/>
                <w:i/>
              </w:rPr>
              <w:t>and reproductive</w:t>
            </w:r>
            <w:r>
              <w:t xml:space="preserve"> health services</w:t>
            </w:r>
            <w:r>
              <w:rPr>
                <w:b/>
                <w:i/>
              </w:rPr>
              <w:t>, including contraception</w:t>
            </w:r>
            <w:r>
              <w:t xml:space="preserve">, and to invest in </w:t>
            </w:r>
            <w:r>
              <w:rPr>
                <w:b/>
                <w:i/>
              </w:rPr>
              <w:t>the</w:t>
            </w:r>
            <w:r>
              <w:t xml:space="preserve"> prevention and treatments </w:t>
            </w:r>
            <w:r>
              <w:rPr>
                <w:b/>
                <w:i/>
              </w:rPr>
              <w:t>of STIs, including HIV,</w:t>
            </w:r>
            <w:r>
              <w:t xml:space="preserve"> for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Calls for the EU to support accessible and quality maternal health </w:t>
            </w:r>
            <w:r>
              <w:rPr>
                <w:b/>
                <w:i/>
              </w:rPr>
              <w:t>services</w:t>
            </w:r>
            <w:r>
              <w:t>, and to invest in HIV prevention and treatments for women;</w:t>
            </w:r>
          </w:p>
        </w:tc>
        <w:tc>
          <w:tcPr>
            <w:tcW w:w="4876" w:type="dxa"/>
            <w:tcBorders>
              <w:top w:val="nil"/>
              <w:left w:val="nil"/>
              <w:bottom w:val="nil"/>
              <w:right w:val="nil"/>
            </w:tcBorders>
          </w:tcPr>
          <w:p>
            <w:pPr>
              <w:pStyle w:val="Normal6a"/>
            </w:pPr>
            <w:r>
              <w:t>13.</w:t>
            </w:r>
            <w:r>
              <w:tab/>
            </w:r>
            <w:r>
              <w:t xml:space="preserve">Calls for the EU to support accessible and quality maternal health </w:t>
            </w:r>
            <w:r>
              <w:rPr>
                <w:b/>
                <w:i/>
              </w:rPr>
              <w:t>care</w:t>
            </w:r>
            <w:r>
              <w:t>, and to invest in HIV prevention and treatments for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Calls for the EU to support accessible and quality maternal health services, and to invest in HIV prevention and </w:t>
            </w:r>
            <w:r>
              <w:rPr>
                <w:b/>
                <w:i/>
              </w:rPr>
              <w:t>treatments for women</w:t>
            </w:r>
            <w:r>
              <w:t>;</w:t>
            </w:r>
          </w:p>
        </w:tc>
        <w:tc>
          <w:tcPr>
            <w:tcW w:w="4876" w:type="dxa"/>
            <w:tcBorders>
              <w:top w:val="nil"/>
              <w:left w:val="nil"/>
              <w:bottom w:val="nil"/>
              <w:right w:val="nil"/>
            </w:tcBorders>
          </w:tcPr>
          <w:p>
            <w:pPr>
              <w:pStyle w:val="Normal6a"/>
            </w:pPr>
            <w:r>
              <w:t>13.</w:t>
            </w:r>
            <w:r>
              <w:tab/>
            </w:r>
            <w:r>
              <w:t xml:space="preserve">Calls for the EU to support accessible and quality maternal health services, and to invest in HIV prevention and </w:t>
            </w:r>
            <w:r>
              <w:rPr>
                <w:b/>
                <w:i/>
              </w:rPr>
              <w:t>treatment, as part of EU external action on health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Calls for the </w:t>
            </w:r>
            <w:r>
              <w:rPr>
                <w:b/>
                <w:i/>
              </w:rPr>
              <w:t>EU</w:t>
            </w:r>
            <w:r>
              <w:t xml:space="preserve"> to support accessible and quality maternal health services, and to invest in HIV prevention and treatments for women;</w:t>
            </w:r>
          </w:p>
        </w:tc>
        <w:tc>
          <w:tcPr>
            <w:tcW w:w="4876" w:type="dxa"/>
            <w:tcBorders>
              <w:top w:val="nil"/>
              <w:left w:val="nil"/>
              <w:bottom w:val="nil"/>
              <w:right w:val="nil"/>
            </w:tcBorders>
          </w:tcPr>
          <w:p>
            <w:pPr>
              <w:pStyle w:val="Normal6a"/>
            </w:pPr>
            <w:r>
              <w:t>13.</w:t>
            </w:r>
            <w:r>
              <w:tab/>
            </w:r>
            <w:r>
              <w:t xml:space="preserve">Calls for the </w:t>
            </w:r>
            <w:r>
              <w:rPr>
                <w:b/>
                <w:i/>
              </w:rPr>
              <w:t>Member States</w:t>
            </w:r>
            <w:r>
              <w:t xml:space="preserve"> to support accessible and quality maternal health services, and to invest in HIV prevention and treatments for women;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for the mainstreaming of SRHR across all relevant pillars and thematic areas, as is the case in GAP III, including actions addressing GBV, actions addressing health systems strengthening and universal health coverage (UHC), including by supporting partner countries to include comprehensive SRHR services within national health benefit packages, ensuring access for adolescents and young people, improving male engagement with SRHR services, strengthening community-based service delivery, and improving the quality of care, including for survivors of gender-based violence, within education policies and programmes, including comprehensive sexuality education (CSE) as a cornerstone of gender equality, bodily autonomy and adolescent health, actions addressing peacebuilding, conflict prevention and humanitarian responses;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Expresses grave concern that female genital mutilation is documented in at least 31 countries and at least 230 million girls and women worldwide have undergone female genitial mutilation</w:t>
            </w:r>
            <w:r>
              <w:rPr>
                <w:b/>
                <w:i/>
                <w:vertAlign w:val="superscript"/>
              </w:rPr>
              <w:t>1a</w:t>
            </w:r>
            <w:r>
              <w:rPr>
                <w:b/>
                <w:i/>
              </w:rPr>
              <w:t>; stresses the urgent need to eliminate this violation of women’s and girls’ human rights;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https://data.unicef.org/topic/child-protection/female-genital-mutilation/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for particular attention to the sexual and reproductive healthcare needs and rights of LGBTQI+ people, and girls and women from marginalized groups, facing multiple and intersecting barriers to confidential, stigma-free access to SRHR services and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Calls for particular attention to women and girls facing multiple and intersecting forms of discrimination and barriers to healthcare, including adolescent girls, women and girls with disabilities, displaced women and girls and LGBTIQ women and girls, and for confidential, accessible and stigma-free sexual and reproductive healthcare;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for sexual and reproductive health and rights to remain an essential component of EU action in fragile, conflict-affected and humanitarian settings and for all EU-funded humanitarian responses to ensure timely access to essential sexual and reproductive health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Arba Kokalari,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on the EU to facilitate access to sexual and reproductive health services, such as improving access to menstrual products, particularly in rural areas where awareness and knowledge of women’s health are limited;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Expresses concern about the continued occurrence of so-called hymen reconstruction surgery and other medical interventions linked to social or familial expectations concerning female virginity; stresses the need for reliable and up-to-date data on the prevalence, circumstances and underlying causes of such practices in the Member States; calls on the Commission and the Member States to support further research and systematic monitoring, including into cases involving coercion, threats or risks to the safety of women and girls; underlines that healthcare professionals to be adequately equipped to identify and respond to situations involving coercion or gender-based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Underlines the need to strengthen the SRHR pillar established in GAP III, reaffirming the full scope of SRHR, including contraception, safe and legal abortion and abortion care, prevention and treatment of sexually transmitted infections (STIs), clinical management of rape and adolescent-friendly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Calls on the EU to protect and support local women's rights organisations, SRHR actors, youth-led movements and LGBTIQ+ CSOs advocating for SRHR;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Calls on the EU to strengthen coordination with successful multilateral initiatives, including through increased support to UNFPA Supplies Partnership and Unitaid, to accelerate progress on and equitable access to existing and innovative SRHR tools and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Calls on the EU to recognise the essential contribution of health workers to resilient primary healthcare, gender equality and community trust and to promote fair remuneration, training, career advancement and leadership opportunities for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on the Commission to expand gender-principal action into strategic and harder sectors where gender equality is less visible, such as energy, transport, digitalisation, critical raw materials, green industrialisation, agriculture, macroeconomic governance, social protection and large-scale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Recalls that women in general perform most unpaid domestic and care work, which imposes a disproportionate burden on lower-income households, contributing to poverty, inequality and precarious living conditions and reducing the labour market participation of women; calls for stronger promotion of the right of every woman to balance her professional and private life based on joint responsibility and working conditions that facilitate the reconciliation of private, family and working lives; calls for accelerated efforts to close the gender pay and pension gaps, including in the care economy, as well as to tackle horizontal and vertical labour market segregation; calls, moreover, for efforts to ensure women’s full, equal and meaningful participation and leadership in decision-making roles, including in all aspects of peace and security; calls for further promotion of women’s participation in science, technology, engineering and mathematics;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for GAP IV to promote women’s economic </w:t>
            </w:r>
            <w:r>
              <w:rPr>
                <w:b/>
                <w:i/>
              </w:rPr>
              <w:t>empowerment</w:t>
            </w:r>
            <w:r>
              <w:t xml:space="preserve"> and for measures to enhance women’s employability, entrepreneurship and access to economic opportunities;</w:t>
            </w:r>
          </w:p>
        </w:tc>
        <w:tc>
          <w:tcPr>
            <w:tcW w:w="4876" w:type="dxa"/>
            <w:tcBorders>
              <w:top w:val="nil"/>
              <w:left w:val="nil"/>
              <w:bottom w:val="nil"/>
              <w:right w:val="nil"/>
            </w:tcBorders>
          </w:tcPr>
          <w:p>
            <w:pPr>
              <w:pStyle w:val="Normal6a"/>
            </w:pPr>
            <w:r>
              <w:t>14.</w:t>
            </w:r>
            <w:r>
              <w:tab/>
            </w:r>
            <w:r>
              <w:t xml:space="preserve">Calls for GAP IV to promote women’s economic </w:t>
            </w:r>
            <w:r>
              <w:rPr>
                <w:b/>
                <w:i/>
              </w:rPr>
              <w:t>justice and social rights</w:t>
            </w:r>
            <w:r>
              <w:t xml:space="preserve"> and for measures to enhance women’s employability, entrepreneurship and access to economic opportunities</w:t>
            </w:r>
            <w:r>
              <w:rPr>
                <w:b/>
                <w:i/>
              </w:rPr>
              <w:t>, while addressing structural inequalities, discriminatory norms and unequal power relations that limit women’s economic autonomy and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Marit Maij,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for GAP IV to promote women’s economic empowerment and </w:t>
            </w:r>
            <w:r>
              <w:rPr>
                <w:b/>
                <w:i/>
              </w:rPr>
              <w:t>for</w:t>
            </w:r>
            <w:r>
              <w:t xml:space="preserve"> measures to enhance women’s employability, entrepreneurship and access to economic opportunities;</w:t>
            </w:r>
          </w:p>
        </w:tc>
        <w:tc>
          <w:tcPr>
            <w:tcW w:w="4876" w:type="dxa"/>
            <w:tcBorders>
              <w:top w:val="nil"/>
              <w:left w:val="nil"/>
              <w:bottom w:val="nil"/>
              <w:right w:val="nil"/>
            </w:tcBorders>
          </w:tcPr>
          <w:p>
            <w:pPr>
              <w:pStyle w:val="Normal6a"/>
            </w:pPr>
            <w:r>
              <w:t>14.</w:t>
            </w:r>
            <w:r>
              <w:tab/>
            </w:r>
            <w:r>
              <w:t xml:space="preserve">Calls for GAP IV to promote women’s economic empowerment and </w:t>
            </w:r>
            <w:r>
              <w:rPr>
                <w:b/>
                <w:i/>
              </w:rPr>
              <w:t>financial independence, and for concrete</w:t>
            </w:r>
            <w:r>
              <w:t xml:space="preserve"> measures to enhance women’s employability, entrepreneurship and access to economic opportunities</w:t>
            </w:r>
            <w:r>
              <w:rPr>
                <w:b/>
                <w:i/>
              </w:rPr>
              <w:t>, including access to venture capital, business angel networks and other forms of private investment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Leire Pajín, Lina Gálvez, Marit Maij,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GAP IV to promote women’s economic empowerment and for measures to enhance women’s employability, entrepreneurship and access to economic opportunities;</w:t>
            </w:r>
          </w:p>
        </w:tc>
        <w:tc>
          <w:tcPr>
            <w:tcW w:w="4876" w:type="dxa"/>
            <w:tcBorders>
              <w:top w:val="nil"/>
              <w:left w:val="nil"/>
              <w:bottom w:val="nil"/>
              <w:right w:val="nil"/>
            </w:tcBorders>
          </w:tcPr>
          <w:p>
            <w:pPr>
              <w:pStyle w:val="Normal6a"/>
            </w:pPr>
            <w:r>
              <w:t>14.</w:t>
            </w:r>
            <w:r>
              <w:tab/>
            </w:r>
            <w:r>
              <w:t xml:space="preserve">Calls for GAP IV to promote women’s economic empowerment and for measures to enhance women’s employability, entrepreneurship and access to economic opportunities; </w:t>
            </w:r>
            <w:r>
              <w:rPr>
                <w:b/>
                <w:i/>
              </w:rPr>
              <w:t>Calls for GAP IV to recognise care as a public social good and to support investment, including through Global Gateway, in accessible, affordable and quality care services and the equitable redistribution of unpaid care responsibilities, including through the EU-LAC Bi-regional Pact on 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GAP IV to promote women’s economic empowerment and for measures to enhance women’s employability, entrepreneurship and access to economic opportunities;</w:t>
            </w:r>
          </w:p>
        </w:tc>
        <w:tc>
          <w:tcPr>
            <w:tcW w:w="4876" w:type="dxa"/>
            <w:tcBorders>
              <w:top w:val="nil"/>
              <w:left w:val="nil"/>
              <w:bottom w:val="nil"/>
              <w:right w:val="nil"/>
            </w:tcBorders>
          </w:tcPr>
          <w:p>
            <w:pPr>
              <w:pStyle w:val="Normal6a"/>
            </w:pPr>
            <w:r>
              <w:t>14.</w:t>
            </w:r>
            <w:r>
              <w:tab/>
            </w:r>
            <w:r>
              <w:t>Calls for GAP IV to promote women’s economic empowerment and for measures to enhance women’s employability, entrepreneurship and access to economic opportunities</w:t>
            </w:r>
            <w:r>
              <w:rPr>
                <w:b/>
                <w:i/>
              </w:rPr>
              <w:t>, including through quality education at all levels, from early childhood, to primary, secondary, TVET and higher education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GAP IV to promote women’s economic empowerment and for measures to enhance women’s employability, entrepreneurship and access to economic opportunities;</w:t>
            </w:r>
          </w:p>
        </w:tc>
        <w:tc>
          <w:tcPr>
            <w:tcW w:w="4876" w:type="dxa"/>
            <w:tcBorders>
              <w:top w:val="nil"/>
              <w:left w:val="nil"/>
              <w:bottom w:val="nil"/>
              <w:right w:val="nil"/>
            </w:tcBorders>
          </w:tcPr>
          <w:p>
            <w:pPr>
              <w:pStyle w:val="Normal6a"/>
            </w:pPr>
            <w:r>
              <w:t>14.</w:t>
            </w:r>
            <w:r>
              <w:tab/>
            </w:r>
            <w:r>
              <w:t>Calls for GAP IV to promote women’s economic empowerment and for measures to enhance women’s employability, entrepreneurship and access to economic opportunities</w:t>
            </w:r>
            <w:r>
              <w:rPr>
                <w:b/>
                <w:i/>
              </w:rPr>
              <w:t>, including actions that promote access to land and credit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for </w:t>
            </w:r>
            <w:r>
              <w:rPr>
                <w:b/>
                <w:i/>
              </w:rPr>
              <w:t>GAP IV to promote women’s economic empowerment and for</w:t>
            </w:r>
            <w:r>
              <w:t xml:space="preserve"> measures to enhance </w:t>
            </w:r>
            <w:r>
              <w:rPr>
                <w:b/>
                <w:i/>
              </w:rPr>
              <w:t>women’s</w:t>
            </w:r>
            <w:r>
              <w:t xml:space="preserve"> employability, entrepreneurship and access to economic opportunities;</w:t>
            </w:r>
          </w:p>
        </w:tc>
        <w:tc>
          <w:tcPr>
            <w:tcW w:w="4876" w:type="dxa"/>
            <w:tcBorders>
              <w:top w:val="nil"/>
              <w:left w:val="nil"/>
              <w:bottom w:val="nil"/>
              <w:right w:val="nil"/>
            </w:tcBorders>
          </w:tcPr>
          <w:p>
            <w:pPr>
              <w:pStyle w:val="Normal6a"/>
            </w:pPr>
            <w:r>
              <w:t>14.</w:t>
            </w:r>
            <w:r>
              <w:tab/>
            </w:r>
            <w:r>
              <w:t xml:space="preserve">Calls for measures </w:t>
            </w:r>
            <w:r>
              <w:rPr>
                <w:b/>
                <w:i/>
              </w:rPr>
              <w:t>closely guided by merit-based and market-oriented criteria</w:t>
            </w:r>
            <w:r>
              <w:t xml:space="preserve"> to enhance employability, entrepreneurship and access to economic opportunities </w:t>
            </w:r>
            <w:r>
              <w:rPr>
                <w:b/>
                <w:i/>
              </w:rPr>
              <w:t>for all, and objects to any quotas or gender-based measures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GAP IV to promote women’s economic empowerment and for measures to enhance women’s employability, entrepreneurship and access to economic opportunities;</w:t>
            </w:r>
          </w:p>
        </w:tc>
        <w:tc>
          <w:tcPr>
            <w:tcW w:w="4876" w:type="dxa"/>
            <w:tcBorders>
              <w:top w:val="nil"/>
              <w:left w:val="nil"/>
              <w:bottom w:val="nil"/>
              <w:right w:val="nil"/>
            </w:tcBorders>
          </w:tcPr>
          <w:p>
            <w:pPr>
              <w:pStyle w:val="Normal6a"/>
            </w:pPr>
            <w:r>
              <w:t>14.</w:t>
            </w:r>
            <w:r>
              <w:tab/>
            </w:r>
            <w:r>
              <w:t xml:space="preserve">Calls for GAP IV to promote women’s economic empowerment and for measures to enhance women’s employability, entrepreneurship and access to economic opportunities </w:t>
            </w:r>
            <w:r>
              <w:rPr>
                <w:b/>
                <w:i/>
              </w:rPr>
              <w:t>and the necessary financing for female entrepreneurship</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w:t>
            </w:r>
            <w:r>
              <w:rPr>
                <w:b/>
                <w:i/>
              </w:rPr>
              <w:t>for GAP IV</w:t>
            </w:r>
            <w:r>
              <w:t xml:space="preserve"> to promote women’s economic empowerment and for measures to enhance women’s employability, entrepreneurship and access to economic opportunities;</w:t>
            </w:r>
          </w:p>
        </w:tc>
        <w:tc>
          <w:tcPr>
            <w:tcW w:w="4876" w:type="dxa"/>
            <w:tcBorders>
              <w:top w:val="nil"/>
              <w:left w:val="nil"/>
              <w:bottom w:val="nil"/>
              <w:right w:val="nil"/>
            </w:tcBorders>
          </w:tcPr>
          <w:p>
            <w:pPr>
              <w:pStyle w:val="Normal6a"/>
            </w:pPr>
            <w:r>
              <w:t>14.</w:t>
            </w:r>
            <w:r>
              <w:tab/>
            </w:r>
            <w:r>
              <w:t xml:space="preserve">Calls </w:t>
            </w:r>
            <w:r>
              <w:rPr>
                <w:b/>
                <w:i/>
              </w:rPr>
              <w:t>on the Commission, by respecting national competences,</w:t>
            </w:r>
            <w:r>
              <w:t xml:space="preserve"> to promote women’s economic empowerment and for measures to enhance women’s employability, entrepreneurship and access to economic opportunities;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GAP IV to promote women’s economic empowerment and for measures to enhance women’s employability, entrepreneurship and access to economic opportunities;</w:t>
            </w:r>
          </w:p>
        </w:tc>
        <w:tc>
          <w:tcPr>
            <w:tcW w:w="4876" w:type="dxa"/>
            <w:tcBorders>
              <w:top w:val="nil"/>
              <w:left w:val="nil"/>
              <w:bottom w:val="nil"/>
              <w:right w:val="nil"/>
            </w:tcBorders>
          </w:tcPr>
          <w:p>
            <w:pPr>
              <w:pStyle w:val="Normal6a"/>
            </w:pPr>
            <w:r>
              <w:t>14.</w:t>
            </w:r>
            <w:r>
              <w:tab/>
            </w:r>
            <w:r>
              <w:t xml:space="preserve">Calls for GAP IV to promote women’s economic empowerment and for measures to enhance women’s employability, entrepreneurship and access to </w:t>
            </w:r>
            <w:r>
              <w:rPr>
                <w:b/>
                <w:i/>
              </w:rPr>
              <w:t>decent work and</w:t>
            </w:r>
            <w:r>
              <w:t xml:space="preserve"> economic opportunities;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for GAP IV to address the global gender care gap and for care to be recognised as a public social good; calls for the EU to advance equal distribution of care burden through relevant external action frameworks, including the EU-LAC Bi-regional Pact on Care; calls to elevate care as a strategic priority across EU programming by dedicating funding to care-focused initiatives while systematically mainstreaming care considerations across sectors such as livelihoods, social protection, health, and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for GAP IV to address the global gender care gap; calls for the European Union to elevate care as a strategic priority and to advance towards equal distribution of care responsibilities through relevant external action frameworks, including the EU-LAC Bi-regional Pact on 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for GAP IV to recognise and tackle unpaid care and domestic work, which falls disproportionately on women and girls, and to promote adequate investment in universal, accessible, affordable and quality public care services and social protection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that both women and men make important contributions through unpaid care, including caring for children, elderly parents and dependent relatives; recognises that such care has significant social and human value even where it is not reflected in conventional measures of economic output; calls for policies on economic empowerment to respect the free choices of women and men in balancing paid employment, family responsibilities and unpaid care, and to avoid treating unpaid care as inherently less valuable than paid 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Underlines that women still predominantly take on caregiving roles, whether caring for a sick relative, a child, or an elderly person; recognises that those unequal caring responsibilities remain a significant barrier to participation in vocational education and training; stresses the need to strengthen investment in care systems by supporting partner government to expand accessible, affordable and quality childcare and other care services, while also improving working conditions and skills of care providers;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Arba Kokalari,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for GAP IV to promote women’s economic empowerment by encouraging trade on stock markets and investment savings accounts;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on the European Union to support Member States in protecting and providing assistance to pregnant women and families, particularly those facing financial difficulties, and to promote measures that ensure that all families can establish and develop their family life in dignity, without their financial situation limiting their ability to freely decide on the number of children they wish to have;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Arba Kokalari,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Calls for stronger cooperation with the private sector, SMEs and local businesses in partner countries to enable more local and long-term projects;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Stresses the need to strengthen care systems by supporting partner governments in expanding accessible, affordable and quality childcare, elder and disability care and other care services, alongside policies that improve the working conditions, rights and remuneration of care workers;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Calls on the EU to support decent working conditions, labour rights, collective bargaining, adequate remuneration and social protection for care workers, the majority of whom are women, and to support partner countries in developing universal and publicly accessible care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Calls for GAP IV to make gender-responsive migration and displacement policy an explicit, intersectional commitment; urges the EU to expand safe, regular pathways for women and girls, ensure survivor-centred protection from gender-based violence and trafficking regardless of legal status, close protection gaps for internally displaced persons, tackle the gendered drivers of migration, back women-, refugee- and migrant-led organisations as equal partners, and sustain policy dialogues on equal labour rights across the global care chain;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Arba Kokalari,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Calls for GAP IV to promote women’s participation in STEM and technology education and the workforce, stressing the importance of ensuring that women are fully represented in these growing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Stresses that EU actions should not serve as a vehicle for promoting or exporting ideologies concerning sex and gender;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Calls for GAP IV to ensure that measures are disability-inclusive, and to address the specific barriers faced by women and girls with disabilities in accessing inclusive quality education at all levels, decent work, reasonable accommodation, accessible information and communication technologies, financial services and entrepreneurship opportunities, in line with the UN Convention on the Rights of Persons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Stresses that debt distress, austerity measures and cuts to essential public services disproportionately affect women and girls and increase unpaid care burdens; calls on the EU to support partner countries in preserving sufficient fiscal space to invest in universal public services, social protection, gender equality and women’s economic and social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14d.</w:t>
            </w:r>
            <w:r>
              <w:tab/>
            </w:r>
            <w:r>
              <w:rPr>
                <w:b/>
                <w:i/>
              </w:rPr>
              <w:t>Calls for GAP IV to mainstream a gender-responsive and intersectional approach to migration and forced displacement, ensuring access to protection and essential services for women and girls regardless of their legal status, strengthening prevention and survivor-centred responses to gender-based violence and trafficking, and supporting women-, refugee- and migrant-led organisations as partners in the design and implementation of relevant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 comprehensive approach to ensuring girls’ access to quality education and training;</w:t>
            </w:r>
          </w:p>
        </w:tc>
        <w:tc>
          <w:tcPr>
            <w:tcW w:w="4876" w:type="dxa"/>
            <w:tcBorders>
              <w:top w:val="nil"/>
              <w:left w:val="nil"/>
              <w:bottom w:val="nil"/>
              <w:right w:val="nil"/>
            </w:tcBorders>
          </w:tcPr>
          <w:p>
            <w:pPr>
              <w:pStyle w:val="Normal6a"/>
            </w:pPr>
            <w:r>
              <w:t>15.</w:t>
            </w:r>
            <w:r>
              <w:tab/>
            </w:r>
            <w:r>
              <w:rPr>
                <w:b/>
                <w:i/>
              </w:rPr>
              <w:t>Recognises that, despite progress, 122 million girls worldwide remain out of school</w:t>
            </w:r>
            <w:r>
              <w:rPr>
                <w:b/>
                <w:i/>
                <w:vertAlign w:val="superscript"/>
              </w:rPr>
              <w:t>1a</w:t>
            </w:r>
            <w:r>
              <w:rPr>
                <w:b/>
                <w:i/>
              </w:rPr>
              <w:t>; emphasises that equal access to education is fundamental for sustainable development, poverty reduction, and economic prosperity, as it empowers women and girls to participate fully in society;</w:t>
            </w:r>
            <w:r>
              <w:t xml:space="preserve"> calls </w:t>
            </w:r>
            <w:r>
              <w:rPr>
                <w:b/>
                <w:i/>
              </w:rPr>
              <w:t>for the integration of gender-responsive strategies in education policies to address these inequalities and</w:t>
            </w:r>
            <w:r>
              <w:t xml:space="preserve"> for a comprehensive approach to ensuring girls’ access to quality education and training;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https://www.unwomen.org/en/news-stories/press-release/2025/03/fast-facts-30-years-of-uneven-progress-for-adolescent-girls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Paulo do Nascimento Cabral,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 comprehensive approach to ensuring girls’ access to quality education and training;</w:t>
            </w:r>
          </w:p>
        </w:tc>
        <w:tc>
          <w:tcPr>
            <w:tcW w:w="4876" w:type="dxa"/>
            <w:tcBorders>
              <w:top w:val="nil"/>
              <w:left w:val="nil"/>
              <w:bottom w:val="nil"/>
              <w:right w:val="nil"/>
            </w:tcBorders>
          </w:tcPr>
          <w:p>
            <w:pPr>
              <w:pStyle w:val="Normal6a"/>
            </w:pPr>
            <w:r>
              <w:t>15.</w:t>
            </w:r>
            <w:r>
              <w:tab/>
            </w:r>
            <w:r>
              <w:t xml:space="preserve">Calls for a comprehensive approach to ensuring girls' access to quality education and training </w:t>
            </w:r>
            <w:r>
              <w:rPr>
                <w:b/>
                <w:i/>
              </w:rPr>
              <w:t>that equips them with the skills needed to meet the demands of the labour market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 comprehensive approach to ensuring girls’ access to quality education and training;</w:t>
            </w:r>
          </w:p>
        </w:tc>
        <w:tc>
          <w:tcPr>
            <w:tcW w:w="4876" w:type="dxa"/>
            <w:tcBorders>
              <w:top w:val="nil"/>
              <w:left w:val="nil"/>
              <w:bottom w:val="nil"/>
              <w:right w:val="nil"/>
            </w:tcBorders>
          </w:tcPr>
          <w:p>
            <w:pPr>
              <w:pStyle w:val="Normal6a"/>
            </w:pPr>
            <w:r>
              <w:t>15.</w:t>
            </w:r>
            <w:r>
              <w:tab/>
            </w:r>
            <w:r>
              <w:t>Calls for a comprehensive approach to ensuring girls’ access to quality education and training</w:t>
            </w:r>
            <w:r>
              <w:rPr>
                <w:b/>
                <w:i/>
              </w:rPr>
              <w:t>, including through community-based programmes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Mieke Andriese, Elisabeth Dieringer, Margarita de la Pisa Carrión,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 comprehensive approach to ensuring girls’ access to quality education and training;</w:t>
            </w:r>
          </w:p>
        </w:tc>
        <w:tc>
          <w:tcPr>
            <w:tcW w:w="4876" w:type="dxa"/>
            <w:tcBorders>
              <w:top w:val="nil"/>
              <w:left w:val="nil"/>
              <w:bottom w:val="nil"/>
              <w:right w:val="nil"/>
            </w:tcBorders>
          </w:tcPr>
          <w:p>
            <w:pPr>
              <w:pStyle w:val="Normal6a"/>
            </w:pPr>
            <w:r>
              <w:t>15.</w:t>
            </w:r>
            <w:r>
              <w:tab/>
            </w:r>
            <w:r>
              <w:t xml:space="preserve">Calls for a comprehensive approach to ensuring girls’ access to quality education and training; </w:t>
            </w:r>
            <w:r>
              <w:rPr>
                <w:b/>
                <w:i/>
              </w:rPr>
              <w:t>calls on the Commission not to provide EU funding to educational institutions that teach or justify the subordination of women, forced marriage or punishment for apostasy, and to immediately withdraw any existing funding;</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Calls for a comprehensive approach to ensuring girls’ access to quality</w:t>
            </w:r>
            <w:r>
              <w:t xml:space="preserve"> education </w:t>
            </w:r>
            <w:r>
              <w:rPr>
                <w:b/>
                <w:i/>
              </w:rPr>
              <w:t>and training</w:t>
            </w:r>
            <w:r>
              <w:t>;</w:t>
            </w:r>
          </w:p>
        </w:tc>
        <w:tc>
          <w:tcPr>
            <w:tcW w:w="4876" w:type="dxa"/>
            <w:tcBorders>
              <w:top w:val="nil"/>
              <w:left w:val="nil"/>
              <w:bottom w:val="nil"/>
              <w:right w:val="nil"/>
            </w:tcBorders>
          </w:tcPr>
          <w:p>
            <w:pPr>
              <w:pStyle w:val="Normal6a"/>
            </w:pPr>
            <w:r>
              <w:t>15.</w:t>
            </w:r>
            <w:r>
              <w:tab/>
            </w:r>
            <w:r>
              <w:rPr>
                <w:b/>
                <w:i/>
              </w:rPr>
              <w:t>Reaffirms that</w:t>
            </w:r>
            <w:r>
              <w:t xml:space="preserve"> education </w:t>
            </w:r>
            <w:r>
              <w:rPr>
                <w:b/>
                <w:i/>
              </w:rPr>
              <w:t>policy remains an exclusive competence of the individual Member States;</w:t>
            </w:r>
            <w:r>
              <w:t xml:space="preserve"> </w:t>
            </w:r>
            <w:r>
              <w:rPr>
                <w:b/>
                <w:i/>
              </w:rPr>
              <w:t>calls on the Member States to guarantee all children equal access to high-quality, objective general and vocational education, free from ideological influence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for a comprehensive approach to ensuring girls’ access to quality education and training;</w:t>
            </w:r>
          </w:p>
        </w:tc>
        <w:tc>
          <w:tcPr>
            <w:tcW w:w="4876" w:type="dxa"/>
            <w:tcBorders>
              <w:top w:val="nil"/>
              <w:left w:val="nil"/>
              <w:bottom w:val="nil"/>
              <w:right w:val="nil"/>
            </w:tcBorders>
          </w:tcPr>
          <w:p>
            <w:pPr>
              <w:pStyle w:val="Normal6a"/>
            </w:pPr>
            <w:r>
              <w:t>15.</w:t>
            </w:r>
            <w:r>
              <w:tab/>
            </w:r>
            <w:r>
              <w:t>Calls for a comprehensive approach to ensuring girls’ access to quality education and training</w:t>
            </w:r>
            <w:r>
              <w:rPr>
                <w:b/>
                <w:i/>
              </w:rPr>
              <w:t>, both traditional forms of professional training and forms of reskilling when unemployed, with a view to adapting to the needs of the market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Giusi Princi,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Emphasises the importance of programmes aimed at the reintegration into education of girls who have prematurely left the education system; calls on GAP IV to support flexible pathways for returning to education, tailored to the specific needs of young mothers and girls who have dropped out of formal education, in cooperation with local communities and schools in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Calls for gender-responsive labour rights that guarantee decent work, fair wages, safe working conditions and formal employment protections for girls and women across all sectors, particularly in informal and domestic care 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Stresses that women are disproportionately affected by climate change, particularly in least developed countries and rural areas; underlines that this disproportionate impact poses unique threats to their livelihoods, health and safety, including increased food and water insecurity, heightened exposure to gender-based violence in the context of climate-related displacement and migration, and greater economic instability owing to a reliance on climate-sensitive sectors; stresses that four out of five of those displaced due to the climate crisis are women and girls</w:t>
            </w:r>
            <w:r>
              <w:rPr>
                <w:b/>
                <w:i/>
                <w:vertAlign w:val="superscript"/>
              </w:rPr>
              <w:t>1a</w:t>
            </w:r>
            <w:r>
              <w:rPr>
                <w:b/>
                <w:i/>
              </w:rPr>
              <w:t>; calls for climate action plans to include support for women and for women’s participation in climate decision-making at all levels;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https://www.un.org/en/climatechange/science/climate-issues/women#:~:text=When%20extreme%20weather%20disasters%20strike%2C%20women%20and,of%20climate%20change%20are%20women%20and%20girls.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Calls for comprehensive, age-appropriate and scientifically accurate sexuality education covering consent, gender equality, sexual and gender diversity and the prevention of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Arba Kokalari,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Calls for the promotion of saving and investments accounts; whereas this is a key for enabling female economical independence;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Stresses the need for policy coherence and calls for GAP IV gender equality commitments to be fully integrated across all EU external action, including trade, investment, migration, security and defence, climate, energy and taxation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Calls for GAP IV to address unpaid care as one of the key barriers to achieving women's and girls’ economic justice and rights; elevate care as a strategic priority across EU programming by dedicating funding to care-focused initiatives while systematically mainstreaming care considerations across sectors such as livelihoods, social protection, health, housing and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Calls for investment in local community programmes and support for women-owned and women-led businesses, organisations and initiatives that build social cohesion, strengthen local leadership and reduce social isolation, particularly among girls and women in communities affected by displacement, conflict and crisis;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15e.</w:t>
            </w:r>
            <w:r>
              <w:tab/>
            </w:r>
            <w:r>
              <w:rPr>
                <w:b/>
                <w:i/>
              </w:rPr>
              <w:t>Calls for action to dismantle structural barriers that limit girls' and women’s equal access to education, legal rights, labour markets, and essential health and social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15g.</w:t>
            </w:r>
            <w:r>
              <w:tab/>
            </w:r>
            <w:r>
              <w:rPr>
                <w:b/>
                <w:i/>
              </w:rPr>
              <w:t>Calls for measures to address the unequal distribution of unpaid care work and promote its recognition, reduction and redistribution, including by awareness raising campaigns and education, with a view to strengthening women’s economic independence and equal participation in the labour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15i.</w:t>
            </w:r>
            <w:r>
              <w:tab/>
            </w:r>
            <w:r>
              <w:rPr>
                <w:b/>
                <w:i/>
              </w:rPr>
              <w:t>Calls for concrete steps for implementation of the recommendations by the Caribbean-EU and Africa-EU Joint Parliamentary Assembly, to improve tailored access to financing, training and market access support for women, strengthening their role in entrepreneurship and agri-business, access to agricultural technologies, and inclusive participation in international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Expresses concern that women remain under-represented at all levels of political and public life; calls for strengthened political engagement and targeted programmes to promote their full, equal and meaningful participation;</w:t>
            </w:r>
          </w:p>
        </w:tc>
        <w:tc>
          <w:tcPr>
            <w:tcW w:w="4876" w:type="dxa"/>
            <w:tcBorders>
              <w:top w:val="nil"/>
              <w:left w:val="nil"/>
              <w:bottom w:val="nil"/>
              <w:right w:val="nil"/>
            </w:tcBorders>
          </w:tcPr>
          <w:p>
            <w:pPr>
              <w:pStyle w:val="Normal6a"/>
            </w:pPr>
            <w:r>
              <w:t>16.</w:t>
            </w:r>
            <w:r>
              <w:tab/>
            </w:r>
            <w:r>
              <w:t>Expresses concern that women remain under-represented at all levels of political and public life; calls for strengthened political engagement and targeted programmes to promote their full, equal</w:t>
            </w:r>
            <w:r>
              <w:rPr>
                <w:b/>
                <w:i/>
              </w:rPr>
              <w:t>, safe</w:t>
            </w:r>
            <w:r>
              <w:t xml:space="preserve"> and meaningful participation </w:t>
            </w:r>
            <w:r>
              <w:rPr>
                <w:b/>
                <w:i/>
              </w:rPr>
              <w:t>particularly those facing intersectional discrimination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Expresses concern that women remain under-represented at all levels of political and public life; calls for strengthened political engagement and targeted programmes to promote their full, equal and meaningful participation;</w:t>
            </w:r>
          </w:p>
        </w:tc>
        <w:tc>
          <w:tcPr>
            <w:tcW w:w="4876" w:type="dxa"/>
            <w:tcBorders>
              <w:top w:val="nil"/>
              <w:left w:val="nil"/>
              <w:bottom w:val="nil"/>
              <w:right w:val="nil"/>
            </w:tcBorders>
          </w:tcPr>
          <w:p>
            <w:pPr>
              <w:pStyle w:val="Normal6a"/>
            </w:pPr>
            <w:r>
              <w:t>16.</w:t>
            </w:r>
            <w:r>
              <w:tab/>
            </w:r>
            <w:r>
              <w:t xml:space="preserve">Expresses concern that women remain under-represented at all levels of political and public life; calls for strengthened political engagement and targeted programmes to promote their full, equal and meaningful participation </w:t>
            </w:r>
            <w:r>
              <w:rPr>
                <w:b/>
                <w:i/>
              </w:rPr>
              <w:t>and leadership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Expresses concern that women remain under-represented at all levels of political and public life; calls for strengthened political engagement and targeted programmes to promote their full, equal and meaningful participation;</w:t>
            </w:r>
          </w:p>
        </w:tc>
        <w:tc>
          <w:tcPr>
            <w:tcW w:w="4876" w:type="dxa"/>
            <w:tcBorders>
              <w:top w:val="nil"/>
              <w:left w:val="nil"/>
              <w:bottom w:val="nil"/>
              <w:right w:val="nil"/>
            </w:tcBorders>
          </w:tcPr>
          <w:p>
            <w:pPr>
              <w:pStyle w:val="Normal6a"/>
            </w:pPr>
            <w:r>
              <w:t>16.</w:t>
            </w:r>
            <w:r>
              <w:tab/>
            </w:r>
            <w:r>
              <w:t>Expresses concern that women remain under-represented at all levels of political and public life; calls for strengthened political engagement and targeted programmes to promote their full, equal</w:t>
            </w:r>
            <w:r>
              <w:rPr>
                <w:b/>
                <w:i/>
              </w:rPr>
              <w:t>, safe</w:t>
            </w:r>
            <w:r>
              <w:t xml:space="preserve"> and meaningful participation;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Expresses concern that women remain under-represented at all levels of</w:t>
            </w:r>
            <w:r>
              <w:t xml:space="preserve"> political and public </w:t>
            </w:r>
            <w:r>
              <w:rPr>
                <w:b/>
                <w:i/>
              </w:rPr>
              <w:t>life;</w:t>
            </w:r>
            <w:r>
              <w:t xml:space="preserve"> </w:t>
            </w:r>
            <w:r>
              <w:rPr>
                <w:b/>
                <w:i/>
              </w:rPr>
              <w:t>calls for strengthened political engagement and targeted programmes to promote their full, equal and meaningful</w:t>
            </w:r>
            <w:r>
              <w:t xml:space="preserve"> participation;</w:t>
            </w:r>
          </w:p>
        </w:tc>
        <w:tc>
          <w:tcPr>
            <w:tcW w:w="4876" w:type="dxa"/>
            <w:tcBorders>
              <w:top w:val="nil"/>
              <w:left w:val="nil"/>
              <w:bottom w:val="nil"/>
              <w:right w:val="nil"/>
            </w:tcBorders>
          </w:tcPr>
          <w:p>
            <w:pPr>
              <w:pStyle w:val="Normal6a"/>
            </w:pPr>
            <w:r>
              <w:t>16.</w:t>
            </w:r>
            <w:r>
              <w:tab/>
            </w:r>
            <w:r>
              <w:rPr>
                <w:b/>
                <w:i/>
              </w:rPr>
              <w:t>Stresses that</w:t>
            </w:r>
            <w:r>
              <w:t xml:space="preserve"> political and public participation </w:t>
            </w:r>
            <w:r>
              <w:rPr>
                <w:b/>
                <w:i/>
              </w:rPr>
              <w:t>must be based exclusively on the principle of individual merit and free democratic choice</w:t>
            </w:r>
            <w:r>
              <w:t xml:space="preserve">; </w:t>
            </w:r>
            <w:r>
              <w:rPr>
                <w:b/>
                <w:i/>
              </w:rPr>
              <w:t>objects to any state or supranational control, targeted funding or quotas designed to engineer artificial statistical results in the area of representation;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Expresses concern that women remain under-represented at all levels of political and public life; calls for strengthened political engagement and targeted programmes to promote their full, equal and meaningful participation;</w:t>
            </w:r>
          </w:p>
        </w:tc>
        <w:tc>
          <w:tcPr>
            <w:tcW w:w="4876" w:type="dxa"/>
            <w:tcBorders>
              <w:top w:val="nil"/>
              <w:left w:val="nil"/>
              <w:bottom w:val="nil"/>
              <w:right w:val="nil"/>
            </w:tcBorders>
          </w:tcPr>
          <w:p>
            <w:pPr>
              <w:pStyle w:val="Normal6a"/>
            </w:pPr>
            <w:r>
              <w:t>16.</w:t>
            </w:r>
            <w:r>
              <w:tab/>
            </w:r>
            <w:r>
              <w:t>Expresses concern that women remain under-represented at all levels of political and public life; calls for strengthened political engagement and targeted programmes to promote their full, equal and meaningful participation</w:t>
            </w:r>
            <w:r>
              <w:rPr>
                <w:b/>
                <w:i/>
              </w:rPr>
              <w:t>, including in the highest positions of responsibility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Małgorzata Gosiewska,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Expresses concern that</w:t>
            </w:r>
            <w:r>
              <w:t xml:space="preserve"> women </w:t>
            </w:r>
            <w:r>
              <w:rPr>
                <w:b/>
                <w:i/>
              </w:rPr>
              <w:t>remain under-represented at all levels of political and public life; calls for strengthened political engagement and targeted programmes to promote</w:t>
            </w:r>
            <w:r>
              <w:t xml:space="preserve"> their </w:t>
            </w:r>
            <w:r>
              <w:rPr>
                <w:b/>
                <w:i/>
              </w:rPr>
              <w:t>full, equal and meaningful participation</w:t>
            </w:r>
            <w:r>
              <w:t>;</w:t>
            </w:r>
          </w:p>
        </w:tc>
        <w:tc>
          <w:tcPr>
            <w:tcW w:w="4876" w:type="dxa"/>
            <w:tcBorders>
              <w:top w:val="nil"/>
              <w:left w:val="nil"/>
              <w:bottom w:val="nil"/>
              <w:right w:val="nil"/>
            </w:tcBorders>
          </w:tcPr>
          <w:p>
            <w:pPr>
              <w:pStyle w:val="Normal6a"/>
            </w:pPr>
            <w:r>
              <w:t>16.</w:t>
            </w:r>
            <w:r>
              <w:tab/>
            </w:r>
            <w:r>
              <w:rPr>
                <w:b/>
                <w:i/>
              </w:rPr>
              <w:t>Points out that the intersectional approach by the EU promotes a picture of</w:t>
            </w:r>
            <w:r>
              <w:t xml:space="preserve"> women </w:t>
            </w:r>
            <w:r>
              <w:rPr>
                <w:b/>
                <w:i/>
              </w:rPr>
              <w:t>as victims, which devalues them, detracting from</w:t>
            </w:r>
            <w:r>
              <w:t xml:space="preserve"> their </w:t>
            </w:r>
            <w:r>
              <w:rPr>
                <w:b/>
                <w:i/>
              </w:rPr>
              <w:t>dignity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Marc Jongen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Expresses concern that</w:t>
            </w:r>
            <w:r>
              <w:t xml:space="preserve"> women </w:t>
            </w:r>
            <w:r>
              <w:rPr>
                <w:b/>
                <w:i/>
              </w:rPr>
              <w:t>remain under-represented</w:t>
            </w:r>
            <w:r>
              <w:t xml:space="preserve"> at all levels of political and public life; </w:t>
            </w:r>
            <w:r>
              <w:rPr>
                <w:b/>
                <w:i/>
              </w:rPr>
              <w:t>calls for strengthened political engagement and targeted programmes to promote their full, equal and meaningful participation</w:t>
            </w:r>
            <w:r>
              <w:t>;</w:t>
            </w:r>
          </w:p>
        </w:tc>
        <w:tc>
          <w:tcPr>
            <w:tcW w:w="4876" w:type="dxa"/>
            <w:tcBorders>
              <w:top w:val="nil"/>
              <w:left w:val="nil"/>
              <w:bottom w:val="nil"/>
              <w:right w:val="nil"/>
            </w:tcBorders>
          </w:tcPr>
          <w:p>
            <w:pPr>
              <w:pStyle w:val="Normal6a"/>
            </w:pPr>
            <w:r>
              <w:t>16.</w:t>
            </w:r>
            <w:r>
              <w:tab/>
            </w:r>
            <w:r>
              <w:rPr>
                <w:b/>
                <w:i/>
              </w:rPr>
              <w:t>Calls for equal rights for</w:t>
            </w:r>
            <w:r>
              <w:t xml:space="preserve"> women at all levels of political and public life; </w:t>
            </w:r>
            <w:r>
              <w:rPr>
                <w:b/>
                <w:i/>
              </w:rPr>
              <w:t>points out, in this connection, that equality of opportunity does not necessarily mean equality of outcome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Mieke Andriese, Elisabeth Dieringer, Margarita de la Pisa Carrión,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Expresses concern that</w:t>
            </w:r>
            <w:r>
              <w:t xml:space="preserve"> women </w:t>
            </w:r>
            <w:r>
              <w:rPr>
                <w:b/>
                <w:i/>
              </w:rPr>
              <w:t>remain under-represented at all levels of</w:t>
            </w:r>
            <w:r>
              <w:t xml:space="preserve"> political and public life; </w:t>
            </w:r>
            <w:r>
              <w:rPr>
                <w:b/>
                <w:i/>
              </w:rPr>
              <w:t>calls for strengthened political engagement and targeted programmes to promote their full, equal and meaningful participation</w:t>
            </w:r>
            <w:r>
              <w:t>;</w:t>
            </w:r>
          </w:p>
        </w:tc>
        <w:tc>
          <w:tcPr>
            <w:tcW w:w="4876" w:type="dxa"/>
            <w:tcBorders>
              <w:top w:val="nil"/>
              <w:left w:val="nil"/>
              <w:bottom w:val="nil"/>
              <w:right w:val="nil"/>
            </w:tcBorders>
          </w:tcPr>
          <w:p>
            <w:pPr>
              <w:pStyle w:val="Normal6a"/>
            </w:pPr>
            <w:r>
              <w:t>16.</w:t>
            </w:r>
            <w:r>
              <w:tab/>
            </w:r>
            <w:r>
              <w:rPr>
                <w:b/>
                <w:i/>
              </w:rPr>
              <w:t>calls for the removal of legal barriers to the participation of</w:t>
            </w:r>
            <w:r>
              <w:t xml:space="preserve"> women </w:t>
            </w:r>
            <w:r>
              <w:rPr>
                <w:b/>
                <w:i/>
              </w:rPr>
              <w:t>in</w:t>
            </w:r>
            <w:r>
              <w:t xml:space="preserve"> political and public life; </w:t>
            </w:r>
            <w:r>
              <w:rPr>
                <w:b/>
                <w:i/>
              </w:rPr>
              <w:t>rejects mandatory gender quotas and emphasises individual suitability and the freedom to make one’s own career and family choices</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Calls on GAP IV to promote institutional change by increasing the representation of women in senior and decision-making positions across EU external action, including as ambassadors and Heads of Delegation, with clear targets and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Calls for EU action to be taken to promote safe civic spaces for women and for women’s organisations and related organisations;</w:t>
            </w:r>
          </w:p>
        </w:tc>
        <w:tc>
          <w:tcPr>
            <w:tcW w:w="4876" w:type="dxa"/>
            <w:tcBorders>
              <w:top w:val="nil"/>
              <w:left w:val="nil"/>
              <w:bottom w:val="nil"/>
              <w:right w:val="nil"/>
            </w:tcBorders>
          </w:tcPr>
          <w:p>
            <w:pPr>
              <w:pStyle w:val="Normal6a"/>
            </w:pPr>
            <w:r>
              <w:t>17.</w:t>
            </w:r>
            <w:r>
              <w:tab/>
            </w:r>
            <w:r>
              <w:t xml:space="preserve">Calls for EU action to be taken to promote safe civic spaces for women and for women’s organisations and related organisations </w:t>
            </w:r>
            <w:r>
              <w:rPr>
                <w:b/>
                <w:i/>
              </w:rPr>
              <w:t>including through dedicated protection mechanisms ensuring prompt access to legal assistance, psychosocial support and digital security services for women human rights defenders, LGBTIQ+ and feminist activists, systematic diplomatic engagement by EU delegations to denounce harassment and reprisals against them, and the integration of gendered civic space indicators into programme monitoring and Country-Level Implementation Plans (CLIPs)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Calls for EU action </w:t>
            </w:r>
            <w:r>
              <w:rPr>
                <w:b/>
                <w:i/>
              </w:rPr>
              <w:t>to be taken</w:t>
            </w:r>
            <w:r>
              <w:t xml:space="preserve"> to promote safe civic spaces for women </w:t>
            </w:r>
            <w:r>
              <w:rPr>
                <w:b/>
                <w:i/>
              </w:rPr>
              <w:t>and for</w:t>
            </w:r>
            <w:r>
              <w:t xml:space="preserve"> women’s organisations and related organisations;</w:t>
            </w:r>
          </w:p>
        </w:tc>
        <w:tc>
          <w:tcPr>
            <w:tcW w:w="4876" w:type="dxa"/>
            <w:tcBorders>
              <w:top w:val="nil"/>
              <w:left w:val="nil"/>
              <w:bottom w:val="nil"/>
              <w:right w:val="nil"/>
            </w:tcBorders>
          </w:tcPr>
          <w:p>
            <w:pPr>
              <w:pStyle w:val="Normal6a"/>
            </w:pPr>
            <w:r>
              <w:t>17.</w:t>
            </w:r>
            <w:r>
              <w:tab/>
            </w:r>
            <w:r>
              <w:t>Calls for EU action to promote safe civic spaces for women</w:t>
            </w:r>
            <w:r>
              <w:rPr>
                <w:b/>
                <w:i/>
              </w:rPr>
              <w:t>,</w:t>
            </w:r>
            <w:r>
              <w:t xml:space="preserve"> women’s organisations and related organisations</w:t>
            </w:r>
            <w:r>
              <w:rPr>
                <w:b/>
                <w:i/>
              </w:rPr>
              <w:t>, while ensuring that such initiatives do not institutionalise or promote sex-based segregation and remain consistent with the principle of equal participation of women and men in public life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Calls for EU action to be taken to promote safe</w:t>
            </w:r>
            <w:r>
              <w:t xml:space="preserve"> civic </w:t>
            </w:r>
            <w:r>
              <w:rPr>
                <w:b/>
                <w:i/>
              </w:rPr>
              <w:t>spaces for women and for women’s organisations and related</w:t>
            </w:r>
            <w:r>
              <w:t xml:space="preserve"> organisations</w:t>
            </w:r>
            <w:r>
              <w:rPr>
                <w:b/>
                <w:i/>
              </w:rPr>
              <w:t>;</w:t>
            </w:r>
          </w:p>
        </w:tc>
        <w:tc>
          <w:tcPr>
            <w:tcW w:w="4876" w:type="dxa"/>
            <w:tcBorders>
              <w:top w:val="nil"/>
              <w:left w:val="nil"/>
              <w:bottom w:val="nil"/>
              <w:right w:val="nil"/>
            </w:tcBorders>
          </w:tcPr>
          <w:p>
            <w:pPr>
              <w:pStyle w:val="Normal6a"/>
            </w:pPr>
            <w:r>
              <w:t>17.</w:t>
            </w:r>
            <w:r>
              <w:tab/>
            </w:r>
            <w:r>
              <w:rPr>
                <w:b/>
                <w:i/>
              </w:rPr>
              <w:t>Stresses that the protection of the</w:t>
            </w:r>
            <w:r>
              <w:t xml:space="preserve"> civic </w:t>
            </w:r>
            <w:r>
              <w:rPr>
                <w:b/>
                <w:i/>
              </w:rPr>
              <w:t>space and freedom of association under national laws must apply equally to all individuals and lawful</w:t>
            </w:r>
            <w:r>
              <w:t xml:space="preserve"> organisations</w:t>
            </w:r>
            <w:r>
              <w:rPr>
                <w:b/>
                <w:i/>
              </w:rPr>
              <w:t>, with no special privileges or funding accorded to gender-based lobby groups.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Marc Jongen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Calls for EU action to be taken to promote </w:t>
            </w:r>
            <w:r>
              <w:rPr>
                <w:b/>
                <w:i/>
              </w:rPr>
              <w:t>safe civic spaces for women and for women’s</w:t>
            </w:r>
            <w:r>
              <w:t xml:space="preserve"> organisations and </w:t>
            </w:r>
            <w:r>
              <w:rPr>
                <w:b/>
                <w:i/>
              </w:rPr>
              <w:t>related organisations</w:t>
            </w:r>
            <w:r>
              <w:t>;</w:t>
            </w:r>
          </w:p>
        </w:tc>
        <w:tc>
          <w:tcPr>
            <w:tcW w:w="4876" w:type="dxa"/>
            <w:tcBorders>
              <w:top w:val="nil"/>
              <w:left w:val="nil"/>
              <w:bottom w:val="nil"/>
              <w:right w:val="nil"/>
            </w:tcBorders>
          </w:tcPr>
          <w:p>
            <w:pPr>
              <w:pStyle w:val="Normal6a"/>
            </w:pPr>
            <w:r>
              <w:t>17.</w:t>
            </w:r>
            <w:r>
              <w:tab/>
            </w:r>
            <w:r>
              <w:t xml:space="preserve">Calls for EU action to be taken to promote </w:t>
            </w:r>
            <w:r>
              <w:rPr>
                <w:b/>
                <w:i/>
              </w:rPr>
              <w:t>the freedom of opinion at home and abroad;</w:t>
            </w:r>
            <w:r>
              <w:t xml:space="preserve"> </w:t>
            </w:r>
            <w:r>
              <w:rPr>
                <w:b/>
                <w:i/>
              </w:rPr>
              <w:t>objects to the promotion of politically biased</w:t>
            </w:r>
            <w:r>
              <w:t xml:space="preserve"> organisations and </w:t>
            </w:r>
            <w:r>
              <w:rPr>
                <w:b/>
                <w:i/>
              </w:rPr>
              <w:t>interest groups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Małgorzata Gosiewska,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Calls for EU action to be taken to promote </w:t>
            </w:r>
            <w:r>
              <w:rPr>
                <w:b/>
                <w:i/>
              </w:rPr>
              <w:t>safe civic spaces for</w:t>
            </w:r>
            <w:r>
              <w:t xml:space="preserve"> women </w:t>
            </w:r>
            <w:r>
              <w:rPr>
                <w:b/>
                <w:i/>
              </w:rPr>
              <w:t>and for women’s organisations and related organisations</w:t>
            </w:r>
            <w:r>
              <w:t>;</w:t>
            </w:r>
          </w:p>
        </w:tc>
        <w:tc>
          <w:tcPr>
            <w:tcW w:w="4876" w:type="dxa"/>
            <w:tcBorders>
              <w:top w:val="nil"/>
              <w:left w:val="nil"/>
              <w:bottom w:val="nil"/>
              <w:right w:val="nil"/>
            </w:tcBorders>
          </w:tcPr>
          <w:p>
            <w:pPr>
              <w:pStyle w:val="Normal6a"/>
            </w:pPr>
            <w:r>
              <w:t>17.</w:t>
            </w:r>
            <w:r>
              <w:tab/>
            </w:r>
            <w:r>
              <w:t xml:space="preserve">Calls for EU action to be taken to promote </w:t>
            </w:r>
            <w:r>
              <w:rPr>
                <w:b/>
                <w:i/>
              </w:rPr>
              <w:t>human rights, respect for people’s dignity and freedom, and equality of men and</w:t>
            </w:r>
            <w:r>
              <w:t xml:space="preserve"> women </w:t>
            </w:r>
            <w:r>
              <w:rPr>
                <w:b/>
                <w:i/>
              </w:rPr>
              <w:t>before the law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Calls on the EU to address the challenges related to the participation and safety of women in political and public life, through its international cooperation and democracy-support activities, including by supporting safe reporting mechanisms, legal frameworks and the exchange of good practices;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Considers that the promotion of a safe and enabling civic space for women should include dedicated protection and support for women human rights defenders and feminist activists, including legal assistance, psychosocial support and digital security, as well as systematic action against threats, harassment, criminalisation and reprisals targeting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Calls for a gender-responsive leadership approach across all leadership levels in the EU, based on inclusiveness, collaboration, intersectionality, transparency and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Condemns any gender-based restrictions of fundamental rights and calls on the EU to support the recognition of gender apartheid as a crime against humanity;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Stresses that human beings should never be reduced to quotas or numerical targets; considers that quotas may be appropriate for steel, fish or other commodities, but not for women and men, whose dignity, freedom and individual merit must remain paramount;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Recognises the disproportionate vulnerability of women and girls in conflict and humanitarian crises, including the increased risk they face of sexual and gender-based violence, displacement, and disruption of essential services; reaffirms the vital role of women and girls in peacebuilding, conflict resolution and post-conflict reconstruction, emphasising their essential participation in peace negotiations and decision-making processes, as outlined in the women, peace and security agenda;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Calls on the EU to adopt a Feminist Foreign Policy to actively promote the protection and safeguarding of women’s and girl’s rights globally with the Women, Peace and Security Agenda at its core;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Leire Pajín, Lina Gálvez, Marit Maij,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Calls for the full implementation of the WPS agenda as a response to the current geopolitical and security context, and for the adoption of a renewed EU WPS action plan;</w:t>
            </w:r>
          </w:p>
        </w:tc>
        <w:tc>
          <w:tcPr>
            <w:tcW w:w="4876" w:type="dxa"/>
            <w:tcBorders>
              <w:top w:val="nil"/>
              <w:left w:val="nil"/>
              <w:bottom w:val="nil"/>
              <w:right w:val="nil"/>
            </w:tcBorders>
          </w:tcPr>
          <w:p>
            <w:pPr>
              <w:pStyle w:val="Normal6a"/>
            </w:pPr>
            <w:r>
              <w:t>18.</w:t>
            </w:r>
            <w:r>
              <w:tab/>
            </w:r>
            <w:r>
              <w:t xml:space="preserve">Calls for the full implementation of the WPS agenda as a response to the current geopolitical and security context, and for the adoption of a renewed EU WPS action plan; </w:t>
            </w:r>
            <w:r>
              <w:rPr>
                <w:b/>
                <w:i/>
              </w:rPr>
              <w:t>stresses that the renewed EU WPS Action Plan should cover all four pillars of participation, protection, prevention, and relief and recovery, and be grounded in human rights, feminist conflict prevention, intersectionality, localisation, policy coherence and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Calls for the full implementation of the WPS agenda as a response to the current geopolitical and security context, and for the adoption of a renewed EU WPS action plan;</w:t>
            </w:r>
          </w:p>
        </w:tc>
        <w:tc>
          <w:tcPr>
            <w:tcW w:w="4876" w:type="dxa"/>
            <w:tcBorders>
              <w:top w:val="nil"/>
              <w:left w:val="nil"/>
              <w:bottom w:val="nil"/>
              <w:right w:val="nil"/>
            </w:tcBorders>
          </w:tcPr>
          <w:p>
            <w:pPr>
              <w:pStyle w:val="Normal6a"/>
            </w:pPr>
            <w:r>
              <w:t>18.</w:t>
            </w:r>
            <w:r>
              <w:tab/>
            </w:r>
            <w:r>
              <w:t xml:space="preserve">Calls for the full implementation of the WPS agenda as a response to the current geopolitical and security context, </w:t>
            </w:r>
            <w:r>
              <w:rPr>
                <w:b/>
                <w:i/>
              </w:rPr>
              <w:t>strong coordination among EU services working to advance WPS</w:t>
            </w:r>
            <w:r>
              <w:t xml:space="preserve"> and for the adoption of a renewed EU WPS action plan </w:t>
            </w:r>
            <w:r>
              <w:rPr>
                <w:b/>
                <w:i/>
              </w:rPr>
              <w:t>systematically integrated with GAP IV commitments, aligned with the EU's next Multiannual Financial Framework (2028-2034)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Calls for the full implementation of the WPS agenda </w:t>
            </w:r>
            <w:r>
              <w:rPr>
                <w:b/>
                <w:i/>
              </w:rPr>
              <w:t>as a response</w:t>
            </w:r>
            <w:r>
              <w:t xml:space="preserve"> to the current geopolitical and security context, and for the adoption of a renewed EU WPS action plan;</w:t>
            </w:r>
          </w:p>
        </w:tc>
        <w:tc>
          <w:tcPr>
            <w:tcW w:w="4876" w:type="dxa"/>
            <w:tcBorders>
              <w:top w:val="nil"/>
              <w:left w:val="nil"/>
              <w:bottom w:val="nil"/>
              <w:right w:val="nil"/>
            </w:tcBorders>
          </w:tcPr>
          <w:p>
            <w:pPr>
              <w:pStyle w:val="Normal6a"/>
            </w:pPr>
            <w:r>
              <w:t>18.</w:t>
            </w:r>
            <w:r>
              <w:tab/>
            </w:r>
            <w:r>
              <w:t xml:space="preserve">Calls for the full implementation of the WPS agenda </w:t>
            </w:r>
            <w:r>
              <w:rPr>
                <w:b/>
                <w:i/>
              </w:rPr>
              <w:t>aligned and integrated with GAP IV to respond</w:t>
            </w:r>
            <w:r>
              <w:t xml:space="preserve"> to the current geopolitical and security context, and for the adoption of a renewed EU WPS action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Calls for </w:t>
            </w:r>
            <w:r>
              <w:rPr>
                <w:b/>
                <w:i/>
              </w:rPr>
              <w:t>the full implementation of the WPS agenda as a response to the current geopolitical and security context</w:t>
            </w:r>
            <w:r>
              <w:t xml:space="preserve">, and for </w:t>
            </w:r>
            <w:r>
              <w:rPr>
                <w:b/>
                <w:i/>
              </w:rPr>
              <w:t>the adoption of a renewed EU WPS action plan</w:t>
            </w:r>
            <w:r>
              <w:t>;</w:t>
            </w:r>
          </w:p>
        </w:tc>
        <w:tc>
          <w:tcPr>
            <w:tcW w:w="4876" w:type="dxa"/>
            <w:tcBorders>
              <w:top w:val="nil"/>
              <w:left w:val="nil"/>
              <w:bottom w:val="nil"/>
              <w:right w:val="nil"/>
            </w:tcBorders>
          </w:tcPr>
          <w:p>
            <w:pPr>
              <w:pStyle w:val="Normal6a"/>
            </w:pPr>
            <w:r>
              <w:t>18.</w:t>
            </w:r>
            <w:r>
              <w:tab/>
            </w:r>
            <w:r>
              <w:t xml:space="preserve">Calls for </w:t>
            </w:r>
            <w:r>
              <w:rPr>
                <w:b/>
                <w:i/>
              </w:rPr>
              <w:t>enhanced efforts to ensure that women in situations in which their personal integrity is attacked find shelter and a solution to their problems</w:t>
            </w:r>
            <w:r>
              <w:t xml:space="preserve">, and for </w:t>
            </w:r>
            <w:r>
              <w:rPr>
                <w:b/>
                <w:i/>
              </w:rPr>
              <w:t>increased funding for organisations concerned to advise on and establish the legal framework in societies in which respect for human rights has not yet been achieved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Calls for </w:t>
            </w:r>
            <w:r>
              <w:rPr>
                <w:b/>
                <w:i/>
              </w:rPr>
              <w:t>the full implementation of the WPS agenda as a response to the current</w:t>
            </w:r>
            <w:r>
              <w:t xml:space="preserve"> geopolitical </w:t>
            </w:r>
            <w:r>
              <w:rPr>
                <w:b/>
                <w:i/>
              </w:rPr>
              <w:t>and security context, and for the adoption of a renewed EU WPS action plan</w:t>
            </w:r>
            <w:r>
              <w:t>;</w:t>
            </w:r>
          </w:p>
        </w:tc>
        <w:tc>
          <w:tcPr>
            <w:tcW w:w="4876" w:type="dxa"/>
            <w:tcBorders>
              <w:top w:val="nil"/>
              <w:left w:val="nil"/>
              <w:bottom w:val="nil"/>
              <w:right w:val="nil"/>
            </w:tcBorders>
          </w:tcPr>
          <w:p>
            <w:pPr>
              <w:pStyle w:val="Normal6a"/>
            </w:pPr>
            <w:r>
              <w:t>18.</w:t>
            </w:r>
            <w:r>
              <w:tab/>
            </w:r>
            <w:r>
              <w:rPr>
                <w:b/>
                <w:i/>
              </w:rPr>
              <w:t>Urges the EU to drop the ideological inclusion of the 'Women, Peace and Security' (WPS) Agenda from its security framework, and</w:t>
            </w:r>
            <w:r>
              <w:t xml:space="preserve"> calls for </w:t>
            </w:r>
            <w:r>
              <w:rPr>
                <w:b/>
                <w:i/>
              </w:rPr>
              <w:t>a return to a realistic foreign policy that is strictly geared towards defence and strategic</w:t>
            </w:r>
            <w:r>
              <w:t xml:space="preserve"> geopolitical </w:t>
            </w:r>
            <w:r>
              <w:rPr>
                <w:b/>
                <w:i/>
              </w:rPr>
              <w:t>interests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Calls to Include WPS commitments in all of the EU's security and defence partnerships with non-EU countries, as well as across its diplomatic and policy dialogue on conflict resolution and peace, pushing partners to advance their own WPS national action plans;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Calls for WPS commitments to be considered in EU security and defence partnerships and dialogues with other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Reiterates the call of the Africa-EU Joint Parliamentary Assembly for survivor-centred support services, access to reparations and protection for women, human rights defenders and local peacebuilders, underlining the vital role of civil society, particularly women-led organisations, in negotiations aimed at achieving sustainable peace;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Calls to anchor accountability for WPS implementation at the top of EEAS leadership, including a clear mandate for all EU Special Representatives to advance WPS commitments within their respective portfolios;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Calls to encourage and support coordination with Member States to strengthen implementation of their WPS National Action Plans, building on GAP III's existing commitment to shared strategic vision and close cooperation with Member States, with realistic implementation plans and national budgets centred on community-based and women-led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Stresses the important contributions made by women and women’s organisations to promoting peace; calls for the EU to promote the full, equal and meaningful participation of women at all stages of peace processes;</w:t>
            </w:r>
          </w:p>
        </w:tc>
        <w:tc>
          <w:tcPr>
            <w:tcW w:w="4876" w:type="dxa"/>
            <w:tcBorders>
              <w:top w:val="nil"/>
              <w:left w:val="nil"/>
              <w:bottom w:val="nil"/>
              <w:right w:val="nil"/>
            </w:tcBorders>
          </w:tcPr>
          <w:p>
            <w:pPr>
              <w:pStyle w:val="Normal6a"/>
            </w:pPr>
            <w:r>
              <w:t>19.</w:t>
            </w:r>
            <w:r>
              <w:tab/>
            </w:r>
            <w:r>
              <w:t xml:space="preserve">Stresses the important contributions made by women and women’s organisations to promoting peace; calls for the EU to promote the full, equal and meaningful participation of women at all stages of peace processes; </w:t>
            </w:r>
            <w:r>
              <w:rPr>
                <w:b/>
                <w:i/>
              </w:rPr>
              <w:t>stresses that joint peace and security initiatives should be guided by respect for international law, democratic principles, sovereignty, territorial integrity and accountable governance, and prioritise dialogue and peaceful conflict resolution;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Stresses the important contributions made by women and women’s organisations to promoting peace; calls for the EU to promote the full, equal and meaningful participation of women at all stages of peace processes;</w:t>
            </w:r>
          </w:p>
        </w:tc>
        <w:tc>
          <w:tcPr>
            <w:tcW w:w="4876" w:type="dxa"/>
            <w:tcBorders>
              <w:top w:val="nil"/>
              <w:left w:val="nil"/>
              <w:bottom w:val="nil"/>
              <w:right w:val="nil"/>
            </w:tcBorders>
          </w:tcPr>
          <w:p>
            <w:pPr>
              <w:pStyle w:val="Normal6a"/>
            </w:pPr>
            <w:r>
              <w:t>19.</w:t>
            </w:r>
            <w:r>
              <w:tab/>
            </w:r>
            <w:r>
              <w:t xml:space="preserve">Stresses the important contributions made by women and women’s organisations to promoting peace; calls for the EU to promote the full, equal and meaningful participation </w:t>
            </w:r>
            <w:r>
              <w:rPr>
                <w:b/>
                <w:i/>
              </w:rPr>
              <w:t>and leadership</w:t>
            </w:r>
            <w:r>
              <w:t xml:space="preserve"> of women</w:t>
            </w:r>
            <w:r>
              <w:rPr>
                <w:b/>
                <w:i/>
              </w:rPr>
              <w:t>, girls and youth</w:t>
            </w:r>
            <w:r>
              <w:t xml:space="preserve"> at all stages of peace processes </w:t>
            </w:r>
            <w:r>
              <w:rPr>
                <w:b/>
                <w:i/>
              </w:rPr>
              <w:t>and political dialogue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Stresses the important contributions made by women and women’s organisations to promoting peace; calls for the EU to promote the full, equal </w:t>
            </w:r>
            <w:r>
              <w:rPr>
                <w:b/>
                <w:i/>
              </w:rPr>
              <w:t>and</w:t>
            </w:r>
            <w:r>
              <w:t xml:space="preserve"> meaningful participation of women at all stages of peace processes;</w:t>
            </w:r>
          </w:p>
        </w:tc>
        <w:tc>
          <w:tcPr>
            <w:tcW w:w="4876" w:type="dxa"/>
            <w:tcBorders>
              <w:top w:val="nil"/>
              <w:left w:val="nil"/>
              <w:bottom w:val="nil"/>
              <w:right w:val="nil"/>
            </w:tcBorders>
          </w:tcPr>
          <w:p>
            <w:pPr>
              <w:pStyle w:val="Normal6a"/>
            </w:pPr>
            <w:r>
              <w:t>19.</w:t>
            </w:r>
            <w:r>
              <w:tab/>
            </w:r>
            <w:r>
              <w:t xml:space="preserve">Stresses the important contributions made by women and women’s organisations to promoting peace; calls for the EU to promote the full, equal </w:t>
            </w:r>
            <w:r>
              <w:rPr>
                <w:b/>
                <w:i/>
              </w:rPr>
              <w:t>safe,</w:t>
            </w:r>
            <w:r>
              <w:t xml:space="preserve"> meaningful </w:t>
            </w:r>
            <w:r>
              <w:rPr>
                <w:b/>
                <w:i/>
              </w:rPr>
              <w:t>and leadership</w:t>
            </w:r>
            <w:r>
              <w:t xml:space="preserve"> participation of women at all stages of peace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Stresses the important contributions made by women and women’s organisations to promoting peace; calls for the EU to promote the </w:t>
            </w:r>
            <w:r>
              <w:rPr>
                <w:b/>
                <w:i/>
              </w:rPr>
              <w:t>full, equal and meaningful</w:t>
            </w:r>
            <w:r>
              <w:t xml:space="preserve"> participation of </w:t>
            </w:r>
            <w:r>
              <w:rPr>
                <w:b/>
                <w:i/>
              </w:rPr>
              <w:t>women</w:t>
            </w:r>
            <w:r>
              <w:t xml:space="preserve"> at all stages of peace processes;</w:t>
            </w:r>
          </w:p>
        </w:tc>
        <w:tc>
          <w:tcPr>
            <w:tcW w:w="4876" w:type="dxa"/>
            <w:tcBorders>
              <w:top w:val="nil"/>
              <w:left w:val="nil"/>
              <w:bottom w:val="nil"/>
              <w:right w:val="nil"/>
            </w:tcBorders>
          </w:tcPr>
          <w:p>
            <w:pPr>
              <w:pStyle w:val="Normal6a"/>
            </w:pPr>
            <w:r>
              <w:t>19.</w:t>
            </w:r>
            <w:r>
              <w:tab/>
            </w:r>
            <w:r>
              <w:t xml:space="preserve">Stresses the important contributions made by women and women’s organisations to promoting peace; calls for the EU to promote the participation of </w:t>
            </w:r>
            <w:r>
              <w:rPr>
                <w:b/>
                <w:i/>
              </w:rPr>
              <w:t>all meaningful and relevant stakeholders</w:t>
            </w:r>
            <w:r>
              <w:t xml:space="preserve"> at all stages of peace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Marc Jongen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Stresses the important contributions made by women and women’s organisations to promoting peace;</w:t>
            </w:r>
            <w:r>
              <w:t xml:space="preserve"> calls for the EU to promote the full, equal and meaningful participation of women at all stages of peace processes;</w:t>
            </w:r>
          </w:p>
        </w:tc>
        <w:tc>
          <w:tcPr>
            <w:tcW w:w="4876" w:type="dxa"/>
            <w:tcBorders>
              <w:top w:val="nil"/>
              <w:left w:val="nil"/>
              <w:bottom w:val="nil"/>
              <w:right w:val="nil"/>
            </w:tcBorders>
          </w:tcPr>
          <w:p>
            <w:pPr>
              <w:pStyle w:val="Normal6a"/>
            </w:pPr>
            <w:r>
              <w:t>19.</w:t>
            </w:r>
            <w:r>
              <w:tab/>
            </w:r>
            <w:r>
              <w:t>Calls for the EU to promote the full, equal and meaningful participation of women at all stages of peace processes;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Stresses </w:t>
            </w:r>
            <w:r>
              <w:rPr>
                <w:b/>
                <w:i/>
              </w:rPr>
              <w:t>the important contributions made by women and women’s organisations to promoting peace;</w:t>
            </w:r>
            <w:r>
              <w:t xml:space="preserve"> </w:t>
            </w:r>
            <w:r>
              <w:rPr>
                <w:b/>
                <w:i/>
              </w:rPr>
              <w:t>calls for the EU to promote the full, equal and meaningful</w:t>
            </w:r>
            <w:r>
              <w:t xml:space="preserve"> participation </w:t>
            </w:r>
            <w:r>
              <w:rPr>
                <w:b/>
                <w:i/>
              </w:rPr>
              <w:t>of women at all stages of</w:t>
            </w:r>
            <w:r>
              <w:t xml:space="preserve"> peace processes;</w:t>
            </w:r>
          </w:p>
        </w:tc>
        <w:tc>
          <w:tcPr>
            <w:tcW w:w="4876" w:type="dxa"/>
            <w:tcBorders>
              <w:top w:val="nil"/>
              <w:left w:val="nil"/>
              <w:bottom w:val="nil"/>
              <w:right w:val="nil"/>
            </w:tcBorders>
          </w:tcPr>
          <w:p>
            <w:pPr>
              <w:pStyle w:val="Normal6a"/>
            </w:pPr>
            <w:r>
              <w:t>19.</w:t>
            </w:r>
            <w:r>
              <w:tab/>
            </w:r>
            <w:r>
              <w:t xml:space="preserve">Stresses </w:t>
            </w:r>
            <w:r>
              <w:rPr>
                <w:b/>
                <w:i/>
              </w:rPr>
              <w:t>that</w:t>
            </w:r>
            <w:r>
              <w:t xml:space="preserve"> participation </w:t>
            </w:r>
            <w:r>
              <w:rPr>
                <w:b/>
                <w:i/>
              </w:rPr>
              <w:t>in</w:t>
            </w:r>
            <w:r>
              <w:t xml:space="preserve"> peace processes </w:t>
            </w:r>
            <w:r>
              <w:rPr>
                <w:b/>
                <w:i/>
              </w:rPr>
              <w:t>and diplomatic negotiations must depend solely on diplomatic expertise, professional qualifications and strategic skill, and objects to any gender-based quotas or non-merit-based criteria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Stresses the important contributions made by women and women’s organisations to promoting peace; calls for the EU to promote the full, equal and meaningful participation of women at all stages of peace processes;</w:t>
            </w:r>
          </w:p>
        </w:tc>
        <w:tc>
          <w:tcPr>
            <w:tcW w:w="4876" w:type="dxa"/>
            <w:tcBorders>
              <w:top w:val="nil"/>
              <w:left w:val="nil"/>
              <w:bottom w:val="nil"/>
              <w:right w:val="nil"/>
            </w:tcBorders>
          </w:tcPr>
          <w:p>
            <w:pPr>
              <w:pStyle w:val="Normal6a"/>
            </w:pPr>
            <w:r>
              <w:t>19.</w:t>
            </w:r>
            <w:r>
              <w:tab/>
            </w:r>
            <w:r>
              <w:t>Stresses the important contributions made by women and women’s organisations to promoting peace; calls for the EU to promote the full, equal and meaningful participation of women at all stages of peace processes</w:t>
            </w:r>
            <w:r>
              <w:rPr>
                <w:b/>
                <w:i/>
              </w:rPr>
              <w:t>, and to cooperate with the competent authorities at national and international level to ensure women are protected in difficult situations where their life may be at risk</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Leire Pajín, Lina Gálvez, Marit Maij,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Calls on the Commission and the High Representative to establish a systematic standard for women's meaningful participation in EU-supported peace and mediation processes, including the structured participation of women-led civil society and appropriate gender expertise within mediation teams;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Encourages and supports coordination with Member States to strengthen implementation of their WPS National Action Plans, building on GAP III's existing commitment to shared strategic vision and close cooperation with Member States, including through prioritising WPS within CLIPs, with realistic implementation plans and national budgets centred on community-based, women-led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Giusi Princi,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Reiterates the need to prevent and combat </w:t>
            </w:r>
            <w:r>
              <w:rPr>
                <w:b/>
                <w:i/>
              </w:rPr>
              <w:t>conflict-related</w:t>
            </w:r>
            <w:r>
              <w:t xml:space="preserve"> sexual violence;</w:t>
            </w:r>
          </w:p>
        </w:tc>
        <w:tc>
          <w:tcPr>
            <w:tcW w:w="4876" w:type="dxa"/>
            <w:tcBorders>
              <w:top w:val="nil"/>
              <w:left w:val="nil"/>
              <w:bottom w:val="nil"/>
              <w:right w:val="nil"/>
            </w:tcBorders>
          </w:tcPr>
          <w:p>
            <w:pPr>
              <w:pStyle w:val="Normal6a"/>
            </w:pPr>
            <w:r>
              <w:t>20.</w:t>
            </w:r>
            <w:r>
              <w:tab/>
            </w:r>
            <w:r>
              <w:t xml:space="preserve">Reiterates the need to prevent and combat </w:t>
            </w:r>
            <w:r>
              <w:rPr>
                <w:b/>
                <w:i/>
              </w:rPr>
              <w:t>sexual violence in situations of conflict, crisis and fragility; condemns the use of</w:t>
            </w:r>
            <w:r>
              <w:t xml:space="preserve"> sexual violence </w:t>
            </w:r>
            <w:r>
              <w:rPr>
                <w:b/>
                <w:i/>
              </w:rPr>
              <w:t>as a weapon of war</w:t>
            </w:r>
            <w:r>
              <w:t xml:space="preserve">; </w:t>
            </w:r>
            <w:r>
              <w:rPr>
                <w:b/>
                <w:i/>
              </w:rPr>
              <w:t>calls for an end to impunity by ensuring that perpetrators are held accountable and brought to justice; stresses the need to ensure that women and girls who have experienced sexual violence, in particular women and girls with disabilities, who may be at heightened risk of violence and face additional barriers to accessing justice and support services, have access to adequate, comprehensive and survivor-centred care and support, effective and timely remedies and reparations, and measures supporting their reintegration into society, including by addressing the stigma and discrimination they frequently face;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Reiterates the need to prevent and combat conflict-related sexual violence;</w:t>
            </w:r>
          </w:p>
        </w:tc>
        <w:tc>
          <w:tcPr>
            <w:tcW w:w="4876" w:type="dxa"/>
            <w:tcBorders>
              <w:top w:val="nil"/>
              <w:left w:val="nil"/>
              <w:bottom w:val="nil"/>
              <w:right w:val="nil"/>
            </w:tcBorders>
          </w:tcPr>
          <w:p>
            <w:pPr>
              <w:pStyle w:val="Normal6a"/>
            </w:pPr>
            <w:r>
              <w:t>20.</w:t>
            </w:r>
            <w:r>
              <w:tab/>
            </w:r>
            <w:r>
              <w:t xml:space="preserve">Reiterates the need to prevent and combat conflict-related sexual violence </w:t>
            </w:r>
            <w:r>
              <w:rPr>
                <w:b/>
                <w:i/>
              </w:rPr>
              <w:t>and to </w:t>
            </w:r>
            <w:r>
              <w:rPr>
                <w:b/>
                <w:i/>
              </w:rPr>
              <w:t>ensure accountability for perpetrators and provide survivors with comprehensive, confidential and survivor-centred services, including psychosocial support, sexual and reproductive healthcare, emergency contraception, safe and accessible abortion and post-abortion care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Reiterates the need to prevent and combat conflict-related sexual violence;</w:t>
            </w:r>
          </w:p>
        </w:tc>
        <w:tc>
          <w:tcPr>
            <w:tcW w:w="4876" w:type="dxa"/>
            <w:tcBorders>
              <w:top w:val="nil"/>
              <w:left w:val="nil"/>
              <w:bottom w:val="nil"/>
              <w:right w:val="nil"/>
            </w:tcBorders>
          </w:tcPr>
          <w:p>
            <w:pPr>
              <w:pStyle w:val="Normal6a"/>
            </w:pPr>
            <w:r>
              <w:t>20.</w:t>
            </w:r>
            <w:r>
              <w:tab/>
            </w:r>
            <w:r>
              <w:t xml:space="preserve">Reiterates the need to prevent and combat conflict-related sexual violence </w:t>
            </w:r>
            <w:r>
              <w:rPr>
                <w:b/>
                <w:i/>
              </w:rPr>
              <w:t>(CRSV) through victim- and survivor-centred approaches, including funding for local organisations that support survivors and document cases, as well as by firmly defending international humanitarian law (IHL) in all contexts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Reiterates the need to prevent and combat conflict-related sexual violence;</w:t>
            </w:r>
          </w:p>
        </w:tc>
        <w:tc>
          <w:tcPr>
            <w:tcW w:w="4876" w:type="dxa"/>
            <w:tcBorders>
              <w:top w:val="nil"/>
              <w:left w:val="nil"/>
              <w:bottom w:val="nil"/>
              <w:right w:val="nil"/>
            </w:tcBorders>
          </w:tcPr>
          <w:p>
            <w:pPr>
              <w:pStyle w:val="Normal6a"/>
            </w:pPr>
            <w:r>
              <w:t>20.</w:t>
            </w:r>
            <w:r>
              <w:tab/>
            </w:r>
            <w:r>
              <w:t>Reiterates the need to prevent and combat conflict-related sexual violence</w:t>
            </w:r>
            <w:r>
              <w:rPr>
                <w:b/>
                <w:i/>
              </w:rPr>
              <w:t>, strengthen survivor-centred prevention, response, justice and reparation for GBV, including for conflict-related sexual violence (CRSV) and firmly defend international humanitarian law (IHL) in all contexts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Reiterates the need to prevent and combat conflict-related sexual violence;</w:t>
            </w:r>
          </w:p>
        </w:tc>
        <w:tc>
          <w:tcPr>
            <w:tcW w:w="4876" w:type="dxa"/>
            <w:tcBorders>
              <w:top w:val="nil"/>
              <w:left w:val="nil"/>
              <w:bottom w:val="nil"/>
              <w:right w:val="nil"/>
            </w:tcBorders>
          </w:tcPr>
          <w:p>
            <w:pPr>
              <w:pStyle w:val="Normal6a"/>
            </w:pPr>
            <w:r>
              <w:t>20.</w:t>
            </w:r>
            <w:r>
              <w:tab/>
            </w:r>
            <w:r>
              <w:t xml:space="preserve">Reiterates the need to prevent and combat conflict-related sexual violence; </w:t>
            </w:r>
            <w:r>
              <w:rPr>
                <w:b/>
                <w:i/>
              </w:rPr>
              <w:t>calls for survivor-centred prevention, protection and response, access to comprehensive services and justice, and stresses the obligation to uphold international humanitarian law and ensure accountability for violations;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Reiterates the need to prevent and combat conflict-related sexual violence;</w:t>
            </w:r>
          </w:p>
        </w:tc>
        <w:tc>
          <w:tcPr>
            <w:tcW w:w="4876" w:type="dxa"/>
            <w:tcBorders>
              <w:top w:val="nil"/>
              <w:left w:val="nil"/>
              <w:bottom w:val="nil"/>
              <w:right w:val="nil"/>
            </w:tcBorders>
          </w:tcPr>
          <w:p>
            <w:pPr>
              <w:pStyle w:val="Normal6a"/>
            </w:pPr>
            <w:r>
              <w:t>20.</w:t>
            </w:r>
            <w:r>
              <w:tab/>
            </w:r>
            <w:r>
              <w:t>Reiterates the need to prevent and combat conflict-related sexual violence</w:t>
            </w:r>
            <w:r>
              <w:rPr>
                <w:b/>
                <w:i/>
              </w:rPr>
              <w:t>, domestic and intimate-partner violence, and to ensure effective protection, access to justice and accountability for perpetrators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Reiterates the</w:t>
            </w:r>
            <w:r>
              <w:t xml:space="preserve"> need to prevent and combat conflict-related sexual violence</w:t>
            </w:r>
            <w:r>
              <w:rPr>
                <w:b/>
                <w:i/>
              </w:rPr>
              <w:t>;</w:t>
            </w:r>
          </w:p>
        </w:tc>
        <w:tc>
          <w:tcPr>
            <w:tcW w:w="4876" w:type="dxa"/>
            <w:tcBorders>
              <w:top w:val="nil"/>
              <w:left w:val="nil"/>
              <w:bottom w:val="nil"/>
              <w:right w:val="nil"/>
            </w:tcBorders>
          </w:tcPr>
          <w:p>
            <w:pPr>
              <w:pStyle w:val="Normal6a"/>
            </w:pPr>
            <w:r>
              <w:t>20.</w:t>
            </w:r>
            <w:r>
              <w:tab/>
            </w:r>
            <w:r>
              <w:rPr>
                <w:b/>
                <w:i/>
              </w:rPr>
              <w:t>Reaffirms the urgent</w:t>
            </w:r>
            <w:r>
              <w:t xml:space="preserve"> need to prevent and combat conflict-related sexual violence </w:t>
            </w:r>
            <w:r>
              <w:rPr>
                <w:b/>
                <w:i/>
              </w:rPr>
              <w:t>as a serious war crime, and calls for perpetrators to be systematically prosecuted and held accountable under national and international criminal law.</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Reiterates the need to prevent and combat conflict-related sexual violence;</w:t>
            </w:r>
          </w:p>
        </w:tc>
        <w:tc>
          <w:tcPr>
            <w:tcW w:w="4876" w:type="dxa"/>
            <w:tcBorders>
              <w:top w:val="nil"/>
              <w:left w:val="nil"/>
              <w:bottom w:val="nil"/>
              <w:right w:val="nil"/>
            </w:tcBorders>
          </w:tcPr>
          <w:p>
            <w:pPr>
              <w:pStyle w:val="Normal6a"/>
            </w:pPr>
            <w:r>
              <w:t>20.</w:t>
            </w:r>
            <w:r>
              <w:tab/>
            </w:r>
            <w:r>
              <w:rPr>
                <w:b/>
                <w:i/>
              </w:rPr>
              <w:t>Is alarmed that rape remains one of the most widespread human rights violations;</w:t>
            </w:r>
            <w:r>
              <w:t xml:space="preserve"> Reiterates the need to prevent and combat conflict-related sexual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Reiterates the need to prevent and combat conflict-related sexual violence;</w:t>
            </w:r>
          </w:p>
        </w:tc>
        <w:tc>
          <w:tcPr>
            <w:tcW w:w="4876" w:type="dxa"/>
            <w:tcBorders>
              <w:top w:val="nil"/>
              <w:left w:val="nil"/>
              <w:bottom w:val="nil"/>
              <w:right w:val="nil"/>
            </w:tcBorders>
          </w:tcPr>
          <w:p>
            <w:pPr>
              <w:pStyle w:val="Normal6a"/>
            </w:pPr>
            <w:r>
              <w:t>20.</w:t>
            </w:r>
            <w:r>
              <w:tab/>
            </w:r>
            <w:r>
              <w:t xml:space="preserve">Reiterates the need </w:t>
            </w:r>
            <w:r>
              <w:rPr>
                <w:b/>
                <w:i/>
              </w:rPr>
              <w:t>for measures</w:t>
            </w:r>
            <w:r>
              <w:t xml:space="preserve"> to prevent and combat conflict-related sexual violence</w:t>
            </w:r>
            <w:r>
              <w:rPr>
                <w:b/>
                <w:i/>
              </w:rPr>
              <w:t>, alongside combating the trafficking of women for sexual exploitation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Reiterates the importance of inclusive reconstruction processes that are locally led, conflict-sensitive and take into account the needs and perspectives of women and girls, persons with disabilities, displaced persons, LGBTIQ+ persons and other groups facing heightened vulnerability or marginalisation;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Requires an inclusive rapid gender and conflict analysis and disaggregated data by sex, age and disability in every EU-funded humanitarian operation from day one, in line with the principles of safety, confidentiality and do-no-harm;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Stresses the importance of advancing WPS commitments through involvement of the EEAS and EU Special Representatives;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Calls for the implementation of GAP IV to strengthen humanitarian action by safeguarding the humanitarian principles of humanity, impartiality, neutrality and independence, while ensuring that the specific needs and rights of women and girls are taken into account;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gender-responsive Global Gateway strategy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Calls for a special focus on how to enhance gender equality through Global Gateway operations;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Calls for a special focus on how to enhance gender equality through</w:t>
            </w:r>
            <w:r>
              <w:t xml:space="preserve"> Global Gateway operations;</w:t>
            </w:r>
          </w:p>
        </w:tc>
        <w:tc>
          <w:tcPr>
            <w:tcW w:w="4876" w:type="dxa"/>
            <w:tcBorders>
              <w:top w:val="nil"/>
              <w:left w:val="nil"/>
              <w:bottom w:val="nil"/>
              <w:right w:val="nil"/>
            </w:tcBorders>
          </w:tcPr>
          <w:p>
            <w:pPr>
              <w:pStyle w:val="Normal6a"/>
            </w:pPr>
            <w:r>
              <w:t>21.</w:t>
            </w:r>
            <w:r>
              <w:tab/>
            </w:r>
            <w:r>
              <w:rPr>
                <w:b/>
                <w:i/>
              </w:rPr>
              <w:t>Considers that where EU financing is provided via</w:t>
            </w:r>
            <w:r>
              <w:t xml:space="preserve"> Global Gateway operations</w:t>
            </w:r>
            <w:r>
              <w:rPr>
                <w:b/>
                <w:i/>
              </w:rPr>
              <w:t>, it should be limited to projects that demonstrably serve the strategic and economic interests of the Member States, including by strengthening competitiveness, energy security, supply-chain resilience, market access, cooperation on readmission and return of illegal migrants staying in the Member States, and strategic infrastructure links</w:t>
            </w:r>
            <w:r>
              <w:t xml:space="preserve">; </w:t>
            </w:r>
            <w:r>
              <w:rPr>
                <w:b/>
                <w:i/>
              </w:rPr>
              <w:t>calls for transparent assessment of the concrete benefits accruing to the Member States before public funding is committed;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Marc Jongen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Calls for a special focus on how to enhance</w:t>
            </w:r>
            <w:r>
              <w:t xml:space="preserve"> gender equality </w:t>
            </w:r>
            <w:r>
              <w:rPr>
                <w:b/>
                <w:i/>
              </w:rPr>
              <w:t>through Global Gateway operations</w:t>
            </w:r>
            <w:r>
              <w:t>;</w:t>
            </w:r>
          </w:p>
        </w:tc>
        <w:tc>
          <w:tcPr>
            <w:tcW w:w="4876" w:type="dxa"/>
            <w:tcBorders>
              <w:top w:val="nil"/>
              <w:left w:val="nil"/>
              <w:bottom w:val="nil"/>
              <w:right w:val="nil"/>
            </w:tcBorders>
          </w:tcPr>
          <w:p>
            <w:pPr>
              <w:pStyle w:val="Normal6a"/>
            </w:pPr>
            <w:r>
              <w:t>21.</w:t>
            </w:r>
            <w:r>
              <w:tab/>
            </w:r>
            <w:r>
              <w:rPr>
                <w:b/>
                <w:i/>
              </w:rPr>
              <w:t>Recommends that Global-Gateway operations take</w:t>
            </w:r>
            <w:r>
              <w:t xml:space="preserve"> gender equality </w:t>
            </w:r>
            <w:r>
              <w:rPr>
                <w:b/>
                <w:i/>
              </w:rPr>
              <w:t>into account</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Calls </w:t>
            </w:r>
            <w:r>
              <w:rPr>
                <w:b/>
                <w:i/>
              </w:rPr>
              <w:t>for a special focus on how to enhance gender equality through</w:t>
            </w:r>
            <w:r>
              <w:t xml:space="preserve"> Global Gateway </w:t>
            </w:r>
            <w:r>
              <w:rPr>
                <w:b/>
                <w:i/>
              </w:rPr>
              <w:t>operations</w:t>
            </w:r>
            <w:r>
              <w:t>;</w:t>
            </w:r>
          </w:p>
        </w:tc>
        <w:tc>
          <w:tcPr>
            <w:tcW w:w="4876" w:type="dxa"/>
            <w:tcBorders>
              <w:top w:val="nil"/>
              <w:left w:val="nil"/>
              <w:bottom w:val="nil"/>
              <w:right w:val="nil"/>
            </w:tcBorders>
          </w:tcPr>
          <w:p>
            <w:pPr>
              <w:pStyle w:val="Normal6a"/>
            </w:pPr>
            <w:r>
              <w:t>21.</w:t>
            </w:r>
            <w:r>
              <w:tab/>
            </w:r>
            <w:r>
              <w:t xml:space="preserve">Calls </w:t>
            </w:r>
            <w:r>
              <w:rPr>
                <w:b/>
                <w:i/>
              </w:rPr>
              <w:t>on the Commission to improve the effectiveness of</w:t>
            </w:r>
            <w:r>
              <w:t xml:space="preserve"> Global Gateway </w:t>
            </w:r>
            <w:r>
              <w:rPr>
                <w:b/>
                <w:i/>
              </w:rPr>
              <w:t>investments and to ensure that their benefits are mutual for the EU Members States and relevant partner countries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Calls for a </w:t>
            </w:r>
            <w:r>
              <w:rPr>
                <w:b/>
                <w:i/>
              </w:rPr>
              <w:t>special</w:t>
            </w:r>
            <w:r>
              <w:t xml:space="preserve"> focus on </w:t>
            </w:r>
            <w:r>
              <w:rPr>
                <w:b/>
                <w:i/>
              </w:rPr>
              <w:t>how to enhance</w:t>
            </w:r>
            <w:r>
              <w:t xml:space="preserve"> gender equality through Global Gateway operations;</w:t>
            </w:r>
          </w:p>
        </w:tc>
        <w:tc>
          <w:tcPr>
            <w:tcW w:w="4876" w:type="dxa"/>
            <w:tcBorders>
              <w:top w:val="nil"/>
              <w:left w:val="nil"/>
              <w:bottom w:val="nil"/>
              <w:right w:val="nil"/>
            </w:tcBorders>
          </w:tcPr>
          <w:p>
            <w:pPr>
              <w:pStyle w:val="Normal6a"/>
            </w:pPr>
            <w:r>
              <w:t>21.</w:t>
            </w:r>
            <w:r>
              <w:tab/>
            </w:r>
            <w:r>
              <w:t xml:space="preserve">Calls for a </w:t>
            </w:r>
            <w:r>
              <w:rPr>
                <w:b/>
                <w:i/>
              </w:rPr>
              <w:t>stronger</w:t>
            </w:r>
            <w:r>
              <w:t xml:space="preserve"> focus on </w:t>
            </w:r>
            <w:r>
              <w:rPr>
                <w:b/>
                <w:i/>
              </w:rPr>
              <w:t>advancing</w:t>
            </w:r>
            <w:r>
              <w:t xml:space="preserve"> gender equality through Global Gateway operations </w:t>
            </w:r>
            <w:r>
              <w:rPr>
                <w:b/>
                <w:i/>
              </w:rPr>
              <w:t>and for gender equality to be systematically mainstreamed across all Global Gateway projects, including gender budgeting and transparent tracking of gender-related expenditure and ex-ante and ex-post gender impact assessments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for a special focus on how to enhance gender equality through Global Gateway operations;</w:t>
            </w:r>
          </w:p>
        </w:tc>
        <w:tc>
          <w:tcPr>
            <w:tcW w:w="4876" w:type="dxa"/>
            <w:tcBorders>
              <w:top w:val="nil"/>
              <w:left w:val="nil"/>
              <w:bottom w:val="nil"/>
              <w:right w:val="nil"/>
            </w:tcBorders>
          </w:tcPr>
          <w:p>
            <w:pPr>
              <w:pStyle w:val="Normal6a"/>
            </w:pPr>
            <w:r>
              <w:t>21.</w:t>
            </w:r>
            <w:r>
              <w:tab/>
            </w:r>
            <w:r>
              <w:t xml:space="preserve">Calls for a special focus on how to enhance gender equality through Global Gateway operations </w:t>
            </w:r>
            <w:r>
              <w:rPr>
                <w:b/>
                <w:i/>
              </w:rPr>
              <w:t>in line with its recognition as one of the principles in the 360-degree approach, demanding mandatory gender analyses and risk assessments, in the design and evaluation of investment projects</w:t>
            </w:r>
            <w:r>
              <w:t xml:space="preserve">; </w:t>
            </w:r>
            <w:r>
              <w:rPr>
                <w:b/>
                <w:i/>
              </w:rPr>
              <w:t>capacity building for project managers and implementing partners to take into account the gender dimension of actions supported; and strengthen gender equality, conflict sensitivity, and human rights safeguards in Global Gateway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for a special focus on how to enhance gender equality through Global Gateway operations;</w:t>
            </w:r>
          </w:p>
        </w:tc>
        <w:tc>
          <w:tcPr>
            <w:tcW w:w="4876" w:type="dxa"/>
            <w:tcBorders>
              <w:top w:val="nil"/>
              <w:left w:val="nil"/>
              <w:bottom w:val="nil"/>
              <w:right w:val="nil"/>
            </w:tcBorders>
          </w:tcPr>
          <w:p>
            <w:pPr>
              <w:pStyle w:val="Normal6a"/>
            </w:pPr>
            <w:r>
              <w:t>21.</w:t>
            </w:r>
            <w:r>
              <w:tab/>
            </w:r>
            <w:r>
              <w:t>Calls for a special focus on how to enhance gender equality through Global Gateway operations</w:t>
            </w:r>
            <w:r>
              <w:rPr>
                <w:b/>
                <w:i/>
              </w:rPr>
              <w:t>, notably through gender mainstreaming across its strategic sectors, namely in energy, infrastructure, digitalisation, raw materials and industrial policy, with the view to enable gender-transformative change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for a special focus on how to enhance gender equality through Global Gateway operations;</w:t>
            </w:r>
          </w:p>
        </w:tc>
        <w:tc>
          <w:tcPr>
            <w:tcW w:w="4876" w:type="dxa"/>
            <w:tcBorders>
              <w:top w:val="nil"/>
              <w:left w:val="nil"/>
              <w:bottom w:val="nil"/>
              <w:right w:val="nil"/>
            </w:tcBorders>
          </w:tcPr>
          <w:p>
            <w:pPr>
              <w:pStyle w:val="Normal6a"/>
            </w:pPr>
            <w:r>
              <w:t>21.</w:t>
            </w:r>
            <w:r>
              <w:tab/>
            </w:r>
            <w:r>
              <w:t xml:space="preserve">Calls for a special focus on how to enhance gender equality through Global Gateway operations </w:t>
            </w:r>
            <w:r>
              <w:rPr>
                <w:b/>
                <w:i/>
              </w:rPr>
              <w:t>while ensuring European competitiveness on the global level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Mélissa Camara, 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Calls on the Commission to make gender a core investment principle by mandating intersectional gender analysis in the ex-ante and ex-post assessment of all Global Gateway investments, examining how they affect women and girls and men and boys differently, identifying protection and GBV risks, and ensuring women's and girls' full, safe, equal and meaningful participation and benefit from the outset;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Calls on the Commission to make gender a core investment principle by mandating intersectional gender analysis in the ex-ante and ex-post assessment of all Global Gateway investments, examining how they affect women and girls and men and boys differently, identifying protection and GBV risks, and ensuring women's and girls' full, safe, equal and meaningful participation and benefit from the outset;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Stresses that Global Gateway projects should be subject to gender-sensitive analysis on conflict, environmental and social risks, and that findings from such analysis must be mandatory, transparent and tied to concrete accountability mechanisms, including the budget expenditure tracking and performance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Stresses that investments in infrastructure, energy, transport, digitalisation and other large-scale projects should be subject to prior intersectional gender impact assessments and should not reinforce existing inequalities or discrimination, nor exacerbate the risk of gender-based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Considers that all Global Gateway projects should include measurable gender equality objectives and indicators, together with effective monitoring and accountability mechanisms; stresses that the increasing involvement of private finance should not dilute EU commitments to gender equality, human rights and sustainable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Calls on the Commission to mandate measurable gender indicators linked to performance requirements for all Global Gateway investment vehicles, including blended finance, to prevent gender commitments from being diluted as private sector involvement increases;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Calls on the Commission to require Global Gateway private sector partners to adhere to gender equality standards, including gender pay gap reporting, gender-neutral job classification systems, policies against workplace sexual harassment — including the implementation of ILO Convention 190 — and board-level gender balance targets consistent with EU directives;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Mélissa Camara, 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Calls on the Commission to require Global Gateway private sector partners to adhere to gender equality standards, including gender pay gap reporting, gender-neutral job classification systems, policies against workplace sexual harassment - including the implementation of ILO Convention 190 - and board-level gender balance targets consistent with EU directives;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Underlines that Global Gateway investments must be based on the full, safe, equal and meaningful participation and leadership of women; calls on the Commission to require minimum standards for women's participation and benefit-sharing across all investment stages — design, implementation, monitoring and accountability — and invest in women's leadership in sectors covered by Global Gateway, such as energy, digital infrastructure and transport, where women remain systematically underrepresented;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Encourages the EU to engage with development finance institutions to integrate women’s rights in all relevant stages of the Global Gateway investment cycle;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Encourages the EU to engage with development finance institutions to </w:t>
            </w:r>
            <w:r>
              <w:rPr>
                <w:b/>
                <w:i/>
              </w:rPr>
              <w:t>integrate women’s rights in all relevant stages of the</w:t>
            </w:r>
            <w:r>
              <w:t xml:space="preserve"> Global Gateway </w:t>
            </w:r>
            <w:r>
              <w:rPr>
                <w:b/>
                <w:i/>
              </w:rPr>
              <w:t>investment cycle</w:t>
            </w:r>
            <w:r>
              <w:t>;</w:t>
            </w:r>
          </w:p>
        </w:tc>
        <w:tc>
          <w:tcPr>
            <w:tcW w:w="4876" w:type="dxa"/>
            <w:tcBorders>
              <w:top w:val="nil"/>
              <w:left w:val="nil"/>
              <w:bottom w:val="nil"/>
              <w:right w:val="nil"/>
            </w:tcBorders>
          </w:tcPr>
          <w:p>
            <w:pPr>
              <w:pStyle w:val="Normal6a"/>
            </w:pPr>
            <w:r>
              <w:t>22.</w:t>
            </w:r>
            <w:r>
              <w:tab/>
            </w:r>
            <w:r>
              <w:t xml:space="preserve">Encourages the EU to engage with development finance institutions to </w:t>
            </w:r>
            <w:r>
              <w:rPr>
                <w:b/>
                <w:i/>
              </w:rPr>
              <w:t>ensure that</w:t>
            </w:r>
            <w:r>
              <w:t xml:space="preserve"> Global Gateway </w:t>
            </w:r>
            <w:r>
              <w:rPr>
                <w:b/>
                <w:i/>
              </w:rPr>
              <w:t>investments deliver tangible economic benefits for the Member States, in particular by strengthening market access, supply chains and opportunities for European businesses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Encourages the EU to engage with development finance institutions to integrate women’s rights in </w:t>
            </w:r>
            <w:r>
              <w:rPr>
                <w:b/>
                <w:i/>
              </w:rPr>
              <w:t>all</w:t>
            </w:r>
            <w:r>
              <w:t xml:space="preserve"> relevant stages of the Global Gateway investment cycle;</w:t>
            </w:r>
          </w:p>
        </w:tc>
        <w:tc>
          <w:tcPr>
            <w:tcW w:w="4876" w:type="dxa"/>
            <w:tcBorders>
              <w:top w:val="nil"/>
              <w:left w:val="nil"/>
              <w:bottom w:val="nil"/>
              <w:right w:val="nil"/>
            </w:tcBorders>
          </w:tcPr>
          <w:p>
            <w:pPr>
              <w:pStyle w:val="Normal6a"/>
            </w:pPr>
            <w:r>
              <w:t>22.</w:t>
            </w:r>
            <w:r>
              <w:tab/>
            </w:r>
            <w:r>
              <w:t>Encourages the EU to engage with development finance institutions to integrate women’s rights in relevant stages of the Global Gateway investment cycle</w:t>
            </w:r>
            <w:r>
              <w:rPr>
                <w:b/>
                <w:i/>
              </w:rPr>
              <w:t>, while preserving the European competitivness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Mélissa Camara, 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Encourages the EU to engage with development finance institutions to integrate women’s rights in all relevant stages of the Global Gateway investment cycle;</w:t>
            </w:r>
          </w:p>
        </w:tc>
        <w:tc>
          <w:tcPr>
            <w:tcW w:w="4876" w:type="dxa"/>
            <w:tcBorders>
              <w:top w:val="nil"/>
              <w:left w:val="nil"/>
              <w:bottom w:val="nil"/>
              <w:right w:val="nil"/>
            </w:tcBorders>
          </w:tcPr>
          <w:p>
            <w:pPr>
              <w:pStyle w:val="Normal6a"/>
            </w:pPr>
            <w:r>
              <w:t>22.</w:t>
            </w:r>
            <w:r>
              <w:tab/>
            </w:r>
            <w:r>
              <w:t>Encourages the EU to engage with development finance institutions to integrate women’s rights in all relevant stages of the Global Gateway investment cycle</w:t>
            </w:r>
            <w:r>
              <w:rPr>
                <w:b/>
                <w:i/>
              </w:rPr>
              <w:t>, including through gender-responsive public-private dialogues that involve women-led businesses and gender-sensitive investors alongside local and regional governments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Encourages the EU to engage with development finance institutions to integrate women’s rights in all relevant stages of the Global Gateway investment cycle;</w:t>
            </w:r>
          </w:p>
        </w:tc>
        <w:tc>
          <w:tcPr>
            <w:tcW w:w="4876" w:type="dxa"/>
            <w:tcBorders>
              <w:top w:val="nil"/>
              <w:left w:val="nil"/>
              <w:bottom w:val="nil"/>
              <w:right w:val="nil"/>
            </w:tcBorders>
          </w:tcPr>
          <w:p>
            <w:pPr>
              <w:pStyle w:val="Normal6a"/>
            </w:pPr>
            <w:r>
              <w:t>22.</w:t>
            </w:r>
            <w:r>
              <w:tab/>
            </w:r>
            <w:r>
              <w:t>Encourages the EU to engage with development finance institutions to integrate women’s rights in all relevant stages of the Global Gateway investment cycle</w:t>
            </w:r>
            <w:r>
              <w:rPr>
                <w:b/>
                <w:i/>
              </w:rPr>
              <w:t>, including through synergies between the public-private sectors and women-led businesses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Underlines that Global Gateway investments must align with the targets set in Global Europe, and ensure women’s full, equal and meaningful participation and leadership, including through minimum standards for participation and benefit-sharing and stronger support for women in sectors where they remain underrepresented, such as energy, digital infrastructure and transport;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Mélissa Camara, 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Underlines that Global Gateway investments must be based on the full, safe, equal and meaningful participation and leadership of women; calls on the Commission to require minimum standards for women's participation and benefit-sharing across all investment stages - design, implementation, monitoring and accountability - and invest in women's leadership in sectors covered by Global Gateway, such as energy, digital infrastructure and transport, where women remain systematically underrepresented;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Calls for Global Gateway investments to promote the meaningful participation and leadership of women, including through greater opportunities to contribute to the design, implementation and monitoring of projects and to benefit from investments in sectors where women remain underrepresented, such as energy, digital infrastructure and transport;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Reiterates the weakened oversight of mainstreamed blended finance, as noted by the Court of Auditors, and stresses the importance of Parliamentary scrutiny for democratic accountability; calls for institutional safeguards in line with lessons learned from the current NDICI instrument, including regarding blended finance, guarantees and loans, as well as continued commitment to gender equality and sustainability targets;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Calls for EU financial support and guarantees for private-sector operations to be conditional on compliance with applicable human rights, labour and gender equality standards, including measures against discrimination, unequal pay and sexual harassment at 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Mélissa Camara, 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Calls on the EU to recognise care as essential infrastructure within Global Gateway and Team Europe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Mélissa Camara, 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Recognises the role of local and regional governments in investment dialogues, licensing and operational planning to ensure that infrastructure meets real local needs with a gender perspective;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Calls for support for </w:t>
            </w:r>
            <w:r>
              <w:rPr>
                <w:b/>
                <w:i/>
              </w:rPr>
              <w:t>women’s contribution to and</w:t>
            </w:r>
            <w:r>
              <w:t xml:space="preserve"> participation in agriculture</w:t>
            </w:r>
            <w:r>
              <w:rPr>
                <w:b/>
                <w:i/>
              </w:rPr>
              <w:t>, in the action against climate change and biodiversity loss</w:t>
            </w:r>
            <w:r>
              <w:t>;</w:t>
            </w:r>
          </w:p>
        </w:tc>
        <w:tc>
          <w:tcPr>
            <w:tcW w:w="4876" w:type="dxa"/>
            <w:tcBorders>
              <w:top w:val="nil"/>
              <w:left w:val="nil"/>
              <w:bottom w:val="nil"/>
              <w:right w:val="nil"/>
            </w:tcBorders>
          </w:tcPr>
          <w:p>
            <w:pPr>
              <w:pStyle w:val="Normal6a"/>
            </w:pPr>
            <w:r>
              <w:t>23.</w:t>
            </w:r>
            <w:r>
              <w:tab/>
            </w:r>
            <w:r>
              <w:t>Calls for support for </w:t>
            </w:r>
            <w:r>
              <w:rPr>
                <w:b/>
                <w:i/>
              </w:rPr>
              <w:t>the agricultural sector in order to ensure food security and economic resilience, but stresses that</w:t>
            </w:r>
            <w:r>
              <w:t xml:space="preserve"> participation in agriculture </w:t>
            </w:r>
            <w:r>
              <w:rPr>
                <w:b/>
                <w:i/>
              </w:rPr>
              <w:t>and eco-management must be strictly based on market needs and qualifications, and objects to any gender-based distribution of aid</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Calls for support for women’s contribution to and participation in agriculture, in the action against climate change and biodiversity loss;</w:t>
            </w:r>
          </w:p>
        </w:tc>
        <w:tc>
          <w:tcPr>
            <w:tcW w:w="4876" w:type="dxa"/>
            <w:tcBorders>
              <w:top w:val="nil"/>
              <w:left w:val="nil"/>
              <w:bottom w:val="nil"/>
              <w:right w:val="nil"/>
            </w:tcBorders>
          </w:tcPr>
          <w:p>
            <w:pPr>
              <w:pStyle w:val="Normal6a"/>
            </w:pPr>
            <w:r>
              <w:t>23.</w:t>
            </w:r>
            <w:r>
              <w:tab/>
            </w:r>
            <w:r>
              <w:t xml:space="preserve">Calls for </w:t>
            </w:r>
            <w:r>
              <w:rPr>
                <w:b/>
                <w:i/>
              </w:rPr>
              <w:t>the encouragement of and</w:t>
            </w:r>
            <w:r>
              <w:t xml:space="preserve"> support for women’s contribution to and participation in agriculture, </w:t>
            </w:r>
            <w:r>
              <w:rPr>
                <w:b/>
                <w:i/>
              </w:rPr>
              <w:t>including through entrepreneurship in rural areas, which would help reduce village depopulation, as well as their contribution to and participation</w:t>
            </w:r>
            <w:r>
              <w:t xml:space="preserve"> in the action against climate change and biodiversity loss;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Calls for support for women’s contribution to and participation in agriculture, in the action against climate change and biodiversity loss;</w:t>
            </w:r>
          </w:p>
        </w:tc>
        <w:tc>
          <w:tcPr>
            <w:tcW w:w="4876" w:type="dxa"/>
            <w:tcBorders>
              <w:top w:val="nil"/>
              <w:left w:val="nil"/>
              <w:bottom w:val="nil"/>
              <w:right w:val="nil"/>
            </w:tcBorders>
          </w:tcPr>
          <w:p>
            <w:pPr>
              <w:pStyle w:val="Normal6a"/>
            </w:pPr>
            <w:r>
              <w:t>23.</w:t>
            </w:r>
            <w:r>
              <w:tab/>
            </w:r>
            <w:r>
              <w:rPr>
                <w:b/>
                <w:i/>
              </w:rPr>
              <w:t>Stresses that nearly a third of women’s employment globally is in agriculture, forestry, and fishing sectors heavily dependent on healthy ecosystems; yet they often lack legal rights to the land they work on, access to finance; furthermore, women are often excluded or underrepresented in decision-making processes and poorly considered in budget allocations and conservation initiatives ;</w:t>
            </w:r>
            <w:r>
              <w:t xml:space="preserve"> calls for support for women’s contribution to and participation in agriculture, in the action against climate change and biodiversity loss;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Calls for support for women’s contribution to and participation in agriculture, in the action against climate change and biodiversity loss;</w:t>
            </w:r>
          </w:p>
        </w:tc>
        <w:tc>
          <w:tcPr>
            <w:tcW w:w="4876" w:type="dxa"/>
            <w:tcBorders>
              <w:top w:val="nil"/>
              <w:left w:val="nil"/>
              <w:bottom w:val="nil"/>
              <w:right w:val="nil"/>
            </w:tcBorders>
          </w:tcPr>
          <w:p>
            <w:pPr>
              <w:pStyle w:val="Normal6a"/>
            </w:pPr>
            <w:r>
              <w:t>23.</w:t>
            </w:r>
            <w:r>
              <w:tab/>
            </w:r>
            <w:r>
              <w:t xml:space="preserve">Calls for support for women’s contribution to and participation in agriculture, in the action against climate change and biodiversity loss; </w:t>
            </w:r>
            <w:r>
              <w:rPr>
                <w:b/>
                <w:i/>
              </w:rPr>
              <w:t>stresses that the green transition must be socially just and create decent and sustainable employment and economic opportunities for women, while taking into account the disproportionate impact of climate change, environmental degradation and energy poverty on girls and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Calls for </w:t>
            </w:r>
            <w:r>
              <w:rPr>
                <w:b/>
                <w:i/>
              </w:rPr>
              <w:t>support for</w:t>
            </w:r>
            <w:r>
              <w:t xml:space="preserve"> women’s </w:t>
            </w:r>
            <w:r>
              <w:rPr>
                <w:b/>
                <w:i/>
              </w:rPr>
              <w:t>contribution to and</w:t>
            </w:r>
            <w:r>
              <w:t xml:space="preserve"> participation in agriculture, </w:t>
            </w:r>
            <w:r>
              <w:rPr>
                <w:b/>
                <w:i/>
              </w:rPr>
              <w:t>in the action against</w:t>
            </w:r>
            <w:r>
              <w:t xml:space="preserve"> climate </w:t>
            </w:r>
            <w:r>
              <w:rPr>
                <w:b/>
                <w:i/>
              </w:rPr>
              <w:t>change</w:t>
            </w:r>
            <w:r>
              <w:t xml:space="preserve"> and biodiversity </w:t>
            </w:r>
            <w:r>
              <w:rPr>
                <w:b/>
                <w:i/>
              </w:rPr>
              <w:t>loss</w:t>
            </w:r>
            <w:r>
              <w:t>;</w:t>
            </w:r>
          </w:p>
        </w:tc>
        <w:tc>
          <w:tcPr>
            <w:tcW w:w="4876" w:type="dxa"/>
            <w:tcBorders>
              <w:top w:val="nil"/>
              <w:left w:val="nil"/>
              <w:bottom w:val="nil"/>
              <w:right w:val="nil"/>
            </w:tcBorders>
          </w:tcPr>
          <w:p>
            <w:pPr>
              <w:pStyle w:val="Normal6a"/>
            </w:pPr>
            <w:r>
              <w:t>23.</w:t>
            </w:r>
            <w:r>
              <w:tab/>
            </w:r>
            <w:r>
              <w:t xml:space="preserve">Calls for </w:t>
            </w:r>
            <w:r>
              <w:rPr>
                <w:b/>
                <w:i/>
              </w:rPr>
              <w:t>supporting</w:t>
            </w:r>
            <w:r>
              <w:t xml:space="preserve"> women’s </w:t>
            </w:r>
            <w:r>
              <w:rPr>
                <w:b/>
                <w:i/>
              </w:rPr>
              <w:t>full and equal</w:t>
            </w:r>
            <w:r>
              <w:t xml:space="preserve"> participation </w:t>
            </w:r>
            <w:r>
              <w:rPr>
                <w:b/>
                <w:i/>
              </w:rPr>
              <w:t>and leadership in the green and just transition, including</w:t>
            </w:r>
            <w:r>
              <w:t xml:space="preserve"> in agriculture, climate and biodiversity</w:t>
            </w:r>
            <w:r>
              <w:rPr>
                <w:b/>
                <w:i/>
              </w:rPr>
              <w:t>, renewable energy, water and natural resource management, green infrastructure and transport</w:t>
            </w:r>
            <w:r>
              <w:t xml:space="preserve">; </w:t>
            </w:r>
            <w:r>
              <w:rPr>
                <w:b/>
                <w:i/>
              </w:rPr>
              <w:t>calls for targeted measures to improve women’s access to green jobs, skills and training, including in sectors where women remain under-represented;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Calls for support for women’s contribution to and participation in agriculture, in the action against climate change and biodiversity loss;</w:t>
            </w:r>
          </w:p>
        </w:tc>
        <w:tc>
          <w:tcPr>
            <w:tcW w:w="4876" w:type="dxa"/>
            <w:tcBorders>
              <w:top w:val="nil"/>
              <w:left w:val="nil"/>
              <w:bottom w:val="nil"/>
              <w:right w:val="nil"/>
            </w:tcBorders>
          </w:tcPr>
          <w:p>
            <w:pPr>
              <w:pStyle w:val="Normal6a"/>
            </w:pPr>
            <w:r>
              <w:t>23.</w:t>
            </w:r>
            <w:r>
              <w:tab/>
            </w:r>
            <w:r>
              <w:t xml:space="preserve">Calls for support for women’s contribution to and participation in </w:t>
            </w:r>
            <w:r>
              <w:rPr>
                <w:b/>
                <w:i/>
              </w:rPr>
              <w:t>the green transition, including in the sectors of</w:t>
            </w:r>
            <w:r>
              <w:t xml:space="preserve"> agriculture, in the action against climate change and biodiversity loss</w:t>
            </w:r>
            <w:r>
              <w:rPr>
                <w:b/>
                <w:i/>
              </w:rPr>
              <w:t>, renewable energy, water and natural resource management, and green infrastructure and transport, ensuring that opportunities created by the green transition reach women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Calls for support for women’s contribution to and participation in agriculture, in the action against climate change and biodiversity loss;</w:t>
            </w:r>
          </w:p>
        </w:tc>
        <w:tc>
          <w:tcPr>
            <w:tcW w:w="4876" w:type="dxa"/>
            <w:tcBorders>
              <w:top w:val="nil"/>
              <w:left w:val="nil"/>
              <w:bottom w:val="nil"/>
              <w:right w:val="nil"/>
            </w:tcBorders>
          </w:tcPr>
          <w:p>
            <w:pPr>
              <w:pStyle w:val="Normal6a"/>
            </w:pPr>
            <w:r>
              <w:t>23.</w:t>
            </w:r>
            <w:r>
              <w:tab/>
            </w:r>
            <w:r>
              <w:t xml:space="preserve">Calls for support for women’s contribution to and participation in agriculture, in the action against climate change and biodiversity loss </w:t>
            </w:r>
            <w:r>
              <w:rPr>
                <w:b/>
                <w:i/>
              </w:rPr>
              <w:t>ensuring that opportunities created by the green transition reach women, including rural and Indigenous women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Calls for support for women’s contribution to and participation in agriculture, </w:t>
            </w:r>
            <w:r>
              <w:rPr>
                <w:b/>
                <w:i/>
              </w:rPr>
              <w:t>in the action against climate change and biodiversity loss</w:t>
            </w:r>
            <w:r>
              <w:t>;</w:t>
            </w:r>
          </w:p>
        </w:tc>
        <w:tc>
          <w:tcPr>
            <w:tcW w:w="4876" w:type="dxa"/>
            <w:tcBorders>
              <w:top w:val="nil"/>
              <w:left w:val="nil"/>
              <w:bottom w:val="nil"/>
              <w:right w:val="nil"/>
            </w:tcBorders>
          </w:tcPr>
          <w:p>
            <w:pPr>
              <w:pStyle w:val="Normal6a"/>
            </w:pPr>
            <w:r>
              <w:t>23.</w:t>
            </w:r>
            <w:r>
              <w:tab/>
            </w:r>
            <w:r>
              <w:t xml:space="preserve">Calls for support for women’s contribution to and participation in agriculture, </w:t>
            </w:r>
            <w:r>
              <w:rPr>
                <w:b/>
                <w:i/>
              </w:rPr>
              <w:t>as they make a very important contribution to food production and household nutrition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Calls for climate and environmental policies and financing to take into account the different impacts of climate change on girls and women and to address gender inequalities in climate adaptation, resilience and recovery efforts;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Calls for the EU to support women’s access to opportunities in economy, including through skills development, STEM education and jobs and greater participation in other sectors where women remain underrepresented;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Calls for the EU to prioritise women's access to green jobs through targeted skills training, STEM education, and measures to open up historically male-dominated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Stresses the importance of investing in women's leadership in the just transition, environmental governance and climate adaptation, from decision making on programmes, policies and financing, recognising women's central role in natural resource management and community-based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Calls for the GAP IV to ensure EU climate action tackles the gendered, global impacts of the climate crisis, such as disproportionate risks during conflict and displacement, gender-based violence and diminished access to SRHR during climate shocks, protects environmental defenders and promotes meaningful climate action leadership of women in all their diversity;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Stresses that the green transition cannot succeed without making full use of women’s knowledge, local knowledge, skills and expertise; calls for women’s equal participation and leadership in climate, energy, industrial and environmental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Calls for </w:t>
            </w:r>
            <w:r>
              <w:rPr>
                <w:b/>
                <w:i/>
              </w:rPr>
              <w:t>women and girls</w:t>
            </w:r>
            <w:r>
              <w:t xml:space="preserve"> to be </w:t>
            </w:r>
            <w:r>
              <w:rPr>
                <w:b/>
                <w:i/>
              </w:rPr>
              <w:t>given improved</w:t>
            </w:r>
            <w:r>
              <w:t xml:space="preserve"> access to digital tools and skills </w:t>
            </w:r>
            <w:r>
              <w:rPr>
                <w:b/>
                <w:i/>
              </w:rPr>
              <w:t>and to promote their</w:t>
            </w:r>
            <w:r>
              <w:t xml:space="preserve"> participation in the fields of science, technology, engineering and mathematics</w:t>
            </w:r>
            <w:r>
              <w:rPr>
                <w:b/>
                <w:i/>
              </w:rPr>
              <w:t>;</w:t>
            </w:r>
          </w:p>
        </w:tc>
        <w:tc>
          <w:tcPr>
            <w:tcW w:w="4876" w:type="dxa"/>
            <w:tcBorders>
              <w:top w:val="nil"/>
              <w:left w:val="nil"/>
              <w:bottom w:val="nil"/>
              <w:right w:val="nil"/>
            </w:tcBorders>
          </w:tcPr>
          <w:p>
            <w:pPr>
              <w:pStyle w:val="Normal6a"/>
            </w:pPr>
            <w:r>
              <w:t>24.</w:t>
            </w:r>
            <w:r>
              <w:tab/>
            </w:r>
            <w:r>
              <w:t xml:space="preserve">Calls for </w:t>
            </w:r>
            <w:r>
              <w:rPr>
                <w:b/>
                <w:i/>
              </w:rPr>
              <w:t>all students and professionals, irrespective of gender,</w:t>
            </w:r>
            <w:r>
              <w:t xml:space="preserve"> to be </w:t>
            </w:r>
            <w:r>
              <w:rPr>
                <w:b/>
                <w:i/>
              </w:rPr>
              <w:t>guaranteed equal</w:t>
            </w:r>
            <w:r>
              <w:t xml:space="preserve"> access to digital tools and skills </w:t>
            </w:r>
            <w:r>
              <w:rPr>
                <w:b/>
                <w:i/>
              </w:rPr>
              <w:t>on the basis of merit, and stresses that interest and</w:t>
            </w:r>
            <w:r>
              <w:t xml:space="preserve"> participation in the fields of science, technology, engineering and mathematics </w:t>
            </w:r>
            <w:r>
              <w:rPr>
                <w:b/>
                <w:i/>
              </w:rPr>
              <w:t>(STEM) must remain a matter of individual, free choice and must not be state-directed.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Calls for women and girls to be given improved access to digital tools and skills and to promote their participation in the fields of science, technology, engineering and mathematics;</w:t>
            </w:r>
          </w:p>
        </w:tc>
        <w:tc>
          <w:tcPr>
            <w:tcW w:w="4876" w:type="dxa"/>
            <w:tcBorders>
              <w:top w:val="nil"/>
              <w:left w:val="nil"/>
              <w:bottom w:val="nil"/>
              <w:right w:val="nil"/>
            </w:tcBorders>
          </w:tcPr>
          <w:p>
            <w:pPr>
              <w:pStyle w:val="Normal6a"/>
            </w:pPr>
            <w:r>
              <w:t>24.</w:t>
            </w:r>
            <w:r>
              <w:tab/>
            </w:r>
            <w:r>
              <w:t xml:space="preserve">Calls for women and girls to be given improved access to digital tools and skills and to promote their participation in the fields of science, technology, engineering and mathematics </w:t>
            </w:r>
            <w:r>
              <w:rPr>
                <w:b/>
                <w:i/>
              </w:rPr>
              <w:t>in order to overcome the current gender gaps in the STEM fields’ workforce, to ensure women broader participation in the field and guarantee their equal access to this sector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Calls for women and girls to be given improved access to digital tools and skills </w:t>
            </w:r>
            <w:r>
              <w:rPr>
                <w:b/>
                <w:i/>
              </w:rPr>
              <w:t>and</w:t>
            </w:r>
            <w:r>
              <w:t xml:space="preserve"> to promote their participation in </w:t>
            </w:r>
            <w:r>
              <w:rPr>
                <w:b/>
                <w:i/>
              </w:rPr>
              <w:t>the fields of</w:t>
            </w:r>
            <w:r>
              <w:t xml:space="preserve"> science, technology, engineering and mathematics;</w:t>
            </w:r>
          </w:p>
        </w:tc>
        <w:tc>
          <w:tcPr>
            <w:tcW w:w="4876" w:type="dxa"/>
            <w:tcBorders>
              <w:top w:val="nil"/>
              <w:left w:val="nil"/>
              <w:bottom w:val="nil"/>
              <w:right w:val="nil"/>
            </w:tcBorders>
          </w:tcPr>
          <w:p>
            <w:pPr>
              <w:pStyle w:val="Normal6a"/>
            </w:pPr>
            <w:r>
              <w:t>24.</w:t>
            </w:r>
            <w:r>
              <w:tab/>
            </w:r>
            <w:r>
              <w:t xml:space="preserve">Calls for women and girls to be given improved access to </w:t>
            </w:r>
            <w:r>
              <w:rPr>
                <w:b/>
                <w:i/>
              </w:rPr>
              <w:t>affordable, safe and inclusive</w:t>
            </w:r>
            <w:r>
              <w:t xml:space="preserve"> digital </w:t>
            </w:r>
            <w:r>
              <w:rPr>
                <w:b/>
                <w:i/>
              </w:rPr>
              <w:t>connectivity,</w:t>
            </w:r>
            <w:r>
              <w:t xml:space="preserve"> tools and skills</w:t>
            </w:r>
            <w:r>
              <w:rPr>
                <w:b/>
                <w:i/>
              </w:rPr>
              <w:t>, with particular attention to closing the digital gender divide and ensuring that digital transformation benefits women and girls equally; calls, furthermore, for measures</w:t>
            </w:r>
            <w:r>
              <w:t xml:space="preserve"> to promote their participation in science, technology, engineering and mathematics </w:t>
            </w:r>
            <w:r>
              <w:rPr>
                <w:b/>
                <w:i/>
              </w:rPr>
              <w:t>fields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Calls for women and girls to be given improved access to digital tools and skills and to promote their participation in the fields of science, technology, engineering and mathematics;</w:t>
            </w:r>
          </w:p>
        </w:tc>
        <w:tc>
          <w:tcPr>
            <w:tcW w:w="4876" w:type="dxa"/>
            <w:tcBorders>
              <w:top w:val="nil"/>
              <w:left w:val="nil"/>
              <w:bottom w:val="nil"/>
              <w:right w:val="nil"/>
            </w:tcBorders>
          </w:tcPr>
          <w:p>
            <w:pPr>
              <w:pStyle w:val="Normal6a"/>
            </w:pPr>
            <w:r>
              <w:t>24.</w:t>
            </w:r>
            <w:r>
              <w:tab/>
            </w:r>
            <w:r>
              <w:t>Calls for women and girls to be given improved access to digital tools and skills</w:t>
            </w:r>
            <w:r>
              <w:rPr>
                <w:b/>
                <w:i/>
              </w:rPr>
              <w:t>, affordable, safe connectivity for women and girls, addressing the digital gender divide,</w:t>
            </w:r>
            <w:r>
              <w:t xml:space="preserve"> and to promote their participation in the fields of science, technology, engineering and mathematics </w:t>
            </w:r>
            <w:r>
              <w:rPr>
                <w:b/>
                <w:i/>
              </w:rPr>
              <w:t>(STEM), and to support women’s access to opportunities in other sectors where they remain underrepresented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Calls for women and girls to be given </w:t>
            </w:r>
            <w:r>
              <w:rPr>
                <w:b/>
                <w:i/>
              </w:rPr>
              <w:t>improved</w:t>
            </w:r>
            <w:r>
              <w:t xml:space="preserve"> access to digital tools and skills and to promote their participation in the fields of science, technology, engineering and mathematics;</w:t>
            </w:r>
          </w:p>
        </w:tc>
        <w:tc>
          <w:tcPr>
            <w:tcW w:w="4876" w:type="dxa"/>
            <w:tcBorders>
              <w:top w:val="nil"/>
              <w:left w:val="nil"/>
              <w:bottom w:val="nil"/>
              <w:right w:val="nil"/>
            </w:tcBorders>
          </w:tcPr>
          <w:p>
            <w:pPr>
              <w:pStyle w:val="Normal6a"/>
            </w:pPr>
            <w:r>
              <w:t>24.</w:t>
            </w:r>
            <w:r>
              <w:tab/>
            </w:r>
            <w:r>
              <w:t xml:space="preserve">Calls for women and girls to be given </w:t>
            </w:r>
            <w:r>
              <w:rPr>
                <w:b/>
                <w:i/>
              </w:rPr>
              <w:t>equal and affordable</w:t>
            </w:r>
            <w:r>
              <w:t xml:space="preserve"> access to digital tools and skills and to promote their participation in the fields of science, technology, engineering and mathematics;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Calls for women and girls to be given improved access to digital tools and skills and to promote their participation in the fields of science, technology, engineering and mathematics;</w:t>
            </w:r>
          </w:p>
        </w:tc>
        <w:tc>
          <w:tcPr>
            <w:tcW w:w="4876" w:type="dxa"/>
            <w:tcBorders>
              <w:top w:val="nil"/>
              <w:left w:val="nil"/>
              <w:bottom w:val="nil"/>
              <w:right w:val="nil"/>
            </w:tcBorders>
          </w:tcPr>
          <w:p>
            <w:pPr>
              <w:pStyle w:val="Normal6a"/>
            </w:pPr>
            <w:r>
              <w:t>24.</w:t>
            </w:r>
            <w:r>
              <w:tab/>
            </w:r>
            <w:r>
              <w:t xml:space="preserve">Calls for women and girls to be given improved access to digital tools and skills and to promote their participation in the fields of science, technology, engineering and mathematics; </w:t>
            </w:r>
            <w:r>
              <w:rPr>
                <w:b/>
                <w:i/>
              </w:rPr>
              <w:t>calls for measures to prevent algorithmic discrimination and gender bias in artificial intelligence and to ensure that new technologies do not reinforce existing inequalities and gender norms, or facilitate gender-based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Calls for the green transition pillar to be maintained in GAP IV and better aligned with the European Green Deal, and for the formal recognition, support and protection of women environmental defenders;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Calls for </w:t>
            </w:r>
            <w:r>
              <w:rPr>
                <w:b/>
                <w:i/>
              </w:rPr>
              <w:t>specific measures to counter the global</w:t>
            </w:r>
            <w:r>
              <w:t xml:space="preserve"> gender </w:t>
            </w:r>
            <w:r>
              <w:rPr>
                <w:b/>
                <w:i/>
              </w:rPr>
              <w:t>equality backlash and to ensure that there are no</w:t>
            </w:r>
            <w:r>
              <w:t xml:space="preserve"> EU funds </w:t>
            </w:r>
            <w:r>
              <w:rPr>
                <w:b/>
                <w:i/>
              </w:rPr>
              <w:t>going towards objectives that are against gender equality</w:t>
            </w:r>
            <w:r>
              <w:t>;</w:t>
            </w:r>
          </w:p>
        </w:tc>
        <w:tc>
          <w:tcPr>
            <w:tcW w:w="4876" w:type="dxa"/>
            <w:tcBorders>
              <w:top w:val="nil"/>
              <w:left w:val="nil"/>
              <w:bottom w:val="nil"/>
              <w:right w:val="nil"/>
            </w:tcBorders>
          </w:tcPr>
          <w:p>
            <w:pPr>
              <w:pStyle w:val="Normal6a"/>
            </w:pPr>
            <w:r>
              <w:t>25.</w:t>
            </w:r>
            <w:r>
              <w:tab/>
            </w:r>
            <w:r>
              <w:t xml:space="preserve">Calls for </w:t>
            </w:r>
            <w:r>
              <w:rPr>
                <w:b/>
                <w:i/>
              </w:rPr>
              <w:t>the immediate suspension of any EU funding for</w:t>
            </w:r>
            <w:r>
              <w:t xml:space="preserve"> gender </w:t>
            </w:r>
            <w:r>
              <w:rPr>
                <w:b/>
                <w:i/>
              </w:rPr>
              <w:t>mainstreaming, the ideological reshaping of society and related lobbying organisations, and calls for</w:t>
            </w:r>
            <w:r>
              <w:t xml:space="preserve"> EU funds </w:t>
            </w:r>
            <w:r>
              <w:rPr>
                <w:b/>
                <w:i/>
              </w:rPr>
              <w:t>to be made available solely for objective, non-ideological projects rooted in national sovereignty and the protection of the traditional family</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Mieke Andriese, Elisabeth Dieringer, Margarita de la Pisa Carrión,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Calls </w:t>
            </w:r>
            <w:r>
              <w:rPr>
                <w:b/>
                <w:i/>
              </w:rPr>
              <w:t>for specific measures to counter the global gender equality backlash</w:t>
            </w:r>
            <w:r>
              <w:t xml:space="preserve"> and to </w:t>
            </w:r>
            <w:r>
              <w:rPr>
                <w:b/>
                <w:i/>
              </w:rPr>
              <w:t>ensure that there are no EU funds going towards objectives that are</w:t>
            </w:r>
            <w:r>
              <w:t xml:space="preserve"> against </w:t>
            </w:r>
            <w:r>
              <w:rPr>
                <w:b/>
                <w:i/>
              </w:rPr>
              <w:t>gender equality</w:t>
            </w:r>
            <w:r>
              <w:t>;</w:t>
            </w:r>
          </w:p>
        </w:tc>
        <w:tc>
          <w:tcPr>
            <w:tcW w:w="4876" w:type="dxa"/>
            <w:tcBorders>
              <w:top w:val="nil"/>
              <w:left w:val="nil"/>
              <w:bottom w:val="nil"/>
              <w:right w:val="nil"/>
            </w:tcBorders>
          </w:tcPr>
          <w:p>
            <w:pPr>
              <w:pStyle w:val="Normal6a"/>
            </w:pPr>
            <w:r>
              <w:t>25.</w:t>
            </w:r>
            <w:r>
              <w:tab/>
            </w:r>
            <w:r>
              <w:t xml:space="preserve">calls </w:t>
            </w:r>
            <w:r>
              <w:rPr>
                <w:b/>
                <w:i/>
              </w:rPr>
              <w:t>on the Commission to cease providing direct budgetary support to regimes that systematically oppress women</w:t>
            </w:r>
            <w:r>
              <w:t xml:space="preserve"> and to </w:t>
            </w:r>
            <w:r>
              <w:rPr>
                <w:b/>
                <w:i/>
              </w:rPr>
              <w:t>exclude from EU funding, including via intermediaries, organisations that promote or justify violence</w:t>
            </w:r>
            <w:r>
              <w:t xml:space="preserve"> against </w:t>
            </w:r>
            <w:r>
              <w:rPr>
                <w:b/>
                <w:i/>
              </w:rPr>
              <w:t>women or religious coercion</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Calls for </w:t>
            </w:r>
            <w:r>
              <w:rPr>
                <w:b/>
                <w:i/>
              </w:rPr>
              <w:t>specific measures to counter the global gender equality backlash and</w:t>
            </w:r>
            <w:r>
              <w:t xml:space="preserve"> to ensure </w:t>
            </w:r>
            <w:r>
              <w:rPr>
                <w:b/>
                <w:i/>
              </w:rPr>
              <w:t>that there are no EU funds going towards objectives that are against gender equality;</w:t>
            </w:r>
          </w:p>
        </w:tc>
        <w:tc>
          <w:tcPr>
            <w:tcW w:w="4876" w:type="dxa"/>
            <w:tcBorders>
              <w:top w:val="nil"/>
              <w:left w:val="nil"/>
              <w:bottom w:val="nil"/>
              <w:right w:val="nil"/>
            </w:tcBorders>
          </w:tcPr>
          <w:p>
            <w:pPr>
              <w:pStyle w:val="Normal6a"/>
            </w:pPr>
            <w:r>
              <w:t>25.</w:t>
            </w:r>
            <w:r>
              <w:tab/>
            </w:r>
            <w:r>
              <w:t xml:space="preserve">Calls for </w:t>
            </w:r>
            <w:r>
              <w:rPr>
                <w:b/>
                <w:i/>
              </w:rPr>
              <w:t>development spending to be carefully monitored and scrutinised</w:t>
            </w:r>
            <w:r>
              <w:t xml:space="preserve"> to ensure </w:t>
            </w:r>
            <w:r>
              <w:rPr>
                <w:b/>
                <w:i/>
              </w:rPr>
              <w:t>it contributes to economic growth, stability and self-reliance of recipient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Calls for specific measures to counter the global gender equality backlash and to ensure that there are no EU funds going towards objectives that are against </w:t>
            </w:r>
            <w:r>
              <w:rPr>
                <w:b/>
                <w:i/>
              </w:rPr>
              <w:t>gender</w:t>
            </w:r>
            <w:r>
              <w:t xml:space="preserve"> equality;</w:t>
            </w:r>
          </w:p>
        </w:tc>
        <w:tc>
          <w:tcPr>
            <w:tcW w:w="4876" w:type="dxa"/>
            <w:tcBorders>
              <w:top w:val="nil"/>
              <w:left w:val="nil"/>
              <w:bottom w:val="nil"/>
              <w:right w:val="nil"/>
            </w:tcBorders>
          </w:tcPr>
          <w:p>
            <w:pPr>
              <w:pStyle w:val="Normal6a"/>
            </w:pPr>
            <w:r>
              <w:t>25.</w:t>
            </w:r>
            <w:r>
              <w:tab/>
            </w:r>
            <w:r>
              <w:t xml:space="preserve">Calls for specific measures to counter the global gender equality backlash and to ensure that there are no EU funds going towards objectives that are against equality </w:t>
            </w:r>
            <w:r>
              <w:rPr>
                <w:b/>
                <w:i/>
              </w:rPr>
              <w:t>of men and women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Calls for specific measures to counter the global gender </w:t>
            </w:r>
            <w:r>
              <w:rPr>
                <w:b/>
                <w:i/>
              </w:rPr>
              <w:t>equality</w:t>
            </w:r>
            <w:r>
              <w:t xml:space="preserve"> backlash and to ensure that </w:t>
            </w:r>
            <w:r>
              <w:rPr>
                <w:b/>
                <w:i/>
              </w:rPr>
              <w:t>there are</w:t>
            </w:r>
            <w:r>
              <w:t xml:space="preserve"> no EU </w:t>
            </w:r>
            <w:r>
              <w:rPr>
                <w:b/>
                <w:i/>
              </w:rPr>
              <w:t>funds going towards objectives that are against</w:t>
            </w:r>
            <w:r>
              <w:t xml:space="preserve"> gender equality;</w:t>
            </w:r>
          </w:p>
        </w:tc>
        <w:tc>
          <w:tcPr>
            <w:tcW w:w="4876" w:type="dxa"/>
            <w:tcBorders>
              <w:top w:val="nil"/>
              <w:left w:val="nil"/>
              <w:bottom w:val="nil"/>
              <w:right w:val="nil"/>
            </w:tcBorders>
          </w:tcPr>
          <w:p>
            <w:pPr>
              <w:pStyle w:val="Normal6a"/>
            </w:pPr>
            <w:r>
              <w:t>25.</w:t>
            </w:r>
            <w:r>
              <w:tab/>
            </w:r>
            <w:r>
              <w:rPr>
                <w:b/>
                <w:i/>
              </w:rPr>
              <w:t>Expresses deep concern about the growing influence and funding of organised anti-rights movements targeting women’s rights, gender equality, SRHR and the rights of LGBTIQ persons;</w:t>
            </w:r>
            <w:r>
              <w:t xml:space="preserve"> calls for specific measures to counter the global gender backlash</w:t>
            </w:r>
            <w:r>
              <w:rPr>
                <w:b/>
                <w:i/>
              </w:rPr>
              <w:t>, including gender- and identity-based disinformation,</w:t>
            </w:r>
            <w:r>
              <w:t xml:space="preserve"> and to ensure that no EU </w:t>
            </w:r>
            <w:r>
              <w:rPr>
                <w:b/>
                <w:i/>
              </w:rPr>
              <w:t>funding or partnerships support activities that undermine</w:t>
            </w:r>
            <w:r>
              <w:t xml:space="preserve"> gender equality </w:t>
            </w:r>
            <w:r>
              <w:rPr>
                <w:b/>
                <w:i/>
              </w:rPr>
              <w:t>or fundamental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Valérie Devaux, Abir Al-Sahlani, Raquel García Hermida-Van Der Walle, Billy Kelleher, Barry Andrews, Anna-Maja Henriksson, Lucia Yar,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Calls for specific measures to counter the global gender equality </w:t>
            </w:r>
            <w:r>
              <w:rPr>
                <w:b/>
                <w:i/>
              </w:rPr>
              <w:t>backlash</w:t>
            </w:r>
            <w:r>
              <w:t xml:space="preserve"> and to ensure </w:t>
            </w:r>
            <w:r>
              <w:rPr>
                <w:b/>
                <w:i/>
              </w:rPr>
              <w:t>that there are</w:t>
            </w:r>
            <w:r>
              <w:t xml:space="preserve"> no EU funds </w:t>
            </w:r>
            <w:r>
              <w:rPr>
                <w:b/>
                <w:i/>
              </w:rPr>
              <w:t>going</w:t>
            </w:r>
            <w:r>
              <w:t xml:space="preserve"> towards objectives </w:t>
            </w:r>
            <w:r>
              <w:rPr>
                <w:b/>
                <w:i/>
              </w:rPr>
              <w:t>that are</w:t>
            </w:r>
            <w:r>
              <w:t xml:space="preserve"> against gender equality;</w:t>
            </w:r>
          </w:p>
        </w:tc>
        <w:tc>
          <w:tcPr>
            <w:tcW w:w="4876" w:type="dxa"/>
            <w:tcBorders>
              <w:top w:val="nil"/>
              <w:left w:val="nil"/>
              <w:bottom w:val="nil"/>
              <w:right w:val="nil"/>
            </w:tcBorders>
          </w:tcPr>
          <w:p>
            <w:pPr>
              <w:pStyle w:val="Normal6a"/>
            </w:pPr>
            <w:r>
              <w:t>25.</w:t>
            </w:r>
            <w:r>
              <w:tab/>
            </w:r>
            <w:r>
              <w:t xml:space="preserve">Calls for specific measures to counter the global </w:t>
            </w:r>
            <w:r>
              <w:rPr>
                <w:b/>
                <w:i/>
              </w:rPr>
              <w:t>backlash on</w:t>
            </w:r>
            <w:r>
              <w:t xml:space="preserve"> gender equality</w:t>
            </w:r>
            <w:r>
              <w:rPr>
                <w:b/>
                <w:i/>
              </w:rPr>
              <w:t>, women’s and LGBTQI+ rights, to combat anti-gender movements</w:t>
            </w:r>
            <w:r>
              <w:t xml:space="preserve"> and to ensure no EU funds </w:t>
            </w:r>
            <w:r>
              <w:rPr>
                <w:b/>
                <w:i/>
              </w:rPr>
              <w:t>go</w:t>
            </w:r>
            <w:r>
              <w:t xml:space="preserve"> towards objectives against gender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Calls for specific measures to counter the global gender equality backlash and to ensure that there are no EU funds going towards objectives that are against gender equality;</w:t>
            </w:r>
          </w:p>
        </w:tc>
        <w:tc>
          <w:tcPr>
            <w:tcW w:w="4876" w:type="dxa"/>
            <w:tcBorders>
              <w:top w:val="nil"/>
              <w:left w:val="nil"/>
              <w:bottom w:val="nil"/>
              <w:right w:val="nil"/>
            </w:tcBorders>
          </w:tcPr>
          <w:p>
            <w:pPr>
              <w:pStyle w:val="Normal6a"/>
            </w:pPr>
            <w:r>
              <w:t>25.</w:t>
            </w:r>
            <w:r>
              <w:tab/>
            </w:r>
            <w:r>
              <w:t xml:space="preserve">Calls for specific measures to counter the global gender equality backlash </w:t>
            </w:r>
            <w:r>
              <w:rPr>
                <w:b/>
                <w:i/>
              </w:rPr>
              <w:t>by addressing directly structural gender inequality</w:t>
            </w:r>
            <w:r>
              <w:t xml:space="preserve"> and to ensure that there are no EU funds going towards objectives that are against gender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Calls for specific measures to counter the global gender equality backlash and to ensure that there are no EU funds going towards objectives that are against gender equality;</w:t>
            </w:r>
          </w:p>
        </w:tc>
        <w:tc>
          <w:tcPr>
            <w:tcW w:w="4876" w:type="dxa"/>
            <w:tcBorders>
              <w:top w:val="nil"/>
              <w:left w:val="nil"/>
              <w:bottom w:val="nil"/>
              <w:right w:val="nil"/>
            </w:tcBorders>
          </w:tcPr>
          <w:p>
            <w:pPr>
              <w:pStyle w:val="Normal6a"/>
            </w:pPr>
            <w:r>
              <w:t>25.</w:t>
            </w:r>
            <w:r>
              <w:tab/>
            </w:r>
            <w:r>
              <w:t>Calls for specific measures to counter the global gender equality backlash</w:t>
            </w:r>
            <w:r>
              <w:rPr>
                <w:b/>
                <w:i/>
              </w:rPr>
              <w:t>, including hybrid threats,</w:t>
            </w:r>
            <w:r>
              <w:t xml:space="preserve"> and to ensure that there are no EU funds going towards objectives that are against gender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Calls for specific measures to counter the global gender equality backlash and to ensure that there are no EU funds going towards objectives that are against gender equality;</w:t>
            </w:r>
          </w:p>
        </w:tc>
        <w:tc>
          <w:tcPr>
            <w:tcW w:w="4876" w:type="dxa"/>
            <w:tcBorders>
              <w:top w:val="nil"/>
              <w:left w:val="nil"/>
              <w:bottom w:val="nil"/>
              <w:right w:val="nil"/>
            </w:tcBorders>
          </w:tcPr>
          <w:p>
            <w:pPr>
              <w:pStyle w:val="Normal6a"/>
            </w:pPr>
            <w:r>
              <w:t>25.</w:t>
            </w:r>
            <w:r>
              <w:tab/>
            </w:r>
            <w:r>
              <w:t>Calls for specific measures to counter the global gender equality backlash and to ensure that there are no EU funds going towards objectives that are against gender equality</w:t>
            </w:r>
            <w:r>
              <w:rPr>
                <w:b/>
                <w:i/>
              </w:rPr>
              <w:t>, SRHR and LGBTIQ+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Expresses deep concern about the growing influence and funding of organised anti-rights movements that target women's rights, gender equality and the rights of LGBTIQ+ persons and calls on the EU to systematically monitor and counter anti-rights narratives and actors in its external action, including hybrid threats and gender- and identity-based disinformation, and to ensure that EU external funding and partnerships uphold and protect the rights of women and girls in all their diversity, including their right to bodily autonomy, non-discrimination and safe civic 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Calls for the EU to strengthen its support for women’s rights and gender equality in its external action, including by systematically integrating gender equality objectives into political dialogue, partnerships and cooperation with third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Highlights the importance of a strong and ambitious GAP IV to counter the growing anti-gender agenda, the decline in gender equality funding and foreign aid, and the increasing influence of anti-gender movements in Europe and globally;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Marit Maij,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Calls for dedicated funding to support civil society organisations in their lobbying and advocacy work, recognising that CSOs, local actors and grassroots organisations are essential to prevent backsliding on human rights, and ensure that EU external action is accountable, inclusive and equitable;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Stresses the importance of making the fight against gender-related mis- and disinformation a priority of GAP IV, including its impact on EU gender equality policies, partner countries, development cooperation and frontline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Calls for comprehensive protection of Human Rights Defenders (HRD) facing criminalisation and/or online attacks, including legal defence and reparations, psychosocial support and digital security, including specific protection mechanisms allocated for women human rights defenders (WHRDs) and in line with the EU Human Rights Action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Expresses serious concern about the growing backlash against LGBTIQ+ rights; calls on the EU to counter this backlash through its external action and political dialogue and to address discrimination, violence and persecution against LGBTIQ+ persons;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Calls on the Commission to make EU development assistance to third countries dependent on concrete, real and visible progress in the field of tackling forced child marriage, violence against girls and women and the fight against FGM;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Calls on the Commission to ensure that no EU funding is allocated, directly or indirectly, to projects or organisations that impose compulsory veiling, enforce discriminatory segregation of women and men, promote contested ideological concepts concerning sex and gender, or promote the imposition of such practices;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Stresses that where the EU funds activities, they must at the very least respect women’s and girls’ freedom to choose their clothing and their equal access to education, employment, services and public life; calls for effective monitoring and the suspension or withdrawal of funding in cases of non-compliance;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Calls on the Commission to ensure full transparency and accountability in EU external assistance, including clear disclosure of funding recipients, objectives and outcomes, and to prevent EU funds from being awarded to organisations involved in violence, incitement to violence, corruption or other serious breaches of applicable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Mieke Andriese, Elisabeth Dieringer, Margarita de la Pisa Carrión,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rejects the exclusion of women’s organisations from consultation or funding solely on the grounds that they defend rights based on biological sex or peacefully criticise gender identity policies;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Małgorzata Gosiewska,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the EU to leverage its diplomatic engagement and strategic partnerships in the multilateral arena to </w:t>
            </w:r>
            <w:r>
              <w:rPr>
                <w:b/>
                <w:i/>
              </w:rPr>
              <w:t>maintain gender equality on the global political agenda</w:t>
            </w:r>
            <w:r>
              <w:t>;</w:t>
            </w:r>
          </w:p>
        </w:tc>
        <w:tc>
          <w:tcPr>
            <w:tcW w:w="4876" w:type="dxa"/>
            <w:tcBorders>
              <w:top w:val="nil"/>
              <w:left w:val="nil"/>
              <w:bottom w:val="nil"/>
              <w:right w:val="nil"/>
            </w:tcBorders>
          </w:tcPr>
          <w:p>
            <w:pPr>
              <w:pStyle w:val="Normal6a"/>
            </w:pPr>
            <w:r>
              <w:t>26.</w:t>
            </w:r>
            <w:r>
              <w:tab/>
            </w:r>
            <w:r>
              <w:t xml:space="preserve">Calls for the EU to leverage its diplomatic engagement and strategic partnerships in the multilateral arena to </w:t>
            </w:r>
            <w:r>
              <w:rPr>
                <w:b/>
                <w:i/>
              </w:rPr>
              <w:t>create reliable, long-term partnerships that guarantee fair competition and serve as a strategic counterweight to competitors who use aid and investment only to create dependency and influence; reiterates therefore the need to ensure that resources are channelled towards projects that deliver measurable economic, social and security benefits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Calls for</w:t>
            </w:r>
            <w:r>
              <w:t xml:space="preserve"> the EU </w:t>
            </w:r>
            <w:r>
              <w:rPr>
                <w:b/>
                <w:i/>
              </w:rPr>
              <w:t>to leverage</w:t>
            </w:r>
            <w:r>
              <w:t xml:space="preserve"> its diplomatic engagement and strategic partnerships in the multilateral arena </w:t>
            </w:r>
            <w:r>
              <w:rPr>
                <w:b/>
                <w:i/>
              </w:rPr>
              <w:t>to maintain gender equality on the global political agenda</w:t>
            </w:r>
            <w:r>
              <w:t>;</w:t>
            </w:r>
          </w:p>
        </w:tc>
        <w:tc>
          <w:tcPr>
            <w:tcW w:w="4876" w:type="dxa"/>
            <w:tcBorders>
              <w:top w:val="nil"/>
              <w:left w:val="nil"/>
              <w:bottom w:val="nil"/>
              <w:right w:val="nil"/>
            </w:tcBorders>
          </w:tcPr>
          <w:p>
            <w:pPr>
              <w:pStyle w:val="Normal6a"/>
            </w:pPr>
            <w:r>
              <w:t>26.</w:t>
            </w:r>
            <w:r>
              <w:tab/>
            </w:r>
            <w:r>
              <w:rPr>
                <w:b/>
                <w:i/>
              </w:rPr>
              <w:t>Urges</w:t>
            </w:r>
            <w:r>
              <w:t xml:space="preserve"> the EU </w:t>
            </w:r>
            <w:r>
              <w:rPr>
                <w:b/>
                <w:i/>
              </w:rPr>
              <w:t>and its Member States to redirect</w:t>
            </w:r>
            <w:r>
              <w:t xml:space="preserve"> its diplomatic engagement and strategic partnerships </w:t>
            </w:r>
            <w:r>
              <w:rPr>
                <w:b/>
                <w:i/>
              </w:rPr>
              <w:t>towards matters of security, trade and geopolitical interest, while refraining from imposing western ideological and gender-based concepts on sovereign third countries</w:t>
            </w:r>
            <w:r>
              <w:t xml:space="preserve"> in the multilateral arena;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Mieke Andriese, Elisabeth Dieringer, Margarita de la Pisa Carrión,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Calls for</w:t>
            </w:r>
            <w:r>
              <w:t xml:space="preserve"> the EU </w:t>
            </w:r>
            <w:r>
              <w:rPr>
                <w:b/>
                <w:i/>
              </w:rPr>
              <w:t>to leverage</w:t>
            </w:r>
            <w:r>
              <w:t xml:space="preserve"> its diplomatic </w:t>
            </w:r>
            <w:r>
              <w:rPr>
                <w:b/>
                <w:i/>
              </w:rPr>
              <w:t>engagement and strategic partnerships in the multilateral arena to maintain gender equality</w:t>
            </w:r>
            <w:r>
              <w:t xml:space="preserve"> on the </w:t>
            </w:r>
            <w:r>
              <w:rPr>
                <w:b/>
                <w:i/>
              </w:rPr>
              <w:t>global political agenda</w:t>
            </w:r>
            <w:r>
              <w:t>;</w:t>
            </w:r>
          </w:p>
        </w:tc>
        <w:tc>
          <w:tcPr>
            <w:tcW w:w="4876" w:type="dxa"/>
            <w:tcBorders>
              <w:top w:val="nil"/>
              <w:left w:val="nil"/>
              <w:bottom w:val="nil"/>
              <w:right w:val="nil"/>
            </w:tcBorders>
          </w:tcPr>
          <w:p>
            <w:pPr>
              <w:pStyle w:val="Normal6a"/>
            </w:pPr>
            <w:r>
              <w:t>26.</w:t>
            </w:r>
            <w:r>
              <w:tab/>
            </w:r>
            <w:r>
              <w:rPr>
                <w:b/>
                <w:i/>
              </w:rPr>
              <w:t>emphasises that</w:t>
            </w:r>
            <w:r>
              <w:t xml:space="preserve"> the EU </w:t>
            </w:r>
            <w:r>
              <w:rPr>
                <w:b/>
                <w:i/>
              </w:rPr>
              <w:t>must, in</w:t>
            </w:r>
            <w:r>
              <w:t xml:space="preserve"> its diplomatic </w:t>
            </w:r>
            <w:r>
              <w:rPr>
                <w:b/>
                <w:i/>
              </w:rPr>
              <w:t>relations, uphold women’s rights</w:t>
            </w:r>
            <w:r>
              <w:t xml:space="preserve"> on the </w:t>
            </w:r>
            <w:r>
              <w:rPr>
                <w:b/>
                <w:i/>
              </w:rPr>
              <w:t>basis of their sex</w:t>
            </w:r>
            <w:r>
              <w:t xml:space="preserve">; </w:t>
            </w:r>
            <w:r>
              <w:rPr>
                <w:b/>
                <w:i/>
              </w:rPr>
              <w:t>rejects pressure on third countries to adopt policies that prioritise gender identity over security, privacy and gender-based protection for women;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the EU to leverage its diplomatic engagement and strategic partnerships in the multilateral arena to maintain </w:t>
            </w:r>
            <w:r>
              <w:rPr>
                <w:b/>
                <w:i/>
              </w:rPr>
              <w:t>gender</w:t>
            </w:r>
            <w:r>
              <w:t xml:space="preserve"> equality on the global political agenda;</w:t>
            </w:r>
          </w:p>
        </w:tc>
        <w:tc>
          <w:tcPr>
            <w:tcW w:w="4876" w:type="dxa"/>
            <w:tcBorders>
              <w:top w:val="nil"/>
              <w:left w:val="nil"/>
              <w:bottom w:val="nil"/>
              <w:right w:val="nil"/>
            </w:tcBorders>
          </w:tcPr>
          <w:p>
            <w:pPr>
              <w:pStyle w:val="Normal6a"/>
            </w:pPr>
            <w:r>
              <w:t>26.</w:t>
            </w:r>
            <w:r>
              <w:tab/>
            </w:r>
            <w:r>
              <w:t xml:space="preserve">Calls for the EU to leverage its diplomatic engagement and strategic partnerships in the multilateral arena to maintain equality </w:t>
            </w:r>
            <w:r>
              <w:rPr>
                <w:b/>
                <w:i/>
              </w:rPr>
              <w:t>of men and women</w:t>
            </w:r>
            <w:r>
              <w:t xml:space="preserve"> on the global political agenda </w:t>
            </w:r>
            <w:r>
              <w:rPr>
                <w:b/>
                <w:i/>
              </w:rPr>
              <w:t>while respecting cultural traditions of partner countries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w:t>
            </w:r>
            <w:r>
              <w:rPr>
                <w:b/>
                <w:i/>
              </w:rPr>
              <w:t>the EU to leverage its diplomatic engagement and strategic partnerships in the multilateral arena to maintain gender equality on the global political agenda</w:t>
            </w:r>
            <w:r>
              <w:t>;</w:t>
            </w:r>
          </w:p>
        </w:tc>
        <w:tc>
          <w:tcPr>
            <w:tcW w:w="4876" w:type="dxa"/>
            <w:tcBorders>
              <w:top w:val="nil"/>
              <w:left w:val="nil"/>
              <w:bottom w:val="nil"/>
              <w:right w:val="nil"/>
            </w:tcBorders>
          </w:tcPr>
          <w:p>
            <w:pPr>
              <w:pStyle w:val="Normal6a"/>
            </w:pPr>
            <w:r>
              <w:t>26.</w:t>
            </w:r>
            <w:r>
              <w:tab/>
            </w:r>
            <w:r>
              <w:rPr>
                <w:b/>
                <w:i/>
              </w:rPr>
              <w:t>Calls on the Commission and the EEAS to ensure that EU funding and assistance are not provided to projects, programmes or public authorities that support, implement or directly benefit from laws or practices that discriminate against women and girls or that legally sanction violence against them;</w:t>
            </w:r>
            <w:r>
              <w:t xml:space="preserve"> calls for </w:t>
            </w:r>
            <w:r>
              <w:rPr>
                <w:b/>
                <w:i/>
              </w:rPr>
              <w:t>robust monitoring and transparency to ensure compliance, and for the suspension or withdrawal of funding where such support is identified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w:t>
            </w:r>
            <w:r>
              <w:rPr>
                <w:b/>
                <w:i/>
              </w:rPr>
              <w:t>for</w:t>
            </w:r>
            <w:r>
              <w:t xml:space="preserve"> the EU to leverage its diplomatic engagement and strategic partnerships in </w:t>
            </w:r>
            <w:r>
              <w:rPr>
                <w:b/>
                <w:i/>
              </w:rPr>
              <w:t>the</w:t>
            </w:r>
            <w:r>
              <w:t xml:space="preserve"> multilateral </w:t>
            </w:r>
            <w:r>
              <w:rPr>
                <w:b/>
                <w:i/>
              </w:rPr>
              <w:t>arena</w:t>
            </w:r>
            <w:r>
              <w:t xml:space="preserve"> to maintain gender equality on the global political agenda;</w:t>
            </w:r>
          </w:p>
        </w:tc>
        <w:tc>
          <w:tcPr>
            <w:tcW w:w="4876" w:type="dxa"/>
            <w:tcBorders>
              <w:top w:val="nil"/>
              <w:left w:val="nil"/>
              <w:bottom w:val="nil"/>
              <w:right w:val="nil"/>
            </w:tcBorders>
          </w:tcPr>
          <w:p>
            <w:pPr>
              <w:pStyle w:val="Normal6a"/>
            </w:pPr>
            <w:r>
              <w:t>26.</w:t>
            </w:r>
            <w:r>
              <w:tab/>
            </w:r>
            <w:r>
              <w:t xml:space="preserve">Calls </w:t>
            </w:r>
            <w:r>
              <w:rPr>
                <w:b/>
                <w:i/>
              </w:rPr>
              <w:t>on</w:t>
            </w:r>
            <w:r>
              <w:t xml:space="preserve"> the EU to leverage its diplomatic engagement and strategic partnerships in multilateral </w:t>
            </w:r>
            <w:r>
              <w:rPr>
                <w:b/>
                <w:i/>
              </w:rPr>
              <w:t>fora</w:t>
            </w:r>
            <w:r>
              <w:t xml:space="preserve"> to maintain gender equality on the global political agenda; </w:t>
            </w:r>
            <w:r>
              <w:rPr>
                <w:b/>
                <w:i/>
              </w:rPr>
              <w:t>calls on the EU to consistently defend internationally agreed standards on gender equality and women’s rights, including CEDAW, the Beijing Platform for Action, the ICPD Programme of Action and the Women, Peace and Security agenda, and to strengthen coordinated Team Europe positions in relevant multilateral negotiations;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Calls for the EU to leverage its diplomatic engagement and strategic partnerships in the multilateral arena to maintain gender equality on the global political agenda;</w:t>
            </w:r>
          </w:p>
        </w:tc>
        <w:tc>
          <w:tcPr>
            <w:tcW w:w="4876" w:type="dxa"/>
            <w:tcBorders>
              <w:top w:val="nil"/>
              <w:left w:val="nil"/>
              <w:bottom w:val="nil"/>
              <w:right w:val="nil"/>
            </w:tcBorders>
          </w:tcPr>
          <w:p>
            <w:pPr>
              <w:pStyle w:val="Normal6a"/>
            </w:pPr>
            <w:r>
              <w:t>26.</w:t>
            </w:r>
            <w:r>
              <w:tab/>
            </w:r>
            <w:r>
              <w:t xml:space="preserve">Calls for the EU to leverage its diplomatic engagement and strategic partnerships in the multilateral arena to maintain gender equality on the global political agenda; </w:t>
            </w:r>
            <w:r>
              <w:rPr>
                <w:b/>
                <w:i/>
              </w:rPr>
              <w:t>stresses that women’s rights must not only be mainstreamed in EU policies, but also that the EU must advance gender equality in its foreign and development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Paulo do Nascimento Cabral,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Calls for the EU to leverage its diplomatic engagement and strategic partnerships in the multilateral arena to maintain gender equality on the global political agenda;</w:t>
            </w:r>
          </w:p>
        </w:tc>
        <w:tc>
          <w:tcPr>
            <w:tcW w:w="4876" w:type="dxa"/>
            <w:tcBorders>
              <w:top w:val="nil"/>
              <w:left w:val="nil"/>
              <w:bottom w:val="nil"/>
              <w:right w:val="nil"/>
            </w:tcBorders>
          </w:tcPr>
          <w:p>
            <w:pPr>
              <w:pStyle w:val="Normal6a"/>
            </w:pPr>
            <w:r>
              <w:t>26.</w:t>
            </w:r>
            <w:r>
              <w:tab/>
            </w:r>
            <w:r>
              <w:t>Calls for the EU to leverage its diplomatic engagement and strategic partnerships in the multilateral arena to maintain gender equality on the global political agenda</w:t>
            </w:r>
            <w:r>
              <w:rPr>
                <w:b/>
                <w:i/>
              </w:rPr>
              <w:t>, and stresses the importance of strong multilateral cooperation such as with the United Nations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Underlines that EU leverage in multilateral spaces depends on coherent Team Europe positioning; calls on the Commission and the EEAS to commit to facilitating strong, structured Team Europe coordination on gender equality in key multilateral processes, sharing analytical work and negotiating responsibilities to sustain the effort over time;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Underlines that cross-regional coalition-building is essential for defending gender equality norms against well-resourced opposition and anti-gender movements; calls on the Commission and the EEAS to build and sustain cross-regional, multi-stakeholder coalitions to maximise EU impact in multilateral fora, and to identify entry points for integrating gender into EU engagement with regional bodies, including the African Union, the League of Arab States and the Gulf Cooperation Council, to build a broad supporting constituency;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Calls for systematic consideration of women’s rights and gender equality in the EU’s human rights dialogues, political dialogues and engagement with partner countries, including where regression in women’s rights or sexual and reproductive health and rights is identified;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Calls on the EU to actively defend agreed language and standards in multilateral negotiations, including CEDAW, the Beijing Platform for Action, the ICPD Programme of Action, and UNSCR 1325 and subsequent WPS resolutions, and ECOSOC;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Carolina Morace, Elena Kountoura, Hanna Gedin, 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Calls for GAP IV to ensure the meaningful and systematic participation of local civil society organisations, in particular women’s rights and women-led organisations, in the design, implementation, monitoring and evaluation of EU external action, including Country-Level Implementation Plans and Gender Country Profiles, in order to reflect local priorities and inform context-specific gender analyses;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Calls for local women’s rights organisations, including grassroots and community-based organisations, to be systematically involved in the design, implementation, monitoring and evaluation of EU external action affecting gender equality and spill-over fields;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Reiterates</w:t>
            </w:r>
            <w:r>
              <w:t xml:space="preserve"> that intergenerational </w:t>
            </w:r>
            <w:r>
              <w:rPr>
                <w:b/>
                <w:i/>
              </w:rPr>
              <w:t>dialogue</w:t>
            </w:r>
            <w:r>
              <w:t xml:space="preserve"> and the </w:t>
            </w:r>
            <w:r>
              <w:rPr>
                <w:b/>
                <w:i/>
              </w:rPr>
              <w:t>commitment and engagement</w:t>
            </w:r>
            <w:r>
              <w:t xml:space="preserve"> of men and </w:t>
            </w:r>
            <w:r>
              <w:rPr>
                <w:b/>
                <w:i/>
              </w:rPr>
              <w:t>boys to</w:t>
            </w:r>
            <w:r>
              <w:t xml:space="preserve"> gender </w:t>
            </w:r>
            <w:r>
              <w:rPr>
                <w:b/>
                <w:i/>
              </w:rPr>
              <w:t>equality are crucial</w:t>
            </w:r>
            <w:r>
              <w:t>;</w:t>
            </w:r>
          </w:p>
        </w:tc>
        <w:tc>
          <w:tcPr>
            <w:tcW w:w="4876" w:type="dxa"/>
            <w:tcBorders>
              <w:top w:val="nil"/>
              <w:left w:val="nil"/>
              <w:bottom w:val="nil"/>
              <w:right w:val="nil"/>
            </w:tcBorders>
          </w:tcPr>
          <w:p>
            <w:pPr>
              <w:pStyle w:val="Normal6a"/>
            </w:pPr>
            <w:r>
              <w:t>27.</w:t>
            </w:r>
            <w:r>
              <w:tab/>
            </w:r>
            <w:r>
              <w:rPr>
                <w:b/>
                <w:i/>
              </w:rPr>
              <w:t>Stresses</w:t>
            </w:r>
            <w:r>
              <w:t xml:space="preserve"> that intergenerational </w:t>
            </w:r>
            <w:r>
              <w:rPr>
                <w:b/>
                <w:i/>
              </w:rPr>
              <w:t>solidarity</w:t>
            </w:r>
            <w:r>
              <w:t xml:space="preserve"> and the </w:t>
            </w:r>
            <w:r>
              <w:rPr>
                <w:b/>
                <w:i/>
              </w:rPr>
              <w:t>traditional family structure centred around the mutual responsibility</w:t>
            </w:r>
            <w:r>
              <w:t xml:space="preserve"> of men and </w:t>
            </w:r>
            <w:r>
              <w:rPr>
                <w:b/>
                <w:i/>
              </w:rPr>
              <w:t>women form the true foundation of society and must be shielded from destruction by</w:t>
            </w:r>
            <w:r>
              <w:t xml:space="preserve"> gender </w:t>
            </w:r>
            <w:r>
              <w:rPr>
                <w:b/>
                <w:i/>
              </w:rPr>
              <w:t>theory</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Reiterates that intergenerational dialogue and the </w:t>
            </w:r>
            <w:r>
              <w:rPr>
                <w:b/>
                <w:i/>
              </w:rPr>
              <w:t>commitment and</w:t>
            </w:r>
            <w:r>
              <w:t xml:space="preserve"> engagement of men and boys </w:t>
            </w:r>
            <w:r>
              <w:rPr>
                <w:b/>
                <w:i/>
              </w:rPr>
              <w:t>to</w:t>
            </w:r>
            <w:r>
              <w:t xml:space="preserve"> gender equality </w:t>
            </w:r>
            <w:r>
              <w:rPr>
                <w:b/>
                <w:i/>
              </w:rPr>
              <w:t>are crucial</w:t>
            </w:r>
            <w:r>
              <w:t>;</w:t>
            </w:r>
          </w:p>
        </w:tc>
        <w:tc>
          <w:tcPr>
            <w:tcW w:w="4876" w:type="dxa"/>
            <w:tcBorders>
              <w:top w:val="nil"/>
              <w:left w:val="nil"/>
              <w:bottom w:val="nil"/>
              <w:right w:val="nil"/>
            </w:tcBorders>
          </w:tcPr>
          <w:p>
            <w:pPr>
              <w:pStyle w:val="Normal6a"/>
            </w:pPr>
            <w:r>
              <w:t>27.</w:t>
            </w:r>
            <w:r>
              <w:tab/>
            </w:r>
            <w:r>
              <w:t xml:space="preserve">Reiterates that intergenerational dialogue and the engagement of men and boys </w:t>
            </w:r>
            <w:r>
              <w:rPr>
                <w:b/>
                <w:i/>
              </w:rPr>
              <w:t>are important for challenging discriminatory norms and achieving</w:t>
            </w:r>
            <w:r>
              <w:t xml:space="preserve"> gender equality</w:t>
            </w:r>
            <w:r>
              <w:rPr>
                <w:b/>
                <w:i/>
              </w:rPr>
              <w:t>, while stressing that such engagement must complement and not replace dedicated support for girls’ and women’s rights and women-led organisations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Reiterates that intergenerational dialogue and the commitment and engagement of men and boys to gender equality are crucial;</w:t>
            </w:r>
          </w:p>
        </w:tc>
        <w:tc>
          <w:tcPr>
            <w:tcW w:w="4876" w:type="dxa"/>
            <w:tcBorders>
              <w:top w:val="nil"/>
              <w:left w:val="nil"/>
              <w:bottom w:val="nil"/>
              <w:right w:val="nil"/>
            </w:tcBorders>
          </w:tcPr>
          <w:p>
            <w:pPr>
              <w:pStyle w:val="Normal6a"/>
            </w:pPr>
            <w:r>
              <w:t>27.</w:t>
            </w:r>
            <w:r>
              <w:tab/>
            </w:r>
            <w:r>
              <w:t>Reiterates that intergenerational dialogue and the commitment and engagement of men and boys to gender equality are crucial</w:t>
            </w:r>
            <w:r>
              <w:rPr>
                <w:b/>
                <w:i/>
              </w:rPr>
              <w:t>, underlines the need to improve curricula with gender-related perspectives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Reiterates that intergenerational dialogue and the commitment and engagement of men and boys to gender equality are crucial;</w:t>
            </w:r>
          </w:p>
        </w:tc>
        <w:tc>
          <w:tcPr>
            <w:tcW w:w="4876" w:type="dxa"/>
            <w:tcBorders>
              <w:top w:val="nil"/>
              <w:left w:val="nil"/>
              <w:bottom w:val="nil"/>
              <w:right w:val="nil"/>
            </w:tcBorders>
          </w:tcPr>
          <w:p>
            <w:pPr>
              <w:pStyle w:val="Normal6a"/>
            </w:pPr>
            <w:r>
              <w:t>27.</w:t>
            </w:r>
            <w:r>
              <w:tab/>
            </w:r>
            <w:r>
              <w:t xml:space="preserve">Reiterates that intergenerational dialogue and the commitment and engagement of men and boys </w:t>
            </w:r>
            <w:r>
              <w:rPr>
                <w:b/>
                <w:i/>
              </w:rPr>
              <w:t>in challenging sexist norms</w:t>
            </w:r>
            <w:r>
              <w:t xml:space="preserve"> to gender equality are crucial;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Calls for GAP IV to be discussed at the annual EU Ambassadors’ Conference, allowing ambassadors to provide regular updates on progress, implementation and challenges in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Calls for GAP IV to strengthen the communication and visibility of EU-funded projects, ensuring local communities are fully aware of EU support, can see its concrete benefits and tangible results on the ground, and that these results are showcased at EU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Paulo do Nascimento Cabral, Rosa Estaràs Ferragut, Eleonora Meleti, Liesbet Sommen, Loucas Fourlas,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Calls for strengthened protection of Human Rights Defenders, with particular attention to those working to promote and protect women’s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Marit Maij, Heléne Fritzon, Marianne Vind, Alessandra Moretti, Marko Vešligaj, Cecilia Strada, Maria Noichl, Lina Gálvez, Elisabeth Grossmann, Emma Rafowicz, Joanna Scheuring-Wielgus, Leire Pajín, Robert Biedroń, 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Calls on the EU to systematically monitor and counter anti-rights narratives, hybrid threats and gender-based disinformation in its external action, and to ensure that EU funding and partnerships uphold girls’ and women’s rights, including bodily autonomy, non-discrimination and a safe civic 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Instructs its President to forward this resolution to the Council, the Commission and the Vice-President of the </w:t>
            </w:r>
            <w:r>
              <w:rPr>
                <w:b/>
                <w:i/>
              </w:rPr>
              <w:t>Commission / High Representative</w:t>
            </w:r>
            <w:r>
              <w:t xml:space="preserve"> of the </w:t>
            </w:r>
            <w:r>
              <w:rPr>
                <w:b/>
                <w:i/>
              </w:rPr>
              <w:t>Union for Foreign Affairs and Security Policy</w:t>
            </w:r>
            <w:r>
              <w:t>.</w:t>
            </w:r>
          </w:p>
        </w:tc>
        <w:tc>
          <w:tcPr>
            <w:tcW w:w="4876" w:type="dxa"/>
            <w:tcBorders>
              <w:top w:val="nil"/>
              <w:left w:val="nil"/>
              <w:bottom w:val="nil"/>
              <w:right w:val="nil"/>
            </w:tcBorders>
          </w:tcPr>
          <w:p>
            <w:pPr>
              <w:pStyle w:val="Normal6a"/>
            </w:pPr>
            <w:r>
              <w:t>28.</w:t>
            </w:r>
            <w:r>
              <w:tab/>
            </w:r>
            <w:r>
              <w:t xml:space="preserve">Instructs its President to forward this resolution to the Council, the Commission and the Vice-President of the </w:t>
            </w:r>
            <w:r>
              <w:rPr>
                <w:b/>
                <w:i/>
              </w:rPr>
              <w:t>Commission, as well as the governments and parliaments</w:t>
            </w:r>
            <w:r>
              <w:t xml:space="preserve"> of the </w:t>
            </w:r>
            <w:r>
              <w:rPr>
                <w:b/>
                <w:i/>
              </w:rPr>
              <w:t>Member States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796.289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130</w:t>
    </w:r>
    <w:r>
      <w:fldChar w:fldCharType="end"/>
    </w:r>
    <w:r>
      <w:t>/</w:t>
    </w:r>
    <w:r>
      <w:fldChar w:fldCharType="begin"/>
    </w:r>
    <w:r>
      <w:instrText xml:space="preserve"> NUMPAGES </w:instrText>
    </w:r>
    <w:r>
      <w:fldChar w:fldCharType="separate"/>
    </w:r>
    <w:r>
      <w:t>131</w:t>
    </w:r>
    <w:r>
      <w:fldChar w:fldCharType="end"/>
    </w:r>
    <w:r>
      <w:tab/>
    </w:r>
    <w:r>
      <w:rPr>
        <w:rStyle w:val="HideTWBExt"/>
      </w:rPr>
      <w:t>&lt;PathFdR&gt;</w:t>
    </w:r>
    <w:r>
      <w:t>AM\1351764EN.docx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AM\1351764EN.docx</w:t>
    </w:r>
    <w:r>
      <w:rPr>
        <w:rStyle w:val="HideTWBExt"/>
      </w:rPr>
      <w:t>&lt;/PathFdR&gt;</w:t>
    </w:r>
    <w:r>
      <w:tab/>
    </w:r>
    <w:r>
      <w:fldChar w:fldCharType="begin"/>
    </w:r>
    <w:r>
      <w:instrText xml:space="preserve"> PAGE </w:instrText>
    </w:r>
    <w:r>
      <w:fldChar w:fldCharType="separate"/>
    </w:r>
    <w:r>
      <w:t>131</w:t>
    </w:r>
    <w:r>
      <w:fldChar w:fldCharType="end"/>
    </w:r>
    <w:r>
      <w:t>/</w:t>
    </w:r>
    <w:r>
      <w:fldChar w:fldCharType="begin"/>
    </w:r>
    <w:r>
      <w:instrText xml:space="preserve"> NUMPAGES </w:instrText>
    </w:r>
    <w:r>
      <w:fldChar w:fldCharType="separate"/>
    </w:r>
    <w:r>
      <w:t>131</w:t>
    </w:r>
    <w:r>
      <w:fldChar w:fldCharType="end"/>
    </w:r>
    <w:r>
      <w:tab/>
    </w:r>
    <w:r>
      <w:t>PE</w:t>
    </w:r>
    <w:r>
      <w:rPr>
        <w:rStyle w:val="HideTWBExt"/>
      </w:rPr>
      <w:t>&lt;NoPE&gt;</w:t>
    </w:r>
    <w:r>
      <w:t>796.289</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AM\1351764EN.docx</w:t>
    </w:r>
    <w:r>
      <w:rPr>
        <w:rStyle w:val="HideTWBExt"/>
      </w:rPr>
      <w:t>&lt;/PathFdR&gt;</w:t>
    </w:r>
    <w:r>
      <w:tab/>
    </w:r>
    <w:r>
      <w:tab/>
    </w:r>
    <w:r>
      <w:t>PE</w:t>
    </w:r>
    <w:r>
      <w:rPr>
        <w:rStyle w:val="HideTWBExt"/>
      </w:rPr>
      <w:t>&lt;NoPE&gt;</w:t>
    </w:r>
    <w:r>
      <w:t>796.289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131</Pages>
  <Words>23518</Words>
  <Characters>138146</Characters>
  <Application>Microsoft Office Word</Application>
  <DocSecurity>0</DocSecurity>
  <Lines>1</Lines>
  <Paragraphs>2546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651371</vt:lpwstr>
  </property>
  <property fmtid="{D5CDD505-2E9C-101B-9397-08002B2CF9AE}" pid="7" name="dmxml.render.traceId">
    <vt:lpwstr>6ac8aa7fb6699de8f25bf78b6d50a5c7</vt:lpwstr>
  </property>
  <property fmtid="{D5CDD505-2E9C-101B-9397-08002B2CF9AE}" pid="8" name="FooterPath">
    <vt:lpwstr>AM\1351764EN.docx</vt:lpwstr>
  </property>
  <property fmtid="{D5CDD505-2E9C-101B-9397-08002B2CF9AE}" pid="9" name="PE Number">
    <vt:lpwstr>796.289</vt:lpwstr>
  </property>
  <property fmtid="{D5CDD505-2E9C-101B-9397-08002B2CF9AE}" pid="10" name="UID">
    <vt:lpwstr>eu.europa.europarl-DIN1-2026-0000261000_01.00-en-01.00_text-xml</vt:lpwstr>
  </property>
</Properties>
</file>