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F7201" w:rsidRPr="00635D1D" w14:paraId="5AB15EC8" w14:textId="77777777" w:rsidTr="00C85D0F">
        <w:trPr>
          <w:trHeight w:hRule="exact" w:val="1418"/>
        </w:trPr>
        <w:tc>
          <w:tcPr>
            <w:tcW w:w="6804" w:type="dxa"/>
            <w:vAlign w:val="center"/>
          </w:tcPr>
          <w:p w14:paraId="1F653599" w14:textId="77777777" w:rsidR="00BE5062" w:rsidRPr="00635D1D" w:rsidRDefault="00DB0998" w:rsidP="00C85D0F">
            <w:pPr>
              <w:pStyle w:val="EPName"/>
            </w:pPr>
            <w:r w:rsidRPr="00635D1D">
              <w:t>Parlament Europejski</w:t>
            </w:r>
          </w:p>
          <w:p w14:paraId="08C5EC40" w14:textId="77777777" w:rsidR="00BE5062" w:rsidRPr="00635D1D" w:rsidRDefault="00DB0998" w:rsidP="00C85D0F">
            <w:pPr>
              <w:pStyle w:val="EPTerm"/>
            </w:pPr>
            <w:r w:rsidRPr="00635D1D">
              <w:t>2024-2029</w:t>
            </w:r>
          </w:p>
        </w:tc>
        <w:tc>
          <w:tcPr>
            <w:tcW w:w="2268" w:type="dxa"/>
          </w:tcPr>
          <w:p w14:paraId="2C051989" w14:textId="77777777" w:rsidR="00BE5062" w:rsidRPr="00635D1D" w:rsidRDefault="00DB0998" w:rsidP="00C85D0F">
            <w:pPr>
              <w:pStyle w:val="EPLogo"/>
            </w:pPr>
            <w:r w:rsidRPr="00635D1D">
              <w:rPr>
                <w:noProof/>
              </w:rPr>
              <w:drawing>
                <wp:inline distT="0" distB="0" distL="0" distR="0" wp14:anchorId="3220EC1A" wp14:editId="340E7A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18DF978" w14:textId="77777777" w:rsidR="000E7234" w:rsidRPr="00635D1D" w:rsidRDefault="000E7234" w:rsidP="000E7234">
      <w:pPr>
        <w:pStyle w:val="LineTop"/>
      </w:pPr>
    </w:p>
    <w:p w14:paraId="1EA85021" w14:textId="77777777" w:rsidR="000E7234" w:rsidRPr="00635D1D" w:rsidRDefault="00DB0998" w:rsidP="000E7234">
      <w:pPr>
        <w:pStyle w:val="EPBody"/>
      </w:pPr>
      <w:r w:rsidRPr="00635D1D">
        <w:rPr>
          <w:rStyle w:val="HideTWBExt"/>
          <w:i w:val="0"/>
          <w:szCs w:val="20"/>
        </w:rPr>
        <w:t>&lt;Commission&gt;</w:t>
      </w:r>
      <w:r w:rsidRPr="00635D1D">
        <w:rPr>
          <w:rStyle w:val="HideTWBInt"/>
          <w:i w:val="0"/>
          <w:szCs w:val="20"/>
        </w:rPr>
        <w:t>{CJ45}</w:t>
      </w:r>
      <w:r w:rsidRPr="00635D1D">
        <w:t>Komisja Ochrony Środowiska Naturalnego, Klimatu i Bezpieczeństwa Żywności</w:t>
      </w:r>
      <w:r w:rsidRPr="00635D1D">
        <w:br/>
        <w:t>Komisja Rynku Wewnętrznego i Ochrony Konsumentów</w:t>
      </w:r>
      <w:r w:rsidRPr="00635D1D">
        <w:rPr>
          <w:rStyle w:val="HideTWBExt"/>
          <w:i w:val="0"/>
          <w:szCs w:val="20"/>
        </w:rPr>
        <w:t>&lt;/</w:t>
      </w:r>
      <w:proofErr w:type="spellStart"/>
      <w:r w:rsidRPr="00635D1D">
        <w:rPr>
          <w:rStyle w:val="HideTWBExt"/>
          <w:i w:val="0"/>
          <w:szCs w:val="20"/>
        </w:rPr>
        <w:t>Commission</w:t>
      </w:r>
      <w:proofErr w:type="spellEnd"/>
      <w:r w:rsidRPr="00635D1D">
        <w:rPr>
          <w:rStyle w:val="HideTWBExt"/>
          <w:i w:val="0"/>
          <w:szCs w:val="20"/>
        </w:rPr>
        <w:t>&gt;</w:t>
      </w:r>
    </w:p>
    <w:p w14:paraId="3A16CC2B" w14:textId="77777777" w:rsidR="000E7234" w:rsidRPr="00635D1D" w:rsidRDefault="000E7234" w:rsidP="000E7234">
      <w:pPr>
        <w:pStyle w:val="LineBottom"/>
      </w:pPr>
    </w:p>
    <w:p w14:paraId="17A360B8" w14:textId="77777777" w:rsidR="00B85286" w:rsidRPr="00635D1D" w:rsidRDefault="00DB0998">
      <w:pPr>
        <w:pStyle w:val="CoverReference"/>
      </w:pPr>
      <w:r w:rsidRPr="00635D1D">
        <w:rPr>
          <w:rStyle w:val="HideTWBExt"/>
          <w:b w:val="0"/>
        </w:rPr>
        <w:t>&lt;RefProc&gt;</w:t>
      </w:r>
      <w:r w:rsidRPr="00635D1D">
        <w:t>2025/0531</w:t>
      </w:r>
      <w:r w:rsidRPr="00635D1D">
        <w:rPr>
          <w:rStyle w:val="HideTWBExt"/>
          <w:b w:val="0"/>
        </w:rPr>
        <w:t>&lt;/</w:t>
      </w:r>
      <w:proofErr w:type="spellStart"/>
      <w:r w:rsidRPr="00635D1D">
        <w:rPr>
          <w:rStyle w:val="HideTWBExt"/>
          <w:b w:val="0"/>
        </w:rPr>
        <w:t>RefProc</w:t>
      </w:r>
      <w:proofErr w:type="spellEnd"/>
      <w:r w:rsidRPr="00635D1D">
        <w:rPr>
          <w:rStyle w:val="HideTWBExt"/>
          <w:b w:val="0"/>
        </w:rPr>
        <w:t>&gt;&lt;RefTypeProc&gt;</w:t>
      </w:r>
      <w:r w:rsidRPr="00635D1D">
        <w:t>(COD)</w:t>
      </w:r>
      <w:r w:rsidRPr="00635D1D">
        <w:rPr>
          <w:rStyle w:val="HideTWBExt"/>
          <w:b w:val="0"/>
        </w:rPr>
        <w:t>&lt;/</w:t>
      </w:r>
      <w:proofErr w:type="spellStart"/>
      <w:r w:rsidRPr="00635D1D">
        <w:rPr>
          <w:rStyle w:val="HideTWBExt"/>
          <w:b w:val="0"/>
        </w:rPr>
        <w:t>RefTypeProc</w:t>
      </w:r>
      <w:proofErr w:type="spellEnd"/>
      <w:r w:rsidRPr="00635D1D">
        <w:rPr>
          <w:rStyle w:val="HideTWBExt"/>
          <w:b w:val="0"/>
        </w:rPr>
        <w:t>&gt;</w:t>
      </w:r>
    </w:p>
    <w:p w14:paraId="71C2372D" w14:textId="77777777" w:rsidR="00B85286" w:rsidRPr="00AD15CF" w:rsidRDefault="00DB0998">
      <w:pPr>
        <w:pStyle w:val="CoverDate"/>
        <w:rPr>
          <w:lang w:val="en-GB"/>
        </w:rPr>
      </w:pPr>
      <w:r w:rsidRPr="00AD15CF">
        <w:rPr>
          <w:rStyle w:val="HideTWBExt"/>
          <w:lang w:val="en-GB"/>
        </w:rPr>
        <w:t>&lt;Date&gt;</w:t>
      </w:r>
      <w:r w:rsidRPr="00AD15CF">
        <w:rPr>
          <w:rStyle w:val="HideTWBInt"/>
          <w:lang w:val="en-GB"/>
        </w:rPr>
        <w:t>{10/02/2026}</w:t>
      </w:r>
      <w:r w:rsidRPr="00AD15CF">
        <w:rPr>
          <w:lang w:val="en-GB"/>
        </w:rPr>
        <w:t>10.2.2026</w:t>
      </w:r>
      <w:r w:rsidRPr="00AD15CF">
        <w:rPr>
          <w:rStyle w:val="HideTWBExt"/>
          <w:lang w:val="en-GB"/>
        </w:rPr>
        <w:t>&lt;/Date&gt;</w:t>
      </w:r>
    </w:p>
    <w:p w14:paraId="42CBAC5D" w14:textId="77777777" w:rsidR="009B0305" w:rsidRPr="00AD15CF" w:rsidRDefault="00DB0998" w:rsidP="009B0305">
      <w:pPr>
        <w:pStyle w:val="CoverDocType"/>
        <w:rPr>
          <w:lang w:val="en-GB"/>
        </w:rPr>
      </w:pPr>
      <w:r w:rsidRPr="00AD15CF">
        <w:rPr>
          <w:rStyle w:val="HideTWBExt"/>
          <w:b w:val="0"/>
          <w:lang w:val="en-GB"/>
        </w:rPr>
        <w:t>&lt;TypeAM&gt;</w:t>
      </w:r>
      <w:r w:rsidRPr="00AD15CF">
        <w:rPr>
          <w:lang w:val="en-GB"/>
        </w:rPr>
        <w:t>POPRAWKI</w:t>
      </w:r>
      <w:r w:rsidRPr="00AD15CF">
        <w:rPr>
          <w:rStyle w:val="HideTWBExt"/>
          <w:b w:val="0"/>
          <w:lang w:val="en-GB"/>
        </w:rPr>
        <w:t>&lt;/TypeAM&gt;</w:t>
      </w:r>
    </w:p>
    <w:p w14:paraId="1AA03EBC" w14:textId="77777777" w:rsidR="00B85286" w:rsidRPr="00E90719" w:rsidRDefault="00DB0998" w:rsidP="001C2054">
      <w:pPr>
        <w:pStyle w:val="CoverDocType24a"/>
        <w:rPr>
          <w:lang w:val="en-GB"/>
        </w:rPr>
      </w:pPr>
      <w:r w:rsidRPr="00E90719">
        <w:rPr>
          <w:rStyle w:val="HideTWBExt"/>
          <w:b w:val="0"/>
          <w:lang w:val="en-GB"/>
        </w:rPr>
        <w:t>&lt;RangeAM&gt;</w:t>
      </w:r>
      <w:r w:rsidRPr="00E90719">
        <w:rPr>
          <w:lang w:val="en-GB"/>
        </w:rPr>
        <w:t>100 - 269</w:t>
      </w:r>
      <w:r w:rsidRPr="00E90719">
        <w:rPr>
          <w:rStyle w:val="HideTWBExt"/>
          <w:b w:val="0"/>
          <w:lang w:val="en-GB"/>
        </w:rPr>
        <w:t>&lt;/RangeAM&gt;</w:t>
      </w:r>
    </w:p>
    <w:p w14:paraId="109368B3" w14:textId="77777777" w:rsidR="001C2054" w:rsidRPr="00E90719" w:rsidRDefault="00DB0998" w:rsidP="00A93F8C">
      <w:pPr>
        <w:pStyle w:val="CoverBold"/>
        <w:rPr>
          <w:lang w:val="en-GB"/>
        </w:rPr>
      </w:pPr>
      <w:r w:rsidRPr="00E90719">
        <w:rPr>
          <w:rStyle w:val="HideTWBExt"/>
          <w:b w:val="0"/>
          <w:lang w:val="en-GB"/>
        </w:rPr>
        <w:t>&lt;TitreType&gt;</w:t>
      </w:r>
      <w:r w:rsidRPr="00E90719">
        <w:rPr>
          <w:lang w:val="en-GB"/>
        </w:rPr>
        <w:t>Projekt sprawozdania</w:t>
      </w:r>
      <w:r w:rsidRPr="00E90719">
        <w:rPr>
          <w:rStyle w:val="HideTWBExt"/>
          <w:b w:val="0"/>
          <w:lang w:val="en-GB"/>
        </w:rPr>
        <w:t>&lt;/TitreType&gt;</w:t>
      </w:r>
    </w:p>
    <w:p w14:paraId="02244990" w14:textId="77777777" w:rsidR="00B85286" w:rsidRPr="00E90719" w:rsidRDefault="00DB0998" w:rsidP="00A93F8C">
      <w:pPr>
        <w:pStyle w:val="CoverBold"/>
        <w:rPr>
          <w:lang w:val="en-GB"/>
        </w:rPr>
      </w:pPr>
      <w:r w:rsidRPr="00E90719">
        <w:rPr>
          <w:rStyle w:val="HideTWBExt"/>
          <w:b w:val="0"/>
          <w:lang w:val="en-GB"/>
        </w:rPr>
        <w:t>&lt;Rapporteur&gt;</w:t>
      </w:r>
      <w:r w:rsidRPr="00E90719">
        <w:rPr>
          <w:lang w:val="en-GB"/>
        </w:rPr>
        <w:t>Dimitris Tsiodras, Piotr Müller</w:t>
      </w:r>
      <w:r w:rsidRPr="00E90719">
        <w:rPr>
          <w:rStyle w:val="HideTWBExt"/>
          <w:b w:val="0"/>
          <w:lang w:val="en-GB"/>
        </w:rPr>
        <w:t>&lt;/Rapporteur&gt;</w:t>
      </w:r>
    </w:p>
    <w:p w14:paraId="4526C512" w14:textId="77777777" w:rsidR="00B85286" w:rsidRPr="00635D1D" w:rsidRDefault="00DB0998">
      <w:pPr>
        <w:pStyle w:val="CoverNormal24a"/>
      </w:pPr>
      <w:r w:rsidRPr="00635D1D">
        <w:rPr>
          <w:rStyle w:val="HideTWBExt"/>
        </w:rPr>
        <w:t>&lt;DocRefPE&gt;</w:t>
      </w:r>
      <w:r w:rsidRPr="00635D1D">
        <w:t>(PE782.180v01-00)</w:t>
      </w:r>
      <w:r w:rsidRPr="00635D1D">
        <w:rPr>
          <w:rStyle w:val="HideTWBExt"/>
        </w:rPr>
        <w:t>&lt;/</w:t>
      </w:r>
      <w:proofErr w:type="spellStart"/>
      <w:r w:rsidRPr="00635D1D">
        <w:rPr>
          <w:rStyle w:val="HideTWBExt"/>
        </w:rPr>
        <w:t>DocRefPE</w:t>
      </w:r>
      <w:proofErr w:type="spellEnd"/>
      <w:r w:rsidRPr="00635D1D">
        <w:rPr>
          <w:rStyle w:val="HideTWBExt"/>
        </w:rPr>
        <w:t>&gt;</w:t>
      </w:r>
    </w:p>
    <w:p w14:paraId="7B632060" w14:textId="77777777" w:rsidR="00B85286" w:rsidRPr="00635D1D" w:rsidRDefault="00DB0998">
      <w:pPr>
        <w:pStyle w:val="CoverNormal24a"/>
      </w:pPr>
      <w:r w:rsidRPr="00635D1D">
        <w:rPr>
          <w:rStyle w:val="HideTWBExt"/>
        </w:rPr>
        <w:t>&lt;Titre&gt;</w:t>
      </w:r>
      <w:r w:rsidRPr="00635D1D">
        <w:t>Zmiana rozporządzeń (WE) nr 1272/2008, (WE) nr 1223/2009 i (UE) 2019/1009 w odniesieniu do uproszczenia niektórych wymogów i procedur dotyczących produktów chemicznych</w:t>
      </w:r>
      <w:r w:rsidRPr="00635D1D">
        <w:rPr>
          <w:rStyle w:val="HideTWBExt"/>
        </w:rPr>
        <w:t>&lt;/</w:t>
      </w:r>
      <w:proofErr w:type="spellStart"/>
      <w:r w:rsidRPr="00635D1D">
        <w:rPr>
          <w:rStyle w:val="HideTWBExt"/>
        </w:rPr>
        <w:t>Titre</w:t>
      </w:r>
      <w:proofErr w:type="spellEnd"/>
      <w:r w:rsidRPr="00635D1D">
        <w:rPr>
          <w:rStyle w:val="HideTWBExt"/>
        </w:rPr>
        <w:t>&gt;</w:t>
      </w:r>
    </w:p>
    <w:p w14:paraId="24DDF5BE" w14:textId="77777777" w:rsidR="006337D4" w:rsidRPr="00635D1D" w:rsidRDefault="00DB0998" w:rsidP="006337D4">
      <w:pPr>
        <w:pStyle w:val="CoverNormal"/>
      </w:pPr>
      <w:r w:rsidRPr="00635D1D">
        <w:rPr>
          <w:rStyle w:val="HideTWBExt"/>
        </w:rPr>
        <w:t>&lt;DocAmend&gt;</w:t>
      </w:r>
      <w:r w:rsidRPr="00635D1D">
        <w:t>Wniosek dotyczący rozporządzenia</w:t>
      </w:r>
      <w:r w:rsidRPr="00635D1D">
        <w:rPr>
          <w:rStyle w:val="HideTWBExt"/>
        </w:rPr>
        <w:t>&lt;/</w:t>
      </w:r>
      <w:proofErr w:type="spellStart"/>
      <w:r w:rsidRPr="00635D1D">
        <w:rPr>
          <w:rStyle w:val="HideTWBExt"/>
        </w:rPr>
        <w:t>DocAmend</w:t>
      </w:r>
      <w:proofErr w:type="spellEnd"/>
      <w:r w:rsidRPr="00635D1D">
        <w:rPr>
          <w:rStyle w:val="HideTWBExt"/>
        </w:rPr>
        <w:t>&gt;</w:t>
      </w:r>
    </w:p>
    <w:p w14:paraId="72293F08" w14:textId="77777777" w:rsidR="00B85286" w:rsidRPr="00AD15CF" w:rsidRDefault="00DB0998">
      <w:pPr>
        <w:pStyle w:val="CoverNormal24a"/>
        <w:rPr>
          <w:lang w:val="pt-PT"/>
        </w:rPr>
      </w:pPr>
      <w:r w:rsidRPr="00AD15CF">
        <w:rPr>
          <w:rStyle w:val="HideTWBExt"/>
          <w:lang w:val="pt-PT"/>
        </w:rPr>
        <w:t>&lt;DocRef&gt;</w:t>
      </w:r>
      <w:r w:rsidRPr="00AD15CF">
        <w:rPr>
          <w:lang w:val="pt-PT"/>
        </w:rPr>
        <w:t>(</w:t>
      </w:r>
      <w:proofErr w:type="gramStart"/>
      <w:r w:rsidRPr="00AD15CF">
        <w:rPr>
          <w:lang w:val="pt-PT"/>
        </w:rPr>
        <w:t>COM(</w:t>
      </w:r>
      <w:proofErr w:type="gramEnd"/>
      <w:r w:rsidRPr="00AD15CF">
        <w:rPr>
          <w:lang w:val="pt-PT"/>
        </w:rPr>
        <w:t>2025)0531 – C9</w:t>
      </w:r>
      <w:r w:rsidRPr="00AD15CF">
        <w:rPr>
          <w:lang w:val="pt-PT"/>
        </w:rPr>
        <w:noBreakHyphen/>
        <w:t>0424/2023 – 2025/0531(COD))</w:t>
      </w:r>
      <w:r w:rsidRPr="00AD15CF">
        <w:rPr>
          <w:rStyle w:val="HideTWBExt"/>
          <w:lang w:val="pt-PT"/>
        </w:rPr>
        <w:t>&lt;/</w:t>
      </w:r>
      <w:proofErr w:type="spellStart"/>
      <w:r w:rsidRPr="00AD15CF">
        <w:rPr>
          <w:rStyle w:val="HideTWBExt"/>
          <w:lang w:val="pt-PT"/>
        </w:rPr>
        <w:t>DocRef</w:t>
      </w:r>
      <w:proofErr w:type="spellEnd"/>
      <w:r w:rsidRPr="00AD15CF">
        <w:rPr>
          <w:rStyle w:val="HideTWBExt"/>
          <w:lang w:val="pt-PT"/>
        </w:rPr>
        <w:t>&gt;</w:t>
      </w:r>
    </w:p>
    <w:p w14:paraId="3363FAE9" w14:textId="77777777" w:rsidR="00B85286" w:rsidRPr="00AD15CF" w:rsidRDefault="00DB0998" w:rsidP="00E660E2">
      <w:pPr>
        <w:widowControl/>
        <w:tabs>
          <w:tab w:val="center" w:pos="4677"/>
        </w:tabs>
        <w:rPr>
          <w:lang w:val="pt-PT"/>
        </w:rPr>
      </w:pPr>
      <w:r w:rsidRPr="00AD15CF">
        <w:rPr>
          <w:lang w:val="pt-PT"/>
        </w:rPr>
        <w:br w:type="page"/>
      </w:r>
      <w:proofErr w:type="spellStart"/>
      <w:r w:rsidRPr="00AD15CF">
        <w:rPr>
          <w:lang w:val="pt-PT"/>
        </w:rPr>
        <w:lastRenderedPageBreak/>
        <w:t>AM</w:t>
      </w:r>
      <w:proofErr w:type="gramStart"/>
      <w:r w:rsidRPr="00AD15CF">
        <w:rPr>
          <w:lang w:val="pt-PT"/>
        </w:rPr>
        <w:t>_Com</w:t>
      </w:r>
      <w:proofErr w:type="gramEnd"/>
      <w:r w:rsidRPr="00AD15CF">
        <w:rPr>
          <w:lang w:val="pt-PT"/>
        </w:rPr>
        <w:t>_LegReport</w:t>
      </w:r>
      <w:proofErr w:type="spellEnd"/>
    </w:p>
    <w:p w14:paraId="18465DE4" w14:textId="5A79B755" w:rsidR="008144C7" w:rsidRPr="00AD15CF" w:rsidRDefault="00DB0998" w:rsidP="008144C7">
      <w:pPr>
        <w:pStyle w:val="AmNumberTabs"/>
        <w:rPr>
          <w:lang w:val="pt-PT"/>
        </w:rPr>
      </w:pPr>
      <w:r w:rsidRPr="00AD15CF">
        <w:rPr>
          <w:lang w:val="pt-PT"/>
        </w:rPr>
        <w:br w:type="page"/>
      </w:r>
      <w:r w:rsidR="008144C7" w:rsidRPr="00AD15CF">
        <w:rPr>
          <w:rStyle w:val="HideTWBExt"/>
          <w:b w:val="0"/>
          <w:lang w:val="pt-PT"/>
        </w:rPr>
        <w:lastRenderedPageBreak/>
        <w:t>&lt;RepeatBlock-Amend&gt;</w:t>
      </w:r>
      <w:r w:rsidRPr="00AD15CF">
        <w:rPr>
          <w:rStyle w:val="HideTWBExt"/>
          <w:b w:val="0"/>
          <w:lang w:val="pt-PT"/>
        </w:rPr>
        <w:t>&lt;Amend&gt;</w:t>
      </w:r>
      <w:proofErr w:type="spellStart"/>
      <w:r w:rsidR="008144C7" w:rsidRPr="00AD15CF">
        <w:rPr>
          <w:lang w:val="pt-PT"/>
        </w:rPr>
        <w:t>Poprawka</w:t>
      </w:r>
      <w:proofErr w:type="spellEnd"/>
      <w:r w:rsidR="008144C7" w:rsidRPr="00AD15CF">
        <w:rPr>
          <w:lang w:val="pt-PT"/>
        </w:rPr>
        <w:tab/>
      </w:r>
      <w:r w:rsidR="008144C7" w:rsidRPr="00AD15CF">
        <w:rPr>
          <w:lang w:val="pt-PT"/>
        </w:rPr>
        <w:tab/>
      </w:r>
      <w:r w:rsidR="008144C7" w:rsidRPr="00AD15CF">
        <w:rPr>
          <w:rStyle w:val="HideTWBExt"/>
          <w:b w:val="0"/>
          <w:lang w:val="pt-PT"/>
        </w:rPr>
        <w:t>&lt;NumAm&gt;</w:t>
      </w:r>
      <w:r w:rsidR="008144C7" w:rsidRPr="00AD15CF">
        <w:rPr>
          <w:lang w:val="pt-PT"/>
        </w:rPr>
        <w:t>100</w:t>
      </w:r>
      <w:r w:rsidR="008144C7" w:rsidRPr="00AD15CF">
        <w:rPr>
          <w:rStyle w:val="HideTWBExt"/>
          <w:b w:val="0"/>
          <w:lang w:val="pt-PT"/>
        </w:rPr>
        <w:t>&lt;/</w:t>
      </w:r>
      <w:proofErr w:type="spellStart"/>
      <w:r w:rsidR="008144C7" w:rsidRPr="00AD15CF">
        <w:rPr>
          <w:rStyle w:val="HideTWBExt"/>
          <w:b w:val="0"/>
          <w:lang w:val="pt-PT"/>
        </w:rPr>
        <w:t>NumAm</w:t>
      </w:r>
      <w:proofErr w:type="spellEnd"/>
      <w:r w:rsidR="008144C7" w:rsidRPr="00AD15CF">
        <w:rPr>
          <w:rStyle w:val="HideTWBExt"/>
          <w:b w:val="0"/>
          <w:lang w:val="pt-PT"/>
        </w:rPr>
        <w:t>&gt;</w:t>
      </w:r>
    </w:p>
    <w:p w14:paraId="5E8CA282" w14:textId="77777777" w:rsidR="008144C7" w:rsidRPr="00AD15CF" w:rsidRDefault="008144C7" w:rsidP="008144C7">
      <w:pPr>
        <w:pStyle w:val="NormalBold"/>
        <w:rPr>
          <w:lang w:val="pt-PT"/>
        </w:rPr>
      </w:pPr>
      <w:r w:rsidRPr="00AD15CF">
        <w:rPr>
          <w:rStyle w:val="HideTWBExt"/>
          <w:b w:val="0"/>
          <w:lang w:val="pt-PT"/>
        </w:rPr>
        <w:t>&lt;RepeatBlock-By&gt;&lt;Members&gt;</w:t>
      </w:r>
      <w:r w:rsidRPr="00AD15CF">
        <w:rPr>
          <w:lang w:val="pt-PT"/>
        </w:rPr>
        <w:t xml:space="preserve">Per </w:t>
      </w:r>
      <w:proofErr w:type="spellStart"/>
      <w:r w:rsidRPr="00AD15CF">
        <w:rPr>
          <w:lang w:val="pt-PT"/>
        </w:rPr>
        <w:t>Clausen</w:t>
      </w:r>
      <w:proofErr w:type="spellEnd"/>
      <w:r w:rsidRPr="00AD15CF">
        <w:rPr>
          <w:lang w:val="pt-PT"/>
        </w:rPr>
        <w:t xml:space="preserve">, </w:t>
      </w:r>
      <w:proofErr w:type="spellStart"/>
      <w:r w:rsidRPr="00AD15CF">
        <w:rPr>
          <w:lang w:val="pt-PT"/>
        </w:rPr>
        <w:t>Anja</w:t>
      </w:r>
      <w:proofErr w:type="spellEnd"/>
      <w:r w:rsidRPr="00AD15CF">
        <w:rPr>
          <w:lang w:val="pt-PT"/>
        </w:rPr>
        <w:t xml:space="preserve"> </w:t>
      </w:r>
      <w:proofErr w:type="spellStart"/>
      <w:r w:rsidRPr="00AD15CF">
        <w:rPr>
          <w:lang w:val="pt-PT"/>
        </w:rPr>
        <w:t>Hazekamp</w:t>
      </w:r>
      <w:proofErr w:type="spellEnd"/>
      <w:r w:rsidRPr="00AD15CF">
        <w:rPr>
          <w:rStyle w:val="HideTWBExt"/>
          <w:b w:val="0"/>
          <w:lang w:val="pt-PT"/>
        </w:rPr>
        <w:t>&lt;/Members&gt;</w:t>
      </w:r>
    </w:p>
    <w:p w14:paraId="54433549" w14:textId="77777777" w:rsidR="008144C7" w:rsidRPr="00635D1D" w:rsidRDefault="008144C7" w:rsidP="008144C7">
      <w:pPr>
        <w:pStyle w:val="NormalBold"/>
      </w:pPr>
      <w:r w:rsidRPr="00635D1D">
        <w:rPr>
          <w:rStyle w:val="HideTWBExt"/>
          <w:b w:val="0"/>
        </w:rPr>
        <w:t>&lt;/RepeatBlock-By&gt;</w:t>
      </w:r>
    </w:p>
    <w:p w14:paraId="3160061D"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BD76325" w14:textId="77777777" w:rsidR="008144C7" w:rsidRPr="00635D1D" w:rsidRDefault="008144C7" w:rsidP="008144C7">
      <w:pPr>
        <w:pStyle w:val="NormalBold"/>
      </w:pPr>
      <w:r w:rsidRPr="00635D1D">
        <w:rPr>
          <w:rStyle w:val="HideTWBExt"/>
          <w:b w:val="0"/>
        </w:rPr>
        <w:t>&lt;Article&gt;</w:t>
      </w:r>
      <w:r w:rsidRPr="00635D1D">
        <w:t>Tytuł 1</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BE36635" w14:textId="77777777" w:rsidTr="00C5582D">
        <w:trPr>
          <w:trHeight w:val="240"/>
          <w:jc w:val="center"/>
        </w:trPr>
        <w:tc>
          <w:tcPr>
            <w:tcW w:w="9752" w:type="dxa"/>
            <w:gridSpan w:val="2"/>
            <w:tcBorders>
              <w:top w:val="nil"/>
              <w:left w:val="nil"/>
              <w:bottom w:val="nil"/>
              <w:right w:val="nil"/>
            </w:tcBorders>
          </w:tcPr>
          <w:p w14:paraId="21036FC4" w14:textId="77777777" w:rsidR="008144C7" w:rsidRPr="00635D1D" w:rsidRDefault="008144C7" w:rsidP="00C5582D"/>
        </w:tc>
      </w:tr>
      <w:tr w:rsidR="008144C7" w:rsidRPr="00635D1D" w14:paraId="168E596C" w14:textId="77777777" w:rsidTr="00C5582D">
        <w:trPr>
          <w:trHeight w:val="240"/>
          <w:jc w:val="center"/>
        </w:trPr>
        <w:tc>
          <w:tcPr>
            <w:tcW w:w="4876" w:type="dxa"/>
            <w:tcBorders>
              <w:top w:val="nil"/>
              <w:left w:val="nil"/>
              <w:bottom w:val="nil"/>
              <w:right w:val="nil"/>
            </w:tcBorders>
            <w:hideMark/>
          </w:tcPr>
          <w:p w14:paraId="7DD4B4F9"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42FBDB9" w14:textId="77777777" w:rsidR="008144C7" w:rsidRPr="00635D1D" w:rsidRDefault="008144C7" w:rsidP="00C5582D">
            <w:pPr>
              <w:pStyle w:val="AmColumnHeading"/>
            </w:pPr>
            <w:r w:rsidRPr="00635D1D">
              <w:t>Poprawka</w:t>
            </w:r>
          </w:p>
        </w:tc>
      </w:tr>
      <w:tr w:rsidR="008144C7" w:rsidRPr="00635D1D" w14:paraId="009C9766" w14:textId="77777777" w:rsidTr="00C5582D">
        <w:trPr>
          <w:jc w:val="center"/>
        </w:trPr>
        <w:tc>
          <w:tcPr>
            <w:tcW w:w="4876" w:type="dxa"/>
            <w:tcBorders>
              <w:top w:val="nil"/>
              <w:left w:val="nil"/>
              <w:bottom w:val="nil"/>
              <w:right w:val="nil"/>
            </w:tcBorders>
            <w:hideMark/>
          </w:tcPr>
          <w:p w14:paraId="6E093755" w14:textId="77777777" w:rsidR="008144C7" w:rsidRPr="00635D1D" w:rsidRDefault="008144C7" w:rsidP="00C5582D">
            <w:pPr>
              <w:pStyle w:val="Normal6a"/>
            </w:pPr>
            <w:r w:rsidRPr="00635D1D">
              <w:t>Wniosek</w:t>
            </w:r>
            <w:r w:rsidRPr="00635D1D">
              <w:br/>
              <w:t>ROZPORZĄDZENIE PARLAMENTU EUROPEJSKIEGO I RADY</w:t>
            </w:r>
            <w:r w:rsidRPr="00635D1D">
              <w:br/>
              <w:t xml:space="preserve">zmieniające rozporządzenia (WE) nr 1272/2008, (WE) nr 1223/2009 </w:t>
            </w:r>
            <w:r w:rsidRPr="00635D1D">
              <w:rPr>
                <w:b/>
                <w:i/>
              </w:rPr>
              <w:t>i</w:t>
            </w:r>
            <w:r w:rsidRPr="00635D1D">
              <w:t xml:space="preserve"> (UE) 2019/1009 w odniesieniu do uproszczenia niektórych wymogów i procedur dotyczących produktów chemicznych</w:t>
            </w:r>
            <w:r w:rsidRPr="00635D1D">
              <w:br/>
              <w:t>(Tekst mający znaczenie dla EOG)</w:t>
            </w:r>
          </w:p>
        </w:tc>
        <w:tc>
          <w:tcPr>
            <w:tcW w:w="4876" w:type="dxa"/>
            <w:tcBorders>
              <w:top w:val="nil"/>
              <w:left w:val="nil"/>
              <w:bottom w:val="nil"/>
              <w:right w:val="nil"/>
            </w:tcBorders>
            <w:hideMark/>
          </w:tcPr>
          <w:p w14:paraId="729CB36F" w14:textId="77777777" w:rsidR="008144C7" w:rsidRPr="00635D1D" w:rsidRDefault="008144C7" w:rsidP="00C5582D">
            <w:pPr>
              <w:pStyle w:val="Normal6a"/>
            </w:pPr>
            <w:r w:rsidRPr="00635D1D">
              <w:t>Wniosek</w:t>
            </w:r>
            <w:r w:rsidRPr="00635D1D">
              <w:br/>
              <w:t>ROZPORZĄDZENIE PARLAMENTU EUROPEJSKIEGO I RADY</w:t>
            </w:r>
            <w:r w:rsidRPr="00635D1D">
              <w:br/>
              <w:t>zmieniające rozporządzenia (WE) nr 1272/2008, (WE) nr 1223/2009</w:t>
            </w:r>
            <w:r w:rsidRPr="00635D1D">
              <w:rPr>
                <w:b/>
                <w:i/>
              </w:rPr>
              <w:t>,</w:t>
            </w:r>
            <w:r w:rsidRPr="00635D1D">
              <w:t xml:space="preserve"> (UE) 2019/1009</w:t>
            </w:r>
            <w:r w:rsidRPr="00635D1D">
              <w:rPr>
                <w:b/>
                <w:i/>
              </w:rPr>
              <w:t>, (WE) nr 1107/2009 i (UE) nr 528/2012</w:t>
            </w:r>
            <w:r w:rsidRPr="00635D1D">
              <w:t xml:space="preserve"> w odniesieniu do uproszczenia niektórych wymogów i procedur dotyczących produktów chemicznych</w:t>
            </w:r>
            <w:r w:rsidRPr="00635D1D">
              <w:br/>
              <w:t>(Tekst mający znaczenie dla EOG)</w:t>
            </w:r>
          </w:p>
        </w:tc>
      </w:tr>
    </w:tbl>
    <w:p w14:paraId="1268D117"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5A2A1933" w14:textId="77777777" w:rsidR="008144C7" w:rsidRPr="00AD15CF" w:rsidRDefault="008144C7" w:rsidP="008144C7">
      <w:pPr>
        <w:rPr>
          <w:lang w:val="en-GB"/>
        </w:rPr>
      </w:pPr>
      <w:r w:rsidRPr="00AD15CF">
        <w:rPr>
          <w:rStyle w:val="HideTWBExt"/>
          <w:lang w:val="en-GB"/>
        </w:rPr>
        <w:t>&lt;/Amend&gt;</w:t>
      </w:r>
    </w:p>
    <w:p w14:paraId="4A45AFBE"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101</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6E73DB38"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Idoia</w:t>
      </w:r>
      <w:proofErr w:type="spellEnd"/>
      <w:r w:rsidRPr="00AD15CF">
        <w:rPr>
          <w:lang w:val="en-GB"/>
        </w:rPr>
        <w:t xml:space="preserve"> </w:t>
      </w:r>
      <w:proofErr w:type="spellStart"/>
      <w:r w:rsidRPr="00AD15CF">
        <w:rPr>
          <w:lang w:val="en-GB"/>
        </w:rPr>
        <w:t>Mendia</w:t>
      </w:r>
      <w:proofErr w:type="spellEnd"/>
      <w:r w:rsidRPr="00AD15CF">
        <w:rPr>
          <w:lang w:val="en-GB"/>
        </w:rPr>
        <w:t xml:space="preserve">, Kristian </w:t>
      </w:r>
      <w:proofErr w:type="spellStart"/>
      <w:r w:rsidRPr="00AD15CF">
        <w:rPr>
          <w:lang w:val="en-GB"/>
        </w:rPr>
        <w:t>Vigenin</w:t>
      </w:r>
      <w:proofErr w:type="spellEnd"/>
      <w:r w:rsidRPr="00AD15CF">
        <w:rPr>
          <w:lang w:val="en-GB"/>
        </w:rPr>
        <w:t xml:space="preserve">, François </w:t>
      </w:r>
      <w:proofErr w:type="spellStart"/>
      <w:r w:rsidRPr="00AD15CF">
        <w:rPr>
          <w:lang w:val="en-GB"/>
        </w:rPr>
        <w:t>Kalfon</w:t>
      </w:r>
      <w:proofErr w:type="spellEnd"/>
      <w:r w:rsidRPr="00AD15CF">
        <w:rPr>
          <w:lang w:val="en-GB"/>
        </w:rPr>
        <w:t xml:space="preserve">, Elisabeth Grossmann, Adnan </w:t>
      </w:r>
      <w:proofErr w:type="spellStart"/>
      <w:r w:rsidRPr="00AD15CF">
        <w:rPr>
          <w:lang w:val="en-GB"/>
        </w:rPr>
        <w:t>Dibrani</w:t>
      </w:r>
      <w:proofErr w:type="spellEnd"/>
      <w:r w:rsidRPr="00AD15CF">
        <w:rPr>
          <w:lang w:val="en-GB"/>
        </w:rPr>
        <w:t xml:space="preserve">, Sakis </w:t>
      </w:r>
      <w:proofErr w:type="spellStart"/>
      <w:r w:rsidRPr="00AD15CF">
        <w:rPr>
          <w:lang w:val="en-GB"/>
        </w:rPr>
        <w:t>Arnaoutoglou</w:t>
      </w:r>
      <w:proofErr w:type="spellEnd"/>
      <w:r w:rsidRPr="00AD15CF">
        <w:rPr>
          <w:lang w:val="en-GB"/>
        </w:rPr>
        <w:t xml:space="preserve">, César </w:t>
      </w:r>
      <w:proofErr w:type="spellStart"/>
      <w:r w:rsidRPr="00AD15CF">
        <w:rPr>
          <w:lang w:val="en-GB"/>
        </w:rPr>
        <w:t>Luena</w:t>
      </w:r>
      <w:proofErr w:type="spellEnd"/>
      <w:r w:rsidRPr="00AD15CF">
        <w:rPr>
          <w:lang w:val="en-GB"/>
        </w:rPr>
        <w:t xml:space="preserve">, Christophe </w:t>
      </w:r>
      <w:proofErr w:type="spellStart"/>
      <w:r w:rsidRPr="00AD15CF">
        <w:rPr>
          <w:lang w:val="en-GB"/>
        </w:rPr>
        <w:t>Clergeau</w:t>
      </w:r>
      <w:proofErr w:type="spellEnd"/>
      <w:r w:rsidRPr="00AD15CF">
        <w:rPr>
          <w:lang w:val="en-GB"/>
        </w:rPr>
        <w:t xml:space="preserve">, </w:t>
      </w:r>
      <w:proofErr w:type="spellStart"/>
      <w:r w:rsidRPr="00AD15CF">
        <w:rPr>
          <w:lang w:val="en-GB"/>
        </w:rPr>
        <w:t>Tiemo</w:t>
      </w:r>
      <w:proofErr w:type="spellEnd"/>
      <w:r w:rsidRPr="00AD15CF">
        <w:rPr>
          <w:lang w:val="en-GB"/>
        </w:rPr>
        <w:t xml:space="preserve"> </w:t>
      </w:r>
      <w:proofErr w:type="spellStart"/>
      <w:r w:rsidRPr="00AD15CF">
        <w:rPr>
          <w:lang w:val="en-GB"/>
        </w:rPr>
        <w:t>Wölken</w:t>
      </w:r>
      <w:proofErr w:type="spellEnd"/>
      <w:r w:rsidRPr="00AD15CF">
        <w:rPr>
          <w:lang w:val="en-GB"/>
        </w:rPr>
        <w:t xml:space="preserve">, Annalisa Corrado, </w:t>
      </w:r>
      <w:proofErr w:type="spellStart"/>
      <w:r w:rsidRPr="00AD15CF">
        <w:rPr>
          <w:lang w:val="en-GB"/>
        </w:rPr>
        <w:t>Heléne</w:t>
      </w:r>
      <w:proofErr w:type="spellEnd"/>
      <w:r w:rsidRPr="00AD15CF">
        <w:rPr>
          <w:lang w:val="en-GB"/>
        </w:rPr>
        <w:t xml:space="preserve"> </w:t>
      </w:r>
      <w:proofErr w:type="spellStart"/>
      <w:r w:rsidRPr="00AD15CF">
        <w:rPr>
          <w:lang w:val="en-GB"/>
        </w:rPr>
        <w:t>Fritzon</w:t>
      </w:r>
      <w:proofErr w:type="spellEnd"/>
      <w:r w:rsidRPr="00AD15CF">
        <w:rPr>
          <w:lang w:val="en-GB"/>
        </w:rPr>
        <w:t xml:space="preserve">, Marta </w:t>
      </w:r>
      <w:proofErr w:type="spellStart"/>
      <w:r w:rsidRPr="00AD15CF">
        <w:rPr>
          <w:lang w:val="en-GB"/>
        </w:rPr>
        <w:t>Temido</w:t>
      </w:r>
      <w:proofErr w:type="spellEnd"/>
      <w:r w:rsidRPr="00AD15CF">
        <w:rPr>
          <w:lang w:val="en-GB"/>
        </w:rPr>
        <w:t xml:space="preserve">, Christel </w:t>
      </w:r>
      <w:proofErr w:type="spellStart"/>
      <w:r w:rsidRPr="00AD15CF">
        <w:rPr>
          <w:lang w:val="en-GB"/>
        </w:rPr>
        <w:t>Schaldemose</w:t>
      </w:r>
      <w:proofErr w:type="spellEnd"/>
      <w:r w:rsidRPr="00AD15CF">
        <w:rPr>
          <w:rStyle w:val="HideTWBExt"/>
          <w:b w:val="0"/>
          <w:lang w:val="en-GB"/>
        </w:rPr>
        <w:t>&lt;/Members&gt;</w:t>
      </w:r>
    </w:p>
    <w:p w14:paraId="6DADF352" w14:textId="77777777" w:rsidR="008144C7" w:rsidRPr="00635D1D" w:rsidRDefault="008144C7" w:rsidP="008144C7">
      <w:pPr>
        <w:pStyle w:val="NormalBold"/>
      </w:pPr>
      <w:r w:rsidRPr="00635D1D">
        <w:rPr>
          <w:rStyle w:val="HideTWBExt"/>
          <w:b w:val="0"/>
        </w:rPr>
        <w:t>&lt;/RepeatBlock-By&gt;</w:t>
      </w:r>
    </w:p>
    <w:p w14:paraId="455C73EB"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6D7E434" w14:textId="77777777" w:rsidR="008144C7" w:rsidRPr="00635D1D" w:rsidRDefault="008144C7" w:rsidP="008144C7">
      <w:pPr>
        <w:pStyle w:val="NormalBold"/>
      </w:pPr>
      <w:r w:rsidRPr="00635D1D">
        <w:rPr>
          <w:rStyle w:val="HideTWBExt"/>
          <w:b w:val="0"/>
        </w:rPr>
        <w:t>&lt;Article&gt;</w:t>
      </w:r>
      <w:r w:rsidRPr="00635D1D">
        <w:t>Motyw 1</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A395BC7" w14:textId="77777777" w:rsidTr="00C5582D">
        <w:trPr>
          <w:trHeight w:val="240"/>
          <w:jc w:val="center"/>
        </w:trPr>
        <w:tc>
          <w:tcPr>
            <w:tcW w:w="9752" w:type="dxa"/>
            <w:gridSpan w:val="2"/>
            <w:tcBorders>
              <w:top w:val="nil"/>
              <w:left w:val="nil"/>
              <w:bottom w:val="nil"/>
              <w:right w:val="nil"/>
            </w:tcBorders>
          </w:tcPr>
          <w:p w14:paraId="235A4C99" w14:textId="77777777" w:rsidR="008144C7" w:rsidRPr="00635D1D" w:rsidRDefault="008144C7" w:rsidP="00C5582D"/>
        </w:tc>
      </w:tr>
      <w:tr w:rsidR="008144C7" w:rsidRPr="00635D1D" w14:paraId="20949808" w14:textId="77777777" w:rsidTr="00C5582D">
        <w:trPr>
          <w:trHeight w:val="240"/>
          <w:jc w:val="center"/>
        </w:trPr>
        <w:tc>
          <w:tcPr>
            <w:tcW w:w="4876" w:type="dxa"/>
            <w:tcBorders>
              <w:top w:val="nil"/>
              <w:left w:val="nil"/>
              <w:bottom w:val="nil"/>
              <w:right w:val="nil"/>
            </w:tcBorders>
            <w:hideMark/>
          </w:tcPr>
          <w:p w14:paraId="6582C518"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4D027D2" w14:textId="77777777" w:rsidR="008144C7" w:rsidRPr="00635D1D" w:rsidRDefault="008144C7" w:rsidP="00C5582D">
            <w:pPr>
              <w:pStyle w:val="AmColumnHeading"/>
            </w:pPr>
            <w:r w:rsidRPr="00635D1D">
              <w:t>Poprawka</w:t>
            </w:r>
          </w:p>
        </w:tc>
      </w:tr>
      <w:tr w:rsidR="008144C7" w:rsidRPr="00635D1D" w14:paraId="490CEE0A" w14:textId="77777777" w:rsidTr="00C5582D">
        <w:trPr>
          <w:jc w:val="center"/>
        </w:trPr>
        <w:tc>
          <w:tcPr>
            <w:tcW w:w="4876" w:type="dxa"/>
            <w:tcBorders>
              <w:top w:val="nil"/>
              <w:left w:val="nil"/>
              <w:bottom w:val="nil"/>
              <w:right w:val="nil"/>
            </w:tcBorders>
            <w:hideMark/>
          </w:tcPr>
          <w:p w14:paraId="7F991E3B" w14:textId="77777777" w:rsidR="008144C7" w:rsidRPr="00635D1D" w:rsidRDefault="008144C7" w:rsidP="00C5582D">
            <w:pPr>
              <w:pStyle w:val="Normal6a"/>
            </w:pPr>
            <w:r w:rsidRPr="00635D1D">
              <w:t>(1)</w:t>
            </w:r>
            <w:r w:rsidRPr="00635D1D">
              <w:tab/>
              <w:t>Wymogi dotyczące wysokiej jakości i bezpieczeństwa produktów na jednolitym rynku zapewniają wysoki poziom ochrony zdrowia ludzkiego i środowiska oraz przyczyniają się do sprawiedliwej i zrównoważonej gospodarki. W warunkach międzynarodowej konkurencji renoma wysokiej jakości produktów wytwarzanych w Unii może przynieść korzyści przedsiębiorstwom unijnym.</w:t>
            </w:r>
          </w:p>
        </w:tc>
        <w:tc>
          <w:tcPr>
            <w:tcW w:w="4876" w:type="dxa"/>
            <w:tcBorders>
              <w:top w:val="nil"/>
              <w:left w:val="nil"/>
              <w:bottom w:val="nil"/>
              <w:right w:val="nil"/>
            </w:tcBorders>
            <w:hideMark/>
          </w:tcPr>
          <w:p w14:paraId="3029A789" w14:textId="77777777" w:rsidR="008144C7" w:rsidRPr="00635D1D" w:rsidRDefault="008144C7" w:rsidP="00C5582D">
            <w:pPr>
              <w:pStyle w:val="Normal6a"/>
            </w:pPr>
            <w:r w:rsidRPr="00635D1D">
              <w:t>(1)</w:t>
            </w:r>
            <w:r w:rsidRPr="00635D1D">
              <w:tab/>
              <w:t xml:space="preserve">Wymogi dotyczące wysokiej jakości i bezpieczeństwa produktów na jednolitym rynku zapewniają wysoki poziom ochrony zdrowia ludzkiego i środowiska oraz przyczyniają się do sprawiedliwej i zrównoważonej gospodarki. W warunkach międzynarodowej konkurencji renoma wysokiej jakości </w:t>
            </w:r>
            <w:r w:rsidRPr="00635D1D">
              <w:rPr>
                <w:b/>
                <w:i/>
              </w:rPr>
              <w:t>i bezpieczeństwa</w:t>
            </w:r>
            <w:r w:rsidRPr="00635D1D">
              <w:t xml:space="preserve"> produktów wytwarzanych w Unii może przynieść korzyści przedsiębiorstwom unijnym.</w:t>
            </w:r>
          </w:p>
        </w:tc>
      </w:tr>
    </w:tbl>
    <w:p w14:paraId="1014C31D"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078DDBF9" w14:textId="77777777" w:rsidR="008144C7" w:rsidRPr="00AD15CF" w:rsidRDefault="008144C7" w:rsidP="008144C7">
      <w:pPr>
        <w:rPr>
          <w:lang w:val="en-GB"/>
        </w:rPr>
      </w:pPr>
      <w:r w:rsidRPr="00AD15CF">
        <w:rPr>
          <w:rStyle w:val="HideTWBExt"/>
          <w:lang w:val="en-GB"/>
        </w:rPr>
        <w:t>&lt;/Amend&gt;</w:t>
      </w:r>
    </w:p>
    <w:p w14:paraId="368D62B3"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102</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69103734"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Per Clausen, Anja </w:t>
      </w:r>
      <w:proofErr w:type="spellStart"/>
      <w:r w:rsidRPr="00AD15CF">
        <w:rPr>
          <w:lang w:val="en-GB"/>
        </w:rPr>
        <w:t>Hazekamp</w:t>
      </w:r>
      <w:proofErr w:type="spellEnd"/>
      <w:r w:rsidRPr="00AD15CF">
        <w:rPr>
          <w:rStyle w:val="HideTWBExt"/>
          <w:b w:val="0"/>
          <w:lang w:val="en-GB"/>
        </w:rPr>
        <w:t>&lt;/Members&gt;</w:t>
      </w:r>
    </w:p>
    <w:p w14:paraId="2E22BF5A" w14:textId="77777777" w:rsidR="008144C7" w:rsidRPr="00635D1D" w:rsidRDefault="008144C7" w:rsidP="008144C7">
      <w:pPr>
        <w:pStyle w:val="NormalBold"/>
      </w:pPr>
      <w:r w:rsidRPr="00635D1D">
        <w:rPr>
          <w:rStyle w:val="HideTWBExt"/>
          <w:b w:val="0"/>
        </w:rPr>
        <w:t>&lt;/RepeatBlock-By&gt;</w:t>
      </w:r>
    </w:p>
    <w:p w14:paraId="0613A409"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A88938F" w14:textId="77777777" w:rsidR="008144C7" w:rsidRPr="00635D1D" w:rsidRDefault="008144C7" w:rsidP="008144C7">
      <w:pPr>
        <w:pStyle w:val="NormalBold"/>
      </w:pPr>
      <w:r w:rsidRPr="00635D1D">
        <w:rPr>
          <w:rStyle w:val="HideTWBExt"/>
          <w:b w:val="0"/>
        </w:rPr>
        <w:t>&lt;Article&gt;</w:t>
      </w:r>
      <w:r w:rsidRPr="00635D1D">
        <w:t>Motyw 1</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02DFF916" w14:textId="77777777" w:rsidTr="00C5582D">
        <w:trPr>
          <w:trHeight w:val="240"/>
          <w:jc w:val="center"/>
        </w:trPr>
        <w:tc>
          <w:tcPr>
            <w:tcW w:w="9752" w:type="dxa"/>
            <w:gridSpan w:val="2"/>
            <w:tcBorders>
              <w:top w:val="nil"/>
              <w:left w:val="nil"/>
              <w:bottom w:val="nil"/>
              <w:right w:val="nil"/>
            </w:tcBorders>
          </w:tcPr>
          <w:p w14:paraId="2491A7D2" w14:textId="77777777" w:rsidR="008144C7" w:rsidRPr="00635D1D" w:rsidRDefault="008144C7" w:rsidP="00C5582D"/>
        </w:tc>
      </w:tr>
      <w:tr w:rsidR="008144C7" w:rsidRPr="00635D1D" w14:paraId="5E69214C" w14:textId="77777777" w:rsidTr="00C5582D">
        <w:trPr>
          <w:trHeight w:val="240"/>
          <w:jc w:val="center"/>
        </w:trPr>
        <w:tc>
          <w:tcPr>
            <w:tcW w:w="4876" w:type="dxa"/>
            <w:tcBorders>
              <w:top w:val="nil"/>
              <w:left w:val="nil"/>
              <w:bottom w:val="nil"/>
              <w:right w:val="nil"/>
            </w:tcBorders>
            <w:hideMark/>
          </w:tcPr>
          <w:p w14:paraId="656373A4"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35852B1" w14:textId="77777777" w:rsidR="008144C7" w:rsidRPr="00635D1D" w:rsidRDefault="008144C7" w:rsidP="00C5582D">
            <w:pPr>
              <w:pStyle w:val="AmColumnHeading"/>
            </w:pPr>
            <w:r w:rsidRPr="00635D1D">
              <w:t>Poprawka</w:t>
            </w:r>
          </w:p>
        </w:tc>
      </w:tr>
      <w:tr w:rsidR="008144C7" w:rsidRPr="00635D1D" w14:paraId="3DA63661" w14:textId="77777777" w:rsidTr="00C5582D">
        <w:trPr>
          <w:jc w:val="center"/>
        </w:trPr>
        <w:tc>
          <w:tcPr>
            <w:tcW w:w="4876" w:type="dxa"/>
            <w:tcBorders>
              <w:top w:val="nil"/>
              <w:left w:val="nil"/>
              <w:bottom w:val="nil"/>
              <w:right w:val="nil"/>
            </w:tcBorders>
            <w:hideMark/>
          </w:tcPr>
          <w:p w14:paraId="022F4804" w14:textId="77777777" w:rsidR="008144C7" w:rsidRPr="00635D1D" w:rsidRDefault="008144C7" w:rsidP="00C5582D">
            <w:pPr>
              <w:pStyle w:val="Normal6a"/>
            </w:pPr>
            <w:r w:rsidRPr="00635D1D">
              <w:t>(1)</w:t>
            </w:r>
            <w:r w:rsidRPr="00635D1D">
              <w:tab/>
              <w:t xml:space="preserve">Wymogi dotyczące wysokiej jakości i bezpieczeństwa produktów na jednolitym rynku zapewniają wysoki poziom ochrony zdrowia </w:t>
            </w:r>
            <w:r w:rsidRPr="00635D1D">
              <w:rPr>
                <w:b/>
                <w:i/>
              </w:rPr>
              <w:t>ludzkiego</w:t>
            </w:r>
            <w:r w:rsidRPr="00635D1D">
              <w:t xml:space="preserve"> i środowiska oraz przyczyniają się do sprawiedliwej i zrównoważonej gospodarki. W warunkach międzynarodowej konkurencji renoma wysokiej jakości produktów wytwarzanych w Unii może przynieść korzyści przedsiębiorstwom unijnym.</w:t>
            </w:r>
          </w:p>
        </w:tc>
        <w:tc>
          <w:tcPr>
            <w:tcW w:w="4876" w:type="dxa"/>
            <w:tcBorders>
              <w:top w:val="nil"/>
              <w:left w:val="nil"/>
              <w:bottom w:val="nil"/>
              <w:right w:val="nil"/>
            </w:tcBorders>
            <w:hideMark/>
          </w:tcPr>
          <w:p w14:paraId="6AEA680A" w14:textId="77777777" w:rsidR="008144C7" w:rsidRPr="00635D1D" w:rsidRDefault="008144C7" w:rsidP="00C5582D">
            <w:pPr>
              <w:pStyle w:val="Normal6a"/>
            </w:pPr>
            <w:r w:rsidRPr="00635D1D">
              <w:t>(1)</w:t>
            </w:r>
            <w:r w:rsidRPr="00635D1D">
              <w:tab/>
              <w:t>Wymogi dotyczące wysokiej jakości i bezpieczeństwa produktów na jednolitym rynku zapewniają wysoki poziom ochrony zdrowia i środowiska oraz przyczyniają się do sprawiedliwej i zrównoważonej gospodarki. W warunkach międzynarodowej konkurencji renoma wysokiej jakości produktów wytwarzanych w Unii może przynieść korzyści przedsiębiorstwom unijnym.</w:t>
            </w:r>
          </w:p>
        </w:tc>
      </w:tr>
    </w:tbl>
    <w:p w14:paraId="2C8103A0"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6C74E98A" w14:textId="77777777" w:rsidR="008144C7" w:rsidRPr="00AD15CF" w:rsidRDefault="008144C7" w:rsidP="008144C7">
      <w:pPr>
        <w:rPr>
          <w:lang w:val="en-GB"/>
        </w:rPr>
      </w:pPr>
      <w:r w:rsidRPr="00AD15CF">
        <w:rPr>
          <w:rStyle w:val="HideTWBExt"/>
          <w:lang w:val="en-GB"/>
        </w:rPr>
        <w:t>&lt;/Amend&gt;</w:t>
      </w:r>
    </w:p>
    <w:p w14:paraId="4110C8C2"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103</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3BF296DD"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Anne-Sophie </w:t>
      </w:r>
      <w:proofErr w:type="spellStart"/>
      <w:r w:rsidRPr="00AD15CF">
        <w:rPr>
          <w:lang w:val="en-GB"/>
        </w:rPr>
        <w:t>Frigout</w:t>
      </w:r>
      <w:proofErr w:type="spellEnd"/>
      <w:r w:rsidRPr="00AD15CF">
        <w:rPr>
          <w:lang w:val="en-GB"/>
        </w:rPr>
        <w:t xml:space="preserve">, Mathilde </w:t>
      </w:r>
      <w:proofErr w:type="spellStart"/>
      <w:r w:rsidRPr="00AD15CF">
        <w:rPr>
          <w:lang w:val="en-GB"/>
        </w:rPr>
        <w:t>Androuët</w:t>
      </w:r>
      <w:proofErr w:type="spellEnd"/>
      <w:r w:rsidRPr="00AD15CF">
        <w:rPr>
          <w:lang w:val="en-GB"/>
        </w:rPr>
        <w:t xml:space="preserve">, Silvia </w:t>
      </w:r>
      <w:proofErr w:type="spellStart"/>
      <w:r w:rsidRPr="00AD15CF">
        <w:rPr>
          <w:lang w:val="en-GB"/>
        </w:rPr>
        <w:t>Sardone</w:t>
      </w:r>
      <w:proofErr w:type="spellEnd"/>
      <w:r w:rsidRPr="00AD15CF">
        <w:rPr>
          <w:lang w:val="en-GB"/>
        </w:rPr>
        <w:t>, Marie-Luce Brasier-</w:t>
      </w:r>
      <w:proofErr w:type="spellStart"/>
      <w:r w:rsidRPr="00AD15CF">
        <w:rPr>
          <w:lang w:val="en-GB"/>
        </w:rPr>
        <w:t>Clain</w:t>
      </w:r>
      <w:proofErr w:type="spellEnd"/>
      <w:r w:rsidRPr="00AD15CF">
        <w:rPr>
          <w:lang w:val="en-GB"/>
        </w:rPr>
        <w:t xml:space="preserve">, Valérie </w:t>
      </w:r>
      <w:proofErr w:type="spellStart"/>
      <w:r w:rsidRPr="00AD15CF">
        <w:rPr>
          <w:lang w:val="en-GB"/>
        </w:rPr>
        <w:t>Deloge</w:t>
      </w:r>
      <w:proofErr w:type="spellEnd"/>
      <w:r w:rsidRPr="00AD15CF">
        <w:rPr>
          <w:lang w:val="en-GB"/>
        </w:rPr>
        <w:t xml:space="preserve">, Antonín </w:t>
      </w:r>
      <w:proofErr w:type="spellStart"/>
      <w:r w:rsidRPr="00AD15CF">
        <w:rPr>
          <w:lang w:val="en-GB"/>
        </w:rPr>
        <w:t>Staněk</w:t>
      </w:r>
      <w:proofErr w:type="spellEnd"/>
      <w:r w:rsidRPr="00AD15CF">
        <w:rPr>
          <w:lang w:val="en-GB"/>
        </w:rPr>
        <w:t xml:space="preserve">, Virginie </w:t>
      </w:r>
      <w:proofErr w:type="spellStart"/>
      <w:r w:rsidRPr="00AD15CF">
        <w:rPr>
          <w:lang w:val="en-GB"/>
        </w:rPr>
        <w:t>Joron</w:t>
      </w:r>
      <w:proofErr w:type="spellEnd"/>
      <w:r w:rsidRPr="00AD15CF">
        <w:rPr>
          <w:rStyle w:val="HideTWBExt"/>
          <w:b w:val="0"/>
          <w:lang w:val="en-GB"/>
        </w:rPr>
        <w:t>&lt;/Members&gt;</w:t>
      </w:r>
    </w:p>
    <w:p w14:paraId="649274B3" w14:textId="77777777" w:rsidR="008144C7" w:rsidRPr="00635D1D" w:rsidRDefault="008144C7" w:rsidP="008144C7">
      <w:pPr>
        <w:pStyle w:val="NormalBold"/>
      </w:pPr>
      <w:r w:rsidRPr="00635D1D">
        <w:rPr>
          <w:rStyle w:val="HideTWBExt"/>
          <w:b w:val="0"/>
        </w:rPr>
        <w:t>&lt;/RepeatBlock-By&gt;</w:t>
      </w:r>
    </w:p>
    <w:p w14:paraId="6193DDC1"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0AF1015" w14:textId="77777777" w:rsidR="008144C7" w:rsidRPr="00635D1D" w:rsidRDefault="008144C7" w:rsidP="008144C7">
      <w:pPr>
        <w:pStyle w:val="NormalBold"/>
      </w:pPr>
      <w:r w:rsidRPr="00635D1D">
        <w:rPr>
          <w:rStyle w:val="HideTWBExt"/>
          <w:b w:val="0"/>
        </w:rPr>
        <w:t>&lt;Article&gt;</w:t>
      </w:r>
      <w:r w:rsidRPr="00635D1D">
        <w:t>Motyw 1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F7DA2CF" w14:textId="77777777" w:rsidTr="00C5582D">
        <w:trPr>
          <w:trHeight w:val="240"/>
          <w:jc w:val="center"/>
        </w:trPr>
        <w:tc>
          <w:tcPr>
            <w:tcW w:w="9752" w:type="dxa"/>
            <w:gridSpan w:val="2"/>
            <w:tcBorders>
              <w:top w:val="nil"/>
              <w:left w:val="nil"/>
              <w:bottom w:val="nil"/>
              <w:right w:val="nil"/>
            </w:tcBorders>
          </w:tcPr>
          <w:p w14:paraId="5708965F" w14:textId="77777777" w:rsidR="008144C7" w:rsidRPr="00635D1D" w:rsidRDefault="008144C7" w:rsidP="00C5582D"/>
        </w:tc>
      </w:tr>
      <w:tr w:rsidR="008144C7" w:rsidRPr="00635D1D" w14:paraId="525331C3" w14:textId="77777777" w:rsidTr="00C5582D">
        <w:trPr>
          <w:trHeight w:val="240"/>
          <w:jc w:val="center"/>
        </w:trPr>
        <w:tc>
          <w:tcPr>
            <w:tcW w:w="4876" w:type="dxa"/>
            <w:tcBorders>
              <w:top w:val="nil"/>
              <w:left w:val="nil"/>
              <w:bottom w:val="nil"/>
              <w:right w:val="nil"/>
            </w:tcBorders>
            <w:hideMark/>
          </w:tcPr>
          <w:p w14:paraId="11DBE4E0"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BE81AA6" w14:textId="77777777" w:rsidR="008144C7" w:rsidRPr="00635D1D" w:rsidRDefault="008144C7" w:rsidP="00C5582D">
            <w:pPr>
              <w:pStyle w:val="AmColumnHeading"/>
            </w:pPr>
            <w:r w:rsidRPr="00635D1D">
              <w:t>Poprawka</w:t>
            </w:r>
          </w:p>
        </w:tc>
      </w:tr>
      <w:tr w:rsidR="008144C7" w:rsidRPr="00635D1D" w14:paraId="02247F89" w14:textId="77777777" w:rsidTr="00C5582D">
        <w:trPr>
          <w:jc w:val="center"/>
        </w:trPr>
        <w:tc>
          <w:tcPr>
            <w:tcW w:w="4876" w:type="dxa"/>
            <w:tcBorders>
              <w:top w:val="nil"/>
              <w:left w:val="nil"/>
              <w:bottom w:val="nil"/>
              <w:right w:val="nil"/>
            </w:tcBorders>
          </w:tcPr>
          <w:p w14:paraId="5CA8EF6A" w14:textId="77777777" w:rsidR="008144C7" w:rsidRPr="00635D1D" w:rsidRDefault="008144C7" w:rsidP="00C5582D">
            <w:pPr>
              <w:pStyle w:val="Normal6a"/>
            </w:pPr>
          </w:p>
        </w:tc>
        <w:tc>
          <w:tcPr>
            <w:tcW w:w="4876" w:type="dxa"/>
            <w:tcBorders>
              <w:top w:val="nil"/>
              <w:left w:val="nil"/>
              <w:bottom w:val="nil"/>
              <w:right w:val="nil"/>
            </w:tcBorders>
            <w:hideMark/>
          </w:tcPr>
          <w:p w14:paraId="57F58CB9" w14:textId="77777777" w:rsidR="008144C7" w:rsidRPr="00635D1D" w:rsidRDefault="008144C7" w:rsidP="00C5582D">
            <w:pPr>
              <w:pStyle w:val="Normal6a"/>
            </w:pPr>
            <w:r w:rsidRPr="00635D1D">
              <w:rPr>
                <w:b/>
                <w:i/>
              </w:rPr>
              <w:t>(1a)</w:t>
            </w:r>
            <w:r w:rsidRPr="00635D1D">
              <w:tab/>
            </w:r>
            <w:r w:rsidRPr="00635D1D">
              <w:rPr>
                <w:b/>
                <w:i/>
              </w:rPr>
              <w:t>Konkurencyjność Unii Europejskiej zależy w szczególności od jej zdolności do innowacji. Uproszczenie ram regulacyjnych stanowi w tym względzie kluczowy czynnik. Nie można, przez nagromadzenie obciążeń regulacyjnych, hamować ani utrudniać inicjatyw mających na celu osiągnięcie postępu technicznego i wspieranie innowacji, lecz należy je uznać za instrumenty przyczyniające się do konkurencyjności i rentowności Unii Europejskiej.</w:t>
            </w:r>
          </w:p>
        </w:tc>
      </w:tr>
    </w:tbl>
    <w:p w14:paraId="4D3D5494"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{FR}</w:t>
      </w:r>
      <w:proofErr w:type="spellStart"/>
      <w:r w:rsidRPr="00AD15CF">
        <w:rPr>
          <w:lang w:val="en-GB"/>
        </w:rPr>
        <w:t>fr</w:t>
      </w:r>
      <w:proofErr w:type="spellEnd"/>
      <w:r w:rsidRPr="00AD15CF">
        <w:rPr>
          <w:rStyle w:val="HideTWBExt"/>
          <w:lang w:val="en-GB"/>
        </w:rPr>
        <w:t>&lt;/Original&gt;</w:t>
      </w:r>
    </w:p>
    <w:p w14:paraId="44E2993E" w14:textId="77777777" w:rsidR="008144C7" w:rsidRPr="00AD15CF" w:rsidRDefault="008144C7" w:rsidP="008144C7">
      <w:pPr>
        <w:rPr>
          <w:lang w:val="en-GB"/>
        </w:rPr>
      </w:pPr>
      <w:r w:rsidRPr="00AD15CF">
        <w:rPr>
          <w:rStyle w:val="HideTWBExt"/>
          <w:lang w:val="en-GB"/>
        </w:rPr>
        <w:t>&lt;/Amend&gt;</w:t>
      </w:r>
    </w:p>
    <w:p w14:paraId="6CCF8D6E"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104</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7171A427"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Per Clausen, Anja </w:t>
      </w:r>
      <w:proofErr w:type="spellStart"/>
      <w:r w:rsidRPr="00AD15CF">
        <w:rPr>
          <w:lang w:val="en-GB"/>
        </w:rPr>
        <w:t>Hazekamp</w:t>
      </w:r>
      <w:proofErr w:type="spellEnd"/>
      <w:r w:rsidRPr="00AD15CF">
        <w:rPr>
          <w:rStyle w:val="HideTWBExt"/>
          <w:b w:val="0"/>
          <w:lang w:val="en-GB"/>
        </w:rPr>
        <w:t>&lt;/Members&gt;</w:t>
      </w:r>
    </w:p>
    <w:p w14:paraId="2FB35B4A" w14:textId="77777777" w:rsidR="008144C7" w:rsidRPr="00635D1D" w:rsidRDefault="008144C7" w:rsidP="008144C7">
      <w:pPr>
        <w:pStyle w:val="NormalBold"/>
      </w:pPr>
      <w:r w:rsidRPr="00635D1D">
        <w:rPr>
          <w:rStyle w:val="HideTWBExt"/>
          <w:b w:val="0"/>
        </w:rPr>
        <w:t>&lt;/RepeatBlock-By&gt;</w:t>
      </w:r>
    </w:p>
    <w:p w14:paraId="0EC1E7C0"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FE45743" w14:textId="77777777" w:rsidR="008144C7" w:rsidRPr="00635D1D" w:rsidRDefault="008144C7" w:rsidP="008144C7">
      <w:pPr>
        <w:pStyle w:val="NormalBold"/>
      </w:pPr>
      <w:r w:rsidRPr="00635D1D">
        <w:rPr>
          <w:rStyle w:val="HideTWBExt"/>
          <w:b w:val="0"/>
        </w:rPr>
        <w:t>&lt;Article&gt;</w:t>
      </w:r>
      <w:r w:rsidRPr="00635D1D">
        <w:t>Motyw 2</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01D68155" w14:textId="77777777" w:rsidTr="00C5582D">
        <w:trPr>
          <w:trHeight w:val="240"/>
          <w:jc w:val="center"/>
        </w:trPr>
        <w:tc>
          <w:tcPr>
            <w:tcW w:w="9752" w:type="dxa"/>
            <w:gridSpan w:val="2"/>
            <w:tcBorders>
              <w:top w:val="nil"/>
              <w:left w:val="nil"/>
              <w:bottom w:val="nil"/>
              <w:right w:val="nil"/>
            </w:tcBorders>
          </w:tcPr>
          <w:p w14:paraId="35F48D1E" w14:textId="77777777" w:rsidR="008144C7" w:rsidRPr="00635D1D" w:rsidRDefault="008144C7" w:rsidP="00C5582D"/>
        </w:tc>
      </w:tr>
      <w:tr w:rsidR="008144C7" w:rsidRPr="00635D1D" w14:paraId="29B836E4" w14:textId="77777777" w:rsidTr="00C5582D">
        <w:trPr>
          <w:trHeight w:val="240"/>
          <w:jc w:val="center"/>
        </w:trPr>
        <w:tc>
          <w:tcPr>
            <w:tcW w:w="4876" w:type="dxa"/>
            <w:tcBorders>
              <w:top w:val="nil"/>
              <w:left w:val="nil"/>
              <w:bottom w:val="nil"/>
              <w:right w:val="nil"/>
            </w:tcBorders>
            <w:hideMark/>
          </w:tcPr>
          <w:p w14:paraId="1D2C4DA8"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7ABED37" w14:textId="77777777" w:rsidR="008144C7" w:rsidRPr="00635D1D" w:rsidRDefault="008144C7" w:rsidP="00C5582D">
            <w:pPr>
              <w:pStyle w:val="AmColumnHeading"/>
            </w:pPr>
            <w:r w:rsidRPr="00635D1D">
              <w:t>Poprawka</w:t>
            </w:r>
          </w:p>
        </w:tc>
      </w:tr>
      <w:tr w:rsidR="008144C7" w:rsidRPr="00635D1D" w14:paraId="2D25A021" w14:textId="77777777" w:rsidTr="00C5582D">
        <w:trPr>
          <w:jc w:val="center"/>
        </w:trPr>
        <w:tc>
          <w:tcPr>
            <w:tcW w:w="4876" w:type="dxa"/>
            <w:tcBorders>
              <w:top w:val="nil"/>
              <w:left w:val="nil"/>
              <w:bottom w:val="nil"/>
              <w:right w:val="nil"/>
            </w:tcBorders>
            <w:hideMark/>
          </w:tcPr>
          <w:p w14:paraId="1B1E8F7D" w14:textId="77777777" w:rsidR="008144C7" w:rsidRPr="00635D1D" w:rsidRDefault="008144C7" w:rsidP="00C5582D">
            <w:pPr>
              <w:pStyle w:val="Normal6a"/>
            </w:pPr>
            <w:r w:rsidRPr="00635D1D">
              <w:rPr>
                <w:b/>
                <w:i/>
              </w:rPr>
              <w:t>(2)</w:t>
            </w:r>
            <w:r w:rsidRPr="00635D1D">
              <w:tab/>
            </w:r>
            <w:r w:rsidRPr="00635D1D">
              <w:rPr>
                <w:b/>
                <w:i/>
              </w:rPr>
              <w:t xml:space="preserve">Z ustaleń zawartych w sprawozdaniu </w:t>
            </w:r>
            <w:proofErr w:type="spellStart"/>
            <w:r w:rsidRPr="00635D1D">
              <w:rPr>
                <w:b/>
                <w:i/>
              </w:rPr>
              <w:t>Draghiego</w:t>
            </w:r>
            <w:proofErr w:type="spellEnd"/>
            <w:r w:rsidRPr="00635D1D">
              <w:rPr>
                <w:b/>
                <w:i/>
              </w:rPr>
              <w:t xml:space="preserve"> z 2024 r.</w:t>
            </w:r>
            <w:r w:rsidRPr="00635D1D">
              <w:rPr>
                <w:b/>
                <w:i/>
                <w:vertAlign w:val="superscript"/>
              </w:rPr>
              <w:t>2</w:t>
            </w:r>
            <w:r w:rsidRPr="00635D1D">
              <w:rPr>
                <w:b/>
                <w:i/>
              </w:rPr>
              <w:t xml:space="preserve"> wynika, że coraz większa liczba i złożoność przepisów mogą ograniczyć pole manewru dla przedsiębiorstw Unii i uniemożliwić im utrzymanie konkurencyjności. W tym kontekście należy uprościć niektóre procedury i wymogi określone w rozporządzeniach Parlamentu Europejskiego i Rady (WE) nr 1272/2008</w:t>
            </w:r>
            <w:r w:rsidRPr="00635D1D">
              <w:rPr>
                <w:b/>
                <w:i/>
                <w:vertAlign w:val="superscript"/>
              </w:rPr>
              <w:t>3</w:t>
            </w:r>
            <w:r w:rsidRPr="00635D1D">
              <w:rPr>
                <w:b/>
                <w:i/>
              </w:rPr>
              <w:t>, (WE) nr 1223/2009</w:t>
            </w:r>
            <w:r w:rsidRPr="00635D1D">
              <w:rPr>
                <w:b/>
                <w:i/>
                <w:vertAlign w:val="superscript"/>
              </w:rPr>
              <w:t>4</w:t>
            </w:r>
            <w:r w:rsidRPr="00635D1D">
              <w:rPr>
                <w:b/>
                <w:i/>
              </w:rPr>
              <w:t xml:space="preserve"> i (UE) 2019/1009</w:t>
            </w:r>
            <w:r w:rsidRPr="00635D1D">
              <w:rPr>
                <w:b/>
                <w:i/>
                <w:vertAlign w:val="superscript"/>
              </w:rPr>
              <w:t>5</w:t>
            </w:r>
            <w:r w:rsidRPr="00635D1D">
              <w:rPr>
                <w:b/>
                <w:i/>
              </w:rPr>
              <w:t xml:space="preserve"> oraz znieść zbędne obciążenia regulacyjne przy jednoczesnym utrzymaniu ochrony zdrowia ludzkiego i środowiska na niezmienionym poziomie.</w:t>
            </w:r>
          </w:p>
        </w:tc>
        <w:tc>
          <w:tcPr>
            <w:tcW w:w="4876" w:type="dxa"/>
            <w:tcBorders>
              <w:top w:val="nil"/>
              <w:left w:val="nil"/>
              <w:bottom w:val="nil"/>
              <w:right w:val="nil"/>
            </w:tcBorders>
            <w:hideMark/>
          </w:tcPr>
          <w:p w14:paraId="7E736CE6" w14:textId="77777777" w:rsidR="008144C7" w:rsidRPr="00635D1D" w:rsidRDefault="008144C7" w:rsidP="00C5582D">
            <w:pPr>
              <w:pStyle w:val="Normal6a"/>
            </w:pPr>
            <w:r w:rsidRPr="00635D1D">
              <w:rPr>
                <w:b/>
                <w:i/>
              </w:rPr>
              <w:t>skreśla się</w:t>
            </w:r>
          </w:p>
        </w:tc>
      </w:tr>
      <w:tr w:rsidR="008144C7" w:rsidRPr="00635D1D" w14:paraId="7B6BA327" w14:textId="77777777" w:rsidTr="00C5582D">
        <w:trPr>
          <w:jc w:val="center"/>
        </w:trPr>
        <w:tc>
          <w:tcPr>
            <w:tcW w:w="4876" w:type="dxa"/>
            <w:tcBorders>
              <w:top w:val="nil"/>
              <w:left w:val="nil"/>
              <w:bottom w:val="nil"/>
              <w:right w:val="nil"/>
            </w:tcBorders>
            <w:hideMark/>
          </w:tcPr>
          <w:p w14:paraId="177CCD1C"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tcPr>
          <w:p w14:paraId="29D56AB6" w14:textId="77777777" w:rsidR="008144C7" w:rsidRPr="00635D1D" w:rsidRDefault="008144C7" w:rsidP="00C5582D"/>
        </w:tc>
      </w:tr>
      <w:tr w:rsidR="008144C7" w:rsidRPr="00635D1D" w14:paraId="03889073" w14:textId="77777777" w:rsidTr="00C5582D">
        <w:trPr>
          <w:jc w:val="center"/>
        </w:trPr>
        <w:tc>
          <w:tcPr>
            <w:tcW w:w="4876" w:type="dxa"/>
            <w:tcBorders>
              <w:top w:val="nil"/>
              <w:left w:val="nil"/>
              <w:bottom w:val="nil"/>
              <w:right w:val="nil"/>
            </w:tcBorders>
            <w:hideMark/>
          </w:tcPr>
          <w:p w14:paraId="6B5F039B" w14:textId="77777777" w:rsidR="008144C7" w:rsidRPr="00635D1D" w:rsidRDefault="008144C7" w:rsidP="00C5582D">
            <w:pPr>
              <w:pStyle w:val="Normal6a"/>
            </w:pPr>
            <w:r w:rsidRPr="00635D1D">
              <w:rPr>
                <w:b/>
                <w:i/>
                <w:vertAlign w:val="superscript"/>
              </w:rPr>
              <w:t>2</w:t>
            </w:r>
            <w:r w:rsidRPr="00635D1D">
              <w:t xml:space="preserve"> </w:t>
            </w:r>
            <w:r w:rsidRPr="00635D1D">
              <w:rPr>
                <w:b/>
                <w:i/>
              </w:rPr>
              <w:t xml:space="preserve">Sprawozdanie Maria </w:t>
            </w:r>
            <w:proofErr w:type="spellStart"/>
            <w:r w:rsidRPr="00635D1D">
              <w:rPr>
                <w:b/>
                <w:i/>
              </w:rPr>
              <w:t>Draghiego</w:t>
            </w:r>
            <w:proofErr w:type="spellEnd"/>
            <w:r w:rsidRPr="00635D1D">
              <w:rPr>
                <w:b/>
                <w:i/>
              </w:rPr>
              <w:t xml:space="preserve"> z 2024 r. na temat przyszłości europejskiej konkurencyjności: https://commission.europa.eu/topics/eu-competitiveness/draghi-report_pl#paragraph_47059</w:t>
            </w:r>
          </w:p>
        </w:tc>
        <w:tc>
          <w:tcPr>
            <w:tcW w:w="4876" w:type="dxa"/>
            <w:tcBorders>
              <w:top w:val="nil"/>
              <w:left w:val="nil"/>
              <w:bottom w:val="nil"/>
              <w:right w:val="nil"/>
            </w:tcBorders>
          </w:tcPr>
          <w:p w14:paraId="371A35A3" w14:textId="77777777" w:rsidR="008144C7" w:rsidRPr="00635D1D" w:rsidRDefault="008144C7" w:rsidP="00C5582D"/>
        </w:tc>
      </w:tr>
      <w:tr w:rsidR="008144C7" w:rsidRPr="00635D1D" w14:paraId="4F0FEA95" w14:textId="77777777" w:rsidTr="00C5582D">
        <w:trPr>
          <w:jc w:val="center"/>
        </w:trPr>
        <w:tc>
          <w:tcPr>
            <w:tcW w:w="4876" w:type="dxa"/>
            <w:tcBorders>
              <w:top w:val="nil"/>
              <w:left w:val="nil"/>
              <w:bottom w:val="nil"/>
              <w:right w:val="nil"/>
            </w:tcBorders>
            <w:hideMark/>
          </w:tcPr>
          <w:p w14:paraId="291A4446" w14:textId="77777777" w:rsidR="008144C7" w:rsidRPr="00635D1D" w:rsidRDefault="008144C7" w:rsidP="00C5582D">
            <w:pPr>
              <w:pStyle w:val="Normal6a"/>
            </w:pPr>
            <w:r w:rsidRPr="00635D1D">
              <w:rPr>
                <w:b/>
                <w:i/>
                <w:vertAlign w:val="superscript"/>
              </w:rPr>
              <w:t>3</w:t>
            </w:r>
            <w:r w:rsidRPr="00635D1D">
              <w:t xml:space="preserve"> </w:t>
            </w:r>
            <w:r w:rsidRPr="00635D1D">
              <w:rPr>
                <w:b/>
                <w:i/>
              </w:rPr>
              <w:t>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s. 1, ELI: http://data.europa.eu/eli/reg/2008/1272/oj).</w:t>
            </w:r>
          </w:p>
        </w:tc>
        <w:tc>
          <w:tcPr>
            <w:tcW w:w="4876" w:type="dxa"/>
            <w:tcBorders>
              <w:top w:val="nil"/>
              <w:left w:val="nil"/>
              <w:bottom w:val="nil"/>
              <w:right w:val="nil"/>
            </w:tcBorders>
          </w:tcPr>
          <w:p w14:paraId="6FBA099E" w14:textId="77777777" w:rsidR="008144C7" w:rsidRPr="00635D1D" w:rsidRDefault="008144C7" w:rsidP="00C5582D"/>
        </w:tc>
      </w:tr>
      <w:tr w:rsidR="008144C7" w:rsidRPr="00635D1D" w14:paraId="230DC2EA" w14:textId="77777777" w:rsidTr="00C5582D">
        <w:trPr>
          <w:jc w:val="center"/>
        </w:trPr>
        <w:tc>
          <w:tcPr>
            <w:tcW w:w="4876" w:type="dxa"/>
            <w:tcBorders>
              <w:top w:val="nil"/>
              <w:left w:val="nil"/>
              <w:bottom w:val="nil"/>
              <w:right w:val="nil"/>
            </w:tcBorders>
            <w:hideMark/>
          </w:tcPr>
          <w:p w14:paraId="30A73D75" w14:textId="77777777" w:rsidR="008144C7" w:rsidRPr="00635D1D" w:rsidRDefault="008144C7" w:rsidP="00C5582D">
            <w:pPr>
              <w:pStyle w:val="Normal6a"/>
            </w:pPr>
            <w:r w:rsidRPr="00635D1D">
              <w:rPr>
                <w:b/>
                <w:i/>
                <w:vertAlign w:val="superscript"/>
              </w:rPr>
              <w:t>4</w:t>
            </w:r>
            <w:r w:rsidRPr="00635D1D">
              <w:t xml:space="preserve"> </w:t>
            </w:r>
            <w:r w:rsidRPr="00635D1D">
              <w:rPr>
                <w:b/>
                <w:i/>
              </w:rPr>
              <w:t>Rozporządzenie Parlamentu Europejskiego i Rady (WE) nr 1223/2009 z dnia 30 listopada 2009 r. dotyczące produktów kosmetycznych (Dz.U. L 342 z 22.12.2009, s. 59, ELI: http://data.europa.eu/eli/reg/2009/1223/oj).</w:t>
            </w:r>
          </w:p>
        </w:tc>
        <w:tc>
          <w:tcPr>
            <w:tcW w:w="4876" w:type="dxa"/>
            <w:tcBorders>
              <w:top w:val="nil"/>
              <w:left w:val="nil"/>
              <w:bottom w:val="nil"/>
              <w:right w:val="nil"/>
            </w:tcBorders>
          </w:tcPr>
          <w:p w14:paraId="1AED777D" w14:textId="77777777" w:rsidR="008144C7" w:rsidRPr="00635D1D" w:rsidRDefault="008144C7" w:rsidP="00C5582D"/>
        </w:tc>
      </w:tr>
      <w:tr w:rsidR="008144C7" w:rsidRPr="00635D1D" w14:paraId="29D488C2" w14:textId="77777777" w:rsidTr="00C5582D">
        <w:trPr>
          <w:jc w:val="center"/>
        </w:trPr>
        <w:tc>
          <w:tcPr>
            <w:tcW w:w="4876" w:type="dxa"/>
            <w:tcBorders>
              <w:top w:val="nil"/>
              <w:left w:val="nil"/>
              <w:bottom w:val="nil"/>
              <w:right w:val="nil"/>
            </w:tcBorders>
            <w:hideMark/>
          </w:tcPr>
          <w:p w14:paraId="61FB4FF1" w14:textId="77777777" w:rsidR="008144C7" w:rsidRPr="00635D1D" w:rsidRDefault="008144C7" w:rsidP="00C5582D">
            <w:pPr>
              <w:pStyle w:val="Normal6a"/>
            </w:pPr>
            <w:r w:rsidRPr="00635D1D">
              <w:rPr>
                <w:b/>
                <w:i/>
                <w:vertAlign w:val="superscript"/>
              </w:rPr>
              <w:t>5</w:t>
            </w:r>
            <w:r w:rsidRPr="00635D1D">
              <w:t xml:space="preserve"> </w:t>
            </w:r>
            <w:r w:rsidRPr="00635D1D">
              <w:rPr>
                <w:b/>
                <w:i/>
              </w:rPr>
              <w:t xml:space="preserve">Rozporządzenie Parlamentu Europejskiego i Rady (UE) 2019/1009 z dnia 5 czerwca 2019 r. ustanawiające przepisy dotyczące udostępniania na rynku produktów nawozowych UE, zmieniające rozporządzenia (WE) nr 1069/2009 i (WE) nr 1107/2009 oraz uchylające rozporządzenie (WE) nr 2003/2003 (Dz.U. L 170 z </w:t>
            </w:r>
            <w:proofErr w:type="gramStart"/>
            <w:r w:rsidRPr="00635D1D">
              <w:rPr>
                <w:b/>
                <w:i/>
              </w:rPr>
              <w:t>25.6.2019</w:t>
            </w:r>
            <w:proofErr w:type="gramEnd"/>
            <w:r w:rsidRPr="00635D1D">
              <w:rPr>
                <w:b/>
                <w:i/>
              </w:rPr>
              <w:t>, s. 1, ELI: http://data.europa.eu/eli/reg/2019/1009/oj).</w:t>
            </w:r>
          </w:p>
        </w:tc>
        <w:tc>
          <w:tcPr>
            <w:tcW w:w="4876" w:type="dxa"/>
            <w:tcBorders>
              <w:top w:val="nil"/>
              <w:left w:val="nil"/>
              <w:bottom w:val="nil"/>
              <w:right w:val="nil"/>
            </w:tcBorders>
          </w:tcPr>
          <w:p w14:paraId="0136AE97" w14:textId="77777777" w:rsidR="008144C7" w:rsidRPr="00635D1D" w:rsidRDefault="008144C7" w:rsidP="00C5582D"/>
        </w:tc>
      </w:tr>
    </w:tbl>
    <w:p w14:paraId="598F5344"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6A7A4668" w14:textId="77777777" w:rsidR="008144C7" w:rsidRPr="00AD15CF" w:rsidRDefault="008144C7" w:rsidP="008144C7">
      <w:pPr>
        <w:rPr>
          <w:lang w:val="en-GB"/>
        </w:rPr>
      </w:pPr>
      <w:r w:rsidRPr="00AD15CF">
        <w:rPr>
          <w:rStyle w:val="HideTWBExt"/>
          <w:lang w:val="en-GB"/>
        </w:rPr>
        <w:t>&lt;/Amend&gt;</w:t>
      </w:r>
    </w:p>
    <w:p w14:paraId="43D89EB6"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105</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684D904B"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Idoia</w:t>
      </w:r>
      <w:proofErr w:type="spellEnd"/>
      <w:r w:rsidRPr="00AD15CF">
        <w:rPr>
          <w:lang w:val="en-GB"/>
        </w:rPr>
        <w:t xml:space="preserve"> </w:t>
      </w:r>
      <w:proofErr w:type="spellStart"/>
      <w:r w:rsidRPr="00AD15CF">
        <w:rPr>
          <w:lang w:val="en-GB"/>
        </w:rPr>
        <w:t>Mendia</w:t>
      </w:r>
      <w:proofErr w:type="spellEnd"/>
      <w:r w:rsidRPr="00AD15CF">
        <w:rPr>
          <w:lang w:val="en-GB"/>
        </w:rPr>
        <w:t xml:space="preserve">, Kristian </w:t>
      </w:r>
      <w:proofErr w:type="spellStart"/>
      <w:r w:rsidRPr="00AD15CF">
        <w:rPr>
          <w:lang w:val="en-GB"/>
        </w:rPr>
        <w:t>Vigenin</w:t>
      </w:r>
      <w:proofErr w:type="spellEnd"/>
      <w:r w:rsidRPr="00AD15CF">
        <w:rPr>
          <w:lang w:val="en-GB"/>
        </w:rPr>
        <w:t xml:space="preserve">, François </w:t>
      </w:r>
      <w:proofErr w:type="spellStart"/>
      <w:r w:rsidRPr="00AD15CF">
        <w:rPr>
          <w:lang w:val="en-GB"/>
        </w:rPr>
        <w:t>Kalfon</w:t>
      </w:r>
      <w:proofErr w:type="spellEnd"/>
      <w:r w:rsidRPr="00AD15CF">
        <w:rPr>
          <w:lang w:val="en-GB"/>
        </w:rPr>
        <w:t xml:space="preserve">, Elisabeth Grossmann, Adnan </w:t>
      </w:r>
      <w:proofErr w:type="spellStart"/>
      <w:r w:rsidRPr="00AD15CF">
        <w:rPr>
          <w:lang w:val="en-GB"/>
        </w:rPr>
        <w:t>Dibrani</w:t>
      </w:r>
      <w:proofErr w:type="spellEnd"/>
      <w:r w:rsidRPr="00AD15CF">
        <w:rPr>
          <w:lang w:val="en-GB"/>
        </w:rPr>
        <w:t xml:space="preserve">, Sakis </w:t>
      </w:r>
      <w:proofErr w:type="spellStart"/>
      <w:r w:rsidRPr="00AD15CF">
        <w:rPr>
          <w:lang w:val="en-GB"/>
        </w:rPr>
        <w:t>Arnaoutoglou</w:t>
      </w:r>
      <w:proofErr w:type="spellEnd"/>
      <w:r w:rsidRPr="00AD15CF">
        <w:rPr>
          <w:lang w:val="en-GB"/>
        </w:rPr>
        <w:t xml:space="preserve">, César </w:t>
      </w:r>
      <w:proofErr w:type="spellStart"/>
      <w:r w:rsidRPr="00AD15CF">
        <w:rPr>
          <w:lang w:val="en-GB"/>
        </w:rPr>
        <w:t>Luena</w:t>
      </w:r>
      <w:proofErr w:type="spellEnd"/>
      <w:r w:rsidRPr="00AD15CF">
        <w:rPr>
          <w:lang w:val="en-GB"/>
        </w:rPr>
        <w:t xml:space="preserve">, Christophe </w:t>
      </w:r>
      <w:proofErr w:type="spellStart"/>
      <w:r w:rsidRPr="00AD15CF">
        <w:rPr>
          <w:lang w:val="en-GB"/>
        </w:rPr>
        <w:t>Clergeau</w:t>
      </w:r>
      <w:proofErr w:type="spellEnd"/>
      <w:r w:rsidRPr="00AD15CF">
        <w:rPr>
          <w:lang w:val="en-GB"/>
        </w:rPr>
        <w:t xml:space="preserve">, </w:t>
      </w:r>
      <w:proofErr w:type="spellStart"/>
      <w:r w:rsidRPr="00AD15CF">
        <w:rPr>
          <w:lang w:val="en-GB"/>
        </w:rPr>
        <w:t>Tiemo</w:t>
      </w:r>
      <w:proofErr w:type="spellEnd"/>
      <w:r w:rsidRPr="00AD15CF">
        <w:rPr>
          <w:lang w:val="en-GB"/>
        </w:rPr>
        <w:t xml:space="preserve"> </w:t>
      </w:r>
      <w:proofErr w:type="spellStart"/>
      <w:r w:rsidRPr="00AD15CF">
        <w:rPr>
          <w:lang w:val="en-GB"/>
        </w:rPr>
        <w:t>Wölken</w:t>
      </w:r>
      <w:proofErr w:type="spellEnd"/>
      <w:r w:rsidRPr="00AD15CF">
        <w:rPr>
          <w:lang w:val="en-GB"/>
        </w:rPr>
        <w:t xml:space="preserve">, Annalisa Corrado, </w:t>
      </w:r>
      <w:proofErr w:type="spellStart"/>
      <w:r w:rsidRPr="00AD15CF">
        <w:rPr>
          <w:lang w:val="en-GB"/>
        </w:rPr>
        <w:t>Heléne</w:t>
      </w:r>
      <w:proofErr w:type="spellEnd"/>
      <w:r w:rsidRPr="00AD15CF">
        <w:rPr>
          <w:lang w:val="en-GB"/>
        </w:rPr>
        <w:t xml:space="preserve"> </w:t>
      </w:r>
      <w:proofErr w:type="spellStart"/>
      <w:r w:rsidRPr="00AD15CF">
        <w:rPr>
          <w:lang w:val="en-GB"/>
        </w:rPr>
        <w:t>Fritzon</w:t>
      </w:r>
      <w:proofErr w:type="spellEnd"/>
      <w:r w:rsidRPr="00AD15CF">
        <w:rPr>
          <w:lang w:val="en-GB"/>
        </w:rPr>
        <w:t xml:space="preserve">, Marta </w:t>
      </w:r>
      <w:proofErr w:type="spellStart"/>
      <w:r w:rsidRPr="00AD15CF">
        <w:rPr>
          <w:lang w:val="en-GB"/>
        </w:rPr>
        <w:t>Temido</w:t>
      </w:r>
      <w:proofErr w:type="spellEnd"/>
      <w:r w:rsidRPr="00AD15CF">
        <w:rPr>
          <w:lang w:val="en-GB"/>
        </w:rPr>
        <w:t xml:space="preserve">, Christel </w:t>
      </w:r>
      <w:proofErr w:type="spellStart"/>
      <w:r w:rsidRPr="00AD15CF">
        <w:rPr>
          <w:lang w:val="en-GB"/>
        </w:rPr>
        <w:t>Schaldemose</w:t>
      </w:r>
      <w:proofErr w:type="spellEnd"/>
      <w:r w:rsidRPr="00AD15CF">
        <w:rPr>
          <w:rStyle w:val="HideTWBExt"/>
          <w:b w:val="0"/>
          <w:lang w:val="en-GB"/>
        </w:rPr>
        <w:t>&lt;/Members&gt;</w:t>
      </w:r>
    </w:p>
    <w:p w14:paraId="02A587D5" w14:textId="77777777" w:rsidR="008144C7" w:rsidRPr="00635D1D" w:rsidRDefault="008144C7" w:rsidP="008144C7">
      <w:pPr>
        <w:pStyle w:val="NormalBold"/>
      </w:pPr>
      <w:r w:rsidRPr="00635D1D">
        <w:rPr>
          <w:rStyle w:val="HideTWBExt"/>
          <w:b w:val="0"/>
        </w:rPr>
        <w:t>&lt;/RepeatBlock-By&gt;</w:t>
      </w:r>
    </w:p>
    <w:p w14:paraId="2358B027"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C6A7D5F" w14:textId="77777777" w:rsidR="008144C7" w:rsidRPr="00635D1D" w:rsidRDefault="008144C7" w:rsidP="008144C7">
      <w:pPr>
        <w:pStyle w:val="NormalBold"/>
      </w:pPr>
      <w:r w:rsidRPr="00635D1D">
        <w:rPr>
          <w:rStyle w:val="HideTWBExt"/>
          <w:b w:val="0"/>
        </w:rPr>
        <w:t>&lt;Article&gt;</w:t>
      </w:r>
      <w:r w:rsidRPr="00635D1D">
        <w:t>Motyw 2</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7996E35" w14:textId="77777777" w:rsidTr="00C5582D">
        <w:trPr>
          <w:trHeight w:val="240"/>
          <w:jc w:val="center"/>
        </w:trPr>
        <w:tc>
          <w:tcPr>
            <w:tcW w:w="9752" w:type="dxa"/>
            <w:gridSpan w:val="2"/>
            <w:tcBorders>
              <w:top w:val="nil"/>
              <w:left w:val="nil"/>
              <w:bottom w:val="nil"/>
              <w:right w:val="nil"/>
            </w:tcBorders>
          </w:tcPr>
          <w:p w14:paraId="3C586EA4" w14:textId="77777777" w:rsidR="008144C7" w:rsidRPr="00635D1D" w:rsidRDefault="008144C7" w:rsidP="00C5582D"/>
        </w:tc>
      </w:tr>
      <w:tr w:rsidR="008144C7" w:rsidRPr="00635D1D" w14:paraId="41F5E1E3" w14:textId="77777777" w:rsidTr="00C5582D">
        <w:trPr>
          <w:trHeight w:val="240"/>
          <w:jc w:val="center"/>
        </w:trPr>
        <w:tc>
          <w:tcPr>
            <w:tcW w:w="4876" w:type="dxa"/>
            <w:tcBorders>
              <w:top w:val="nil"/>
              <w:left w:val="nil"/>
              <w:bottom w:val="nil"/>
              <w:right w:val="nil"/>
            </w:tcBorders>
            <w:hideMark/>
          </w:tcPr>
          <w:p w14:paraId="4425BEEC"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71A2B23" w14:textId="77777777" w:rsidR="008144C7" w:rsidRPr="00635D1D" w:rsidRDefault="008144C7" w:rsidP="00C5582D">
            <w:pPr>
              <w:pStyle w:val="AmColumnHeading"/>
            </w:pPr>
            <w:r w:rsidRPr="00635D1D">
              <w:t>Poprawka</w:t>
            </w:r>
          </w:p>
        </w:tc>
      </w:tr>
      <w:tr w:rsidR="008144C7" w:rsidRPr="00635D1D" w14:paraId="50D7C3F0" w14:textId="77777777" w:rsidTr="00C5582D">
        <w:trPr>
          <w:jc w:val="center"/>
        </w:trPr>
        <w:tc>
          <w:tcPr>
            <w:tcW w:w="4876" w:type="dxa"/>
            <w:tcBorders>
              <w:top w:val="nil"/>
              <w:left w:val="nil"/>
              <w:bottom w:val="nil"/>
              <w:right w:val="nil"/>
            </w:tcBorders>
            <w:hideMark/>
          </w:tcPr>
          <w:p w14:paraId="10E7AB31" w14:textId="77777777" w:rsidR="008144C7" w:rsidRPr="00635D1D" w:rsidRDefault="008144C7" w:rsidP="00C5582D">
            <w:pPr>
              <w:pStyle w:val="Normal6a"/>
            </w:pPr>
            <w:r w:rsidRPr="00635D1D">
              <w:t>(2)</w:t>
            </w:r>
            <w:r w:rsidRPr="00635D1D">
              <w:tab/>
              <w:t xml:space="preserve">Z ustaleń zawartych w sprawozdaniu </w:t>
            </w:r>
            <w:proofErr w:type="spellStart"/>
            <w:r w:rsidRPr="00635D1D">
              <w:t>Draghiego</w:t>
            </w:r>
            <w:proofErr w:type="spellEnd"/>
            <w:r w:rsidRPr="00635D1D">
              <w:t xml:space="preserve"> z 2024 r.</w:t>
            </w:r>
            <w:r w:rsidRPr="00635D1D">
              <w:rPr>
                <w:vertAlign w:val="superscript"/>
              </w:rPr>
              <w:t>2</w:t>
            </w:r>
            <w:r w:rsidRPr="00635D1D">
              <w:t xml:space="preserve"> wynika, że coraz większa liczba i złożoność przepisów mogą ograniczyć pole manewru dla przedsiębiorstw Unii i uniemożliwić im utrzymanie konkurencyjności. W tym kontekście </w:t>
            </w:r>
            <w:r w:rsidRPr="00635D1D">
              <w:rPr>
                <w:b/>
                <w:i/>
              </w:rPr>
              <w:t>należy</w:t>
            </w:r>
            <w:r w:rsidRPr="00635D1D">
              <w:t xml:space="preserve"> uprościć niektóre procedury i wymogi określone w rozporządzeniach Parlamentu Europejskiego i Rady (WE) nr 1272/2008</w:t>
            </w:r>
            <w:r w:rsidRPr="00635D1D">
              <w:rPr>
                <w:vertAlign w:val="superscript"/>
              </w:rPr>
              <w:t>3</w:t>
            </w:r>
            <w:r w:rsidRPr="00635D1D">
              <w:t>, (WE) nr 1223/2009</w:t>
            </w:r>
            <w:r w:rsidRPr="00635D1D">
              <w:rPr>
                <w:vertAlign w:val="superscript"/>
              </w:rPr>
              <w:t>4</w:t>
            </w:r>
            <w:r w:rsidRPr="00635D1D">
              <w:t xml:space="preserve"> i (UE) 2019/1009</w:t>
            </w:r>
            <w:r w:rsidRPr="00635D1D">
              <w:rPr>
                <w:vertAlign w:val="superscript"/>
              </w:rPr>
              <w:t>5</w:t>
            </w:r>
            <w:r w:rsidRPr="00635D1D">
              <w:t xml:space="preserve"> oraz znieść zbędne obciążenia </w:t>
            </w:r>
            <w:r w:rsidRPr="00635D1D">
              <w:rPr>
                <w:b/>
                <w:i/>
              </w:rPr>
              <w:t>regulacyjne</w:t>
            </w:r>
            <w:r w:rsidRPr="00635D1D">
              <w:t xml:space="preserve"> przy jednoczesnym utrzymaniu ochrony zdrowia ludzkiego i środowiska na </w:t>
            </w:r>
            <w:r w:rsidRPr="00635D1D">
              <w:rPr>
                <w:b/>
                <w:i/>
              </w:rPr>
              <w:t>niezmienionym</w:t>
            </w:r>
            <w:r w:rsidRPr="00635D1D">
              <w:t xml:space="preserve"> poziomie.</w:t>
            </w:r>
          </w:p>
        </w:tc>
        <w:tc>
          <w:tcPr>
            <w:tcW w:w="4876" w:type="dxa"/>
            <w:tcBorders>
              <w:top w:val="nil"/>
              <w:left w:val="nil"/>
              <w:bottom w:val="nil"/>
              <w:right w:val="nil"/>
            </w:tcBorders>
            <w:hideMark/>
          </w:tcPr>
          <w:p w14:paraId="229F3598" w14:textId="77777777" w:rsidR="008144C7" w:rsidRPr="00635D1D" w:rsidRDefault="008144C7" w:rsidP="00C5582D">
            <w:pPr>
              <w:pStyle w:val="Normal6a"/>
            </w:pPr>
            <w:r w:rsidRPr="00635D1D">
              <w:t>(2)</w:t>
            </w:r>
            <w:r w:rsidRPr="00635D1D">
              <w:tab/>
              <w:t xml:space="preserve">Z ustaleń zawartych w sprawozdaniu </w:t>
            </w:r>
            <w:proofErr w:type="spellStart"/>
            <w:r w:rsidRPr="00635D1D">
              <w:t>Draghiego</w:t>
            </w:r>
            <w:proofErr w:type="spellEnd"/>
            <w:r w:rsidRPr="00635D1D">
              <w:t xml:space="preserve"> z 2024 r.</w:t>
            </w:r>
            <w:r w:rsidRPr="00635D1D">
              <w:rPr>
                <w:vertAlign w:val="superscript"/>
              </w:rPr>
              <w:t>2</w:t>
            </w:r>
            <w:r w:rsidRPr="00635D1D">
              <w:t xml:space="preserve"> wynika, że coraz większa liczba i złożoność przepisów mogą ograniczyć pole manewru dla przedsiębiorstw Unii i uniemożliwić im utrzymanie konkurencyjności. W tym kontekście </w:t>
            </w:r>
            <w:r w:rsidRPr="00635D1D">
              <w:rPr>
                <w:b/>
                <w:i/>
              </w:rPr>
              <w:t>można</w:t>
            </w:r>
            <w:r w:rsidRPr="00635D1D">
              <w:t xml:space="preserve"> uprościć niektóre procedury i wymogi określone w rozporządzeniach Parlamentu Europejskiego i Rady (WE) nr 1272/2008</w:t>
            </w:r>
            <w:r w:rsidRPr="00635D1D">
              <w:rPr>
                <w:vertAlign w:val="superscript"/>
              </w:rPr>
              <w:t>3</w:t>
            </w:r>
            <w:r w:rsidRPr="00635D1D">
              <w:t>, (WE) nr 1223/2009</w:t>
            </w:r>
            <w:r w:rsidRPr="00635D1D">
              <w:rPr>
                <w:vertAlign w:val="superscript"/>
              </w:rPr>
              <w:t>4</w:t>
            </w:r>
            <w:r w:rsidRPr="00635D1D">
              <w:t xml:space="preserve"> i (UE) 2019/1009</w:t>
            </w:r>
            <w:r w:rsidRPr="00635D1D">
              <w:rPr>
                <w:vertAlign w:val="superscript"/>
              </w:rPr>
              <w:t>5</w:t>
            </w:r>
            <w:r w:rsidRPr="00635D1D">
              <w:t xml:space="preserve"> oraz znieść zbędne obciążenia </w:t>
            </w:r>
            <w:r w:rsidRPr="00635D1D">
              <w:rPr>
                <w:b/>
                <w:i/>
              </w:rPr>
              <w:t>administracyjne</w:t>
            </w:r>
            <w:r w:rsidRPr="00635D1D">
              <w:t xml:space="preserve"> przy jednoczesnym utrzymaniu </w:t>
            </w:r>
            <w:r w:rsidRPr="00635D1D">
              <w:rPr>
                <w:b/>
                <w:i/>
              </w:rPr>
              <w:t>ochrony konsumentów,</w:t>
            </w:r>
            <w:r w:rsidRPr="00635D1D">
              <w:t xml:space="preserve"> ochrony zdrowia ludzkiego i środowiska na </w:t>
            </w:r>
            <w:r w:rsidRPr="00635D1D">
              <w:rPr>
                <w:b/>
                <w:i/>
              </w:rPr>
              <w:t>wysokim</w:t>
            </w:r>
            <w:r w:rsidRPr="00635D1D">
              <w:t xml:space="preserve"> poziomie.</w:t>
            </w:r>
          </w:p>
        </w:tc>
      </w:tr>
      <w:tr w:rsidR="008144C7" w:rsidRPr="00635D1D" w14:paraId="6B876C61" w14:textId="77777777" w:rsidTr="00C5582D">
        <w:trPr>
          <w:jc w:val="center"/>
        </w:trPr>
        <w:tc>
          <w:tcPr>
            <w:tcW w:w="4876" w:type="dxa"/>
            <w:tcBorders>
              <w:top w:val="nil"/>
              <w:left w:val="nil"/>
              <w:bottom w:val="nil"/>
              <w:right w:val="nil"/>
            </w:tcBorders>
            <w:hideMark/>
          </w:tcPr>
          <w:p w14:paraId="00849F1D"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7AD8D59A" w14:textId="77777777" w:rsidR="008144C7" w:rsidRPr="00635D1D" w:rsidRDefault="008144C7" w:rsidP="00C5582D">
            <w:pPr>
              <w:pStyle w:val="Normal6a"/>
            </w:pPr>
            <w:r w:rsidRPr="00635D1D">
              <w:rPr>
                <w:b/>
                <w:i/>
              </w:rPr>
              <w:t>_________________</w:t>
            </w:r>
          </w:p>
        </w:tc>
      </w:tr>
      <w:tr w:rsidR="008144C7" w:rsidRPr="00635D1D" w14:paraId="6E2820A6" w14:textId="77777777" w:rsidTr="00C5582D">
        <w:trPr>
          <w:jc w:val="center"/>
        </w:trPr>
        <w:tc>
          <w:tcPr>
            <w:tcW w:w="4876" w:type="dxa"/>
            <w:tcBorders>
              <w:top w:val="nil"/>
              <w:left w:val="nil"/>
              <w:bottom w:val="nil"/>
              <w:right w:val="nil"/>
            </w:tcBorders>
            <w:hideMark/>
          </w:tcPr>
          <w:p w14:paraId="4555BF26" w14:textId="77777777" w:rsidR="008144C7" w:rsidRPr="00635D1D" w:rsidRDefault="008144C7" w:rsidP="00C5582D">
            <w:pPr>
              <w:pStyle w:val="Normal6a"/>
            </w:pPr>
            <w:r w:rsidRPr="00635D1D">
              <w:rPr>
                <w:vertAlign w:val="superscript"/>
              </w:rPr>
              <w:t>2</w:t>
            </w:r>
            <w:r w:rsidRPr="00635D1D">
              <w:t xml:space="preserve"> Sprawozdanie Maria </w:t>
            </w:r>
            <w:proofErr w:type="spellStart"/>
            <w:r w:rsidRPr="00635D1D">
              <w:t>Draghiego</w:t>
            </w:r>
            <w:proofErr w:type="spellEnd"/>
            <w:r w:rsidRPr="00635D1D">
              <w:t xml:space="preserve"> z 2024 r. na temat przyszłości europejskiej konkurencyjności: https://commission.europa.eu/topics/eu-competitiveness/draghi-report_pl#paragraph_47059</w:t>
            </w:r>
          </w:p>
        </w:tc>
        <w:tc>
          <w:tcPr>
            <w:tcW w:w="4876" w:type="dxa"/>
            <w:tcBorders>
              <w:top w:val="nil"/>
              <w:left w:val="nil"/>
              <w:bottom w:val="nil"/>
              <w:right w:val="nil"/>
            </w:tcBorders>
            <w:hideMark/>
          </w:tcPr>
          <w:p w14:paraId="0592DCAA" w14:textId="77777777" w:rsidR="008144C7" w:rsidRPr="00635D1D" w:rsidRDefault="008144C7" w:rsidP="00C5582D">
            <w:pPr>
              <w:pStyle w:val="Normal6a"/>
            </w:pPr>
            <w:r w:rsidRPr="00635D1D">
              <w:rPr>
                <w:vertAlign w:val="superscript"/>
              </w:rPr>
              <w:t>2</w:t>
            </w:r>
            <w:r w:rsidRPr="00635D1D">
              <w:t xml:space="preserve"> Sprawozdanie Maria </w:t>
            </w:r>
            <w:proofErr w:type="spellStart"/>
            <w:r w:rsidRPr="00635D1D">
              <w:t>Draghiego</w:t>
            </w:r>
            <w:proofErr w:type="spellEnd"/>
            <w:r w:rsidRPr="00635D1D">
              <w:t xml:space="preserve"> z 2024 r. na temat przyszłości europejskiej konkurencyjności: https://commission.europa.eu/topics/eu-competitiveness/draghi-report_pl#paragraph_47059</w:t>
            </w:r>
          </w:p>
        </w:tc>
      </w:tr>
      <w:tr w:rsidR="008144C7" w:rsidRPr="00635D1D" w14:paraId="33A67DB8" w14:textId="77777777" w:rsidTr="00C5582D">
        <w:trPr>
          <w:jc w:val="center"/>
        </w:trPr>
        <w:tc>
          <w:tcPr>
            <w:tcW w:w="4876" w:type="dxa"/>
            <w:tcBorders>
              <w:top w:val="nil"/>
              <w:left w:val="nil"/>
              <w:bottom w:val="nil"/>
              <w:right w:val="nil"/>
            </w:tcBorders>
            <w:hideMark/>
          </w:tcPr>
          <w:p w14:paraId="147977AB" w14:textId="77777777" w:rsidR="008144C7" w:rsidRPr="00635D1D" w:rsidRDefault="008144C7" w:rsidP="00C5582D">
            <w:pPr>
              <w:pStyle w:val="Normal6a"/>
            </w:pPr>
            <w:r w:rsidRPr="00635D1D">
              <w:rPr>
                <w:vertAlign w:val="superscript"/>
              </w:rPr>
              <w:t>3</w:t>
            </w:r>
            <w:r w:rsidRPr="00635D1D">
              <w:t xml:space="preserve"> 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s. 1, ELI: http://data.europa.eu/eli/reg/2008/1272/oj).</w:t>
            </w:r>
          </w:p>
        </w:tc>
        <w:tc>
          <w:tcPr>
            <w:tcW w:w="4876" w:type="dxa"/>
            <w:tcBorders>
              <w:top w:val="nil"/>
              <w:left w:val="nil"/>
              <w:bottom w:val="nil"/>
              <w:right w:val="nil"/>
            </w:tcBorders>
            <w:hideMark/>
          </w:tcPr>
          <w:p w14:paraId="12F09C3D" w14:textId="77777777" w:rsidR="008144C7" w:rsidRPr="00635D1D" w:rsidRDefault="008144C7" w:rsidP="00C5582D">
            <w:pPr>
              <w:pStyle w:val="Normal6a"/>
            </w:pPr>
            <w:r w:rsidRPr="00635D1D">
              <w:rPr>
                <w:vertAlign w:val="superscript"/>
              </w:rPr>
              <w:t>3</w:t>
            </w:r>
            <w:r w:rsidRPr="00635D1D">
              <w:t xml:space="preserve"> 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s. 1, ELI: http://data.europa.eu/eli/reg/2008/1272/oj).</w:t>
            </w:r>
          </w:p>
        </w:tc>
      </w:tr>
      <w:tr w:rsidR="008144C7" w:rsidRPr="00635D1D" w14:paraId="0E1165C5" w14:textId="77777777" w:rsidTr="00C5582D">
        <w:trPr>
          <w:jc w:val="center"/>
        </w:trPr>
        <w:tc>
          <w:tcPr>
            <w:tcW w:w="4876" w:type="dxa"/>
            <w:tcBorders>
              <w:top w:val="nil"/>
              <w:left w:val="nil"/>
              <w:bottom w:val="nil"/>
              <w:right w:val="nil"/>
            </w:tcBorders>
            <w:hideMark/>
          </w:tcPr>
          <w:p w14:paraId="1531C01B" w14:textId="77777777" w:rsidR="008144C7" w:rsidRPr="00635D1D" w:rsidRDefault="008144C7" w:rsidP="00C5582D">
            <w:pPr>
              <w:pStyle w:val="Normal6a"/>
            </w:pPr>
            <w:r w:rsidRPr="00635D1D">
              <w:rPr>
                <w:vertAlign w:val="superscript"/>
              </w:rPr>
              <w:t>4</w:t>
            </w:r>
            <w:r w:rsidRPr="00635D1D">
              <w:t xml:space="preserve"> Rozporządzenie Parlamentu Europejskiego i Rady (WE) nr 1223/2009 z dnia 30 listopada 2009 r. dotyczące produktów kosmetycznych (Dz.U. L 342 z 22.12.2009, s. 59, ELI: http://data.europa.eu/eli/reg/2009/1223/oj).</w:t>
            </w:r>
          </w:p>
        </w:tc>
        <w:tc>
          <w:tcPr>
            <w:tcW w:w="4876" w:type="dxa"/>
            <w:tcBorders>
              <w:top w:val="nil"/>
              <w:left w:val="nil"/>
              <w:bottom w:val="nil"/>
              <w:right w:val="nil"/>
            </w:tcBorders>
            <w:hideMark/>
          </w:tcPr>
          <w:p w14:paraId="30A3917E" w14:textId="77777777" w:rsidR="008144C7" w:rsidRPr="00635D1D" w:rsidRDefault="008144C7" w:rsidP="00C5582D">
            <w:pPr>
              <w:pStyle w:val="Normal6a"/>
            </w:pPr>
            <w:r w:rsidRPr="00635D1D">
              <w:rPr>
                <w:vertAlign w:val="superscript"/>
              </w:rPr>
              <w:t>4</w:t>
            </w:r>
            <w:r w:rsidRPr="00635D1D">
              <w:t xml:space="preserve"> Rozporządzenie Parlamentu Europejskiego i Rady (WE) nr 1223/2009 z dnia 30 listopada 2009 r. dotyczące produktów kosmetycznych (Dz.U. L 342 z 22.12.2009, s. 59, ELI: http://data.europa.eu/eli/reg/2009/1223/oj).</w:t>
            </w:r>
          </w:p>
        </w:tc>
      </w:tr>
      <w:tr w:rsidR="008144C7" w:rsidRPr="00635D1D" w14:paraId="4E5206F6" w14:textId="77777777" w:rsidTr="00C5582D">
        <w:trPr>
          <w:jc w:val="center"/>
        </w:trPr>
        <w:tc>
          <w:tcPr>
            <w:tcW w:w="4876" w:type="dxa"/>
            <w:tcBorders>
              <w:top w:val="nil"/>
              <w:left w:val="nil"/>
              <w:bottom w:val="nil"/>
              <w:right w:val="nil"/>
            </w:tcBorders>
            <w:hideMark/>
          </w:tcPr>
          <w:p w14:paraId="4C79E59F" w14:textId="77777777" w:rsidR="008144C7" w:rsidRPr="00635D1D" w:rsidRDefault="008144C7" w:rsidP="00C5582D">
            <w:pPr>
              <w:pStyle w:val="Normal6a"/>
            </w:pPr>
            <w:r w:rsidRPr="00635D1D">
              <w:rPr>
                <w:vertAlign w:val="superscript"/>
              </w:rPr>
              <w:t>5</w:t>
            </w:r>
            <w:r w:rsidRPr="00635D1D">
              <w:t xml:space="preserve"> Rozporządzenie Parlamentu Europejskiego i Rady (UE) 2019/1009 z dnia 5 czerwca 2019 r. ustanawiające przepisy dotyczące udostępniania na rynku produktów nawozowych UE, zmieniające rozporządzenia (WE) nr 1069/2009 i (WE) nr 1107/2009 oraz uchylające rozporządzenie (WE) nr 2003/2003 (Dz.U. L 170 z </w:t>
            </w:r>
            <w:proofErr w:type="gramStart"/>
            <w:r w:rsidRPr="00635D1D">
              <w:t>25.6.2019</w:t>
            </w:r>
            <w:proofErr w:type="gramEnd"/>
            <w:r w:rsidRPr="00635D1D">
              <w:t>, s. 1, ELI: http://data.europa.eu/eli/reg/2019/1009/oj).</w:t>
            </w:r>
          </w:p>
        </w:tc>
        <w:tc>
          <w:tcPr>
            <w:tcW w:w="4876" w:type="dxa"/>
            <w:tcBorders>
              <w:top w:val="nil"/>
              <w:left w:val="nil"/>
              <w:bottom w:val="nil"/>
              <w:right w:val="nil"/>
            </w:tcBorders>
            <w:hideMark/>
          </w:tcPr>
          <w:p w14:paraId="7B6AE14B" w14:textId="77777777" w:rsidR="008144C7" w:rsidRPr="00635D1D" w:rsidRDefault="008144C7" w:rsidP="00C5582D">
            <w:pPr>
              <w:pStyle w:val="Normal6a"/>
            </w:pPr>
            <w:r w:rsidRPr="00635D1D">
              <w:rPr>
                <w:vertAlign w:val="superscript"/>
              </w:rPr>
              <w:t>5</w:t>
            </w:r>
            <w:r w:rsidRPr="00635D1D">
              <w:t xml:space="preserve"> Rozporządzenie Parlamentu Europejskiego i Rady (UE) 2019/1009 z dnia 5 czerwca 2019 r. ustanawiające przepisy dotyczące udostępniania na rynku produktów nawozowych UE, zmieniające rozporządzenia (WE) nr 1069/2009 i (WE) nr 1107/2009 oraz uchylające rozporządzenie (WE) nr 2003/2003 (Dz.U. L 170 z </w:t>
            </w:r>
            <w:proofErr w:type="gramStart"/>
            <w:r w:rsidRPr="00635D1D">
              <w:t>25.6.2019</w:t>
            </w:r>
            <w:proofErr w:type="gramEnd"/>
            <w:r w:rsidRPr="00635D1D">
              <w:t>, s. 1, ELI: http://data.europa.eu/eli/reg/2019/1009/oj).</w:t>
            </w:r>
          </w:p>
        </w:tc>
      </w:tr>
    </w:tbl>
    <w:p w14:paraId="3BE1EA01"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64DAEBA6" w14:textId="77777777" w:rsidR="008144C7" w:rsidRPr="00AD15CF" w:rsidRDefault="008144C7" w:rsidP="008144C7">
      <w:pPr>
        <w:rPr>
          <w:lang w:val="en-GB"/>
        </w:rPr>
      </w:pPr>
      <w:r w:rsidRPr="00AD15CF">
        <w:rPr>
          <w:rStyle w:val="HideTWBExt"/>
          <w:lang w:val="en-GB"/>
        </w:rPr>
        <w:t>&lt;/Amend&gt;</w:t>
      </w:r>
    </w:p>
    <w:p w14:paraId="0DAA59A5"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106</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5B3DC5F0"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Idoia</w:t>
      </w:r>
      <w:proofErr w:type="spellEnd"/>
      <w:r w:rsidRPr="00AD15CF">
        <w:rPr>
          <w:lang w:val="en-GB"/>
        </w:rPr>
        <w:t xml:space="preserve"> </w:t>
      </w:r>
      <w:proofErr w:type="spellStart"/>
      <w:r w:rsidRPr="00AD15CF">
        <w:rPr>
          <w:lang w:val="en-GB"/>
        </w:rPr>
        <w:t>Mendia</w:t>
      </w:r>
      <w:proofErr w:type="spellEnd"/>
      <w:r w:rsidRPr="00AD15CF">
        <w:rPr>
          <w:lang w:val="en-GB"/>
        </w:rPr>
        <w:t xml:space="preserve">, Kristian </w:t>
      </w:r>
      <w:proofErr w:type="spellStart"/>
      <w:r w:rsidRPr="00AD15CF">
        <w:rPr>
          <w:lang w:val="en-GB"/>
        </w:rPr>
        <w:t>Vigenin</w:t>
      </w:r>
      <w:proofErr w:type="spellEnd"/>
      <w:r w:rsidRPr="00AD15CF">
        <w:rPr>
          <w:lang w:val="en-GB"/>
        </w:rPr>
        <w:t xml:space="preserve">, François </w:t>
      </w:r>
      <w:proofErr w:type="spellStart"/>
      <w:r w:rsidRPr="00AD15CF">
        <w:rPr>
          <w:lang w:val="en-GB"/>
        </w:rPr>
        <w:t>Kalfon</w:t>
      </w:r>
      <w:proofErr w:type="spellEnd"/>
      <w:r w:rsidRPr="00AD15CF">
        <w:rPr>
          <w:lang w:val="en-GB"/>
        </w:rPr>
        <w:t xml:space="preserve">, Elisabeth Grossmann, Adnan </w:t>
      </w:r>
      <w:proofErr w:type="spellStart"/>
      <w:r w:rsidRPr="00AD15CF">
        <w:rPr>
          <w:lang w:val="en-GB"/>
        </w:rPr>
        <w:t>Dibrani</w:t>
      </w:r>
      <w:proofErr w:type="spellEnd"/>
      <w:r w:rsidRPr="00AD15CF">
        <w:rPr>
          <w:lang w:val="en-GB"/>
        </w:rPr>
        <w:t xml:space="preserve">, Sakis </w:t>
      </w:r>
      <w:proofErr w:type="spellStart"/>
      <w:r w:rsidRPr="00AD15CF">
        <w:rPr>
          <w:lang w:val="en-GB"/>
        </w:rPr>
        <w:t>Arnaoutoglou</w:t>
      </w:r>
      <w:proofErr w:type="spellEnd"/>
      <w:r w:rsidRPr="00AD15CF">
        <w:rPr>
          <w:lang w:val="en-GB"/>
        </w:rPr>
        <w:t xml:space="preserve">, César </w:t>
      </w:r>
      <w:proofErr w:type="spellStart"/>
      <w:r w:rsidRPr="00AD15CF">
        <w:rPr>
          <w:lang w:val="en-GB"/>
        </w:rPr>
        <w:t>Luena</w:t>
      </w:r>
      <w:proofErr w:type="spellEnd"/>
      <w:r w:rsidRPr="00AD15CF">
        <w:rPr>
          <w:lang w:val="en-GB"/>
        </w:rPr>
        <w:t xml:space="preserve">, Christophe </w:t>
      </w:r>
      <w:proofErr w:type="spellStart"/>
      <w:r w:rsidRPr="00AD15CF">
        <w:rPr>
          <w:lang w:val="en-GB"/>
        </w:rPr>
        <w:t>Clergeau</w:t>
      </w:r>
      <w:proofErr w:type="spellEnd"/>
      <w:r w:rsidRPr="00AD15CF">
        <w:rPr>
          <w:lang w:val="en-GB"/>
        </w:rPr>
        <w:t xml:space="preserve">, </w:t>
      </w:r>
      <w:proofErr w:type="spellStart"/>
      <w:r w:rsidRPr="00AD15CF">
        <w:rPr>
          <w:lang w:val="en-GB"/>
        </w:rPr>
        <w:t>Tiemo</w:t>
      </w:r>
      <w:proofErr w:type="spellEnd"/>
      <w:r w:rsidRPr="00AD15CF">
        <w:rPr>
          <w:lang w:val="en-GB"/>
        </w:rPr>
        <w:t xml:space="preserve"> </w:t>
      </w:r>
      <w:proofErr w:type="spellStart"/>
      <w:r w:rsidRPr="00AD15CF">
        <w:rPr>
          <w:lang w:val="en-GB"/>
        </w:rPr>
        <w:t>Wölken</w:t>
      </w:r>
      <w:proofErr w:type="spellEnd"/>
      <w:r w:rsidRPr="00AD15CF">
        <w:rPr>
          <w:lang w:val="en-GB"/>
        </w:rPr>
        <w:t xml:space="preserve">, Annalisa Corrado, </w:t>
      </w:r>
      <w:proofErr w:type="spellStart"/>
      <w:r w:rsidRPr="00AD15CF">
        <w:rPr>
          <w:lang w:val="en-GB"/>
        </w:rPr>
        <w:t>Heléne</w:t>
      </w:r>
      <w:proofErr w:type="spellEnd"/>
      <w:r w:rsidRPr="00AD15CF">
        <w:rPr>
          <w:lang w:val="en-GB"/>
        </w:rPr>
        <w:t xml:space="preserve"> </w:t>
      </w:r>
      <w:proofErr w:type="spellStart"/>
      <w:r w:rsidRPr="00AD15CF">
        <w:rPr>
          <w:lang w:val="en-GB"/>
        </w:rPr>
        <w:t>Fritzon</w:t>
      </w:r>
      <w:proofErr w:type="spellEnd"/>
      <w:r w:rsidRPr="00AD15CF">
        <w:rPr>
          <w:lang w:val="en-GB"/>
        </w:rPr>
        <w:t xml:space="preserve">, Marta </w:t>
      </w:r>
      <w:proofErr w:type="spellStart"/>
      <w:r w:rsidRPr="00AD15CF">
        <w:rPr>
          <w:lang w:val="en-GB"/>
        </w:rPr>
        <w:t>Temido</w:t>
      </w:r>
      <w:proofErr w:type="spellEnd"/>
      <w:r w:rsidRPr="00AD15CF">
        <w:rPr>
          <w:lang w:val="en-GB"/>
        </w:rPr>
        <w:t xml:space="preserve">, Christel </w:t>
      </w:r>
      <w:proofErr w:type="spellStart"/>
      <w:r w:rsidRPr="00AD15CF">
        <w:rPr>
          <w:lang w:val="en-GB"/>
        </w:rPr>
        <w:t>Schaldemose</w:t>
      </w:r>
      <w:proofErr w:type="spellEnd"/>
      <w:r w:rsidRPr="00AD15CF">
        <w:rPr>
          <w:rStyle w:val="HideTWBExt"/>
          <w:b w:val="0"/>
          <w:lang w:val="en-GB"/>
        </w:rPr>
        <w:t>&lt;/Members&gt;</w:t>
      </w:r>
    </w:p>
    <w:p w14:paraId="6BDF6E76" w14:textId="77777777" w:rsidR="008144C7" w:rsidRPr="00635D1D" w:rsidRDefault="008144C7" w:rsidP="008144C7">
      <w:pPr>
        <w:pStyle w:val="NormalBold"/>
      </w:pPr>
      <w:r w:rsidRPr="00635D1D">
        <w:rPr>
          <w:rStyle w:val="HideTWBExt"/>
          <w:b w:val="0"/>
        </w:rPr>
        <w:t>&lt;/RepeatBlock-By&gt;</w:t>
      </w:r>
    </w:p>
    <w:p w14:paraId="759DA2BE"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B795938" w14:textId="77777777" w:rsidR="008144C7" w:rsidRPr="00635D1D" w:rsidRDefault="008144C7" w:rsidP="008144C7">
      <w:pPr>
        <w:pStyle w:val="NormalBold"/>
      </w:pPr>
      <w:r w:rsidRPr="00635D1D">
        <w:rPr>
          <w:rStyle w:val="HideTWBExt"/>
          <w:b w:val="0"/>
        </w:rPr>
        <w:t>&lt;Article&gt;</w:t>
      </w:r>
      <w:r w:rsidRPr="00635D1D">
        <w:t>Motyw 2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AD2AE89" w14:textId="77777777" w:rsidTr="00C5582D">
        <w:trPr>
          <w:trHeight w:val="240"/>
          <w:jc w:val="center"/>
        </w:trPr>
        <w:tc>
          <w:tcPr>
            <w:tcW w:w="9752" w:type="dxa"/>
            <w:gridSpan w:val="2"/>
            <w:tcBorders>
              <w:top w:val="nil"/>
              <w:left w:val="nil"/>
              <w:bottom w:val="nil"/>
              <w:right w:val="nil"/>
            </w:tcBorders>
          </w:tcPr>
          <w:p w14:paraId="39609F79" w14:textId="77777777" w:rsidR="008144C7" w:rsidRPr="00635D1D" w:rsidRDefault="008144C7" w:rsidP="00C5582D"/>
        </w:tc>
      </w:tr>
      <w:tr w:rsidR="008144C7" w:rsidRPr="00635D1D" w14:paraId="77CE5995" w14:textId="77777777" w:rsidTr="00C5582D">
        <w:trPr>
          <w:trHeight w:val="240"/>
          <w:jc w:val="center"/>
        </w:trPr>
        <w:tc>
          <w:tcPr>
            <w:tcW w:w="4876" w:type="dxa"/>
            <w:tcBorders>
              <w:top w:val="nil"/>
              <w:left w:val="nil"/>
              <w:bottom w:val="nil"/>
              <w:right w:val="nil"/>
            </w:tcBorders>
            <w:hideMark/>
          </w:tcPr>
          <w:p w14:paraId="0F7EA5D9"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08AD34C7" w14:textId="77777777" w:rsidR="008144C7" w:rsidRPr="00635D1D" w:rsidRDefault="008144C7" w:rsidP="00C5582D">
            <w:pPr>
              <w:pStyle w:val="AmColumnHeading"/>
            </w:pPr>
            <w:r w:rsidRPr="00635D1D">
              <w:t>Poprawka</w:t>
            </w:r>
          </w:p>
        </w:tc>
      </w:tr>
      <w:tr w:rsidR="008144C7" w:rsidRPr="00635D1D" w14:paraId="10D84865" w14:textId="77777777" w:rsidTr="00C5582D">
        <w:trPr>
          <w:jc w:val="center"/>
        </w:trPr>
        <w:tc>
          <w:tcPr>
            <w:tcW w:w="4876" w:type="dxa"/>
            <w:tcBorders>
              <w:top w:val="nil"/>
              <w:left w:val="nil"/>
              <w:bottom w:val="nil"/>
              <w:right w:val="nil"/>
            </w:tcBorders>
          </w:tcPr>
          <w:p w14:paraId="424F982C" w14:textId="77777777" w:rsidR="008144C7" w:rsidRPr="00635D1D" w:rsidRDefault="008144C7" w:rsidP="00C5582D">
            <w:pPr>
              <w:pStyle w:val="Normal6a"/>
            </w:pPr>
          </w:p>
        </w:tc>
        <w:tc>
          <w:tcPr>
            <w:tcW w:w="4876" w:type="dxa"/>
            <w:tcBorders>
              <w:top w:val="nil"/>
              <w:left w:val="nil"/>
              <w:bottom w:val="nil"/>
              <w:right w:val="nil"/>
            </w:tcBorders>
            <w:hideMark/>
          </w:tcPr>
          <w:p w14:paraId="028DB152" w14:textId="77777777" w:rsidR="008144C7" w:rsidRPr="00635D1D" w:rsidRDefault="008144C7" w:rsidP="00C5582D">
            <w:pPr>
              <w:pStyle w:val="Normal6a"/>
            </w:pPr>
            <w:r w:rsidRPr="00635D1D">
              <w:rPr>
                <w:b/>
                <w:i/>
              </w:rPr>
              <w:t>(2a)</w:t>
            </w:r>
            <w:r w:rsidRPr="00635D1D">
              <w:tab/>
            </w:r>
            <w:r w:rsidRPr="00635D1D">
              <w:rPr>
                <w:b/>
                <w:i/>
              </w:rPr>
              <w:t>W wytycznych politycznych Komisji Europejskiej podkreślono potrzebę zintensyfikowania działań w zakresie profilaktyki zdrowotnej oraz zapewnienia skutecznego wdrożenia europejskiego planu walki z rakiem. W świetle tego priorytetu wszelkie zmiany obowiązującego prawodawstwa powinny być w pełni dostosowane do celów europejskiego planu walki z rakiem i przyczyniać się do ich osiągnięcia, a także zapewniać najwyższy poziom ochrony zdrowia ludzkiego, wzmacniać walkę z wszelkimi formami raka i umieszczać profilaktykę w centrum działań Unii.</w:t>
            </w:r>
          </w:p>
        </w:tc>
      </w:tr>
    </w:tbl>
    <w:p w14:paraId="545E079C"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3656D000" w14:textId="77777777" w:rsidR="008144C7" w:rsidRPr="00AD15CF" w:rsidRDefault="008144C7" w:rsidP="008144C7">
      <w:pPr>
        <w:rPr>
          <w:lang w:val="en-GB"/>
        </w:rPr>
      </w:pPr>
      <w:r w:rsidRPr="00AD15CF">
        <w:rPr>
          <w:rStyle w:val="HideTWBExt"/>
          <w:lang w:val="en-GB"/>
        </w:rPr>
        <w:t>&lt;/Amend&gt;</w:t>
      </w:r>
    </w:p>
    <w:p w14:paraId="2DDE14ED"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107</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3BD598A5"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Pietro Fiocchi, Antonella </w:t>
      </w:r>
      <w:proofErr w:type="spellStart"/>
      <w:r w:rsidRPr="00AD15CF">
        <w:rPr>
          <w:lang w:val="en-GB"/>
        </w:rPr>
        <w:t>Sberna</w:t>
      </w:r>
      <w:proofErr w:type="spellEnd"/>
      <w:r w:rsidRPr="00AD15CF">
        <w:rPr>
          <w:rStyle w:val="HideTWBExt"/>
          <w:b w:val="0"/>
          <w:lang w:val="en-GB"/>
        </w:rPr>
        <w:t>&lt;/Members&gt;</w:t>
      </w:r>
    </w:p>
    <w:p w14:paraId="0C4DD5E6" w14:textId="77777777" w:rsidR="008144C7" w:rsidRPr="00635D1D" w:rsidRDefault="008144C7" w:rsidP="008144C7">
      <w:pPr>
        <w:pStyle w:val="NormalBold"/>
      </w:pPr>
      <w:r w:rsidRPr="00635D1D">
        <w:rPr>
          <w:rStyle w:val="HideTWBExt"/>
          <w:b w:val="0"/>
        </w:rPr>
        <w:t>&lt;/RepeatBlock-By&gt;</w:t>
      </w:r>
    </w:p>
    <w:p w14:paraId="211397DF"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7B60C26" w14:textId="77777777" w:rsidR="008144C7" w:rsidRPr="00635D1D" w:rsidRDefault="008144C7" w:rsidP="008144C7">
      <w:pPr>
        <w:pStyle w:val="NormalBold"/>
      </w:pPr>
      <w:r w:rsidRPr="00635D1D">
        <w:rPr>
          <w:rStyle w:val="HideTWBExt"/>
          <w:b w:val="0"/>
        </w:rPr>
        <w:t>&lt;Article&gt;</w:t>
      </w:r>
      <w:r w:rsidRPr="00635D1D">
        <w:t>Motyw 3</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4A6B7CC" w14:textId="77777777" w:rsidTr="00C5582D">
        <w:trPr>
          <w:trHeight w:val="240"/>
          <w:jc w:val="center"/>
        </w:trPr>
        <w:tc>
          <w:tcPr>
            <w:tcW w:w="9752" w:type="dxa"/>
            <w:gridSpan w:val="2"/>
            <w:tcBorders>
              <w:top w:val="nil"/>
              <w:left w:val="nil"/>
              <w:bottom w:val="nil"/>
              <w:right w:val="nil"/>
            </w:tcBorders>
          </w:tcPr>
          <w:p w14:paraId="6DFCC1E1" w14:textId="77777777" w:rsidR="008144C7" w:rsidRPr="00635D1D" w:rsidRDefault="008144C7" w:rsidP="00C5582D"/>
        </w:tc>
      </w:tr>
      <w:tr w:rsidR="008144C7" w:rsidRPr="00635D1D" w14:paraId="3C05A137" w14:textId="77777777" w:rsidTr="00C5582D">
        <w:trPr>
          <w:trHeight w:val="240"/>
          <w:jc w:val="center"/>
        </w:trPr>
        <w:tc>
          <w:tcPr>
            <w:tcW w:w="4876" w:type="dxa"/>
            <w:tcBorders>
              <w:top w:val="nil"/>
              <w:left w:val="nil"/>
              <w:bottom w:val="nil"/>
              <w:right w:val="nil"/>
            </w:tcBorders>
            <w:hideMark/>
          </w:tcPr>
          <w:p w14:paraId="5AE5C5AE"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BDD835F" w14:textId="77777777" w:rsidR="008144C7" w:rsidRPr="00635D1D" w:rsidRDefault="008144C7" w:rsidP="00C5582D">
            <w:pPr>
              <w:pStyle w:val="AmColumnHeading"/>
            </w:pPr>
            <w:r w:rsidRPr="00635D1D">
              <w:t>Poprawka</w:t>
            </w:r>
          </w:p>
        </w:tc>
      </w:tr>
      <w:tr w:rsidR="008144C7" w:rsidRPr="00635D1D" w14:paraId="749B2D82" w14:textId="77777777" w:rsidTr="00C5582D">
        <w:trPr>
          <w:jc w:val="center"/>
        </w:trPr>
        <w:tc>
          <w:tcPr>
            <w:tcW w:w="4876" w:type="dxa"/>
            <w:tcBorders>
              <w:top w:val="nil"/>
              <w:left w:val="nil"/>
              <w:bottom w:val="nil"/>
              <w:right w:val="nil"/>
            </w:tcBorders>
            <w:hideMark/>
          </w:tcPr>
          <w:p w14:paraId="3F067C51" w14:textId="77777777" w:rsidR="008144C7" w:rsidRPr="00635D1D" w:rsidRDefault="008144C7" w:rsidP="00C5582D">
            <w:pPr>
              <w:pStyle w:val="Normal6a"/>
            </w:pPr>
            <w:r w:rsidRPr="00635D1D">
              <w:t>(3)</w:t>
            </w:r>
            <w:r w:rsidRPr="00635D1D">
              <w:tab/>
              <w:t xml:space="preserve">Zgodnie z celem Komisji, jakim jest promowanie zasady „domyślnej cyfrowości”, aby wspierać transformację cyfrową oraz ułatwić komunikację między podmiotami gospodarczymi a organami krajowymi odpowiedzialnymi za egzekwowanie przepisów, wskazanie kontaktu elektronicznego na etykiecie substancji i mieszanin stwarzających zagrożenie jest konieczne, aby zwiększyć skuteczność kontroli urzędowych i egzekwowania przepisów oraz przyspieszyć proces wykrywania substancji i mieszanin, które nie spełniają wymogów rozporządzenia (WE) nr 1272/2008. Obecnie dostawcy są zobowiązani do podawania swojego adresu i numeru telefonu na etykiecie opakowania substancji lub mieszanin stwarzających zagrożenie, ale nie zawsze jest to wystarczające, aby zapewnić organom odpowiedzialnym za egzekwowanie przepisów możliwość szybkiego nawiązania kontaktu. </w:t>
            </w:r>
            <w:r w:rsidRPr="00635D1D">
              <w:rPr>
                <w:b/>
                <w:i/>
              </w:rPr>
              <w:t>Należy zatem wprowadzić wobec dostawców wymóg podania kontaktu elektronicznego,</w:t>
            </w:r>
            <w:r w:rsidRPr="00635D1D">
              <w:t xml:space="preserve"> którym może być dowolny aktualny i dostępny internetowy kanał komunikacji z dostawcą.</w:t>
            </w:r>
          </w:p>
        </w:tc>
        <w:tc>
          <w:tcPr>
            <w:tcW w:w="4876" w:type="dxa"/>
            <w:tcBorders>
              <w:top w:val="nil"/>
              <w:left w:val="nil"/>
              <w:bottom w:val="nil"/>
              <w:right w:val="nil"/>
            </w:tcBorders>
            <w:hideMark/>
          </w:tcPr>
          <w:p w14:paraId="76DC183F" w14:textId="77777777" w:rsidR="008144C7" w:rsidRPr="00635D1D" w:rsidRDefault="008144C7" w:rsidP="00C5582D">
            <w:pPr>
              <w:pStyle w:val="Normal6a"/>
            </w:pPr>
            <w:r w:rsidRPr="00635D1D">
              <w:t>(3)</w:t>
            </w:r>
            <w:r w:rsidRPr="00635D1D">
              <w:tab/>
              <w:t xml:space="preserve">Zgodnie z celem Komisji, jakim jest promowanie zasady „domyślnej cyfrowości”, aby wspierać transformację cyfrową oraz ułatwić komunikację między podmiotami gospodarczymi a organami krajowymi odpowiedzialnymi za egzekwowanie przepisów, wskazanie kontaktu elektronicznego na etykiecie substancji i mieszanin stwarzających zagrożenie jest konieczne, aby zwiększyć skuteczność kontroli urzędowych i egzekwowania przepisów oraz przyspieszyć proces wykrywania substancji i mieszanin, które nie spełniają wymogów rozporządzenia (WE) nr 1272/2008. Obecnie dostawcy są zobowiązani do podawania swojego adresu i numeru telefonu na etykiecie opakowania substancji lub mieszanin stwarzających zagrożenie, ale nie zawsze jest to wystarczające, aby zapewnić organom odpowiedzialnym za egzekwowanie przepisów możliwość szybkiego nawiązania kontaktu. </w:t>
            </w:r>
            <w:r w:rsidRPr="00635D1D">
              <w:rPr>
                <w:b/>
                <w:i/>
              </w:rPr>
              <w:t>Dostawcy mogą podać kontakt elektroniczny – razem z numerem telefonu lub zamiast niego –</w:t>
            </w:r>
            <w:r w:rsidRPr="00635D1D">
              <w:t xml:space="preserve"> którym może być dowolny aktualny i dostępny internetowy kanał komunikacji z dostawcą. </w:t>
            </w:r>
            <w:r w:rsidRPr="00635D1D">
              <w:rPr>
                <w:b/>
                <w:i/>
              </w:rPr>
              <w:t>Aby ograniczyć powierzchnię potrzebną w tym celu na etykietach, dostawcy mogą podawać numer telefonu wyłącznie na etykiecie cyfrowej lub za pośrednictwem kontaktu elektronicznego. W razie skorzystania z kontaktu elektronicznego numer telefonu może być udostępniany na przykład za pośrednictwem automatycznego e-maila zwrotnego lub na specjalnej stronie internetowej. Aby zapewnić wystarczająco dużo czasu na dostosowanie, obowiązek podania kontaktu elektronicznego powinien mieć zastosowanie do substancji i mieszanin wprowadzonych do obrotu trzy lata po wejściu w życie niniejszego rozporządzenia. Należy zezwolić, aby produkty wprowadzone do obrotu przed tą datą pozostawały dostępne bez ponownego etykietowania przez kolejne dwa lata. W tym okresie przejściowym powinny nadal mieć zastosowanie obowiązujące wymogi, w tym obowiązek podania numeru telefonu na etykiecie. Dostawcom należy również zezwolić na dobrowolne stosowanie nowych przepisów natychmiast po wejściu w życie niniejszego rozporządzenia.</w:t>
            </w:r>
          </w:p>
        </w:tc>
      </w:tr>
    </w:tbl>
    <w:p w14:paraId="002DC18D"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7666F24B"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666A30AA" w14:textId="77777777" w:rsidR="008144C7" w:rsidRPr="00635D1D" w:rsidRDefault="008144C7" w:rsidP="008144C7">
      <w:pPr>
        <w:pStyle w:val="AmJustText"/>
      </w:pPr>
      <w:r w:rsidRPr="00635D1D">
        <w:t>Chociaż narzędzia cyfrowe mogą wspierać egzekwowanie przepisów i wymianę informacji, wprowadzenie dobrowolnego kontaktu cyfrowego zapewnia spójność ze zmienionym rozporządzeniem w sprawie detergentów i środków powierzchniowo czynnych, pozwala uniknąć nadmiernych obciążeń dla MŚP, zachowuje dostępność dla wszystkich użytkowników i umożliwia stopniowe wdrażanie, w przypadku gdy rozwiązania cyfrowe zwiększają zgodność z rozporządzeniem (WE) nr 1272/2008.</w:t>
      </w:r>
    </w:p>
    <w:p w14:paraId="12D9D6EE" w14:textId="77777777" w:rsidR="008144C7" w:rsidRPr="00AD15CF" w:rsidRDefault="008144C7" w:rsidP="008144C7">
      <w:pPr>
        <w:rPr>
          <w:lang w:val="en-GB"/>
        </w:rPr>
      </w:pPr>
      <w:r w:rsidRPr="00AD15CF">
        <w:rPr>
          <w:rStyle w:val="HideTWBExt"/>
          <w:lang w:val="en-GB"/>
        </w:rPr>
        <w:t>&lt;/Amend&gt;</w:t>
      </w:r>
    </w:p>
    <w:p w14:paraId="361DAE7A"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108</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2BBB49C6"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Katrin </w:t>
      </w:r>
      <w:proofErr w:type="spellStart"/>
      <w:r w:rsidRPr="00AD15CF">
        <w:rPr>
          <w:lang w:val="en-GB"/>
        </w:rPr>
        <w:t>Langensiepen</w:t>
      </w:r>
      <w:proofErr w:type="spellEnd"/>
      <w:r w:rsidRPr="00AD15CF">
        <w:rPr>
          <w:rStyle w:val="HideTWBExt"/>
          <w:b w:val="0"/>
          <w:lang w:val="en-GB"/>
        </w:rPr>
        <w:t>&lt;/Members&gt;</w:t>
      </w:r>
    </w:p>
    <w:p w14:paraId="4B0A0766" w14:textId="77777777" w:rsidR="008144C7" w:rsidRPr="00AD15CF" w:rsidRDefault="008144C7" w:rsidP="008144C7">
      <w:pPr>
        <w:rPr>
          <w:lang w:val="en-GB"/>
        </w:rPr>
      </w:pPr>
      <w:r w:rsidRPr="00AD15CF">
        <w:rPr>
          <w:rStyle w:val="HideTWBExt"/>
          <w:lang w:val="en-GB"/>
        </w:rPr>
        <w:t>&lt;AuNomDe&gt;</w:t>
      </w:r>
      <w:r w:rsidRPr="00AD15CF">
        <w:rPr>
          <w:rStyle w:val="HideTWBInt"/>
          <w:lang w:val="en-GB"/>
        </w:rPr>
        <w:t>{Verts/</w:t>
      </w:r>
      <w:proofErr w:type="gramStart"/>
      <w:r w:rsidRPr="00AD15CF">
        <w:rPr>
          <w:rStyle w:val="HideTWBInt"/>
          <w:lang w:val="en-GB"/>
        </w:rPr>
        <w:t>ALE}</w:t>
      </w:r>
      <w:r w:rsidRPr="00AD15CF">
        <w:rPr>
          <w:lang w:val="en-GB"/>
        </w:rPr>
        <w:t>w</w:t>
      </w:r>
      <w:proofErr w:type="gramEnd"/>
      <w:r w:rsidRPr="00AD15CF">
        <w:rPr>
          <w:lang w:val="en-GB"/>
        </w:rPr>
        <w:t xml:space="preserve"> </w:t>
      </w:r>
      <w:proofErr w:type="spellStart"/>
      <w:r w:rsidRPr="00AD15CF">
        <w:rPr>
          <w:lang w:val="en-GB"/>
        </w:rPr>
        <w:t>imieniu</w:t>
      </w:r>
      <w:proofErr w:type="spellEnd"/>
      <w:r w:rsidRPr="00AD15CF">
        <w:rPr>
          <w:lang w:val="en-GB"/>
        </w:rPr>
        <w:t xml:space="preserve"> </w:t>
      </w:r>
      <w:proofErr w:type="spellStart"/>
      <w:r w:rsidRPr="00AD15CF">
        <w:rPr>
          <w:lang w:val="en-GB"/>
        </w:rPr>
        <w:t>grupy</w:t>
      </w:r>
      <w:proofErr w:type="spellEnd"/>
      <w:r w:rsidRPr="00AD15CF">
        <w:rPr>
          <w:lang w:val="en-GB"/>
        </w:rPr>
        <w:t xml:space="preserve"> Verts/ALE</w:t>
      </w:r>
      <w:r w:rsidRPr="00AD15CF">
        <w:rPr>
          <w:rStyle w:val="HideTWBExt"/>
          <w:lang w:val="en-GB"/>
        </w:rPr>
        <w:t>&lt;/</w:t>
      </w:r>
      <w:proofErr w:type="spellStart"/>
      <w:r w:rsidRPr="00AD15CF">
        <w:rPr>
          <w:rStyle w:val="HideTWBExt"/>
          <w:lang w:val="en-GB"/>
        </w:rPr>
        <w:t>AuNomDe</w:t>
      </w:r>
      <w:proofErr w:type="spellEnd"/>
      <w:r w:rsidRPr="00AD15CF">
        <w:rPr>
          <w:rStyle w:val="HideTWBExt"/>
          <w:lang w:val="en-GB"/>
        </w:rPr>
        <w:t>&gt;</w:t>
      </w:r>
    </w:p>
    <w:p w14:paraId="5ACA9F0E" w14:textId="77777777" w:rsidR="008144C7" w:rsidRPr="00635D1D" w:rsidRDefault="008144C7" w:rsidP="008144C7">
      <w:pPr>
        <w:pStyle w:val="NormalBold"/>
      </w:pPr>
      <w:r w:rsidRPr="00635D1D">
        <w:rPr>
          <w:rStyle w:val="HideTWBExt"/>
          <w:b w:val="0"/>
        </w:rPr>
        <w:t>&lt;/RepeatBlock-By&gt;</w:t>
      </w:r>
    </w:p>
    <w:p w14:paraId="2A44D579"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DBE4053" w14:textId="77777777" w:rsidR="008144C7" w:rsidRPr="00635D1D" w:rsidRDefault="008144C7" w:rsidP="008144C7">
      <w:pPr>
        <w:pStyle w:val="NormalBold"/>
      </w:pPr>
      <w:r w:rsidRPr="00635D1D">
        <w:rPr>
          <w:rStyle w:val="HideTWBExt"/>
          <w:b w:val="0"/>
        </w:rPr>
        <w:t>&lt;Article&gt;</w:t>
      </w:r>
      <w:r w:rsidRPr="00635D1D">
        <w:t>Motyw 3</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27CD698" w14:textId="77777777" w:rsidTr="00C5582D">
        <w:trPr>
          <w:trHeight w:val="240"/>
          <w:jc w:val="center"/>
        </w:trPr>
        <w:tc>
          <w:tcPr>
            <w:tcW w:w="9752" w:type="dxa"/>
            <w:gridSpan w:val="2"/>
            <w:tcBorders>
              <w:top w:val="nil"/>
              <w:left w:val="nil"/>
              <w:bottom w:val="nil"/>
              <w:right w:val="nil"/>
            </w:tcBorders>
          </w:tcPr>
          <w:p w14:paraId="76B680EC" w14:textId="77777777" w:rsidR="008144C7" w:rsidRPr="00635D1D" w:rsidRDefault="008144C7" w:rsidP="00C5582D"/>
        </w:tc>
      </w:tr>
      <w:tr w:rsidR="008144C7" w:rsidRPr="00635D1D" w14:paraId="57E0C74E" w14:textId="77777777" w:rsidTr="00C5582D">
        <w:trPr>
          <w:trHeight w:val="240"/>
          <w:jc w:val="center"/>
        </w:trPr>
        <w:tc>
          <w:tcPr>
            <w:tcW w:w="4876" w:type="dxa"/>
            <w:tcBorders>
              <w:top w:val="nil"/>
              <w:left w:val="nil"/>
              <w:bottom w:val="nil"/>
              <w:right w:val="nil"/>
            </w:tcBorders>
            <w:hideMark/>
          </w:tcPr>
          <w:p w14:paraId="1A415E9C"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58D754E5" w14:textId="77777777" w:rsidR="008144C7" w:rsidRPr="00635D1D" w:rsidRDefault="008144C7" w:rsidP="00C5582D">
            <w:pPr>
              <w:pStyle w:val="AmColumnHeading"/>
            </w:pPr>
            <w:r w:rsidRPr="00635D1D">
              <w:t>Poprawka</w:t>
            </w:r>
          </w:p>
        </w:tc>
      </w:tr>
      <w:tr w:rsidR="008144C7" w:rsidRPr="00635D1D" w14:paraId="667C6873" w14:textId="77777777" w:rsidTr="00C5582D">
        <w:trPr>
          <w:jc w:val="center"/>
        </w:trPr>
        <w:tc>
          <w:tcPr>
            <w:tcW w:w="4876" w:type="dxa"/>
            <w:tcBorders>
              <w:top w:val="nil"/>
              <w:left w:val="nil"/>
              <w:bottom w:val="nil"/>
              <w:right w:val="nil"/>
            </w:tcBorders>
            <w:hideMark/>
          </w:tcPr>
          <w:p w14:paraId="654AEDAD" w14:textId="77777777" w:rsidR="008144C7" w:rsidRPr="00635D1D" w:rsidRDefault="008144C7" w:rsidP="00C5582D">
            <w:pPr>
              <w:pStyle w:val="Normal6a"/>
            </w:pPr>
            <w:r w:rsidRPr="00635D1D">
              <w:t>(3)</w:t>
            </w:r>
            <w:r w:rsidRPr="00635D1D">
              <w:tab/>
              <w:t>Zgodnie z celem Komisji, jakim jest promowanie zasady „domyślnej cyfrowości”, aby wspierać transformację cyfrową oraz ułatwić komunikację między podmiotami gospodarczymi a organami krajowymi odpowiedzialnymi za egzekwowanie przepisów, wskazanie kontaktu elektronicznego na etykiecie substancji i mieszanin stwarzających zagrożenie jest konieczne, aby zwiększyć skuteczność kontroli urzędowych i egzekwowania przepisów oraz przyspieszyć proces wykrywania substancji i mieszanin, które nie spełniają wymogów rozporządzenia (WE) nr 1272/2008. Obecnie dostawcy są zobowiązani do podawania swojego adresu i numeru telefonu na etykiecie opakowania substancji lub mieszanin stwarzających zagrożenie, ale nie zawsze jest to wystarczające, aby zapewnić organom odpowiedzialnym za egzekwowanie przepisów możliwość szybkiego nawiązania kontaktu. Należy zatem wprowadzić wobec dostawców wymóg podania kontaktu elektronicznego, którym może być dowolny aktualny i dostępny internetowy kanał komunikacji z dostawcą.</w:t>
            </w:r>
          </w:p>
        </w:tc>
        <w:tc>
          <w:tcPr>
            <w:tcW w:w="4876" w:type="dxa"/>
            <w:tcBorders>
              <w:top w:val="nil"/>
              <w:left w:val="nil"/>
              <w:bottom w:val="nil"/>
              <w:right w:val="nil"/>
            </w:tcBorders>
            <w:hideMark/>
          </w:tcPr>
          <w:p w14:paraId="068CE6BC" w14:textId="77777777" w:rsidR="008144C7" w:rsidRPr="00635D1D" w:rsidRDefault="008144C7" w:rsidP="00C5582D">
            <w:pPr>
              <w:pStyle w:val="Normal6a"/>
            </w:pPr>
            <w:r w:rsidRPr="00635D1D">
              <w:t>(3)</w:t>
            </w:r>
            <w:r w:rsidRPr="00635D1D">
              <w:tab/>
              <w:t>Zgodnie z celem Komisji, jakim jest promowanie zasady „domyślnej cyfrowości”, aby wspierać transformację cyfrową oraz ułatwić komunikację między podmiotami gospodarczymi a organami krajowymi odpowiedzialnymi za egzekwowanie przepisów, wskazanie kontaktu elektronicznego na etykiecie substancji i mieszanin stwarzających zagrożenie jest konieczne, aby zwiększyć skuteczność kontroli urzędowych i egzekwowania przepisów oraz przyspieszyć proces wykrywania substancji i mieszanin, które nie spełniają wymogów rozporządzenia (WE) nr 1272/2008. Obecnie dostawcy są zobowiązani do podawania swojego adresu i numeru telefonu na etykiecie opakowania substancji lub mieszanin stwarzających zagrożenie, ale nie zawsze jest to wystarczające, aby zapewnić organom odpowiedzialnym za egzekwowanie przepisów możliwość szybkiego nawiązania kontaktu. Należy zatem wprowadzić wobec dostawców wymóg podania kontaktu elektronicznego, którym może być dowolny aktualny</w:t>
            </w:r>
            <w:r w:rsidRPr="00635D1D">
              <w:rPr>
                <w:b/>
                <w:i/>
              </w:rPr>
              <w:t>, bezpłatny</w:t>
            </w:r>
            <w:r w:rsidRPr="00635D1D">
              <w:t xml:space="preserve"> i dostępny internetowy kanał komunikacji z dostawcą. </w:t>
            </w:r>
            <w:r w:rsidRPr="00635D1D">
              <w:rPr>
                <w:b/>
                <w:i/>
              </w:rPr>
              <w:t xml:space="preserve">Kontakt elektroniczny powinien umożliwiać konsumentom i właściwym organom bezpośredni kontakt z podmiotami gospodarczymi, bez konieczności podawania danych osobowych, pobierania lub używania dodatkowych aplikacji właściwych dla danego podmiotu gospodarczego. Nie należy zobowiązywać konsumentów ani właściwych organów do rejestracji wyłącznie w celu skontaktowania się z podmiotami gospodarczymi. Taki kontakt elektroniczny może obejmować między innymi adres e-mail lub formularz kontaktowy na stronie internetowej, być interpretowany w sposób neutralny pod względem technologicznym i umożliwiać zapis informacji na trwałym nośniku. Nie należy go jednak rozumieć jako oznaczającego automatyczne odpowiedzi na pytania, </w:t>
            </w:r>
            <w:proofErr w:type="spellStart"/>
            <w:r w:rsidRPr="00635D1D">
              <w:rPr>
                <w:b/>
                <w:i/>
              </w:rPr>
              <w:t>chatboty</w:t>
            </w:r>
            <w:proofErr w:type="spellEnd"/>
            <w:r w:rsidRPr="00635D1D">
              <w:rPr>
                <w:b/>
                <w:i/>
              </w:rPr>
              <w:t>, numery faksów lub linie telefoniczne. Aby umożliwić osobom z niepełnosprawnościami korzystanie z cyfrowego punktu kontaktowego, wymogi dostępności należy określić zgodnie z dyrektywą (UE) 2019/882.</w:t>
            </w:r>
          </w:p>
        </w:tc>
      </w:tr>
    </w:tbl>
    <w:p w14:paraId="4DBFFFC8"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59C48D19" w14:textId="77777777" w:rsidR="008144C7" w:rsidRPr="00AD15CF" w:rsidRDefault="008144C7" w:rsidP="008144C7">
      <w:pPr>
        <w:rPr>
          <w:lang w:val="en-GB"/>
        </w:rPr>
      </w:pPr>
      <w:r w:rsidRPr="00AD15CF">
        <w:rPr>
          <w:rStyle w:val="HideTWBExt"/>
          <w:lang w:val="en-GB"/>
        </w:rPr>
        <w:t>&lt;/Amend&gt;</w:t>
      </w:r>
    </w:p>
    <w:p w14:paraId="5B1F646B"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109</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5E5C385B"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Idoia</w:t>
      </w:r>
      <w:proofErr w:type="spellEnd"/>
      <w:r w:rsidRPr="00AD15CF">
        <w:rPr>
          <w:lang w:val="en-GB"/>
        </w:rPr>
        <w:t xml:space="preserve"> </w:t>
      </w:r>
      <w:proofErr w:type="spellStart"/>
      <w:r w:rsidRPr="00AD15CF">
        <w:rPr>
          <w:lang w:val="en-GB"/>
        </w:rPr>
        <w:t>Mendia</w:t>
      </w:r>
      <w:proofErr w:type="spellEnd"/>
      <w:r w:rsidRPr="00AD15CF">
        <w:rPr>
          <w:lang w:val="en-GB"/>
        </w:rPr>
        <w:t xml:space="preserve">, Kristian </w:t>
      </w:r>
      <w:proofErr w:type="spellStart"/>
      <w:r w:rsidRPr="00AD15CF">
        <w:rPr>
          <w:lang w:val="en-GB"/>
        </w:rPr>
        <w:t>Vigenin</w:t>
      </w:r>
      <w:proofErr w:type="spellEnd"/>
      <w:r w:rsidRPr="00AD15CF">
        <w:rPr>
          <w:lang w:val="en-GB"/>
        </w:rPr>
        <w:t xml:space="preserve">, François </w:t>
      </w:r>
      <w:proofErr w:type="spellStart"/>
      <w:r w:rsidRPr="00AD15CF">
        <w:rPr>
          <w:lang w:val="en-GB"/>
        </w:rPr>
        <w:t>Kalfon</w:t>
      </w:r>
      <w:proofErr w:type="spellEnd"/>
      <w:r w:rsidRPr="00AD15CF">
        <w:rPr>
          <w:lang w:val="en-GB"/>
        </w:rPr>
        <w:t xml:space="preserve">, Elisabeth Grossmann, Adnan </w:t>
      </w:r>
      <w:proofErr w:type="spellStart"/>
      <w:r w:rsidRPr="00AD15CF">
        <w:rPr>
          <w:lang w:val="en-GB"/>
        </w:rPr>
        <w:t>Dibrani</w:t>
      </w:r>
      <w:proofErr w:type="spellEnd"/>
      <w:r w:rsidRPr="00AD15CF">
        <w:rPr>
          <w:lang w:val="en-GB"/>
        </w:rPr>
        <w:t xml:space="preserve">, Sakis </w:t>
      </w:r>
      <w:proofErr w:type="spellStart"/>
      <w:r w:rsidRPr="00AD15CF">
        <w:rPr>
          <w:lang w:val="en-GB"/>
        </w:rPr>
        <w:t>Arnaoutoglou</w:t>
      </w:r>
      <w:proofErr w:type="spellEnd"/>
      <w:r w:rsidRPr="00AD15CF">
        <w:rPr>
          <w:lang w:val="en-GB"/>
        </w:rPr>
        <w:t xml:space="preserve">, César </w:t>
      </w:r>
      <w:proofErr w:type="spellStart"/>
      <w:r w:rsidRPr="00AD15CF">
        <w:rPr>
          <w:lang w:val="en-GB"/>
        </w:rPr>
        <w:t>Luena</w:t>
      </w:r>
      <w:proofErr w:type="spellEnd"/>
      <w:r w:rsidRPr="00AD15CF">
        <w:rPr>
          <w:lang w:val="en-GB"/>
        </w:rPr>
        <w:t xml:space="preserve">, Christophe </w:t>
      </w:r>
      <w:proofErr w:type="spellStart"/>
      <w:r w:rsidRPr="00AD15CF">
        <w:rPr>
          <w:lang w:val="en-GB"/>
        </w:rPr>
        <w:t>Clergeau</w:t>
      </w:r>
      <w:proofErr w:type="spellEnd"/>
      <w:r w:rsidRPr="00AD15CF">
        <w:rPr>
          <w:lang w:val="en-GB"/>
        </w:rPr>
        <w:t xml:space="preserve">, </w:t>
      </w:r>
      <w:proofErr w:type="spellStart"/>
      <w:r w:rsidRPr="00AD15CF">
        <w:rPr>
          <w:lang w:val="en-GB"/>
        </w:rPr>
        <w:t>Tiemo</w:t>
      </w:r>
      <w:proofErr w:type="spellEnd"/>
      <w:r w:rsidRPr="00AD15CF">
        <w:rPr>
          <w:lang w:val="en-GB"/>
        </w:rPr>
        <w:t xml:space="preserve"> </w:t>
      </w:r>
      <w:proofErr w:type="spellStart"/>
      <w:r w:rsidRPr="00AD15CF">
        <w:rPr>
          <w:lang w:val="en-GB"/>
        </w:rPr>
        <w:t>Wölken</w:t>
      </w:r>
      <w:proofErr w:type="spellEnd"/>
      <w:r w:rsidRPr="00AD15CF">
        <w:rPr>
          <w:lang w:val="en-GB"/>
        </w:rPr>
        <w:t xml:space="preserve">, Annalisa Corrado, </w:t>
      </w:r>
      <w:proofErr w:type="spellStart"/>
      <w:r w:rsidRPr="00AD15CF">
        <w:rPr>
          <w:lang w:val="en-GB"/>
        </w:rPr>
        <w:t>Heléne</w:t>
      </w:r>
      <w:proofErr w:type="spellEnd"/>
      <w:r w:rsidRPr="00AD15CF">
        <w:rPr>
          <w:lang w:val="en-GB"/>
        </w:rPr>
        <w:t xml:space="preserve"> </w:t>
      </w:r>
      <w:proofErr w:type="spellStart"/>
      <w:r w:rsidRPr="00AD15CF">
        <w:rPr>
          <w:lang w:val="en-GB"/>
        </w:rPr>
        <w:t>Fritzon</w:t>
      </w:r>
      <w:proofErr w:type="spellEnd"/>
      <w:r w:rsidRPr="00AD15CF">
        <w:rPr>
          <w:lang w:val="en-GB"/>
        </w:rPr>
        <w:t xml:space="preserve">, Marta </w:t>
      </w:r>
      <w:proofErr w:type="spellStart"/>
      <w:r w:rsidRPr="00AD15CF">
        <w:rPr>
          <w:lang w:val="en-GB"/>
        </w:rPr>
        <w:t>Temido</w:t>
      </w:r>
      <w:proofErr w:type="spellEnd"/>
      <w:r w:rsidRPr="00AD15CF">
        <w:rPr>
          <w:rStyle w:val="HideTWBExt"/>
          <w:b w:val="0"/>
          <w:lang w:val="en-GB"/>
        </w:rPr>
        <w:t>&lt;/Members&gt;</w:t>
      </w:r>
    </w:p>
    <w:p w14:paraId="12EAF2F2" w14:textId="77777777" w:rsidR="008144C7" w:rsidRPr="00635D1D" w:rsidRDefault="008144C7" w:rsidP="008144C7">
      <w:pPr>
        <w:pStyle w:val="NormalBold"/>
      </w:pPr>
      <w:r w:rsidRPr="00635D1D">
        <w:rPr>
          <w:rStyle w:val="HideTWBExt"/>
          <w:b w:val="0"/>
        </w:rPr>
        <w:t>&lt;/RepeatBlock-By&gt;</w:t>
      </w:r>
    </w:p>
    <w:p w14:paraId="5A76F95E"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149619E" w14:textId="77777777" w:rsidR="008144C7" w:rsidRPr="00635D1D" w:rsidRDefault="008144C7" w:rsidP="008144C7">
      <w:pPr>
        <w:pStyle w:val="NormalBold"/>
      </w:pPr>
      <w:r w:rsidRPr="00635D1D">
        <w:rPr>
          <w:rStyle w:val="HideTWBExt"/>
          <w:b w:val="0"/>
        </w:rPr>
        <w:t>&lt;Article&gt;</w:t>
      </w:r>
      <w:r w:rsidRPr="00635D1D">
        <w:t>Motyw 3</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0F660371" w14:textId="77777777" w:rsidTr="00C5582D">
        <w:trPr>
          <w:trHeight w:val="240"/>
          <w:jc w:val="center"/>
        </w:trPr>
        <w:tc>
          <w:tcPr>
            <w:tcW w:w="9752" w:type="dxa"/>
            <w:gridSpan w:val="2"/>
            <w:tcBorders>
              <w:top w:val="nil"/>
              <w:left w:val="nil"/>
              <w:bottom w:val="nil"/>
              <w:right w:val="nil"/>
            </w:tcBorders>
          </w:tcPr>
          <w:p w14:paraId="1732B568" w14:textId="77777777" w:rsidR="008144C7" w:rsidRPr="00635D1D" w:rsidRDefault="008144C7" w:rsidP="00C5582D"/>
        </w:tc>
      </w:tr>
      <w:tr w:rsidR="008144C7" w:rsidRPr="00635D1D" w14:paraId="3B747C70" w14:textId="77777777" w:rsidTr="00C5582D">
        <w:trPr>
          <w:trHeight w:val="240"/>
          <w:jc w:val="center"/>
        </w:trPr>
        <w:tc>
          <w:tcPr>
            <w:tcW w:w="4876" w:type="dxa"/>
            <w:tcBorders>
              <w:top w:val="nil"/>
              <w:left w:val="nil"/>
              <w:bottom w:val="nil"/>
              <w:right w:val="nil"/>
            </w:tcBorders>
            <w:hideMark/>
          </w:tcPr>
          <w:p w14:paraId="579EC36A"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00BBB0A6" w14:textId="77777777" w:rsidR="008144C7" w:rsidRPr="00635D1D" w:rsidRDefault="008144C7" w:rsidP="00C5582D">
            <w:pPr>
              <w:pStyle w:val="AmColumnHeading"/>
            </w:pPr>
            <w:r w:rsidRPr="00635D1D">
              <w:t>Poprawka</w:t>
            </w:r>
          </w:p>
        </w:tc>
      </w:tr>
      <w:tr w:rsidR="008144C7" w:rsidRPr="00635D1D" w14:paraId="42C126D9" w14:textId="77777777" w:rsidTr="00C5582D">
        <w:trPr>
          <w:jc w:val="center"/>
        </w:trPr>
        <w:tc>
          <w:tcPr>
            <w:tcW w:w="4876" w:type="dxa"/>
            <w:tcBorders>
              <w:top w:val="nil"/>
              <w:left w:val="nil"/>
              <w:bottom w:val="nil"/>
              <w:right w:val="nil"/>
            </w:tcBorders>
            <w:hideMark/>
          </w:tcPr>
          <w:p w14:paraId="7ED6AE00" w14:textId="77777777" w:rsidR="008144C7" w:rsidRPr="00635D1D" w:rsidRDefault="008144C7" w:rsidP="00C5582D">
            <w:pPr>
              <w:pStyle w:val="Normal6a"/>
            </w:pPr>
            <w:r w:rsidRPr="00635D1D">
              <w:t>(3)</w:t>
            </w:r>
            <w:r w:rsidRPr="00635D1D">
              <w:tab/>
              <w:t xml:space="preserve">Zgodnie z celem Komisji, jakim jest promowanie zasady „domyślnej cyfrowości”, aby wspierać transformację cyfrową oraz ułatwić komunikację między </w:t>
            </w:r>
            <w:r w:rsidRPr="00635D1D">
              <w:rPr>
                <w:b/>
                <w:i/>
              </w:rPr>
              <w:t>podmiotami gospodarczymi</w:t>
            </w:r>
            <w:r w:rsidRPr="00635D1D">
              <w:t xml:space="preserve"> a organami krajowymi </w:t>
            </w:r>
            <w:r w:rsidRPr="00635D1D">
              <w:rPr>
                <w:b/>
                <w:i/>
              </w:rPr>
              <w:t>odpowiedzialnymi za egzekwowanie przepisów</w:t>
            </w:r>
            <w:r w:rsidRPr="00635D1D">
              <w:t xml:space="preserve">, wskazanie kontaktu elektronicznego na etykiecie substancji i mieszanin stwarzających zagrożenie jest konieczne, aby zwiększyć skuteczność kontroli urzędowych i egzekwowania przepisów oraz przyspieszyć proces wykrywania substancji i mieszanin, które nie spełniają wymogów rozporządzenia (WE) nr 1272/2008. Obecnie dostawcy są zobowiązani do podawania swojego adresu i numeru telefonu na etykiecie opakowania substancji lub mieszanin stwarzających zagrożenie, ale nie zawsze jest to wystarczające, aby zapewnić organom odpowiedzialnym za egzekwowanie przepisów możliwość szybkiego nawiązania kontaktu. Należy zatem wprowadzić wobec dostawców wymóg podania kontaktu elektronicznego, którym </w:t>
            </w:r>
            <w:r w:rsidRPr="00635D1D">
              <w:rPr>
                <w:b/>
                <w:i/>
              </w:rPr>
              <w:t>może</w:t>
            </w:r>
            <w:r w:rsidRPr="00635D1D">
              <w:t xml:space="preserve"> być </w:t>
            </w:r>
            <w:r w:rsidRPr="00635D1D">
              <w:rPr>
                <w:b/>
                <w:i/>
              </w:rPr>
              <w:t>dowolny</w:t>
            </w:r>
            <w:r w:rsidRPr="00635D1D">
              <w:t xml:space="preserve"> aktualny i dostępny internetowy kanał komunikacji z dostawcą.</w:t>
            </w:r>
          </w:p>
        </w:tc>
        <w:tc>
          <w:tcPr>
            <w:tcW w:w="4876" w:type="dxa"/>
            <w:tcBorders>
              <w:top w:val="nil"/>
              <w:left w:val="nil"/>
              <w:bottom w:val="nil"/>
              <w:right w:val="nil"/>
            </w:tcBorders>
            <w:hideMark/>
          </w:tcPr>
          <w:p w14:paraId="0CDE2F16" w14:textId="77777777" w:rsidR="008144C7" w:rsidRPr="00635D1D" w:rsidRDefault="008144C7" w:rsidP="00C5582D">
            <w:pPr>
              <w:pStyle w:val="Normal6a"/>
            </w:pPr>
            <w:r w:rsidRPr="00635D1D">
              <w:t>(3)</w:t>
            </w:r>
            <w:r w:rsidRPr="00635D1D">
              <w:tab/>
              <w:t xml:space="preserve">Zgodnie z celem Komisji, jakim jest promowanie zasady „domyślnej cyfrowości”, aby wspierać transformację cyfrową </w:t>
            </w:r>
            <w:r w:rsidRPr="00635D1D">
              <w:rPr>
                <w:b/>
                <w:i/>
              </w:rPr>
              <w:t>bez pozostawiania nikogo w tyle</w:t>
            </w:r>
            <w:r w:rsidRPr="00635D1D">
              <w:t xml:space="preserve"> oraz ułatwić </w:t>
            </w:r>
            <w:r w:rsidRPr="00635D1D">
              <w:rPr>
                <w:b/>
                <w:i/>
              </w:rPr>
              <w:t>szybką</w:t>
            </w:r>
            <w:r w:rsidRPr="00635D1D">
              <w:t xml:space="preserve"> komunikację między </w:t>
            </w:r>
            <w:r w:rsidRPr="00635D1D">
              <w:rPr>
                <w:b/>
                <w:i/>
              </w:rPr>
              <w:t>dostawcami a osobami fizycznymi oraz między dostawcami</w:t>
            </w:r>
            <w:r w:rsidRPr="00635D1D">
              <w:t xml:space="preserve"> a organami krajowymi, wskazanie kontaktu elektronicznego</w:t>
            </w:r>
            <w:r w:rsidRPr="00635D1D">
              <w:rPr>
                <w:b/>
                <w:i/>
              </w:rPr>
              <w:t>, a także bezpośredniego numeru telefonu</w:t>
            </w:r>
            <w:r w:rsidRPr="00635D1D">
              <w:t xml:space="preserve"> na etykiecie substancji i mieszanin stwarzających zagrożenie jest </w:t>
            </w:r>
            <w:r w:rsidRPr="00635D1D">
              <w:rPr>
                <w:b/>
                <w:i/>
              </w:rPr>
              <w:t>na przykład</w:t>
            </w:r>
            <w:r w:rsidRPr="00635D1D">
              <w:t xml:space="preserve"> konieczne, aby zwiększyć skuteczność kontroli urzędowych</w:t>
            </w:r>
            <w:r w:rsidRPr="00635D1D">
              <w:rPr>
                <w:b/>
                <w:i/>
              </w:rPr>
              <w:t>, identyfikowalności, rozliczalności</w:t>
            </w:r>
            <w:r w:rsidRPr="00635D1D">
              <w:t xml:space="preserve"> i egzekwowania przepisów oraz przyspieszyć proces wykrywania substancji i mieszanin, które nie spełniają wymogów rozporządzenia (WE) nr 1272/2008</w:t>
            </w:r>
            <w:r w:rsidRPr="00635D1D">
              <w:rPr>
                <w:b/>
                <w:i/>
              </w:rPr>
              <w:t>, a także aby zapewnić konsumentom szybki i bezpośredni kontakt w przypadku sytuacji nadzwyczajnej lub wypadku</w:t>
            </w:r>
            <w:r w:rsidRPr="00635D1D">
              <w:t xml:space="preserve">. Obecnie dostawcy są zobowiązani do podawania swojego adresu i numeru telefonu na etykiecie opakowania substancji lub mieszanin stwarzających zagrożenie, ale nie zawsze jest to wystarczające, aby zapewnić organom odpowiedzialnym za egzekwowanie przepisów możliwość szybkiego nawiązania kontaktu. Należy zatem wprowadzić wobec dostawców wymóg podania </w:t>
            </w:r>
            <w:r w:rsidRPr="00635D1D">
              <w:rPr>
                <w:b/>
                <w:i/>
              </w:rPr>
              <w:t>również</w:t>
            </w:r>
            <w:r w:rsidRPr="00635D1D">
              <w:t xml:space="preserve"> kontaktu elektronicznego, którym </w:t>
            </w:r>
            <w:r w:rsidRPr="00635D1D">
              <w:rPr>
                <w:b/>
                <w:i/>
              </w:rPr>
              <w:t>powinien</w:t>
            </w:r>
            <w:r w:rsidRPr="00635D1D">
              <w:t xml:space="preserve"> być aktualny</w:t>
            </w:r>
            <w:r w:rsidRPr="00635D1D">
              <w:rPr>
                <w:b/>
                <w:i/>
              </w:rPr>
              <w:t>, łatwo</w:t>
            </w:r>
            <w:r w:rsidRPr="00635D1D">
              <w:t xml:space="preserve"> i </w:t>
            </w:r>
            <w:r w:rsidRPr="00635D1D">
              <w:rPr>
                <w:b/>
                <w:bCs/>
                <w:i/>
                <w:iCs/>
              </w:rPr>
              <w:t>swobodnie</w:t>
            </w:r>
            <w:r w:rsidRPr="00635D1D">
              <w:t xml:space="preserve"> dostępny internetowy kanał komunikacji z dostawcą</w:t>
            </w:r>
            <w:r w:rsidRPr="00635D1D">
              <w:rPr>
                <w:b/>
                <w:i/>
              </w:rPr>
              <w:t>, umożliwiający przechowywanie informacji na trwałym nośniku</w:t>
            </w:r>
            <w:r w:rsidRPr="00635D1D">
              <w:t>.</w:t>
            </w:r>
          </w:p>
        </w:tc>
      </w:tr>
    </w:tbl>
    <w:p w14:paraId="06FC3418"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1467275B" w14:textId="77777777" w:rsidR="008144C7" w:rsidRPr="00AD15CF" w:rsidRDefault="008144C7" w:rsidP="008144C7">
      <w:pPr>
        <w:rPr>
          <w:lang w:val="en-GB"/>
        </w:rPr>
      </w:pPr>
      <w:r w:rsidRPr="00AD15CF">
        <w:rPr>
          <w:rStyle w:val="HideTWBExt"/>
          <w:lang w:val="en-GB"/>
        </w:rPr>
        <w:t>&lt;/Amend&gt;</w:t>
      </w:r>
    </w:p>
    <w:p w14:paraId="0FE46BDB"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110</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490A630F"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Nikola </w:t>
      </w:r>
      <w:proofErr w:type="spellStart"/>
      <w:r w:rsidRPr="00AD15CF">
        <w:rPr>
          <w:lang w:val="en-GB"/>
        </w:rPr>
        <w:t>Minchev</w:t>
      </w:r>
      <w:proofErr w:type="spellEnd"/>
      <w:r w:rsidRPr="00AD15CF">
        <w:rPr>
          <w:lang w:val="en-GB"/>
        </w:rPr>
        <w:t xml:space="preserve">, Jeannette </w:t>
      </w:r>
      <w:proofErr w:type="spellStart"/>
      <w:r w:rsidRPr="00AD15CF">
        <w:rPr>
          <w:lang w:val="en-GB"/>
        </w:rPr>
        <w:t>Baljeu</w:t>
      </w:r>
      <w:proofErr w:type="spellEnd"/>
      <w:r w:rsidRPr="00AD15CF">
        <w:rPr>
          <w:rStyle w:val="HideTWBExt"/>
          <w:b w:val="0"/>
          <w:lang w:val="en-GB"/>
        </w:rPr>
        <w:t>&lt;/Members&gt;</w:t>
      </w:r>
    </w:p>
    <w:p w14:paraId="2E8720A0" w14:textId="77777777" w:rsidR="008144C7" w:rsidRPr="00635D1D" w:rsidRDefault="008144C7" w:rsidP="008144C7">
      <w:pPr>
        <w:pStyle w:val="NormalBold"/>
      </w:pPr>
      <w:r w:rsidRPr="00635D1D">
        <w:rPr>
          <w:rStyle w:val="HideTWBExt"/>
          <w:b w:val="0"/>
        </w:rPr>
        <w:t>&lt;/RepeatBlock-By&gt;</w:t>
      </w:r>
    </w:p>
    <w:p w14:paraId="10FB5C5D"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6132525" w14:textId="77777777" w:rsidR="008144C7" w:rsidRPr="00635D1D" w:rsidRDefault="008144C7" w:rsidP="008144C7">
      <w:pPr>
        <w:pStyle w:val="NormalBold"/>
      </w:pPr>
      <w:r w:rsidRPr="00635D1D">
        <w:rPr>
          <w:rStyle w:val="HideTWBExt"/>
          <w:b w:val="0"/>
        </w:rPr>
        <w:t>&lt;Article&gt;</w:t>
      </w:r>
      <w:r w:rsidRPr="00635D1D">
        <w:t>Motyw 3</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75DC78E" w14:textId="77777777" w:rsidTr="00C5582D">
        <w:trPr>
          <w:trHeight w:val="240"/>
          <w:jc w:val="center"/>
        </w:trPr>
        <w:tc>
          <w:tcPr>
            <w:tcW w:w="9752" w:type="dxa"/>
            <w:gridSpan w:val="2"/>
            <w:tcBorders>
              <w:top w:val="nil"/>
              <w:left w:val="nil"/>
              <w:bottom w:val="nil"/>
              <w:right w:val="nil"/>
            </w:tcBorders>
          </w:tcPr>
          <w:p w14:paraId="7784A93F" w14:textId="77777777" w:rsidR="008144C7" w:rsidRPr="00635D1D" w:rsidRDefault="008144C7" w:rsidP="00C5582D"/>
        </w:tc>
      </w:tr>
      <w:tr w:rsidR="008144C7" w:rsidRPr="00635D1D" w14:paraId="31AB049B" w14:textId="77777777" w:rsidTr="00C5582D">
        <w:trPr>
          <w:trHeight w:val="240"/>
          <w:jc w:val="center"/>
        </w:trPr>
        <w:tc>
          <w:tcPr>
            <w:tcW w:w="4876" w:type="dxa"/>
            <w:tcBorders>
              <w:top w:val="nil"/>
              <w:left w:val="nil"/>
              <w:bottom w:val="nil"/>
              <w:right w:val="nil"/>
            </w:tcBorders>
            <w:hideMark/>
          </w:tcPr>
          <w:p w14:paraId="23BD5B32"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2604104" w14:textId="77777777" w:rsidR="008144C7" w:rsidRPr="00635D1D" w:rsidRDefault="008144C7" w:rsidP="00C5582D">
            <w:pPr>
              <w:pStyle w:val="AmColumnHeading"/>
            </w:pPr>
            <w:r w:rsidRPr="00635D1D">
              <w:t>Poprawka</w:t>
            </w:r>
          </w:p>
        </w:tc>
      </w:tr>
      <w:tr w:rsidR="008144C7" w:rsidRPr="00635D1D" w14:paraId="628F456E" w14:textId="77777777" w:rsidTr="00C5582D">
        <w:trPr>
          <w:jc w:val="center"/>
        </w:trPr>
        <w:tc>
          <w:tcPr>
            <w:tcW w:w="4876" w:type="dxa"/>
            <w:tcBorders>
              <w:top w:val="nil"/>
              <w:left w:val="nil"/>
              <w:bottom w:val="nil"/>
              <w:right w:val="nil"/>
            </w:tcBorders>
            <w:hideMark/>
          </w:tcPr>
          <w:p w14:paraId="08DC7319" w14:textId="77777777" w:rsidR="008144C7" w:rsidRPr="00635D1D" w:rsidRDefault="008144C7" w:rsidP="00C5582D">
            <w:pPr>
              <w:pStyle w:val="Normal6a"/>
            </w:pPr>
            <w:r w:rsidRPr="00635D1D">
              <w:t>(3)</w:t>
            </w:r>
            <w:r w:rsidRPr="00635D1D">
              <w:tab/>
              <w:t xml:space="preserve">Zgodnie z celem Komisji, jakim jest promowanie zasady „domyślnej cyfrowości”, aby wspierać transformację cyfrową oraz ułatwić komunikację między </w:t>
            </w:r>
            <w:r w:rsidRPr="00635D1D">
              <w:rPr>
                <w:b/>
                <w:i/>
              </w:rPr>
              <w:t>podmiotami gospodarczymi</w:t>
            </w:r>
            <w:r w:rsidRPr="00635D1D">
              <w:t xml:space="preserve"> a organami krajowymi odpowiedzialnymi za egzekwowanie przepisów, wskazanie kontaktu elektronicznego na etykiecie substancji i mieszanin stwarzających zagrożenie jest konieczne</w:t>
            </w:r>
            <w:r w:rsidRPr="00635D1D">
              <w:rPr>
                <w:b/>
                <w:i/>
              </w:rPr>
              <w:t>, aby zwiększyć skuteczność kontroli urzędowych i egzekwowania przepisów oraz przyspieszyć proces wykrywania substancji i mieszanin, które nie spełniają wymogów rozporządzenia (WE) nr 1272/2008</w:t>
            </w:r>
            <w:r w:rsidRPr="00635D1D">
              <w:t>. Obecnie dostawcy są zobowiązani do podawania swojego adresu i numeru telefonu na etykiecie opakowania substancji lub mieszanin stwarzających zagrożenie, ale nie zawsze jest to wystarczające, aby zapewnić organom odpowiedzialnym za egzekwowanie przepisów możliwość szybkiego nawiązania kontaktu. Należy zatem wprowadzić wobec dostawców wymóg podania kontaktu elektronicznego, którym może być dowolny aktualny i dostępny internetowy kanał komunikacji z dostawcą.</w:t>
            </w:r>
          </w:p>
        </w:tc>
        <w:tc>
          <w:tcPr>
            <w:tcW w:w="4876" w:type="dxa"/>
            <w:tcBorders>
              <w:top w:val="nil"/>
              <w:left w:val="nil"/>
              <w:bottom w:val="nil"/>
              <w:right w:val="nil"/>
            </w:tcBorders>
            <w:hideMark/>
          </w:tcPr>
          <w:p w14:paraId="0C382FD2" w14:textId="77777777" w:rsidR="008144C7" w:rsidRPr="00635D1D" w:rsidRDefault="008144C7" w:rsidP="00C5582D">
            <w:pPr>
              <w:pStyle w:val="Normal6a"/>
            </w:pPr>
            <w:r w:rsidRPr="00635D1D">
              <w:t>(3)</w:t>
            </w:r>
            <w:r w:rsidRPr="00635D1D">
              <w:tab/>
              <w:t xml:space="preserve">Zgodnie z celem Komisji, jakim jest promowanie zasady „domyślnej cyfrowości”, aby wspierać transformację cyfrową oraz ułatwić komunikację między </w:t>
            </w:r>
            <w:r w:rsidRPr="00635D1D">
              <w:rPr>
                <w:b/>
                <w:i/>
              </w:rPr>
              <w:t>dostawcami</w:t>
            </w:r>
            <w:r w:rsidRPr="00635D1D">
              <w:t xml:space="preserve"> a organami krajowymi odpowiedzialnymi za egzekwowanie przepisów</w:t>
            </w:r>
            <w:r w:rsidRPr="00635D1D">
              <w:rPr>
                <w:b/>
                <w:i/>
              </w:rPr>
              <w:t>, a także między dostawcami a konsumentami</w:t>
            </w:r>
            <w:r w:rsidRPr="00635D1D">
              <w:t xml:space="preserve">, wskazanie kontaktu elektronicznego na etykiecie substancji i mieszanin stwarzających zagrożenie jest konieczne. Obecnie dostawcy są zobowiązani do podawania swojego adresu i numeru telefonu na etykiecie opakowania substancji lub mieszanin stwarzających zagrożenie, ale nie zawsze jest to wystarczające, aby zapewnić organom odpowiedzialnym za egzekwowanie przepisów możliwość szybkiego nawiązania kontaktu. Należy zatem wprowadzić wobec dostawców wymóg podania kontaktu elektronicznego, którym może być dowolny aktualny i </w:t>
            </w:r>
            <w:r w:rsidRPr="00635D1D">
              <w:rPr>
                <w:b/>
                <w:i/>
              </w:rPr>
              <w:t>swobodnie</w:t>
            </w:r>
            <w:r w:rsidRPr="00635D1D">
              <w:t xml:space="preserve"> dostępny internetowy kanał komunikacji z dostawcą</w:t>
            </w:r>
            <w:r w:rsidRPr="00635D1D">
              <w:rPr>
                <w:b/>
                <w:i/>
              </w:rPr>
              <w:t>, bez konieczności rejestracji lub pobierania aplikacji</w:t>
            </w:r>
            <w:r w:rsidRPr="00635D1D">
              <w:t xml:space="preserve">. </w:t>
            </w:r>
            <w:r w:rsidRPr="00635D1D">
              <w:rPr>
                <w:b/>
                <w:i/>
              </w:rPr>
              <w:t>Za pośrednictwem kontaktu elektronicznego dostawcy powinni zapewnić wszelkie odpowiednie środki kontaktu z nimi, w tym numer telefonu.</w:t>
            </w:r>
            <w:r w:rsidRPr="00635D1D">
              <w:t xml:space="preserve"> </w:t>
            </w:r>
            <w:r w:rsidRPr="00635D1D">
              <w:rPr>
                <w:b/>
                <w:i/>
              </w:rPr>
              <w:t>Powinno to również zwiększyć skuteczność kontroli urzędowych i egzekwowania przepisów oraz przyspieszyć proces wykrywania substancji i mieszanin, które nie spełniają wymogów rozporządzenia (WE) nr 1272/2008.</w:t>
            </w:r>
          </w:p>
        </w:tc>
      </w:tr>
    </w:tbl>
    <w:p w14:paraId="2D678B5E"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785A5908" w14:textId="77777777" w:rsidR="008144C7" w:rsidRPr="00AD15CF" w:rsidRDefault="008144C7" w:rsidP="008144C7">
      <w:pPr>
        <w:rPr>
          <w:lang w:val="en-GB"/>
        </w:rPr>
      </w:pPr>
      <w:r w:rsidRPr="00AD15CF">
        <w:rPr>
          <w:rStyle w:val="HideTWBExt"/>
          <w:lang w:val="en-GB"/>
        </w:rPr>
        <w:t>&lt;/Amend&gt;</w:t>
      </w:r>
    </w:p>
    <w:p w14:paraId="34C250A6"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111</w:t>
      </w:r>
      <w:r w:rsidRPr="00AD15CF">
        <w:rPr>
          <w:rStyle w:val="HideTWBExt"/>
          <w:b w:val="0"/>
          <w:lang w:val="en-GB"/>
        </w:rPr>
        <w:t>&lt;/NumAm&gt;</w:t>
      </w:r>
    </w:p>
    <w:p w14:paraId="1D9CC7E6"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Silvia </w:t>
      </w:r>
      <w:proofErr w:type="spellStart"/>
      <w:r w:rsidRPr="00AD15CF">
        <w:rPr>
          <w:lang w:val="en-GB"/>
        </w:rPr>
        <w:t>Sardone</w:t>
      </w:r>
      <w:proofErr w:type="spellEnd"/>
      <w:r w:rsidRPr="00AD15CF">
        <w:rPr>
          <w:lang w:val="en-GB"/>
        </w:rPr>
        <w:t xml:space="preserve">, </w:t>
      </w:r>
      <w:proofErr w:type="spellStart"/>
      <w:r w:rsidRPr="00AD15CF">
        <w:rPr>
          <w:lang w:val="en-GB"/>
        </w:rPr>
        <w:t>Ondřej</w:t>
      </w:r>
      <w:proofErr w:type="spellEnd"/>
      <w:r w:rsidRPr="00AD15CF">
        <w:rPr>
          <w:lang w:val="en-GB"/>
        </w:rPr>
        <w:t xml:space="preserve"> </w:t>
      </w:r>
      <w:proofErr w:type="spellStart"/>
      <w:r w:rsidRPr="00AD15CF">
        <w:rPr>
          <w:lang w:val="en-GB"/>
        </w:rPr>
        <w:t>Knotek</w:t>
      </w:r>
      <w:proofErr w:type="spellEnd"/>
      <w:r w:rsidRPr="00AD15CF">
        <w:rPr>
          <w:lang w:val="en-GB"/>
        </w:rPr>
        <w:t xml:space="preserve">, Jana </w:t>
      </w:r>
      <w:proofErr w:type="spellStart"/>
      <w:r w:rsidRPr="00AD15CF">
        <w:rPr>
          <w:lang w:val="en-GB"/>
        </w:rPr>
        <w:t>Nagyová</w:t>
      </w:r>
      <w:proofErr w:type="spellEnd"/>
      <w:r w:rsidRPr="00AD15CF">
        <w:rPr>
          <w:lang w:val="en-GB"/>
        </w:rPr>
        <w:t xml:space="preserve">, Roberto </w:t>
      </w:r>
      <w:proofErr w:type="spellStart"/>
      <w:r w:rsidRPr="00AD15CF">
        <w:rPr>
          <w:lang w:val="en-GB"/>
        </w:rPr>
        <w:t>Vannacci</w:t>
      </w:r>
      <w:proofErr w:type="spellEnd"/>
      <w:r w:rsidRPr="00AD15CF">
        <w:rPr>
          <w:lang w:val="en-GB"/>
        </w:rPr>
        <w:t xml:space="preserve">, Anne-Sophie </w:t>
      </w:r>
      <w:proofErr w:type="spellStart"/>
      <w:r w:rsidRPr="00AD15CF">
        <w:rPr>
          <w:lang w:val="en-GB"/>
        </w:rPr>
        <w:t>Frigout</w:t>
      </w:r>
      <w:proofErr w:type="spellEnd"/>
      <w:r w:rsidRPr="00AD15CF">
        <w:rPr>
          <w:lang w:val="en-GB"/>
        </w:rPr>
        <w:t xml:space="preserve">, Mathilde </w:t>
      </w:r>
      <w:proofErr w:type="spellStart"/>
      <w:r w:rsidRPr="00AD15CF">
        <w:rPr>
          <w:lang w:val="en-GB"/>
        </w:rPr>
        <w:t>Androuët</w:t>
      </w:r>
      <w:proofErr w:type="spellEnd"/>
      <w:r w:rsidRPr="00AD15CF">
        <w:rPr>
          <w:lang w:val="en-GB"/>
        </w:rPr>
        <w:t xml:space="preserve">, Valérie </w:t>
      </w:r>
      <w:proofErr w:type="spellStart"/>
      <w:r w:rsidRPr="00AD15CF">
        <w:rPr>
          <w:lang w:val="en-GB"/>
        </w:rPr>
        <w:t>Deloge</w:t>
      </w:r>
      <w:proofErr w:type="spellEnd"/>
      <w:r w:rsidRPr="00AD15CF">
        <w:rPr>
          <w:rStyle w:val="HideTWBExt"/>
          <w:b w:val="0"/>
          <w:lang w:val="en-GB"/>
        </w:rPr>
        <w:t>&lt;/Members&gt;</w:t>
      </w:r>
    </w:p>
    <w:p w14:paraId="22AD82FF" w14:textId="77777777" w:rsidR="008144C7" w:rsidRPr="00635D1D" w:rsidRDefault="008144C7" w:rsidP="008144C7">
      <w:pPr>
        <w:pStyle w:val="NormalBold"/>
      </w:pPr>
      <w:r w:rsidRPr="00635D1D">
        <w:rPr>
          <w:rStyle w:val="HideTWBExt"/>
          <w:b w:val="0"/>
        </w:rPr>
        <w:t>&lt;/RepeatBlock-By&gt;</w:t>
      </w:r>
    </w:p>
    <w:p w14:paraId="75872C34"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&lt;/DocAmend&gt;</w:t>
      </w:r>
    </w:p>
    <w:p w14:paraId="5DB7B03D" w14:textId="77777777" w:rsidR="008144C7" w:rsidRPr="00635D1D" w:rsidRDefault="008144C7" w:rsidP="008144C7">
      <w:pPr>
        <w:pStyle w:val="NormalBold"/>
      </w:pPr>
      <w:r w:rsidRPr="00635D1D">
        <w:rPr>
          <w:rStyle w:val="HideTWBExt"/>
          <w:b w:val="0"/>
        </w:rPr>
        <w:t>&lt;Article&gt;</w:t>
      </w:r>
      <w:r w:rsidRPr="00635D1D">
        <w:t>Motyw 3</w:t>
      </w:r>
      <w:r w:rsidRPr="00635D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A262DCF" w14:textId="77777777" w:rsidTr="00C5582D">
        <w:trPr>
          <w:trHeight w:val="240"/>
          <w:jc w:val="center"/>
        </w:trPr>
        <w:tc>
          <w:tcPr>
            <w:tcW w:w="9752" w:type="dxa"/>
            <w:gridSpan w:val="2"/>
            <w:tcBorders>
              <w:top w:val="nil"/>
              <w:left w:val="nil"/>
              <w:bottom w:val="nil"/>
              <w:right w:val="nil"/>
            </w:tcBorders>
          </w:tcPr>
          <w:p w14:paraId="6AF0FCFC" w14:textId="77777777" w:rsidR="008144C7" w:rsidRPr="00635D1D" w:rsidRDefault="008144C7" w:rsidP="00C5582D"/>
        </w:tc>
      </w:tr>
      <w:tr w:rsidR="008144C7" w:rsidRPr="00635D1D" w14:paraId="28FDB248" w14:textId="77777777" w:rsidTr="00C5582D">
        <w:trPr>
          <w:trHeight w:val="240"/>
          <w:jc w:val="center"/>
        </w:trPr>
        <w:tc>
          <w:tcPr>
            <w:tcW w:w="4876" w:type="dxa"/>
            <w:tcBorders>
              <w:top w:val="nil"/>
              <w:left w:val="nil"/>
              <w:bottom w:val="nil"/>
              <w:right w:val="nil"/>
            </w:tcBorders>
            <w:hideMark/>
          </w:tcPr>
          <w:p w14:paraId="65B82528"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47649E5" w14:textId="77777777" w:rsidR="008144C7" w:rsidRPr="00635D1D" w:rsidRDefault="008144C7" w:rsidP="00C5582D">
            <w:pPr>
              <w:pStyle w:val="AmColumnHeading"/>
            </w:pPr>
            <w:r w:rsidRPr="00635D1D">
              <w:t>Poprawka</w:t>
            </w:r>
          </w:p>
        </w:tc>
      </w:tr>
      <w:tr w:rsidR="008144C7" w:rsidRPr="00635D1D" w14:paraId="2E3151D7" w14:textId="77777777" w:rsidTr="00C5582D">
        <w:trPr>
          <w:jc w:val="center"/>
        </w:trPr>
        <w:tc>
          <w:tcPr>
            <w:tcW w:w="4876" w:type="dxa"/>
            <w:tcBorders>
              <w:top w:val="nil"/>
              <w:left w:val="nil"/>
              <w:bottom w:val="nil"/>
              <w:right w:val="nil"/>
            </w:tcBorders>
            <w:hideMark/>
          </w:tcPr>
          <w:p w14:paraId="27AD30B3" w14:textId="77777777" w:rsidR="008144C7" w:rsidRPr="00635D1D" w:rsidRDefault="008144C7" w:rsidP="00C5582D">
            <w:pPr>
              <w:pStyle w:val="Normal6a"/>
            </w:pPr>
            <w:r w:rsidRPr="00635D1D">
              <w:t>(3)</w:t>
            </w:r>
            <w:r w:rsidRPr="00635D1D">
              <w:tab/>
              <w:t>Zgodnie z celem Komisji, jakim jest promowanie zasady „domyślnej cyfrowości”, aby wspierać transformację cyfrową oraz ułatwić komunikację między podmiotami gospodarczymi a organami krajowymi odpowiedzialnymi za egzekwowanie przepisów, wskazanie kontaktu elektronicznego na etykiecie substancji i mieszanin stwarzających zagrożenie jest konieczne, aby zwiększyć skuteczność kontroli urzędowych i egzekwowania przepisów oraz przyspieszyć proces wykrywania substancji i mieszanin, które nie spełniają wymogów rozporządzenia (WE) nr 1272/2008. Obecnie dostawcy są zobowiązani do podawania swojego adresu i numeru telefonu na etykiecie opakowania substancji lub mieszanin stwarzających zagrożenie, ale nie zawsze jest to wystarczające, aby zapewnić organom odpowiedzialnym za egzekwowanie przepisów możliwość szybkiego nawiązania kontaktu. Należy zatem wprowadzić wobec dostawców wymóg podania kontaktu elektronicznego</w:t>
            </w:r>
            <w:r w:rsidRPr="00635D1D">
              <w:rPr>
                <w:b/>
                <w:bCs/>
                <w:i/>
                <w:iCs/>
              </w:rPr>
              <w:t>,</w:t>
            </w:r>
            <w:r w:rsidRPr="00635D1D">
              <w:t xml:space="preserve"> którym może być dowolny aktualny i dostępny internetowy kanał komunikacji z dostawcą.</w:t>
            </w:r>
          </w:p>
        </w:tc>
        <w:tc>
          <w:tcPr>
            <w:tcW w:w="4876" w:type="dxa"/>
            <w:tcBorders>
              <w:top w:val="nil"/>
              <w:left w:val="nil"/>
              <w:bottom w:val="nil"/>
              <w:right w:val="nil"/>
            </w:tcBorders>
            <w:hideMark/>
          </w:tcPr>
          <w:p w14:paraId="3A3213E0" w14:textId="77777777" w:rsidR="008144C7" w:rsidRPr="00635D1D" w:rsidRDefault="008144C7" w:rsidP="00C5582D">
            <w:pPr>
              <w:pStyle w:val="Normal6a"/>
            </w:pPr>
            <w:r w:rsidRPr="00635D1D">
              <w:t>(3)</w:t>
            </w:r>
            <w:r w:rsidRPr="00635D1D">
              <w:tab/>
              <w:t xml:space="preserve">Zgodnie z celem Komisji, jakim jest promowanie zasady „domyślnej cyfrowości”, aby wspierać transformację cyfrową oraz ułatwić komunikację między podmiotami gospodarczymi a organami krajowymi odpowiedzialnymi za egzekwowanie przepisów, wskazanie kontaktu elektronicznego na etykiecie substancji i mieszanin stwarzających zagrożenie jest konieczne, aby zwiększyć skuteczność kontroli urzędowych i egzekwowania przepisów oraz przyspieszyć proces wykrywania substancji i mieszanin, które nie spełniają wymogów rozporządzenia (WE) nr 1272/2008. Obecnie dostawcy są zobowiązani do podawania swojego adresu i numeru telefonu na etykiecie opakowania substancji lub mieszanin stwarzających zagrożenie, ale nie zawsze jest to wystarczające, aby zapewnić organom odpowiedzialnym za egzekwowanie przepisów możliwość szybkiego nawiązania kontaktu. Należy zatem wprowadzić wobec dostawców wymóg podania kontaktu elektronicznego </w:t>
            </w:r>
            <w:r w:rsidRPr="00635D1D">
              <w:rPr>
                <w:b/>
                <w:i/>
              </w:rPr>
              <w:t>– lub numeru telefonu –</w:t>
            </w:r>
            <w:r w:rsidRPr="00635D1D">
              <w:t xml:space="preserve"> którym może być dowolny aktualny i dostępny internetowy kanał komunikacji z dostawcą.</w:t>
            </w:r>
          </w:p>
        </w:tc>
      </w:tr>
    </w:tbl>
    <w:p w14:paraId="351D7A4D"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46E9A39B" w14:textId="77777777" w:rsidR="008144C7" w:rsidRPr="00AD15CF" w:rsidRDefault="008144C7" w:rsidP="008144C7">
      <w:pPr>
        <w:rPr>
          <w:lang w:val="en-GB"/>
        </w:rPr>
      </w:pPr>
      <w:r w:rsidRPr="00AD15CF">
        <w:rPr>
          <w:rStyle w:val="HideTWBExt"/>
          <w:lang w:val="en-GB"/>
        </w:rPr>
        <w:t>&lt;/Amend&gt;</w:t>
      </w:r>
    </w:p>
    <w:p w14:paraId="3810E23A"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112</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7AC3AD13"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Elżbieta</w:t>
      </w:r>
      <w:proofErr w:type="spellEnd"/>
      <w:r w:rsidRPr="00AD15CF">
        <w:rPr>
          <w:lang w:val="en-GB"/>
        </w:rPr>
        <w:t xml:space="preserve"> Katarzyna </w:t>
      </w:r>
      <w:proofErr w:type="spellStart"/>
      <w:r w:rsidRPr="00AD15CF">
        <w:rPr>
          <w:lang w:val="en-GB"/>
        </w:rPr>
        <w:t>Łukacijewska</w:t>
      </w:r>
      <w:proofErr w:type="spellEnd"/>
      <w:r w:rsidRPr="00AD15CF">
        <w:rPr>
          <w:lang w:val="en-GB"/>
        </w:rPr>
        <w:t xml:space="preserve">, Ewa Kopacz, Hanna Gronkiewicz-Waltz, Adam </w:t>
      </w:r>
      <w:proofErr w:type="spellStart"/>
      <w:r w:rsidRPr="00AD15CF">
        <w:rPr>
          <w:lang w:val="en-GB"/>
        </w:rPr>
        <w:t>Jarubas</w:t>
      </w:r>
      <w:proofErr w:type="spellEnd"/>
      <w:r w:rsidRPr="00AD15CF">
        <w:rPr>
          <w:rStyle w:val="HideTWBExt"/>
          <w:b w:val="0"/>
          <w:lang w:val="en-GB"/>
        </w:rPr>
        <w:t>&lt;/Members&gt;</w:t>
      </w:r>
    </w:p>
    <w:p w14:paraId="3FD3A238" w14:textId="77777777" w:rsidR="008144C7" w:rsidRPr="00635D1D" w:rsidRDefault="008144C7" w:rsidP="008144C7">
      <w:pPr>
        <w:pStyle w:val="NormalBold"/>
      </w:pPr>
      <w:r w:rsidRPr="00635D1D">
        <w:rPr>
          <w:rStyle w:val="HideTWBExt"/>
          <w:b w:val="0"/>
        </w:rPr>
        <w:t>&lt;/RepeatBlock-By&gt;</w:t>
      </w:r>
    </w:p>
    <w:p w14:paraId="350322F9"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461821F" w14:textId="77777777" w:rsidR="008144C7" w:rsidRPr="00635D1D" w:rsidRDefault="008144C7" w:rsidP="008144C7">
      <w:pPr>
        <w:pStyle w:val="NormalBold"/>
      </w:pPr>
      <w:r w:rsidRPr="00635D1D">
        <w:rPr>
          <w:rStyle w:val="HideTWBExt"/>
          <w:b w:val="0"/>
        </w:rPr>
        <w:t>&lt;Article&gt;</w:t>
      </w:r>
      <w:r w:rsidRPr="00635D1D">
        <w:t>Motyw 3</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7CB89B7" w14:textId="77777777" w:rsidTr="00C5582D">
        <w:trPr>
          <w:trHeight w:val="240"/>
          <w:jc w:val="center"/>
        </w:trPr>
        <w:tc>
          <w:tcPr>
            <w:tcW w:w="9752" w:type="dxa"/>
            <w:gridSpan w:val="2"/>
            <w:tcBorders>
              <w:top w:val="nil"/>
              <w:left w:val="nil"/>
              <w:bottom w:val="nil"/>
              <w:right w:val="nil"/>
            </w:tcBorders>
          </w:tcPr>
          <w:p w14:paraId="3BC9CD08" w14:textId="77777777" w:rsidR="008144C7" w:rsidRPr="00635D1D" w:rsidRDefault="008144C7" w:rsidP="00C5582D"/>
        </w:tc>
      </w:tr>
      <w:tr w:rsidR="008144C7" w:rsidRPr="00635D1D" w14:paraId="1CDDAB14" w14:textId="77777777" w:rsidTr="00C5582D">
        <w:trPr>
          <w:trHeight w:val="240"/>
          <w:jc w:val="center"/>
        </w:trPr>
        <w:tc>
          <w:tcPr>
            <w:tcW w:w="4876" w:type="dxa"/>
            <w:tcBorders>
              <w:top w:val="nil"/>
              <w:left w:val="nil"/>
              <w:bottom w:val="nil"/>
              <w:right w:val="nil"/>
            </w:tcBorders>
            <w:hideMark/>
          </w:tcPr>
          <w:p w14:paraId="666F1B34"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F737F0B" w14:textId="77777777" w:rsidR="008144C7" w:rsidRPr="00635D1D" w:rsidRDefault="008144C7" w:rsidP="00C5582D">
            <w:pPr>
              <w:pStyle w:val="AmColumnHeading"/>
            </w:pPr>
            <w:r w:rsidRPr="00635D1D">
              <w:t>Poprawka</w:t>
            </w:r>
          </w:p>
        </w:tc>
      </w:tr>
      <w:tr w:rsidR="008144C7" w:rsidRPr="00635D1D" w14:paraId="36E51029" w14:textId="77777777" w:rsidTr="00C5582D">
        <w:trPr>
          <w:jc w:val="center"/>
        </w:trPr>
        <w:tc>
          <w:tcPr>
            <w:tcW w:w="4876" w:type="dxa"/>
            <w:tcBorders>
              <w:top w:val="nil"/>
              <w:left w:val="nil"/>
              <w:bottom w:val="nil"/>
              <w:right w:val="nil"/>
            </w:tcBorders>
            <w:hideMark/>
          </w:tcPr>
          <w:p w14:paraId="7EF8EF2F" w14:textId="77777777" w:rsidR="008144C7" w:rsidRPr="00635D1D" w:rsidRDefault="008144C7" w:rsidP="00C5582D">
            <w:pPr>
              <w:pStyle w:val="Normal6a"/>
            </w:pPr>
            <w:r w:rsidRPr="00635D1D">
              <w:t>(3)</w:t>
            </w:r>
            <w:r w:rsidRPr="00635D1D">
              <w:tab/>
              <w:t xml:space="preserve">Zgodnie z celem Komisji, jakim jest promowanie zasady „domyślnej cyfrowości”, aby wspierać transformację cyfrową oraz ułatwić komunikację między podmiotami gospodarczymi a organami krajowymi odpowiedzialnymi za egzekwowanie przepisów, wskazanie kontaktu elektronicznego na etykiecie substancji i mieszanin stwarzających zagrożenie </w:t>
            </w:r>
            <w:r w:rsidRPr="00635D1D">
              <w:rPr>
                <w:b/>
                <w:i/>
              </w:rPr>
              <w:t>jest konieczne, aby zwiększyć skuteczność</w:t>
            </w:r>
            <w:r w:rsidRPr="00635D1D">
              <w:t xml:space="preserve"> kontroli urzędowych i egzekwowania przepisów oraz </w:t>
            </w:r>
            <w:r w:rsidRPr="00635D1D">
              <w:rPr>
                <w:b/>
                <w:bCs/>
                <w:i/>
                <w:iCs/>
              </w:rPr>
              <w:t>przyspieszyć proces</w:t>
            </w:r>
            <w:r w:rsidRPr="00635D1D">
              <w:t xml:space="preserve"> wykrywania substancji i mieszanin, które nie spełniają wymogów rozporządzenia (WE) nr 1272/2008. Obecnie dostawcy są zobowiązani do podawania swojego adresu i numeru telefonu na etykiecie opakowania substancji lub mieszanin stwarzających zagrożenie, ale nie zawsze jest to wystarczające, aby zapewnić organom odpowiedzialnym za egzekwowanie przepisów możliwość szybkiego nawiązania kontaktu. </w:t>
            </w:r>
            <w:r w:rsidRPr="00635D1D">
              <w:rPr>
                <w:b/>
                <w:i/>
              </w:rPr>
              <w:t>Należy zatem wprowadzić wobec dostawców wymóg podania kontaktu elektronicznego,</w:t>
            </w:r>
            <w:r w:rsidRPr="00635D1D">
              <w:t xml:space="preserve"> którym może być dowolny aktualny i dostępny internetowy kanał komunikacji z dostawcą.</w:t>
            </w:r>
          </w:p>
        </w:tc>
        <w:tc>
          <w:tcPr>
            <w:tcW w:w="4876" w:type="dxa"/>
            <w:tcBorders>
              <w:top w:val="nil"/>
              <w:left w:val="nil"/>
              <w:bottom w:val="nil"/>
              <w:right w:val="nil"/>
            </w:tcBorders>
            <w:hideMark/>
          </w:tcPr>
          <w:p w14:paraId="2EFCE4DF" w14:textId="77777777" w:rsidR="008144C7" w:rsidRPr="00635D1D" w:rsidRDefault="008144C7" w:rsidP="00C5582D">
            <w:pPr>
              <w:pStyle w:val="Normal6a"/>
            </w:pPr>
            <w:r w:rsidRPr="00635D1D">
              <w:t>(3)</w:t>
            </w:r>
            <w:r w:rsidRPr="00635D1D">
              <w:tab/>
              <w:t xml:space="preserve">Zgodnie z celem Komisji, jakim jest promowanie zasady „domyślnej cyfrowości”, aby wspierać transformację cyfrową oraz ułatwić komunikację między podmiotami gospodarczymi a organami krajowymi odpowiedzialnymi za egzekwowanie przepisów, wskazanie kontaktu elektronicznego na etykiecie substancji i mieszanin stwarzających zagrożenie </w:t>
            </w:r>
            <w:r w:rsidRPr="00635D1D">
              <w:rPr>
                <w:b/>
                <w:i/>
              </w:rPr>
              <w:t>mogłoby umożliwić zwiększenie skuteczności</w:t>
            </w:r>
            <w:r w:rsidRPr="00635D1D">
              <w:t xml:space="preserve"> kontroli urzędowych i egzekwowania przepisów oraz </w:t>
            </w:r>
            <w:r w:rsidRPr="00635D1D">
              <w:rPr>
                <w:b/>
                <w:bCs/>
                <w:i/>
                <w:iCs/>
              </w:rPr>
              <w:t>przyspieszenie procesu</w:t>
            </w:r>
            <w:r w:rsidRPr="00635D1D">
              <w:t xml:space="preserve"> wykrywania substancji i mieszanin, które nie spełniają wymogów rozporządzenia (WE) nr 1272/2008. Obecnie dostawcy są zobowiązani do podawania swojego adresu i numeru telefonu na etykiecie opakowania substancji lub mieszanin stwarzających zagrożenie, ale nie zawsze jest to wystarczające, aby zapewnić organom odpowiedzialnym za egzekwowanie przepisów możliwość szybkiego nawiązania kontaktu. </w:t>
            </w:r>
            <w:r w:rsidRPr="00635D1D">
              <w:rPr>
                <w:b/>
                <w:i/>
              </w:rPr>
              <w:t>Dostawcy mogą podać kontakt elektroniczny – razem z numerem telefonu lub zamiast niego –</w:t>
            </w:r>
            <w:r w:rsidRPr="00635D1D">
              <w:t xml:space="preserve"> którym może być dowolny aktualny i dostępny internetowy kanał komunikacji z dostawcą.</w:t>
            </w:r>
          </w:p>
        </w:tc>
      </w:tr>
    </w:tbl>
    <w:p w14:paraId="0CA9C3DF"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67CC06B8" w14:textId="77777777" w:rsidR="008144C7" w:rsidRPr="00AD15CF" w:rsidRDefault="008144C7" w:rsidP="008144C7">
      <w:pPr>
        <w:rPr>
          <w:lang w:val="en-GB"/>
        </w:rPr>
      </w:pPr>
      <w:r w:rsidRPr="00AD15CF">
        <w:rPr>
          <w:rStyle w:val="HideTWBExt"/>
          <w:lang w:val="en-GB"/>
        </w:rPr>
        <w:t>&lt;/Amend&gt;</w:t>
      </w:r>
    </w:p>
    <w:p w14:paraId="73BCEE57"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113</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32106296"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Aurelijus</w:t>
      </w:r>
      <w:proofErr w:type="spellEnd"/>
      <w:r w:rsidRPr="00AD15CF">
        <w:rPr>
          <w:lang w:val="en-GB"/>
        </w:rPr>
        <w:t xml:space="preserve"> </w:t>
      </w:r>
      <w:proofErr w:type="spellStart"/>
      <w:r w:rsidRPr="00AD15CF">
        <w:rPr>
          <w:lang w:val="en-GB"/>
        </w:rPr>
        <w:t>Veryga</w:t>
      </w:r>
      <w:proofErr w:type="spellEnd"/>
      <w:r w:rsidRPr="00AD15CF">
        <w:rPr>
          <w:rStyle w:val="HideTWBExt"/>
          <w:b w:val="0"/>
          <w:lang w:val="en-GB"/>
        </w:rPr>
        <w:t>&lt;/Members&gt;</w:t>
      </w:r>
    </w:p>
    <w:p w14:paraId="39A2EC62" w14:textId="77777777" w:rsidR="008144C7" w:rsidRPr="00635D1D" w:rsidRDefault="008144C7" w:rsidP="008144C7">
      <w:pPr>
        <w:pStyle w:val="NormalBold"/>
      </w:pPr>
      <w:r w:rsidRPr="00635D1D">
        <w:rPr>
          <w:rStyle w:val="HideTWBExt"/>
          <w:b w:val="0"/>
        </w:rPr>
        <w:t>&lt;/RepeatBlock-By&gt;</w:t>
      </w:r>
    </w:p>
    <w:p w14:paraId="3A5347EA"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7FAAD75" w14:textId="77777777" w:rsidR="008144C7" w:rsidRPr="00635D1D" w:rsidRDefault="008144C7" w:rsidP="008144C7">
      <w:pPr>
        <w:pStyle w:val="NormalBold"/>
      </w:pPr>
      <w:r w:rsidRPr="00635D1D">
        <w:rPr>
          <w:rStyle w:val="HideTWBExt"/>
          <w:b w:val="0"/>
        </w:rPr>
        <w:t>&lt;Article&gt;</w:t>
      </w:r>
      <w:r w:rsidRPr="00635D1D">
        <w:t>Motyw 3</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D07357F" w14:textId="77777777" w:rsidTr="00C5582D">
        <w:trPr>
          <w:trHeight w:val="240"/>
          <w:jc w:val="center"/>
        </w:trPr>
        <w:tc>
          <w:tcPr>
            <w:tcW w:w="9752" w:type="dxa"/>
            <w:gridSpan w:val="2"/>
            <w:tcBorders>
              <w:top w:val="nil"/>
              <w:left w:val="nil"/>
              <w:bottom w:val="nil"/>
              <w:right w:val="nil"/>
            </w:tcBorders>
          </w:tcPr>
          <w:p w14:paraId="56DD25FD" w14:textId="77777777" w:rsidR="008144C7" w:rsidRPr="00635D1D" w:rsidRDefault="008144C7" w:rsidP="00C5582D"/>
        </w:tc>
      </w:tr>
      <w:tr w:rsidR="008144C7" w:rsidRPr="00635D1D" w14:paraId="03C26562" w14:textId="77777777" w:rsidTr="00C5582D">
        <w:trPr>
          <w:trHeight w:val="240"/>
          <w:jc w:val="center"/>
        </w:trPr>
        <w:tc>
          <w:tcPr>
            <w:tcW w:w="4876" w:type="dxa"/>
            <w:tcBorders>
              <w:top w:val="nil"/>
              <w:left w:val="nil"/>
              <w:bottom w:val="nil"/>
              <w:right w:val="nil"/>
            </w:tcBorders>
            <w:hideMark/>
          </w:tcPr>
          <w:p w14:paraId="189C3A22"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C6EDA88" w14:textId="77777777" w:rsidR="008144C7" w:rsidRPr="00635D1D" w:rsidRDefault="008144C7" w:rsidP="00C5582D">
            <w:pPr>
              <w:pStyle w:val="AmColumnHeading"/>
            </w:pPr>
            <w:r w:rsidRPr="00635D1D">
              <w:t>Poprawka</w:t>
            </w:r>
          </w:p>
        </w:tc>
      </w:tr>
      <w:tr w:rsidR="008144C7" w:rsidRPr="00635D1D" w14:paraId="72F2B08A" w14:textId="77777777" w:rsidTr="00C5582D">
        <w:trPr>
          <w:jc w:val="center"/>
        </w:trPr>
        <w:tc>
          <w:tcPr>
            <w:tcW w:w="4876" w:type="dxa"/>
            <w:tcBorders>
              <w:top w:val="nil"/>
              <w:left w:val="nil"/>
              <w:bottom w:val="nil"/>
              <w:right w:val="nil"/>
            </w:tcBorders>
            <w:hideMark/>
          </w:tcPr>
          <w:p w14:paraId="53B80923" w14:textId="77777777" w:rsidR="008144C7" w:rsidRPr="00635D1D" w:rsidRDefault="008144C7" w:rsidP="00C5582D">
            <w:pPr>
              <w:pStyle w:val="Normal6a"/>
            </w:pPr>
            <w:r w:rsidRPr="00635D1D">
              <w:t>(3)</w:t>
            </w:r>
            <w:r w:rsidRPr="00635D1D">
              <w:tab/>
              <w:t xml:space="preserve">Zgodnie z celem Komisji, jakim jest promowanie zasady „domyślnej cyfrowości”, aby wspierać transformację cyfrową oraz ułatwić komunikację między podmiotami gospodarczymi a organami krajowymi odpowiedzialnymi za egzekwowanie przepisów, wskazanie kontaktu elektronicznego na etykiecie substancji i mieszanin stwarzających zagrożenie </w:t>
            </w:r>
            <w:r w:rsidRPr="00635D1D">
              <w:rPr>
                <w:b/>
                <w:i/>
              </w:rPr>
              <w:t>jest konieczne, aby zwiększyć skuteczność</w:t>
            </w:r>
            <w:r w:rsidRPr="00635D1D">
              <w:t xml:space="preserve"> kontroli urzędowych i egzekwowania przepisów oraz </w:t>
            </w:r>
            <w:r w:rsidRPr="00635D1D">
              <w:rPr>
                <w:b/>
                <w:bCs/>
                <w:i/>
                <w:iCs/>
              </w:rPr>
              <w:t>przyspieszyć proces</w:t>
            </w:r>
            <w:r w:rsidRPr="00635D1D">
              <w:t xml:space="preserve"> wykrywania substancji i mieszanin, które nie spełniają wymogów rozporządzenia (WE) nr 1272/2008. Obecnie dostawcy są zobowiązani do podawania swojego adresu i numeru telefonu na etykiecie opakowania substancji lub mieszanin stwarzających zagrożenie, ale nie zawsze jest to wystarczające, aby zapewnić organom odpowiedzialnym za egzekwowanie przepisów możliwość szybkiego nawiązania kontaktu. </w:t>
            </w:r>
            <w:r w:rsidRPr="00635D1D">
              <w:rPr>
                <w:b/>
                <w:i/>
              </w:rPr>
              <w:t>Należy zatem wprowadzić wobec dostawców wymóg podania kontaktu elektronicznego,</w:t>
            </w:r>
            <w:r w:rsidRPr="00635D1D">
              <w:t xml:space="preserve"> którym może być dowolny aktualny i dostępny internetowy kanał komunikacji z dostawcą.</w:t>
            </w:r>
          </w:p>
        </w:tc>
        <w:tc>
          <w:tcPr>
            <w:tcW w:w="4876" w:type="dxa"/>
            <w:tcBorders>
              <w:top w:val="nil"/>
              <w:left w:val="nil"/>
              <w:bottom w:val="nil"/>
              <w:right w:val="nil"/>
            </w:tcBorders>
            <w:hideMark/>
          </w:tcPr>
          <w:p w14:paraId="564367D1" w14:textId="77777777" w:rsidR="008144C7" w:rsidRPr="00635D1D" w:rsidRDefault="008144C7" w:rsidP="00C5582D">
            <w:pPr>
              <w:pStyle w:val="Normal6a"/>
            </w:pPr>
            <w:r w:rsidRPr="00635D1D">
              <w:t>(3)</w:t>
            </w:r>
            <w:r w:rsidRPr="00635D1D">
              <w:tab/>
              <w:t xml:space="preserve">Zgodnie z celem Komisji, jakim jest promowanie zasady „domyślnej cyfrowości”, aby wspierać transformację cyfrową oraz ułatwić komunikację między podmiotami gospodarczymi a organami krajowymi odpowiedzialnymi za egzekwowanie przepisów, wskazanie kontaktu elektronicznego na etykiecie substancji i mieszanin stwarzających zagrożenie </w:t>
            </w:r>
            <w:r w:rsidRPr="00635D1D">
              <w:rPr>
                <w:b/>
                <w:i/>
              </w:rPr>
              <w:t>mogłoby umożliwić zwiększenie skuteczności</w:t>
            </w:r>
            <w:r w:rsidRPr="00635D1D">
              <w:t xml:space="preserve"> kontroli urzędowych i egzekwowania przepisów oraz </w:t>
            </w:r>
            <w:r w:rsidRPr="00635D1D">
              <w:rPr>
                <w:b/>
                <w:bCs/>
                <w:i/>
                <w:iCs/>
              </w:rPr>
              <w:t>przyspieszenie procesu</w:t>
            </w:r>
            <w:r w:rsidRPr="00635D1D">
              <w:t xml:space="preserve"> wykrywania substancji i mieszanin, które nie spełniają wymogów rozporządzenia (WE) nr 1272/2008. Obecnie dostawcy są zobowiązani do podawania swojego adresu i numeru telefonu na etykiecie opakowania substancji lub mieszanin stwarzających zagrożenie, ale nie zawsze jest to wystarczające, aby zapewnić organom odpowiedzialnym za egzekwowanie przepisów możliwość szybkiego nawiązania kontaktu. </w:t>
            </w:r>
            <w:r w:rsidRPr="00635D1D">
              <w:rPr>
                <w:b/>
                <w:i/>
              </w:rPr>
              <w:t>Dostawcy mogą podać kontakt elektroniczny – razem z numerem telefonu lub zamiast niego –</w:t>
            </w:r>
            <w:r w:rsidRPr="00635D1D">
              <w:t xml:space="preserve"> którym może być dowolny aktualny i dostępny internetowy kanał komunikacji z dostawcą.</w:t>
            </w:r>
          </w:p>
        </w:tc>
      </w:tr>
    </w:tbl>
    <w:p w14:paraId="636B8263"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2E75EB4E" w14:textId="77777777" w:rsidR="008144C7" w:rsidRPr="00AD15CF" w:rsidRDefault="008144C7" w:rsidP="008144C7">
      <w:pPr>
        <w:rPr>
          <w:lang w:val="en-GB"/>
        </w:rPr>
      </w:pPr>
      <w:r w:rsidRPr="00AD15CF">
        <w:rPr>
          <w:rStyle w:val="HideTWBExt"/>
          <w:lang w:val="en-GB"/>
        </w:rPr>
        <w:t>&lt;/Amend&gt;</w:t>
      </w:r>
    </w:p>
    <w:p w14:paraId="0640D38C"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114</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00005F61"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Majdouline</w:t>
      </w:r>
      <w:proofErr w:type="spellEnd"/>
      <w:r w:rsidRPr="00AD15CF">
        <w:rPr>
          <w:lang w:val="en-GB"/>
        </w:rPr>
        <w:t xml:space="preserve"> </w:t>
      </w:r>
      <w:proofErr w:type="spellStart"/>
      <w:r w:rsidRPr="00AD15CF">
        <w:rPr>
          <w:lang w:val="en-GB"/>
        </w:rPr>
        <w:t>Sbai</w:t>
      </w:r>
      <w:proofErr w:type="spellEnd"/>
      <w:r w:rsidRPr="00AD15CF">
        <w:rPr>
          <w:rStyle w:val="HideTWBExt"/>
          <w:b w:val="0"/>
          <w:lang w:val="en-GB"/>
        </w:rPr>
        <w:t>&lt;/Members&gt;</w:t>
      </w:r>
    </w:p>
    <w:p w14:paraId="2957C496" w14:textId="77777777" w:rsidR="008144C7" w:rsidRPr="00635D1D" w:rsidRDefault="008144C7" w:rsidP="008144C7">
      <w:pPr>
        <w:pStyle w:val="NormalBold"/>
      </w:pPr>
      <w:r w:rsidRPr="00635D1D">
        <w:rPr>
          <w:rStyle w:val="HideTWBExt"/>
          <w:b w:val="0"/>
        </w:rPr>
        <w:t>&lt;/RepeatBlock-By&gt;</w:t>
      </w:r>
    </w:p>
    <w:p w14:paraId="271D78C0"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0AE1F3D" w14:textId="77777777" w:rsidR="008144C7" w:rsidRPr="00635D1D" w:rsidRDefault="008144C7" w:rsidP="008144C7">
      <w:pPr>
        <w:pStyle w:val="NormalBold"/>
      </w:pPr>
      <w:r w:rsidRPr="00635D1D">
        <w:rPr>
          <w:rStyle w:val="HideTWBExt"/>
          <w:b w:val="0"/>
        </w:rPr>
        <w:t>&lt;Article&gt;</w:t>
      </w:r>
      <w:r w:rsidRPr="00635D1D">
        <w:t>Motyw 3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AED3EF8" w14:textId="77777777" w:rsidTr="00C5582D">
        <w:trPr>
          <w:trHeight w:val="240"/>
          <w:jc w:val="center"/>
        </w:trPr>
        <w:tc>
          <w:tcPr>
            <w:tcW w:w="9752" w:type="dxa"/>
            <w:gridSpan w:val="2"/>
            <w:tcBorders>
              <w:top w:val="nil"/>
              <w:left w:val="nil"/>
              <w:bottom w:val="nil"/>
              <w:right w:val="nil"/>
            </w:tcBorders>
          </w:tcPr>
          <w:p w14:paraId="22F1378F" w14:textId="77777777" w:rsidR="008144C7" w:rsidRPr="00635D1D" w:rsidRDefault="008144C7" w:rsidP="00C5582D"/>
        </w:tc>
      </w:tr>
      <w:tr w:rsidR="008144C7" w:rsidRPr="00635D1D" w14:paraId="15475F35" w14:textId="77777777" w:rsidTr="00C5582D">
        <w:trPr>
          <w:trHeight w:val="240"/>
          <w:jc w:val="center"/>
        </w:trPr>
        <w:tc>
          <w:tcPr>
            <w:tcW w:w="4876" w:type="dxa"/>
            <w:tcBorders>
              <w:top w:val="nil"/>
              <w:left w:val="nil"/>
              <w:bottom w:val="nil"/>
              <w:right w:val="nil"/>
            </w:tcBorders>
            <w:hideMark/>
          </w:tcPr>
          <w:p w14:paraId="1A9577A7"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31C070C" w14:textId="77777777" w:rsidR="008144C7" w:rsidRPr="00635D1D" w:rsidRDefault="008144C7" w:rsidP="00C5582D">
            <w:pPr>
              <w:pStyle w:val="AmColumnHeading"/>
            </w:pPr>
            <w:r w:rsidRPr="00635D1D">
              <w:t>Poprawka</w:t>
            </w:r>
          </w:p>
        </w:tc>
      </w:tr>
      <w:tr w:rsidR="008144C7" w:rsidRPr="00635D1D" w14:paraId="2758CFFD" w14:textId="77777777" w:rsidTr="00C5582D">
        <w:trPr>
          <w:jc w:val="center"/>
        </w:trPr>
        <w:tc>
          <w:tcPr>
            <w:tcW w:w="4876" w:type="dxa"/>
            <w:tcBorders>
              <w:top w:val="nil"/>
              <w:left w:val="nil"/>
              <w:bottom w:val="nil"/>
              <w:right w:val="nil"/>
            </w:tcBorders>
          </w:tcPr>
          <w:p w14:paraId="6E1C33DE" w14:textId="77777777" w:rsidR="008144C7" w:rsidRPr="00635D1D" w:rsidRDefault="008144C7" w:rsidP="00C5582D">
            <w:pPr>
              <w:pStyle w:val="Normal6a"/>
            </w:pPr>
          </w:p>
        </w:tc>
        <w:tc>
          <w:tcPr>
            <w:tcW w:w="4876" w:type="dxa"/>
            <w:tcBorders>
              <w:top w:val="nil"/>
              <w:left w:val="nil"/>
              <w:bottom w:val="nil"/>
              <w:right w:val="nil"/>
            </w:tcBorders>
            <w:hideMark/>
          </w:tcPr>
          <w:p w14:paraId="4AFEADA8" w14:textId="77777777" w:rsidR="008144C7" w:rsidRPr="00635D1D" w:rsidRDefault="008144C7" w:rsidP="00C5582D">
            <w:pPr>
              <w:pStyle w:val="Normal6a"/>
            </w:pPr>
            <w:r w:rsidRPr="00635D1D">
              <w:rPr>
                <w:b/>
                <w:i/>
              </w:rPr>
              <w:t>(3a)</w:t>
            </w:r>
            <w:r w:rsidRPr="00635D1D">
              <w:tab/>
            </w:r>
            <w:r w:rsidRPr="00635D1D">
              <w:rPr>
                <w:b/>
                <w:i/>
              </w:rPr>
              <w:t xml:space="preserve">Kontakt elektroniczny powinien umożliwiać konsumentom i organom bezpośrednie kontaktowanie się z dostawcami i powinien być dostępny bezpłatnie, bez konieczności podawania danych osobowych, pobierania bądź używania dodatkowych aplikacji właściwych dla danego dostawcy lub obowiązkowej rejestracji wyłącznie w celu skontaktowania się z dostawcą. Takim kontaktem elektronicznym może być na przykład adres e-mail lub formularz kontaktowy na stronie internetowej. Nie należy go jednak rozumieć jako obejmującego automatyczne odpowiedzi na pytania, </w:t>
            </w:r>
            <w:proofErr w:type="spellStart"/>
            <w:r w:rsidRPr="00635D1D">
              <w:rPr>
                <w:b/>
                <w:i/>
              </w:rPr>
              <w:t>chatboty</w:t>
            </w:r>
            <w:proofErr w:type="spellEnd"/>
            <w:r w:rsidRPr="00635D1D">
              <w:rPr>
                <w:b/>
                <w:i/>
              </w:rPr>
              <w:t xml:space="preserve"> lub numery faksów. Termin „kontakt elektroniczny”, podobnie jak termin „adres elektroniczny” w rozporządzeniu Parlamentu Europejskiego i Rady (UE) 2023/988, powinien być interpretowany w sposób neutralny technologicznie, mogący ewoluować wraz z przyszłym rozwojem technologicznym, i powinien obejmować wszystkie formy bezpośredniej komunikacji elektronicznej.</w:t>
            </w:r>
          </w:p>
        </w:tc>
      </w:tr>
    </w:tbl>
    <w:p w14:paraId="152FDB1B"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67F54524"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476A67F8" w14:textId="77777777" w:rsidR="008144C7" w:rsidRPr="00635D1D" w:rsidRDefault="008144C7" w:rsidP="008144C7">
      <w:pPr>
        <w:pStyle w:val="AmJustText"/>
      </w:pPr>
      <w:r w:rsidRPr="00635D1D">
        <w:t>Poprawka ma na celu dostosowanie do poprawki 34 sprawozdawcy, tak by numer telefonu można było podawać w ramach kontaktu elektronicznego.</w:t>
      </w:r>
    </w:p>
    <w:p w14:paraId="58237287" w14:textId="77777777" w:rsidR="008144C7" w:rsidRPr="00635D1D" w:rsidRDefault="008144C7" w:rsidP="008144C7">
      <w:r w:rsidRPr="00635D1D">
        <w:rPr>
          <w:rStyle w:val="HideTWBExt"/>
        </w:rPr>
        <w:t>&lt;/Amend&gt;</w:t>
      </w:r>
    </w:p>
    <w:p w14:paraId="3F5CE1C3"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115</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694DBD8B" w14:textId="77777777" w:rsidR="008144C7" w:rsidRPr="00635D1D" w:rsidRDefault="008144C7" w:rsidP="008144C7">
      <w:pPr>
        <w:pStyle w:val="NormalBold"/>
      </w:pPr>
      <w:r w:rsidRPr="00635D1D">
        <w:rPr>
          <w:rStyle w:val="HideTWBExt"/>
          <w:b w:val="0"/>
        </w:rPr>
        <w:t>&lt;RepeatBlock-By&gt;&lt;Members&gt;</w:t>
      </w:r>
      <w:proofErr w:type="spellStart"/>
      <w:r w:rsidRPr="00635D1D">
        <w:t>Idoia</w:t>
      </w:r>
      <w:proofErr w:type="spellEnd"/>
      <w:r w:rsidRPr="00635D1D">
        <w:t xml:space="preserve"> </w:t>
      </w:r>
      <w:proofErr w:type="spellStart"/>
      <w:r w:rsidRPr="00635D1D">
        <w:t>Mendia</w:t>
      </w:r>
      <w:proofErr w:type="spellEnd"/>
      <w:r w:rsidRPr="00635D1D">
        <w:t xml:space="preserve">, Kristian </w:t>
      </w:r>
      <w:proofErr w:type="spellStart"/>
      <w:r w:rsidRPr="00635D1D">
        <w:t>Vigenin</w:t>
      </w:r>
      <w:proofErr w:type="spellEnd"/>
      <w:r w:rsidRPr="00635D1D">
        <w:t xml:space="preserve">, François </w:t>
      </w:r>
      <w:proofErr w:type="spellStart"/>
      <w:r w:rsidRPr="00635D1D">
        <w:t>Kalfon</w:t>
      </w:r>
      <w:proofErr w:type="spellEnd"/>
      <w:r w:rsidRPr="00635D1D">
        <w:t xml:space="preserve">, </w:t>
      </w:r>
      <w:proofErr w:type="spellStart"/>
      <w:r w:rsidRPr="00635D1D">
        <w:t>Elisabeth</w:t>
      </w:r>
      <w:proofErr w:type="spellEnd"/>
      <w:r w:rsidRPr="00635D1D">
        <w:t xml:space="preserve"> Grossmann, </w:t>
      </w:r>
      <w:proofErr w:type="spellStart"/>
      <w:r w:rsidRPr="00635D1D">
        <w:t>Adnan</w:t>
      </w:r>
      <w:proofErr w:type="spellEnd"/>
      <w:r w:rsidRPr="00635D1D">
        <w:t xml:space="preserve"> </w:t>
      </w:r>
      <w:proofErr w:type="spellStart"/>
      <w:r w:rsidRPr="00635D1D">
        <w:t>Dibrani</w:t>
      </w:r>
      <w:proofErr w:type="spellEnd"/>
      <w:r w:rsidRPr="00635D1D">
        <w:t xml:space="preserve">, </w:t>
      </w:r>
      <w:proofErr w:type="spellStart"/>
      <w:r w:rsidRPr="00635D1D">
        <w:t>Sakis</w:t>
      </w:r>
      <w:proofErr w:type="spellEnd"/>
      <w:r w:rsidRPr="00635D1D">
        <w:t xml:space="preserve"> </w:t>
      </w:r>
      <w:proofErr w:type="spellStart"/>
      <w:r w:rsidRPr="00635D1D">
        <w:t>Arnaoutoglou</w:t>
      </w:r>
      <w:proofErr w:type="spellEnd"/>
      <w:r w:rsidRPr="00635D1D">
        <w:t xml:space="preserve">, </w:t>
      </w:r>
      <w:proofErr w:type="spellStart"/>
      <w:r w:rsidRPr="00635D1D">
        <w:t>César</w:t>
      </w:r>
      <w:proofErr w:type="spellEnd"/>
      <w:r w:rsidRPr="00635D1D">
        <w:t xml:space="preserve"> </w:t>
      </w:r>
      <w:proofErr w:type="spellStart"/>
      <w:r w:rsidRPr="00635D1D">
        <w:t>Luena</w:t>
      </w:r>
      <w:proofErr w:type="spellEnd"/>
      <w:r w:rsidRPr="00635D1D">
        <w:t xml:space="preserve">, Christophe </w:t>
      </w:r>
      <w:proofErr w:type="spellStart"/>
      <w:r w:rsidRPr="00635D1D">
        <w:t>Clergeau</w:t>
      </w:r>
      <w:proofErr w:type="spellEnd"/>
      <w:r w:rsidRPr="00635D1D">
        <w:t xml:space="preserve">, </w:t>
      </w:r>
      <w:proofErr w:type="spellStart"/>
      <w:r w:rsidRPr="00635D1D">
        <w:t>Tiemo</w:t>
      </w:r>
      <w:proofErr w:type="spellEnd"/>
      <w:r w:rsidRPr="00635D1D">
        <w:t xml:space="preserve"> </w:t>
      </w:r>
      <w:proofErr w:type="spellStart"/>
      <w:r w:rsidRPr="00635D1D">
        <w:t>Wölken</w:t>
      </w:r>
      <w:proofErr w:type="spellEnd"/>
      <w:r w:rsidRPr="00635D1D">
        <w:t xml:space="preserve">, </w:t>
      </w:r>
      <w:proofErr w:type="spellStart"/>
      <w:r w:rsidRPr="00635D1D">
        <w:t>Annalisa</w:t>
      </w:r>
      <w:proofErr w:type="spellEnd"/>
      <w:r w:rsidRPr="00635D1D">
        <w:t xml:space="preserve"> Corrado, </w:t>
      </w:r>
      <w:proofErr w:type="spellStart"/>
      <w:r w:rsidRPr="00635D1D">
        <w:t>Heléne</w:t>
      </w:r>
      <w:proofErr w:type="spellEnd"/>
      <w:r w:rsidRPr="00635D1D">
        <w:t xml:space="preserve"> </w:t>
      </w:r>
      <w:proofErr w:type="spellStart"/>
      <w:r w:rsidRPr="00635D1D">
        <w:t>Fritzon</w:t>
      </w:r>
      <w:proofErr w:type="spellEnd"/>
      <w:r w:rsidRPr="00635D1D">
        <w:t xml:space="preserve">, Marta Temido, </w:t>
      </w:r>
      <w:proofErr w:type="spellStart"/>
      <w:r w:rsidRPr="00635D1D">
        <w:t>Christel</w:t>
      </w:r>
      <w:proofErr w:type="spellEnd"/>
      <w:r w:rsidRPr="00635D1D">
        <w:t xml:space="preserve"> </w:t>
      </w:r>
      <w:proofErr w:type="spellStart"/>
      <w:r w:rsidRPr="00635D1D">
        <w:t>Schaldemose</w:t>
      </w:r>
      <w:proofErr w:type="spellEnd"/>
      <w:r w:rsidRPr="00635D1D">
        <w:rPr>
          <w:rStyle w:val="HideTWBExt"/>
          <w:b w:val="0"/>
        </w:rPr>
        <w:t>&lt;/Members&gt;</w:t>
      </w:r>
    </w:p>
    <w:p w14:paraId="666D772D" w14:textId="77777777" w:rsidR="008144C7" w:rsidRPr="00635D1D" w:rsidRDefault="008144C7" w:rsidP="008144C7">
      <w:pPr>
        <w:pStyle w:val="NormalBold"/>
      </w:pPr>
      <w:r w:rsidRPr="00635D1D">
        <w:rPr>
          <w:rStyle w:val="HideTWBExt"/>
          <w:b w:val="0"/>
        </w:rPr>
        <w:t>&lt;/RepeatBlock-By&gt;</w:t>
      </w:r>
    </w:p>
    <w:p w14:paraId="1081F8F4"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53868ED" w14:textId="77777777" w:rsidR="008144C7" w:rsidRPr="00635D1D" w:rsidRDefault="008144C7" w:rsidP="008144C7">
      <w:pPr>
        <w:pStyle w:val="NormalBold"/>
      </w:pPr>
      <w:r w:rsidRPr="00635D1D">
        <w:rPr>
          <w:rStyle w:val="HideTWBExt"/>
          <w:b w:val="0"/>
        </w:rPr>
        <w:t>&lt;Article&gt;</w:t>
      </w:r>
      <w:r w:rsidRPr="00635D1D">
        <w:t>Motyw 3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481C1BB" w14:textId="77777777" w:rsidTr="00C5582D">
        <w:trPr>
          <w:trHeight w:val="240"/>
          <w:jc w:val="center"/>
        </w:trPr>
        <w:tc>
          <w:tcPr>
            <w:tcW w:w="9752" w:type="dxa"/>
            <w:gridSpan w:val="2"/>
            <w:tcBorders>
              <w:top w:val="nil"/>
              <w:left w:val="nil"/>
              <w:bottom w:val="nil"/>
              <w:right w:val="nil"/>
            </w:tcBorders>
          </w:tcPr>
          <w:p w14:paraId="401E4675" w14:textId="77777777" w:rsidR="008144C7" w:rsidRPr="00635D1D" w:rsidRDefault="008144C7" w:rsidP="00C5582D"/>
        </w:tc>
      </w:tr>
      <w:tr w:rsidR="008144C7" w:rsidRPr="00635D1D" w14:paraId="0CE1F5C8" w14:textId="77777777" w:rsidTr="00C5582D">
        <w:trPr>
          <w:trHeight w:val="240"/>
          <w:jc w:val="center"/>
        </w:trPr>
        <w:tc>
          <w:tcPr>
            <w:tcW w:w="4876" w:type="dxa"/>
            <w:tcBorders>
              <w:top w:val="nil"/>
              <w:left w:val="nil"/>
              <w:bottom w:val="nil"/>
              <w:right w:val="nil"/>
            </w:tcBorders>
            <w:hideMark/>
          </w:tcPr>
          <w:p w14:paraId="60F20ADC"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097714A" w14:textId="77777777" w:rsidR="008144C7" w:rsidRPr="00635D1D" w:rsidRDefault="008144C7" w:rsidP="00C5582D">
            <w:pPr>
              <w:pStyle w:val="AmColumnHeading"/>
            </w:pPr>
            <w:r w:rsidRPr="00635D1D">
              <w:t>Poprawka</w:t>
            </w:r>
          </w:p>
        </w:tc>
      </w:tr>
      <w:tr w:rsidR="008144C7" w:rsidRPr="00635D1D" w14:paraId="12B182B9" w14:textId="77777777" w:rsidTr="00C5582D">
        <w:trPr>
          <w:jc w:val="center"/>
        </w:trPr>
        <w:tc>
          <w:tcPr>
            <w:tcW w:w="4876" w:type="dxa"/>
            <w:tcBorders>
              <w:top w:val="nil"/>
              <w:left w:val="nil"/>
              <w:bottom w:val="nil"/>
              <w:right w:val="nil"/>
            </w:tcBorders>
          </w:tcPr>
          <w:p w14:paraId="539EC196" w14:textId="77777777" w:rsidR="008144C7" w:rsidRPr="00635D1D" w:rsidRDefault="008144C7" w:rsidP="00C5582D">
            <w:pPr>
              <w:pStyle w:val="Normal6a"/>
            </w:pPr>
          </w:p>
        </w:tc>
        <w:tc>
          <w:tcPr>
            <w:tcW w:w="4876" w:type="dxa"/>
            <w:tcBorders>
              <w:top w:val="nil"/>
              <w:left w:val="nil"/>
              <w:bottom w:val="nil"/>
              <w:right w:val="nil"/>
            </w:tcBorders>
            <w:hideMark/>
          </w:tcPr>
          <w:p w14:paraId="0C757FB9" w14:textId="77777777" w:rsidR="008144C7" w:rsidRPr="00635D1D" w:rsidRDefault="008144C7" w:rsidP="00C5582D">
            <w:pPr>
              <w:pStyle w:val="Normal6a"/>
            </w:pPr>
            <w:r w:rsidRPr="00635D1D">
              <w:rPr>
                <w:b/>
                <w:i/>
              </w:rPr>
              <w:t>(3a)</w:t>
            </w:r>
            <w:r w:rsidRPr="00635D1D">
              <w:tab/>
            </w:r>
            <w:r w:rsidRPr="00635D1D">
              <w:rPr>
                <w:b/>
                <w:i/>
              </w:rPr>
              <w:t xml:space="preserve">Kontakt elektroniczny powinien umożliwiać osobom fizycznym i organom bezpośredni i szybki kontakt z dostawcami. Powinien on być bezpłatny, łatwo dostępny w jasny i widoczny sposób, umożliwiający kontakt na trwałym nośniku, bez konieczności posiadania konta lub rejestracji oraz bez konieczności dostarczania jakichkolwiek danych osobowych, pobierania lub używania aplikacji lub innego oprogramowania lub sprzętu w celu skontaktowania się z dostawcami. Takim kontaktem cyfrowym może być na przykład adres e-mail lub formularz kontaktowy na stronie internetowej. Nie powinien jednak obejmować automatycznych odpowiedzi na pytania, </w:t>
            </w:r>
            <w:proofErr w:type="spellStart"/>
            <w:r w:rsidRPr="00635D1D">
              <w:rPr>
                <w:b/>
                <w:i/>
              </w:rPr>
              <w:t>chatbotów</w:t>
            </w:r>
            <w:proofErr w:type="spellEnd"/>
            <w:r w:rsidRPr="00635D1D">
              <w:rPr>
                <w:b/>
                <w:i/>
              </w:rPr>
              <w:t>, numerów faksów lub linii telefonicznych.</w:t>
            </w:r>
          </w:p>
        </w:tc>
      </w:tr>
    </w:tbl>
    <w:p w14:paraId="3EF0B49F"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334E0131" w14:textId="77777777" w:rsidR="008144C7" w:rsidRPr="00AD15CF" w:rsidRDefault="008144C7" w:rsidP="008144C7">
      <w:pPr>
        <w:rPr>
          <w:lang w:val="en-GB"/>
        </w:rPr>
      </w:pPr>
      <w:r w:rsidRPr="00AD15CF">
        <w:rPr>
          <w:rStyle w:val="HideTWBExt"/>
          <w:lang w:val="en-GB"/>
        </w:rPr>
        <w:t>&lt;/Amend&gt;</w:t>
      </w:r>
    </w:p>
    <w:p w14:paraId="358337D1"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116</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060125DF"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Pietro Fiocchi, Antonella </w:t>
      </w:r>
      <w:proofErr w:type="spellStart"/>
      <w:r w:rsidRPr="00AD15CF">
        <w:rPr>
          <w:lang w:val="en-GB"/>
        </w:rPr>
        <w:t>Sberna</w:t>
      </w:r>
      <w:proofErr w:type="spellEnd"/>
      <w:r w:rsidRPr="00AD15CF">
        <w:rPr>
          <w:rStyle w:val="HideTWBExt"/>
          <w:b w:val="0"/>
          <w:lang w:val="en-GB"/>
        </w:rPr>
        <w:t>&lt;/Members&gt;</w:t>
      </w:r>
    </w:p>
    <w:p w14:paraId="7516806D" w14:textId="77777777" w:rsidR="008144C7" w:rsidRPr="00635D1D" w:rsidRDefault="008144C7" w:rsidP="008144C7">
      <w:pPr>
        <w:pStyle w:val="NormalBold"/>
      </w:pPr>
      <w:r w:rsidRPr="00635D1D">
        <w:rPr>
          <w:rStyle w:val="HideTWBExt"/>
          <w:b w:val="0"/>
        </w:rPr>
        <w:t>&lt;/RepeatBlock-By&gt;</w:t>
      </w:r>
    </w:p>
    <w:p w14:paraId="7B49BA13"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6745B12" w14:textId="77777777" w:rsidR="008144C7" w:rsidRPr="00635D1D" w:rsidRDefault="008144C7" w:rsidP="008144C7">
      <w:pPr>
        <w:pStyle w:val="NormalBold"/>
      </w:pPr>
      <w:r w:rsidRPr="00635D1D">
        <w:rPr>
          <w:rStyle w:val="HideTWBExt"/>
          <w:b w:val="0"/>
        </w:rPr>
        <w:t>&lt;Article&gt;</w:t>
      </w:r>
      <w:r w:rsidRPr="00635D1D">
        <w:t>Motyw 3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B9AEF57" w14:textId="77777777" w:rsidTr="00C5582D">
        <w:trPr>
          <w:trHeight w:val="240"/>
          <w:jc w:val="center"/>
        </w:trPr>
        <w:tc>
          <w:tcPr>
            <w:tcW w:w="9752" w:type="dxa"/>
            <w:gridSpan w:val="2"/>
            <w:tcBorders>
              <w:top w:val="nil"/>
              <w:left w:val="nil"/>
              <w:bottom w:val="nil"/>
              <w:right w:val="nil"/>
            </w:tcBorders>
          </w:tcPr>
          <w:p w14:paraId="48D6983B" w14:textId="77777777" w:rsidR="008144C7" w:rsidRPr="00635D1D" w:rsidRDefault="008144C7" w:rsidP="00C5582D"/>
        </w:tc>
      </w:tr>
      <w:tr w:rsidR="008144C7" w:rsidRPr="00635D1D" w14:paraId="0E4CBA44" w14:textId="77777777" w:rsidTr="00C5582D">
        <w:trPr>
          <w:trHeight w:val="240"/>
          <w:jc w:val="center"/>
        </w:trPr>
        <w:tc>
          <w:tcPr>
            <w:tcW w:w="4876" w:type="dxa"/>
            <w:tcBorders>
              <w:top w:val="nil"/>
              <w:left w:val="nil"/>
              <w:bottom w:val="nil"/>
              <w:right w:val="nil"/>
            </w:tcBorders>
            <w:hideMark/>
          </w:tcPr>
          <w:p w14:paraId="31DCC9A1"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E2FE40D" w14:textId="77777777" w:rsidR="008144C7" w:rsidRPr="00635D1D" w:rsidRDefault="008144C7" w:rsidP="00C5582D">
            <w:pPr>
              <w:pStyle w:val="AmColumnHeading"/>
            </w:pPr>
            <w:r w:rsidRPr="00635D1D">
              <w:t>Poprawka</w:t>
            </w:r>
          </w:p>
        </w:tc>
      </w:tr>
      <w:tr w:rsidR="008144C7" w:rsidRPr="00635D1D" w14:paraId="599927BE" w14:textId="77777777" w:rsidTr="00C5582D">
        <w:trPr>
          <w:jc w:val="center"/>
        </w:trPr>
        <w:tc>
          <w:tcPr>
            <w:tcW w:w="4876" w:type="dxa"/>
            <w:tcBorders>
              <w:top w:val="nil"/>
              <w:left w:val="nil"/>
              <w:bottom w:val="nil"/>
              <w:right w:val="nil"/>
            </w:tcBorders>
          </w:tcPr>
          <w:p w14:paraId="309279C7" w14:textId="77777777" w:rsidR="008144C7" w:rsidRPr="00635D1D" w:rsidRDefault="008144C7" w:rsidP="00C5582D">
            <w:pPr>
              <w:pStyle w:val="Normal6a"/>
            </w:pPr>
          </w:p>
        </w:tc>
        <w:tc>
          <w:tcPr>
            <w:tcW w:w="4876" w:type="dxa"/>
            <w:tcBorders>
              <w:top w:val="nil"/>
              <w:left w:val="nil"/>
              <w:bottom w:val="nil"/>
              <w:right w:val="nil"/>
            </w:tcBorders>
            <w:hideMark/>
          </w:tcPr>
          <w:p w14:paraId="7E568E2C" w14:textId="77777777" w:rsidR="008144C7" w:rsidRPr="00635D1D" w:rsidRDefault="008144C7" w:rsidP="00C5582D">
            <w:pPr>
              <w:pStyle w:val="Normal6a"/>
            </w:pPr>
            <w:r w:rsidRPr="00635D1D">
              <w:rPr>
                <w:b/>
                <w:i/>
              </w:rPr>
              <w:t>(3a)</w:t>
            </w:r>
            <w:r w:rsidRPr="00635D1D">
              <w:tab/>
            </w:r>
            <w:r w:rsidRPr="00635D1D">
              <w:rPr>
                <w:b/>
                <w:i/>
              </w:rPr>
              <w:t xml:space="preserve">W celu zapewnienia skutecznej i bezpośredniej komunikacji kontakt elektroniczny powinien umożliwiać konsumentom i właściwym organom bezpośredni kontakt z dostawcami. Taki kontakt elektroniczny powinien być dostępny bezpłatnie i bez konieczności dostarczania danych osobowych, pobierania lub używania aplikacji właściwych dla danego dostawcy lub rejestracji wyłącznie w celu skontaktowania się z dostawcą. Kontaktem elektronicznym powinien być na przykład adres e-mail lub formularz kontaktowy na stronie internetowej. Nie należy go rozumieć jako obejmującego automatyczne odpowiedzi na pytania, </w:t>
            </w:r>
            <w:proofErr w:type="spellStart"/>
            <w:r w:rsidRPr="00635D1D">
              <w:rPr>
                <w:b/>
                <w:i/>
              </w:rPr>
              <w:t>chatboty</w:t>
            </w:r>
            <w:proofErr w:type="spellEnd"/>
            <w:r w:rsidRPr="00635D1D">
              <w:rPr>
                <w:b/>
                <w:i/>
              </w:rPr>
              <w:t xml:space="preserve"> lub numery faksów.</w:t>
            </w:r>
          </w:p>
        </w:tc>
      </w:tr>
    </w:tbl>
    <w:p w14:paraId="6396844E"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205E8DD6"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66741AFD" w14:textId="77777777" w:rsidR="008144C7" w:rsidRPr="00635D1D" w:rsidRDefault="008144C7" w:rsidP="008144C7">
      <w:pPr>
        <w:pStyle w:val="AmJustText"/>
      </w:pPr>
      <w:r w:rsidRPr="00635D1D">
        <w:t>Poprawka służy doprecyzowaniu, że kontakt elektroniczny powinien stanowić prawdziwy, bezpośredni i bezpłatny środek komunikacji, bez warunków takich jak gromadzenie danych osobowych lub rejestracja, z wyłączeniem zautomatyzowanych lub przestarzałych systemów, a także dopilnowaniu, aby cyfryzacja wspierała skuteczne egzekwowanie przepisów i ochronę konsumentów.</w:t>
      </w:r>
    </w:p>
    <w:p w14:paraId="0F3C4A5C" w14:textId="77777777" w:rsidR="008144C7" w:rsidRPr="00AD15CF" w:rsidRDefault="008144C7" w:rsidP="008144C7">
      <w:pPr>
        <w:rPr>
          <w:lang w:val="en-GB"/>
        </w:rPr>
      </w:pPr>
      <w:r w:rsidRPr="00AD15CF">
        <w:rPr>
          <w:rStyle w:val="HideTWBExt"/>
          <w:lang w:val="en-GB"/>
        </w:rPr>
        <w:t>&lt;/Amend&gt;</w:t>
      </w:r>
    </w:p>
    <w:p w14:paraId="46A44D44"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117</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2834FB9A"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Aurelijus</w:t>
      </w:r>
      <w:proofErr w:type="spellEnd"/>
      <w:r w:rsidRPr="00AD15CF">
        <w:rPr>
          <w:lang w:val="en-GB"/>
        </w:rPr>
        <w:t xml:space="preserve"> </w:t>
      </w:r>
      <w:proofErr w:type="spellStart"/>
      <w:r w:rsidRPr="00AD15CF">
        <w:rPr>
          <w:lang w:val="en-GB"/>
        </w:rPr>
        <w:t>Veryga</w:t>
      </w:r>
      <w:proofErr w:type="spellEnd"/>
      <w:r w:rsidRPr="00AD15CF">
        <w:rPr>
          <w:rStyle w:val="HideTWBExt"/>
          <w:b w:val="0"/>
          <w:lang w:val="en-GB"/>
        </w:rPr>
        <w:t>&lt;/Members&gt;</w:t>
      </w:r>
    </w:p>
    <w:p w14:paraId="13A50AE1" w14:textId="77777777" w:rsidR="008144C7" w:rsidRPr="00635D1D" w:rsidRDefault="008144C7" w:rsidP="008144C7">
      <w:pPr>
        <w:pStyle w:val="NormalBold"/>
      </w:pPr>
      <w:r w:rsidRPr="00635D1D">
        <w:rPr>
          <w:rStyle w:val="HideTWBExt"/>
          <w:b w:val="0"/>
        </w:rPr>
        <w:t>&lt;/RepeatBlock-By&gt;</w:t>
      </w:r>
    </w:p>
    <w:p w14:paraId="3D9F1B9A"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BF2AFD3" w14:textId="77777777" w:rsidR="008144C7" w:rsidRPr="00635D1D" w:rsidRDefault="008144C7" w:rsidP="008144C7">
      <w:pPr>
        <w:pStyle w:val="NormalBold"/>
      </w:pPr>
      <w:r w:rsidRPr="00635D1D">
        <w:rPr>
          <w:rStyle w:val="HideTWBExt"/>
          <w:b w:val="0"/>
        </w:rPr>
        <w:t>&lt;Article&gt;</w:t>
      </w:r>
      <w:r w:rsidRPr="00635D1D">
        <w:t>Motyw 3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E2C9C9B" w14:textId="77777777" w:rsidTr="00C5582D">
        <w:trPr>
          <w:trHeight w:val="240"/>
          <w:jc w:val="center"/>
        </w:trPr>
        <w:tc>
          <w:tcPr>
            <w:tcW w:w="9752" w:type="dxa"/>
            <w:gridSpan w:val="2"/>
            <w:tcBorders>
              <w:top w:val="nil"/>
              <w:left w:val="nil"/>
              <w:bottom w:val="nil"/>
              <w:right w:val="nil"/>
            </w:tcBorders>
          </w:tcPr>
          <w:p w14:paraId="484FF311" w14:textId="77777777" w:rsidR="008144C7" w:rsidRPr="00635D1D" w:rsidRDefault="008144C7" w:rsidP="00C5582D"/>
        </w:tc>
      </w:tr>
      <w:tr w:rsidR="008144C7" w:rsidRPr="00635D1D" w14:paraId="6C3B2045" w14:textId="77777777" w:rsidTr="00C5582D">
        <w:trPr>
          <w:trHeight w:val="240"/>
          <w:jc w:val="center"/>
        </w:trPr>
        <w:tc>
          <w:tcPr>
            <w:tcW w:w="4876" w:type="dxa"/>
            <w:tcBorders>
              <w:top w:val="nil"/>
              <w:left w:val="nil"/>
              <w:bottom w:val="nil"/>
              <w:right w:val="nil"/>
            </w:tcBorders>
            <w:hideMark/>
          </w:tcPr>
          <w:p w14:paraId="5080C072"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663C2F5" w14:textId="77777777" w:rsidR="008144C7" w:rsidRPr="00635D1D" w:rsidRDefault="008144C7" w:rsidP="00C5582D">
            <w:pPr>
              <w:pStyle w:val="AmColumnHeading"/>
            </w:pPr>
            <w:r w:rsidRPr="00635D1D">
              <w:t>Poprawka</w:t>
            </w:r>
          </w:p>
        </w:tc>
      </w:tr>
      <w:tr w:rsidR="008144C7" w:rsidRPr="00635D1D" w14:paraId="41601592" w14:textId="77777777" w:rsidTr="00C5582D">
        <w:trPr>
          <w:jc w:val="center"/>
        </w:trPr>
        <w:tc>
          <w:tcPr>
            <w:tcW w:w="4876" w:type="dxa"/>
            <w:tcBorders>
              <w:top w:val="nil"/>
              <w:left w:val="nil"/>
              <w:bottom w:val="nil"/>
              <w:right w:val="nil"/>
            </w:tcBorders>
          </w:tcPr>
          <w:p w14:paraId="3351ED3B" w14:textId="77777777" w:rsidR="008144C7" w:rsidRPr="00635D1D" w:rsidRDefault="008144C7" w:rsidP="00C5582D">
            <w:pPr>
              <w:pStyle w:val="Normal6a"/>
            </w:pPr>
          </w:p>
        </w:tc>
        <w:tc>
          <w:tcPr>
            <w:tcW w:w="4876" w:type="dxa"/>
            <w:tcBorders>
              <w:top w:val="nil"/>
              <w:left w:val="nil"/>
              <w:bottom w:val="nil"/>
              <w:right w:val="nil"/>
            </w:tcBorders>
            <w:hideMark/>
          </w:tcPr>
          <w:p w14:paraId="6906B524" w14:textId="77777777" w:rsidR="008144C7" w:rsidRPr="00635D1D" w:rsidRDefault="008144C7" w:rsidP="00C5582D">
            <w:pPr>
              <w:pStyle w:val="Normal6a"/>
            </w:pPr>
            <w:r w:rsidRPr="00635D1D">
              <w:rPr>
                <w:b/>
                <w:i/>
              </w:rPr>
              <w:t>(3a)</w:t>
            </w:r>
            <w:r w:rsidRPr="00635D1D">
              <w:tab/>
            </w:r>
            <w:r w:rsidRPr="00635D1D">
              <w:rPr>
                <w:b/>
                <w:i/>
              </w:rPr>
              <w:t xml:space="preserve">Kontakt elektroniczny powinien umożliwiać konsumentom i organom bezpośrednie kontaktowanie się z dostawcami i powinien być dostępny bezpłatnie, bez konieczności podawania danych osobowych, pobierania bądź używania dodatkowych aplikacji właściwych dla danego dostawcy lub obowiązkowej rejestracji wyłącznie w celu skontaktowania się z dostawcą. Takim kontaktem elektronicznym może być na przykład adres e-mail lub formularz kontaktowy na stronie internetowej. Nie należy go jednak rozumieć jako obejmującego automatyczne odpowiedzi na pytania, </w:t>
            </w:r>
            <w:proofErr w:type="spellStart"/>
            <w:r w:rsidRPr="00635D1D">
              <w:rPr>
                <w:b/>
                <w:i/>
              </w:rPr>
              <w:t>chatboty</w:t>
            </w:r>
            <w:proofErr w:type="spellEnd"/>
            <w:r w:rsidRPr="00635D1D">
              <w:rPr>
                <w:b/>
                <w:i/>
              </w:rPr>
              <w:t xml:space="preserve"> lub numery faksów.</w:t>
            </w:r>
          </w:p>
        </w:tc>
      </w:tr>
    </w:tbl>
    <w:p w14:paraId="1E2866AC"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0EF785CA" w14:textId="77777777" w:rsidR="008144C7" w:rsidRPr="00AD15CF" w:rsidRDefault="008144C7" w:rsidP="008144C7">
      <w:pPr>
        <w:rPr>
          <w:lang w:val="en-GB"/>
        </w:rPr>
      </w:pPr>
      <w:r w:rsidRPr="00AD15CF">
        <w:rPr>
          <w:rStyle w:val="HideTWBExt"/>
          <w:lang w:val="en-GB"/>
        </w:rPr>
        <w:t>&lt;/Amend&gt;</w:t>
      </w:r>
    </w:p>
    <w:p w14:paraId="03E6930B"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118</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3FA3B4B5"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Idoia</w:t>
      </w:r>
      <w:proofErr w:type="spellEnd"/>
      <w:r w:rsidRPr="00AD15CF">
        <w:rPr>
          <w:lang w:val="en-GB"/>
        </w:rPr>
        <w:t xml:space="preserve"> </w:t>
      </w:r>
      <w:proofErr w:type="spellStart"/>
      <w:r w:rsidRPr="00AD15CF">
        <w:rPr>
          <w:lang w:val="en-GB"/>
        </w:rPr>
        <w:t>Mendia</w:t>
      </w:r>
      <w:proofErr w:type="spellEnd"/>
      <w:r w:rsidRPr="00AD15CF">
        <w:rPr>
          <w:lang w:val="en-GB"/>
        </w:rPr>
        <w:t xml:space="preserve">, Kristian </w:t>
      </w:r>
      <w:proofErr w:type="spellStart"/>
      <w:r w:rsidRPr="00AD15CF">
        <w:rPr>
          <w:lang w:val="en-GB"/>
        </w:rPr>
        <w:t>Vigenin</w:t>
      </w:r>
      <w:proofErr w:type="spellEnd"/>
      <w:r w:rsidRPr="00AD15CF">
        <w:rPr>
          <w:lang w:val="en-GB"/>
        </w:rPr>
        <w:t xml:space="preserve">, François </w:t>
      </w:r>
      <w:proofErr w:type="spellStart"/>
      <w:r w:rsidRPr="00AD15CF">
        <w:rPr>
          <w:lang w:val="en-GB"/>
        </w:rPr>
        <w:t>Kalfon</w:t>
      </w:r>
      <w:proofErr w:type="spellEnd"/>
      <w:r w:rsidRPr="00AD15CF">
        <w:rPr>
          <w:lang w:val="en-GB"/>
        </w:rPr>
        <w:t xml:space="preserve">, Elisabeth Grossmann, Adnan </w:t>
      </w:r>
      <w:proofErr w:type="spellStart"/>
      <w:r w:rsidRPr="00AD15CF">
        <w:rPr>
          <w:lang w:val="en-GB"/>
        </w:rPr>
        <w:t>Dibrani</w:t>
      </w:r>
      <w:proofErr w:type="spellEnd"/>
      <w:r w:rsidRPr="00AD15CF">
        <w:rPr>
          <w:lang w:val="en-GB"/>
        </w:rPr>
        <w:t xml:space="preserve">, Sakis </w:t>
      </w:r>
      <w:proofErr w:type="spellStart"/>
      <w:r w:rsidRPr="00AD15CF">
        <w:rPr>
          <w:lang w:val="en-GB"/>
        </w:rPr>
        <w:t>Arnaoutoglou</w:t>
      </w:r>
      <w:proofErr w:type="spellEnd"/>
      <w:r w:rsidRPr="00AD15CF">
        <w:rPr>
          <w:lang w:val="en-GB"/>
        </w:rPr>
        <w:t xml:space="preserve">, César </w:t>
      </w:r>
      <w:proofErr w:type="spellStart"/>
      <w:r w:rsidRPr="00AD15CF">
        <w:rPr>
          <w:lang w:val="en-GB"/>
        </w:rPr>
        <w:t>Luena</w:t>
      </w:r>
      <w:proofErr w:type="spellEnd"/>
      <w:r w:rsidRPr="00AD15CF">
        <w:rPr>
          <w:lang w:val="en-GB"/>
        </w:rPr>
        <w:t xml:space="preserve">, Christophe </w:t>
      </w:r>
      <w:proofErr w:type="spellStart"/>
      <w:r w:rsidRPr="00AD15CF">
        <w:rPr>
          <w:lang w:val="en-GB"/>
        </w:rPr>
        <w:t>Clergeau</w:t>
      </w:r>
      <w:proofErr w:type="spellEnd"/>
      <w:r w:rsidRPr="00AD15CF">
        <w:rPr>
          <w:lang w:val="en-GB"/>
        </w:rPr>
        <w:t xml:space="preserve">, </w:t>
      </w:r>
      <w:proofErr w:type="spellStart"/>
      <w:r w:rsidRPr="00AD15CF">
        <w:rPr>
          <w:lang w:val="en-GB"/>
        </w:rPr>
        <w:t>Tiemo</w:t>
      </w:r>
      <w:proofErr w:type="spellEnd"/>
      <w:r w:rsidRPr="00AD15CF">
        <w:rPr>
          <w:lang w:val="en-GB"/>
        </w:rPr>
        <w:t xml:space="preserve"> </w:t>
      </w:r>
      <w:proofErr w:type="spellStart"/>
      <w:r w:rsidRPr="00AD15CF">
        <w:rPr>
          <w:lang w:val="en-GB"/>
        </w:rPr>
        <w:t>Wölken</w:t>
      </w:r>
      <w:proofErr w:type="spellEnd"/>
      <w:r w:rsidRPr="00AD15CF">
        <w:rPr>
          <w:lang w:val="en-GB"/>
        </w:rPr>
        <w:t xml:space="preserve">, Annalisa Corrado, </w:t>
      </w:r>
      <w:proofErr w:type="spellStart"/>
      <w:r w:rsidRPr="00AD15CF">
        <w:rPr>
          <w:lang w:val="en-GB"/>
        </w:rPr>
        <w:t>Heléne</w:t>
      </w:r>
      <w:proofErr w:type="spellEnd"/>
      <w:r w:rsidRPr="00AD15CF">
        <w:rPr>
          <w:lang w:val="en-GB"/>
        </w:rPr>
        <w:t xml:space="preserve"> </w:t>
      </w:r>
      <w:proofErr w:type="spellStart"/>
      <w:r w:rsidRPr="00AD15CF">
        <w:rPr>
          <w:lang w:val="en-GB"/>
        </w:rPr>
        <w:t>Fritzon</w:t>
      </w:r>
      <w:proofErr w:type="spellEnd"/>
      <w:r w:rsidRPr="00AD15CF">
        <w:rPr>
          <w:lang w:val="en-GB"/>
        </w:rPr>
        <w:t xml:space="preserve">, Marta </w:t>
      </w:r>
      <w:proofErr w:type="spellStart"/>
      <w:r w:rsidRPr="00AD15CF">
        <w:rPr>
          <w:lang w:val="en-GB"/>
        </w:rPr>
        <w:t>Temido</w:t>
      </w:r>
      <w:proofErr w:type="spellEnd"/>
      <w:r w:rsidRPr="00AD15CF">
        <w:rPr>
          <w:lang w:val="en-GB"/>
        </w:rPr>
        <w:t xml:space="preserve">, Christel </w:t>
      </w:r>
      <w:proofErr w:type="spellStart"/>
      <w:r w:rsidRPr="00AD15CF">
        <w:rPr>
          <w:lang w:val="en-GB"/>
        </w:rPr>
        <w:t>Schaldemose</w:t>
      </w:r>
      <w:proofErr w:type="spellEnd"/>
      <w:r w:rsidRPr="00AD15CF">
        <w:rPr>
          <w:rStyle w:val="HideTWBExt"/>
          <w:b w:val="0"/>
          <w:lang w:val="en-GB"/>
        </w:rPr>
        <w:t>&lt;/Members&gt;</w:t>
      </w:r>
    </w:p>
    <w:p w14:paraId="065867F0" w14:textId="77777777" w:rsidR="008144C7" w:rsidRPr="00635D1D" w:rsidRDefault="008144C7" w:rsidP="008144C7">
      <w:pPr>
        <w:pStyle w:val="NormalBold"/>
      </w:pPr>
      <w:r w:rsidRPr="00635D1D">
        <w:rPr>
          <w:rStyle w:val="HideTWBExt"/>
          <w:b w:val="0"/>
        </w:rPr>
        <w:t>&lt;/RepeatBlock-By&gt;</w:t>
      </w:r>
    </w:p>
    <w:p w14:paraId="0898100C"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CAC5621" w14:textId="77777777" w:rsidR="008144C7" w:rsidRPr="00635D1D" w:rsidRDefault="008144C7" w:rsidP="008144C7">
      <w:pPr>
        <w:pStyle w:val="NormalBold"/>
      </w:pPr>
      <w:r w:rsidRPr="00635D1D">
        <w:rPr>
          <w:rStyle w:val="HideTWBExt"/>
          <w:b w:val="0"/>
        </w:rPr>
        <w:t>&lt;Article&gt;</w:t>
      </w:r>
      <w:r w:rsidRPr="00635D1D">
        <w:t>Motyw 4</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DD4F8B7" w14:textId="77777777" w:rsidTr="00C5582D">
        <w:trPr>
          <w:trHeight w:val="240"/>
          <w:jc w:val="center"/>
        </w:trPr>
        <w:tc>
          <w:tcPr>
            <w:tcW w:w="9752" w:type="dxa"/>
            <w:gridSpan w:val="2"/>
            <w:tcBorders>
              <w:top w:val="nil"/>
              <w:left w:val="nil"/>
              <w:bottom w:val="nil"/>
              <w:right w:val="nil"/>
            </w:tcBorders>
          </w:tcPr>
          <w:p w14:paraId="0A710B8E" w14:textId="77777777" w:rsidR="008144C7" w:rsidRPr="00635D1D" w:rsidRDefault="008144C7" w:rsidP="00C5582D"/>
        </w:tc>
      </w:tr>
      <w:tr w:rsidR="008144C7" w:rsidRPr="00635D1D" w14:paraId="3E84FA43" w14:textId="77777777" w:rsidTr="00C5582D">
        <w:trPr>
          <w:trHeight w:val="240"/>
          <w:jc w:val="center"/>
        </w:trPr>
        <w:tc>
          <w:tcPr>
            <w:tcW w:w="4876" w:type="dxa"/>
            <w:tcBorders>
              <w:top w:val="nil"/>
              <w:left w:val="nil"/>
              <w:bottom w:val="nil"/>
              <w:right w:val="nil"/>
            </w:tcBorders>
            <w:hideMark/>
          </w:tcPr>
          <w:p w14:paraId="5E564BD0"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FA74168" w14:textId="77777777" w:rsidR="008144C7" w:rsidRPr="00635D1D" w:rsidRDefault="008144C7" w:rsidP="00C5582D">
            <w:pPr>
              <w:pStyle w:val="AmColumnHeading"/>
            </w:pPr>
            <w:r w:rsidRPr="00635D1D">
              <w:t>Poprawka</w:t>
            </w:r>
          </w:p>
        </w:tc>
      </w:tr>
      <w:tr w:rsidR="008144C7" w:rsidRPr="00635D1D" w14:paraId="33A6F107" w14:textId="77777777" w:rsidTr="00C5582D">
        <w:trPr>
          <w:jc w:val="center"/>
        </w:trPr>
        <w:tc>
          <w:tcPr>
            <w:tcW w:w="4876" w:type="dxa"/>
            <w:tcBorders>
              <w:top w:val="nil"/>
              <w:left w:val="nil"/>
              <w:bottom w:val="nil"/>
              <w:right w:val="nil"/>
            </w:tcBorders>
            <w:hideMark/>
          </w:tcPr>
          <w:p w14:paraId="0E81C11F" w14:textId="77777777" w:rsidR="008144C7" w:rsidRPr="00635D1D" w:rsidRDefault="008144C7" w:rsidP="00C5582D">
            <w:pPr>
              <w:pStyle w:val="Normal6a"/>
            </w:pPr>
            <w:r w:rsidRPr="00635D1D">
              <w:rPr>
                <w:b/>
                <w:i/>
              </w:rPr>
              <w:t>(4)</w:t>
            </w:r>
            <w:r w:rsidRPr="00635D1D">
              <w:tab/>
            </w:r>
            <w:r w:rsidRPr="00635D1D">
              <w:rPr>
                <w:b/>
                <w:i/>
              </w:rPr>
              <w:t>W rozporządzeniu (WE) nr 1272/2008 ustanowiono zwolnienia z wymogów dotyczących etykietowania i pakowania dla opakowań o szczególnych kształtach, formach lub rozmiarach. Z tych zwolnień można skorzystać tylko wtedy, gdy wszystkie wymagane elementy etykiety nie mieszczą się na opakowaniu zewnętrznym lub na zawieszonej metce. Aby uprościć korzystanie z tych zwolnień, należy zezwolić na stosowanie istniejących zwolnień do mniejszych opakowań bez konieczności udowadniania braku możliwości umieszczenia wszystkich wymaganych informacji na opakowaniu zewnętrznym lub na zawieszonej metce.</w:t>
            </w:r>
          </w:p>
        </w:tc>
        <w:tc>
          <w:tcPr>
            <w:tcW w:w="4876" w:type="dxa"/>
            <w:tcBorders>
              <w:top w:val="nil"/>
              <w:left w:val="nil"/>
              <w:bottom w:val="nil"/>
              <w:right w:val="nil"/>
            </w:tcBorders>
            <w:hideMark/>
          </w:tcPr>
          <w:p w14:paraId="22DA8181" w14:textId="77777777" w:rsidR="008144C7" w:rsidRPr="00635D1D" w:rsidRDefault="008144C7" w:rsidP="00C5582D">
            <w:pPr>
              <w:pStyle w:val="Normal6a"/>
            </w:pPr>
            <w:r w:rsidRPr="00635D1D">
              <w:rPr>
                <w:b/>
                <w:i/>
              </w:rPr>
              <w:t>skreśla się</w:t>
            </w:r>
          </w:p>
        </w:tc>
      </w:tr>
    </w:tbl>
    <w:p w14:paraId="2679781B"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1D016021" w14:textId="77777777" w:rsidR="008144C7" w:rsidRPr="00635D1D" w:rsidRDefault="008144C7" w:rsidP="008144C7">
      <w:r w:rsidRPr="00635D1D">
        <w:rPr>
          <w:rStyle w:val="HideTWBExt"/>
        </w:rPr>
        <w:t>&lt;/Amend&gt;</w:t>
      </w:r>
    </w:p>
    <w:p w14:paraId="4D27AD6B"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119</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0634CB13"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Per Clausen, Anja </w:t>
      </w:r>
      <w:proofErr w:type="spellStart"/>
      <w:r w:rsidRPr="00AD15CF">
        <w:rPr>
          <w:lang w:val="en-GB"/>
        </w:rPr>
        <w:t>Hazekamp</w:t>
      </w:r>
      <w:proofErr w:type="spellEnd"/>
      <w:r w:rsidRPr="00AD15CF">
        <w:rPr>
          <w:rStyle w:val="HideTWBExt"/>
          <w:b w:val="0"/>
          <w:lang w:val="en-GB"/>
        </w:rPr>
        <w:t>&lt;/Members&gt;</w:t>
      </w:r>
    </w:p>
    <w:p w14:paraId="325F4C47" w14:textId="77777777" w:rsidR="008144C7" w:rsidRPr="00635D1D" w:rsidRDefault="008144C7" w:rsidP="008144C7">
      <w:pPr>
        <w:pStyle w:val="NormalBold"/>
      </w:pPr>
      <w:r w:rsidRPr="00635D1D">
        <w:rPr>
          <w:rStyle w:val="HideTWBExt"/>
          <w:b w:val="0"/>
        </w:rPr>
        <w:t>&lt;/RepeatBlock-By&gt;</w:t>
      </w:r>
    </w:p>
    <w:p w14:paraId="0CFE185D"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AF94FBA" w14:textId="77777777" w:rsidR="008144C7" w:rsidRPr="00635D1D" w:rsidRDefault="008144C7" w:rsidP="008144C7">
      <w:pPr>
        <w:pStyle w:val="NormalBold"/>
      </w:pPr>
      <w:r w:rsidRPr="00635D1D">
        <w:rPr>
          <w:rStyle w:val="HideTWBExt"/>
          <w:b w:val="0"/>
        </w:rPr>
        <w:t>&lt;Article&gt;</w:t>
      </w:r>
      <w:r w:rsidRPr="00635D1D">
        <w:t>Motyw 5</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B9EF852" w14:textId="77777777" w:rsidTr="00C5582D">
        <w:trPr>
          <w:trHeight w:val="240"/>
          <w:jc w:val="center"/>
        </w:trPr>
        <w:tc>
          <w:tcPr>
            <w:tcW w:w="9752" w:type="dxa"/>
            <w:gridSpan w:val="2"/>
            <w:tcBorders>
              <w:top w:val="nil"/>
              <w:left w:val="nil"/>
              <w:bottom w:val="nil"/>
              <w:right w:val="nil"/>
            </w:tcBorders>
          </w:tcPr>
          <w:p w14:paraId="19743EEE" w14:textId="77777777" w:rsidR="008144C7" w:rsidRPr="00635D1D" w:rsidRDefault="008144C7" w:rsidP="00C5582D"/>
        </w:tc>
      </w:tr>
      <w:tr w:rsidR="008144C7" w:rsidRPr="00635D1D" w14:paraId="22406671" w14:textId="77777777" w:rsidTr="00C5582D">
        <w:trPr>
          <w:trHeight w:val="240"/>
          <w:jc w:val="center"/>
        </w:trPr>
        <w:tc>
          <w:tcPr>
            <w:tcW w:w="4876" w:type="dxa"/>
            <w:tcBorders>
              <w:top w:val="nil"/>
              <w:left w:val="nil"/>
              <w:bottom w:val="nil"/>
              <w:right w:val="nil"/>
            </w:tcBorders>
            <w:hideMark/>
          </w:tcPr>
          <w:p w14:paraId="3CA91CAF"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EBE3692" w14:textId="77777777" w:rsidR="008144C7" w:rsidRPr="00635D1D" w:rsidRDefault="008144C7" w:rsidP="00C5582D">
            <w:pPr>
              <w:pStyle w:val="AmColumnHeading"/>
            </w:pPr>
            <w:r w:rsidRPr="00635D1D">
              <w:t>Poprawka</w:t>
            </w:r>
          </w:p>
        </w:tc>
      </w:tr>
      <w:tr w:rsidR="008144C7" w:rsidRPr="00635D1D" w14:paraId="694674B1" w14:textId="77777777" w:rsidTr="00C5582D">
        <w:trPr>
          <w:jc w:val="center"/>
        </w:trPr>
        <w:tc>
          <w:tcPr>
            <w:tcW w:w="4876" w:type="dxa"/>
            <w:tcBorders>
              <w:top w:val="nil"/>
              <w:left w:val="nil"/>
              <w:bottom w:val="nil"/>
              <w:right w:val="nil"/>
            </w:tcBorders>
            <w:hideMark/>
          </w:tcPr>
          <w:p w14:paraId="1BA6CA01" w14:textId="77777777" w:rsidR="008144C7" w:rsidRPr="00635D1D" w:rsidRDefault="008144C7" w:rsidP="00C5582D">
            <w:pPr>
              <w:pStyle w:val="Normal6a"/>
            </w:pPr>
            <w:r w:rsidRPr="00635D1D">
              <w:t>(5)</w:t>
            </w:r>
            <w:r w:rsidRPr="00635D1D">
              <w:tab/>
              <w:t>Rozporządzeniem Parlamentu Europejskiego i Rady (UE) 2024/2865</w:t>
            </w:r>
            <w:r w:rsidRPr="00635D1D">
              <w:rPr>
                <w:vertAlign w:val="superscript"/>
              </w:rPr>
              <w:t>6</w:t>
            </w:r>
            <w:r w:rsidRPr="00635D1D">
              <w:t xml:space="preserve"> wprowadzono zwolnienia z wymogów dotyczących etykietowania i pakowania w odniesieniu do opakowań o pojemności poniżej 10 ml. </w:t>
            </w:r>
            <w:r w:rsidRPr="00635D1D">
              <w:rPr>
                <w:b/>
                <w:i/>
              </w:rPr>
              <w:t>Konieczne są jednak dalsze uproszczenia w odniesieniu do stosowania tego odstępstwa w przypadkach, gdy opakowania te są oznakowane uzupełniającym zwrotem wskazującym rodzaj zagrożenia EUH 208.</w:t>
            </w:r>
            <w:r w:rsidRPr="00635D1D">
              <w:t xml:space="preserve"> Należy </w:t>
            </w:r>
            <w:r w:rsidRPr="00635D1D">
              <w:rPr>
                <w:b/>
                <w:i/>
              </w:rPr>
              <w:t>również</w:t>
            </w:r>
            <w:r w:rsidRPr="00635D1D">
              <w:t xml:space="preserve"> doprecyzować wymogi dotyczące opakowań wewnętrznych i zewnętrznych w przypadkach, w których stosuje się odstępstwo dla opakowań o pojemności 10 ml.</w:t>
            </w:r>
          </w:p>
        </w:tc>
        <w:tc>
          <w:tcPr>
            <w:tcW w:w="4876" w:type="dxa"/>
            <w:tcBorders>
              <w:top w:val="nil"/>
              <w:left w:val="nil"/>
              <w:bottom w:val="nil"/>
              <w:right w:val="nil"/>
            </w:tcBorders>
            <w:hideMark/>
          </w:tcPr>
          <w:p w14:paraId="68A050BE" w14:textId="77777777" w:rsidR="008144C7" w:rsidRPr="00635D1D" w:rsidRDefault="008144C7" w:rsidP="00C5582D">
            <w:pPr>
              <w:pStyle w:val="Normal6a"/>
            </w:pPr>
            <w:r w:rsidRPr="00635D1D">
              <w:t>(5)</w:t>
            </w:r>
            <w:r w:rsidRPr="00635D1D">
              <w:tab/>
              <w:t>Rozporządzeniem Parlamentu Europejskiego i Rady (UE) 2024/2865</w:t>
            </w:r>
            <w:r w:rsidRPr="00635D1D">
              <w:rPr>
                <w:vertAlign w:val="superscript"/>
              </w:rPr>
              <w:t>6</w:t>
            </w:r>
            <w:r w:rsidRPr="00635D1D">
              <w:t xml:space="preserve"> wprowadzono zwolnienia z wymogów dotyczących etykietowania i pakowania w odniesieniu do opakowań o pojemności poniżej 10 ml. Należy doprecyzować wymogi dotyczące opakowań wewnętrznych i zewnętrznych w przypadkach, w których stosuje się odstępstwo dla opakowań o pojemności 10 ml.</w:t>
            </w:r>
          </w:p>
        </w:tc>
      </w:tr>
      <w:tr w:rsidR="008144C7" w:rsidRPr="00635D1D" w14:paraId="4AE3622D" w14:textId="77777777" w:rsidTr="00C5582D">
        <w:trPr>
          <w:jc w:val="center"/>
        </w:trPr>
        <w:tc>
          <w:tcPr>
            <w:tcW w:w="4876" w:type="dxa"/>
            <w:tcBorders>
              <w:top w:val="nil"/>
              <w:left w:val="nil"/>
              <w:bottom w:val="nil"/>
              <w:right w:val="nil"/>
            </w:tcBorders>
            <w:hideMark/>
          </w:tcPr>
          <w:p w14:paraId="4EF7AB2D"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0E6EC760" w14:textId="77777777" w:rsidR="008144C7" w:rsidRPr="00635D1D" w:rsidRDefault="008144C7" w:rsidP="00C5582D">
            <w:pPr>
              <w:pStyle w:val="Normal6a"/>
            </w:pPr>
            <w:r w:rsidRPr="00635D1D">
              <w:rPr>
                <w:b/>
                <w:i/>
              </w:rPr>
              <w:t>_________________</w:t>
            </w:r>
          </w:p>
        </w:tc>
      </w:tr>
      <w:tr w:rsidR="008144C7" w:rsidRPr="00635D1D" w14:paraId="0A21E498" w14:textId="77777777" w:rsidTr="00C5582D">
        <w:trPr>
          <w:jc w:val="center"/>
        </w:trPr>
        <w:tc>
          <w:tcPr>
            <w:tcW w:w="4876" w:type="dxa"/>
            <w:tcBorders>
              <w:top w:val="nil"/>
              <w:left w:val="nil"/>
              <w:bottom w:val="nil"/>
              <w:right w:val="nil"/>
            </w:tcBorders>
            <w:hideMark/>
          </w:tcPr>
          <w:p w14:paraId="103A29F3" w14:textId="77777777" w:rsidR="008144C7" w:rsidRPr="00635D1D" w:rsidRDefault="008144C7" w:rsidP="00C5582D">
            <w:pPr>
              <w:pStyle w:val="Normal6a"/>
            </w:pPr>
            <w:r w:rsidRPr="00635D1D">
              <w:rPr>
                <w:vertAlign w:val="superscript"/>
              </w:rPr>
              <w:t>6</w:t>
            </w:r>
            <w:r w:rsidRPr="00635D1D">
              <w:t xml:space="preserve"> Rozporządzenie Parlamentu Europejskiego i Rady (UE) 2024/2865 z dnia 23 października 2024 r. w sprawie zmiany rozporządzenia (WE) nr 1272/2008 w sprawie klasyfikacji, oznakowania i pakowania substancji i mieszanin (Dz.U. L, 2024/2865, 20.11.2024, ELI: http://data.europa.eu/eli/reg/2024/2865/oj).</w:t>
            </w:r>
          </w:p>
        </w:tc>
        <w:tc>
          <w:tcPr>
            <w:tcW w:w="4876" w:type="dxa"/>
            <w:tcBorders>
              <w:top w:val="nil"/>
              <w:left w:val="nil"/>
              <w:bottom w:val="nil"/>
              <w:right w:val="nil"/>
            </w:tcBorders>
            <w:hideMark/>
          </w:tcPr>
          <w:p w14:paraId="2267FB56" w14:textId="77777777" w:rsidR="008144C7" w:rsidRPr="00635D1D" w:rsidRDefault="008144C7" w:rsidP="00C5582D">
            <w:pPr>
              <w:pStyle w:val="Normal6a"/>
            </w:pPr>
            <w:r w:rsidRPr="00635D1D">
              <w:rPr>
                <w:vertAlign w:val="superscript"/>
              </w:rPr>
              <w:t>6</w:t>
            </w:r>
            <w:r w:rsidRPr="00635D1D">
              <w:t xml:space="preserve"> Rozporządzenie Parlamentu Europejskiego i Rady (UE) 2024/2865 z dnia 23 października 2024 r. w sprawie zmiany rozporządzenia (WE) nr 1272/2008 w sprawie klasyfikacji, oznakowania i pakowania substancji i mieszanin (Dz.U. L, 2024/2865, 20.11.2024, ELI: http://data.europa.eu/eli/reg/2024/2865/oj).</w:t>
            </w:r>
          </w:p>
        </w:tc>
      </w:tr>
    </w:tbl>
    <w:p w14:paraId="514B403C"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4EEC0D4C" w14:textId="77777777" w:rsidR="008144C7" w:rsidRPr="00AD15CF" w:rsidRDefault="008144C7" w:rsidP="008144C7">
      <w:pPr>
        <w:rPr>
          <w:lang w:val="en-GB"/>
        </w:rPr>
      </w:pPr>
      <w:r w:rsidRPr="00AD15CF">
        <w:rPr>
          <w:rStyle w:val="HideTWBExt"/>
          <w:lang w:val="en-GB"/>
        </w:rPr>
        <w:t>&lt;/Amend&gt;</w:t>
      </w:r>
    </w:p>
    <w:p w14:paraId="3FAB45F4"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120</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28A781C6"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Pietro Fiocchi, Antonella </w:t>
      </w:r>
      <w:proofErr w:type="spellStart"/>
      <w:r w:rsidRPr="00AD15CF">
        <w:rPr>
          <w:lang w:val="en-GB"/>
        </w:rPr>
        <w:t>Sberna</w:t>
      </w:r>
      <w:proofErr w:type="spellEnd"/>
      <w:r w:rsidRPr="00AD15CF">
        <w:rPr>
          <w:rStyle w:val="HideTWBExt"/>
          <w:b w:val="0"/>
          <w:lang w:val="en-GB"/>
        </w:rPr>
        <w:t>&lt;/Members&gt;</w:t>
      </w:r>
    </w:p>
    <w:p w14:paraId="3D2A647E" w14:textId="77777777" w:rsidR="008144C7" w:rsidRPr="00635D1D" w:rsidRDefault="008144C7" w:rsidP="008144C7">
      <w:pPr>
        <w:pStyle w:val="NormalBold"/>
      </w:pPr>
      <w:r w:rsidRPr="00635D1D">
        <w:rPr>
          <w:rStyle w:val="HideTWBExt"/>
          <w:b w:val="0"/>
        </w:rPr>
        <w:t>&lt;/RepeatBlock-By&gt;</w:t>
      </w:r>
    </w:p>
    <w:p w14:paraId="1E5E0E44"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9560E0A" w14:textId="77777777" w:rsidR="008144C7" w:rsidRPr="00635D1D" w:rsidRDefault="008144C7" w:rsidP="008144C7">
      <w:pPr>
        <w:pStyle w:val="NormalBold"/>
      </w:pPr>
      <w:r w:rsidRPr="00635D1D">
        <w:rPr>
          <w:rStyle w:val="HideTWBExt"/>
          <w:b w:val="0"/>
        </w:rPr>
        <w:t>&lt;Article&gt;</w:t>
      </w:r>
      <w:r w:rsidRPr="00635D1D">
        <w:t>Motyw 5</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93F8E04" w14:textId="77777777" w:rsidTr="00C5582D">
        <w:trPr>
          <w:trHeight w:val="240"/>
          <w:jc w:val="center"/>
        </w:trPr>
        <w:tc>
          <w:tcPr>
            <w:tcW w:w="9752" w:type="dxa"/>
            <w:gridSpan w:val="2"/>
            <w:tcBorders>
              <w:top w:val="nil"/>
              <w:left w:val="nil"/>
              <w:bottom w:val="nil"/>
              <w:right w:val="nil"/>
            </w:tcBorders>
          </w:tcPr>
          <w:p w14:paraId="1565461D" w14:textId="77777777" w:rsidR="008144C7" w:rsidRPr="00635D1D" w:rsidRDefault="008144C7" w:rsidP="00C5582D"/>
        </w:tc>
      </w:tr>
      <w:tr w:rsidR="008144C7" w:rsidRPr="00635D1D" w14:paraId="20CD9BCD" w14:textId="77777777" w:rsidTr="00C5582D">
        <w:trPr>
          <w:trHeight w:val="240"/>
          <w:jc w:val="center"/>
        </w:trPr>
        <w:tc>
          <w:tcPr>
            <w:tcW w:w="4876" w:type="dxa"/>
            <w:tcBorders>
              <w:top w:val="nil"/>
              <w:left w:val="nil"/>
              <w:bottom w:val="nil"/>
              <w:right w:val="nil"/>
            </w:tcBorders>
            <w:hideMark/>
          </w:tcPr>
          <w:p w14:paraId="4638143B"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06D0109" w14:textId="77777777" w:rsidR="008144C7" w:rsidRPr="00635D1D" w:rsidRDefault="008144C7" w:rsidP="00C5582D">
            <w:pPr>
              <w:pStyle w:val="AmColumnHeading"/>
            </w:pPr>
            <w:r w:rsidRPr="00635D1D">
              <w:t>Poprawka</w:t>
            </w:r>
          </w:p>
        </w:tc>
      </w:tr>
      <w:tr w:rsidR="008144C7" w:rsidRPr="00635D1D" w14:paraId="1AA235AC" w14:textId="77777777" w:rsidTr="00C5582D">
        <w:trPr>
          <w:jc w:val="center"/>
        </w:trPr>
        <w:tc>
          <w:tcPr>
            <w:tcW w:w="4876" w:type="dxa"/>
            <w:tcBorders>
              <w:top w:val="nil"/>
              <w:left w:val="nil"/>
              <w:bottom w:val="nil"/>
              <w:right w:val="nil"/>
            </w:tcBorders>
            <w:hideMark/>
          </w:tcPr>
          <w:p w14:paraId="0ADEBFBF" w14:textId="77777777" w:rsidR="008144C7" w:rsidRPr="00635D1D" w:rsidRDefault="008144C7" w:rsidP="00C5582D">
            <w:pPr>
              <w:pStyle w:val="Normal6a"/>
            </w:pPr>
            <w:r w:rsidRPr="00635D1D">
              <w:t>(5)</w:t>
            </w:r>
            <w:r w:rsidRPr="00635D1D">
              <w:tab/>
              <w:t>Rozporządzeniem Parlamentu Europejskiego i Rady (UE) 2024/2865</w:t>
            </w:r>
            <w:r w:rsidRPr="00635D1D">
              <w:rPr>
                <w:vertAlign w:val="superscript"/>
              </w:rPr>
              <w:t>6</w:t>
            </w:r>
            <w:r w:rsidRPr="00635D1D">
              <w:t xml:space="preserve"> wprowadzono zwolnienia z wymogów dotyczących etykietowania i pakowania w odniesieniu do opakowań o pojemności poniżej 10 ml. </w:t>
            </w:r>
            <w:r w:rsidRPr="00635D1D">
              <w:rPr>
                <w:b/>
                <w:i/>
              </w:rPr>
              <w:t>Konieczne są</w:t>
            </w:r>
            <w:r w:rsidRPr="00635D1D">
              <w:t xml:space="preserve"> jednak </w:t>
            </w:r>
            <w:r w:rsidRPr="00635D1D">
              <w:rPr>
                <w:b/>
                <w:i/>
              </w:rPr>
              <w:t>dalsze uproszczenia w odniesieniu do stosowania tego odstępstwa</w:t>
            </w:r>
            <w:r w:rsidRPr="00635D1D">
              <w:t xml:space="preserve"> w przypadkach, gdy opakowania </w:t>
            </w:r>
            <w:r w:rsidRPr="00635D1D">
              <w:rPr>
                <w:b/>
                <w:i/>
              </w:rPr>
              <w:t>te</w:t>
            </w:r>
            <w:r w:rsidRPr="00635D1D">
              <w:t xml:space="preserve"> są oznakowane uzupełniającym zwrotem wskazującym rodzaj zagrożenia EUH 208. Należy również doprecyzować wymogi dotyczące opakowań wewnętrznych i zewnętrznych w przypadkach, w których stosuje się odstępstwo dla opakowań o pojemności 10 ml.</w:t>
            </w:r>
          </w:p>
        </w:tc>
        <w:tc>
          <w:tcPr>
            <w:tcW w:w="4876" w:type="dxa"/>
            <w:tcBorders>
              <w:top w:val="nil"/>
              <w:left w:val="nil"/>
              <w:bottom w:val="nil"/>
              <w:right w:val="nil"/>
            </w:tcBorders>
            <w:hideMark/>
          </w:tcPr>
          <w:p w14:paraId="1E6EC5AD" w14:textId="77777777" w:rsidR="008144C7" w:rsidRPr="00635D1D" w:rsidRDefault="008144C7" w:rsidP="00C5582D">
            <w:pPr>
              <w:pStyle w:val="Normal6a"/>
            </w:pPr>
            <w:r w:rsidRPr="00635D1D">
              <w:t>(5)</w:t>
            </w:r>
            <w:r w:rsidRPr="00635D1D">
              <w:tab/>
              <w:t>Rozporządzeniem Parlamentu Europejskiego i Rady (UE) 2024/2865</w:t>
            </w:r>
            <w:r w:rsidRPr="00635D1D">
              <w:rPr>
                <w:vertAlign w:val="superscript"/>
              </w:rPr>
              <w:t>6</w:t>
            </w:r>
            <w:r w:rsidRPr="00635D1D">
              <w:t xml:space="preserve"> wprowadzono zwolnienia z wymogów dotyczących etykietowania i pakowania w odniesieniu do opakowań o pojemności poniżej 10 ml. </w:t>
            </w:r>
            <w:r w:rsidRPr="00635D1D">
              <w:rPr>
                <w:b/>
                <w:i/>
              </w:rPr>
              <w:t>Należy</w:t>
            </w:r>
            <w:r w:rsidRPr="00635D1D">
              <w:t xml:space="preserve"> jednak </w:t>
            </w:r>
            <w:r w:rsidRPr="00635D1D">
              <w:rPr>
                <w:b/>
                <w:i/>
              </w:rPr>
              <w:t xml:space="preserve">rozszerzyć zakres tych </w:t>
            </w:r>
            <w:proofErr w:type="spellStart"/>
            <w:r w:rsidRPr="00635D1D">
              <w:rPr>
                <w:b/>
                <w:i/>
              </w:rPr>
              <w:t>wyłączeń</w:t>
            </w:r>
            <w:proofErr w:type="spellEnd"/>
            <w:r w:rsidRPr="00635D1D">
              <w:rPr>
                <w:b/>
                <w:i/>
              </w:rPr>
              <w:t xml:space="preserve"> na opakowania o pojemności do 75 ml oraz jeszcze bardziej uprościć ich stosowanie</w:t>
            </w:r>
            <w:r w:rsidRPr="00635D1D">
              <w:t xml:space="preserve"> w przypadkach, gdy </w:t>
            </w:r>
            <w:r w:rsidRPr="00635D1D">
              <w:rPr>
                <w:b/>
                <w:i/>
              </w:rPr>
              <w:t>takie</w:t>
            </w:r>
            <w:r w:rsidRPr="00635D1D">
              <w:t xml:space="preserve"> opakowania są oznakowane uzupełniającym zwrotem wskazującym rodzaj zagrożenia EUH 208. Należy również doprecyzować </w:t>
            </w:r>
            <w:r w:rsidRPr="00635D1D">
              <w:rPr>
                <w:b/>
                <w:i/>
              </w:rPr>
              <w:t>mające zastosowanie</w:t>
            </w:r>
            <w:r w:rsidRPr="00635D1D">
              <w:t xml:space="preserve"> wymogi dotyczące opakowań wewnętrznych i zewnętrznych w przypadkach, w których stosuje się odstępstwo dla opakowań o pojemności </w:t>
            </w:r>
            <w:r w:rsidRPr="00635D1D">
              <w:rPr>
                <w:b/>
                <w:i/>
              </w:rPr>
              <w:t>mniejszej niż</w:t>
            </w:r>
            <w:r w:rsidRPr="00635D1D">
              <w:t xml:space="preserve"> 10 ml.</w:t>
            </w:r>
          </w:p>
        </w:tc>
      </w:tr>
      <w:tr w:rsidR="008144C7" w:rsidRPr="00635D1D" w14:paraId="5C9435FB" w14:textId="77777777" w:rsidTr="00C5582D">
        <w:trPr>
          <w:jc w:val="center"/>
        </w:trPr>
        <w:tc>
          <w:tcPr>
            <w:tcW w:w="4876" w:type="dxa"/>
            <w:tcBorders>
              <w:top w:val="nil"/>
              <w:left w:val="nil"/>
              <w:bottom w:val="nil"/>
              <w:right w:val="nil"/>
            </w:tcBorders>
            <w:hideMark/>
          </w:tcPr>
          <w:p w14:paraId="5BF1C752"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65788BB3" w14:textId="77777777" w:rsidR="008144C7" w:rsidRPr="00635D1D" w:rsidRDefault="008144C7" w:rsidP="00C5582D">
            <w:pPr>
              <w:pStyle w:val="Normal6a"/>
            </w:pPr>
            <w:r w:rsidRPr="00635D1D">
              <w:rPr>
                <w:b/>
                <w:i/>
              </w:rPr>
              <w:t>_________________</w:t>
            </w:r>
          </w:p>
        </w:tc>
      </w:tr>
      <w:tr w:rsidR="008144C7" w:rsidRPr="00635D1D" w14:paraId="348FD250" w14:textId="77777777" w:rsidTr="00C5582D">
        <w:trPr>
          <w:jc w:val="center"/>
        </w:trPr>
        <w:tc>
          <w:tcPr>
            <w:tcW w:w="4876" w:type="dxa"/>
            <w:tcBorders>
              <w:top w:val="nil"/>
              <w:left w:val="nil"/>
              <w:bottom w:val="nil"/>
              <w:right w:val="nil"/>
            </w:tcBorders>
            <w:hideMark/>
          </w:tcPr>
          <w:p w14:paraId="3CE7C3DD" w14:textId="77777777" w:rsidR="008144C7" w:rsidRPr="00635D1D" w:rsidRDefault="008144C7" w:rsidP="00C5582D">
            <w:pPr>
              <w:pStyle w:val="Normal6a"/>
            </w:pPr>
            <w:r w:rsidRPr="00635D1D">
              <w:rPr>
                <w:vertAlign w:val="superscript"/>
              </w:rPr>
              <w:t>6</w:t>
            </w:r>
            <w:r w:rsidRPr="00635D1D">
              <w:t xml:space="preserve"> Rozporządzenie Parlamentu Europejskiego i Rady (UE) 2024/2865 z dnia 23 października 2024 r. w sprawie zmiany rozporządzenia (WE) nr 1272/2008 w sprawie klasyfikacji, oznakowania i pakowania substancji i mieszanin (Dz.U. L, 2024/2865, 20.11.2024, ELI: http://data.europa.eu/eli/reg/2024/2865/oj).</w:t>
            </w:r>
          </w:p>
        </w:tc>
        <w:tc>
          <w:tcPr>
            <w:tcW w:w="4876" w:type="dxa"/>
            <w:tcBorders>
              <w:top w:val="nil"/>
              <w:left w:val="nil"/>
              <w:bottom w:val="nil"/>
              <w:right w:val="nil"/>
            </w:tcBorders>
            <w:hideMark/>
          </w:tcPr>
          <w:p w14:paraId="2251BB6C" w14:textId="77777777" w:rsidR="008144C7" w:rsidRPr="00635D1D" w:rsidRDefault="008144C7" w:rsidP="00C5582D">
            <w:pPr>
              <w:pStyle w:val="Normal6a"/>
            </w:pPr>
            <w:r w:rsidRPr="00635D1D">
              <w:rPr>
                <w:vertAlign w:val="superscript"/>
              </w:rPr>
              <w:t>6</w:t>
            </w:r>
            <w:r w:rsidRPr="00635D1D">
              <w:t xml:space="preserve"> Rozporządzenie Parlamentu Europejskiego i Rady (UE) 2024/2865 z dnia 23 października 2024 r. w sprawie zmiany rozporządzenia (WE) nr 1272/2008 w sprawie klasyfikacji, oznakowania i pakowania substancji i mieszanin (Dz.U. L, 2024/2865, 20.11.2024, ELI: http://data.europa.eu/eli/reg/2024/2865/oj).</w:t>
            </w:r>
          </w:p>
        </w:tc>
      </w:tr>
    </w:tbl>
    <w:p w14:paraId="0C8403C2"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3F90E1E6"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343705C7" w14:textId="77777777" w:rsidR="008144C7" w:rsidRPr="00635D1D" w:rsidRDefault="008144C7" w:rsidP="008144C7">
      <w:pPr>
        <w:pStyle w:val="AmJustText"/>
      </w:pPr>
      <w:r w:rsidRPr="00635D1D">
        <w:t>Poprawka zapewnia zgodność z proponowanymi zmianami w art. 29 ust. 2 rozporządzenia (WE) nr 1272/2008 przez wprowadzenie szczegółowego przepisu dotyczącego opakowań o pojemności do 75 ml, przy dopuszczeniu ograniczenia elementów etykiety zgodnie z sekcją 1.5.2.4 załącznika I. Zwiększa to proporcjonalność i praktyczność w przypadku małych opakowań, które mają ograniczoną przestrzeń, a jednocześnie utrzymuje wysoki poziom bezpieczeństwa i zgodności regulacyjnej.</w:t>
      </w:r>
    </w:p>
    <w:p w14:paraId="3DE5793C" w14:textId="77777777" w:rsidR="008144C7" w:rsidRPr="00635D1D" w:rsidRDefault="008144C7" w:rsidP="008144C7">
      <w:r w:rsidRPr="00635D1D">
        <w:rPr>
          <w:rStyle w:val="HideTWBExt"/>
        </w:rPr>
        <w:t>&lt;/Amend&gt;</w:t>
      </w:r>
    </w:p>
    <w:p w14:paraId="0578DC3F"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121</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08A60DBE" w14:textId="77777777" w:rsidR="008144C7" w:rsidRPr="00635D1D" w:rsidRDefault="008144C7" w:rsidP="008144C7">
      <w:pPr>
        <w:pStyle w:val="NormalBold"/>
      </w:pPr>
      <w:r w:rsidRPr="00635D1D">
        <w:rPr>
          <w:rStyle w:val="HideTWBExt"/>
          <w:b w:val="0"/>
        </w:rPr>
        <w:t>&lt;RepeatBlock-By&gt;&lt;Members&gt;</w:t>
      </w:r>
      <w:proofErr w:type="spellStart"/>
      <w:r w:rsidRPr="00635D1D">
        <w:t>Silvia</w:t>
      </w:r>
      <w:proofErr w:type="spellEnd"/>
      <w:r w:rsidRPr="00635D1D">
        <w:t xml:space="preserve"> </w:t>
      </w:r>
      <w:proofErr w:type="spellStart"/>
      <w:r w:rsidRPr="00635D1D">
        <w:t>Sardone</w:t>
      </w:r>
      <w:proofErr w:type="spellEnd"/>
      <w:r w:rsidRPr="00635D1D">
        <w:t xml:space="preserve">, </w:t>
      </w:r>
      <w:proofErr w:type="spellStart"/>
      <w:r w:rsidRPr="00635D1D">
        <w:t>Ondřej</w:t>
      </w:r>
      <w:proofErr w:type="spellEnd"/>
      <w:r w:rsidRPr="00635D1D">
        <w:t xml:space="preserve"> Knotek, Jana </w:t>
      </w:r>
      <w:proofErr w:type="spellStart"/>
      <w:r w:rsidRPr="00635D1D">
        <w:t>Nagyová</w:t>
      </w:r>
      <w:proofErr w:type="spellEnd"/>
      <w:r w:rsidRPr="00635D1D">
        <w:t xml:space="preserve">, Roberto </w:t>
      </w:r>
      <w:proofErr w:type="spellStart"/>
      <w:r w:rsidRPr="00635D1D">
        <w:t>Vannacci</w:t>
      </w:r>
      <w:proofErr w:type="spellEnd"/>
      <w:r w:rsidRPr="00635D1D">
        <w:t xml:space="preserve">, </w:t>
      </w:r>
      <w:proofErr w:type="spellStart"/>
      <w:r w:rsidRPr="00635D1D">
        <w:t>Anne-Sophie</w:t>
      </w:r>
      <w:proofErr w:type="spellEnd"/>
      <w:r w:rsidRPr="00635D1D">
        <w:t xml:space="preserve"> </w:t>
      </w:r>
      <w:proofErr w:type="spellStart"/>
      <w:r w:rsidRPr="00635D1D">
        <w:t>Frigout</w:t>
      </w:r>
      <w:proofErr w:type="spellEnd"/>
      <w:r w:rsidRPr="00635D1D">
        <w:t xml:space="preserve">, </w:t>
      </w:r>
      <w:proofErr w:type="spellStart"/>
      <w:r w:rsidRPr="00635D1D">
        <w:t>Mathilde</w:t>
      </w:r>
      <w:proofErr w:type="spellEnd"/>
      <w:r w:rsidRPr="00635D1D">
        <w:t xml:space="preserve"> </w:t>
      </w:r>
      <w:proofErr w:type="spellStart"/>
      <w:r w:rsidRPr="00635D1D">
        <w:t>Androuët</w:t>
      </w:r>
      <w:proofErr w:type="spellEnd"/>
      <w:r w:rsidRPr="00635D1D">
        <w:t xml:space="preserve">, </w:t>
      </w:r>
      <w:proofErr w:type="spellStart"/>
      <w:r w:rsidRPr="00635D1D">
        <w:t>Valérie</w:t>
      </w:r>
      <w:proofErr w:type="spellEnd"/>
      <w:r w:rsidRPr="00635D1D">
        <w:t xml:space="preserve"> </w:t>
      </w:r>
      <w:proofErr w:type="spellStart"/>
      <w:r w:rsidRPr="00635D1D">
        <w:t>Deloge</w:t>
      </w:r>
      <w:proofErr w:type="spellEnd"/>
      <w:r w:rsidRPr="00635D1D">
        <w:rPr>
          <w:rStyle w:val="HideTWBExt"/>
          <w:b w:val="0"/>
        </w:rPr>
        <w:t>&lt;/Members&gt;</w:t>
      </w:r>
    </w:p>
    <w:p w14:paraId="6569F5FB" w14:textId="77777777" w:rsidR="008144C7" w:rsidRPr="00635D1D" w:rsidRDefault="008144C7" w:rsidP="008144C7">
      <w:pPr>
        <w:pStyle w:val="NormalBold"/>
      </w:pPr>
      <w:r w:rsidRPr="00635D1D">
        <w:rPr>
          <w:rStyle w:val="HideTWBExt"/>
          <w:b w:val="0"/>
        </w:rPr>
        <w:t>&lt;/RepeatBlock-By&gt;</w:t>
      </w:r>
    </w:p>
    <w:p w14:paraId="2D0E94B9"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36C3E52" w14:textId="77777777" w:rsidR="008144C7" w:rsidRPr="00635D1D" w:rsidRDefault="008144C7" w:rsidP="008144C7">
      <w:pPr>
        <w:pStyle w:val="NormalBold"/>
      </w:pPr>
      <w:r w:rsidRPr="00635D1D">
        <w:rPr>
          <w:rStyle w:val="HideTWBExt"/>
          <w:b w:val="0"/>
        </w:rPr>
        <w:t>&lt;Article&gt;</w:t>
      </w:r>
      <w:r w:rsidRPr="00635D1D">
        <w:t>Motyw 5</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9584161" w14:textId="77777777" w:rsidTr="00C5582D">
        <w:trPr>
          <w:trHeight w:val="240"/>
          <w:jc w:val="center"/>
        </w:trPr>
        <w:tc>
          <w:tcPr>
            <w:tcW w:w="9752" w:type="dxa"/>
            <w:gridSpan w:val="2"/>
            <w:tcBorders>
              <w:top w:val="nil"/>
              <w:left w:val="nil"/>
              <w:bottom w:val="nil"/>
              <w:right w:val="nil"/>
            </w:tcBorders>
          </w:tcPr>
          <w:p w14:paraId="0A9FA3B6" w14:textId="77777777" w:rsidR="008144C7" w:rsidRPr="00635D1D" w:rsidRDefault="008144C7" w:rsidP="00C5582D"/>
        </w:tc>
      </w:tr>
      <w:tr w:rsidR="008144C7" w:rsidRPr="00635D1D" w14:paraId="1AEB1BFE" w14:textId="77777777" w:rsidTr="00C5582D">
        <w:trPr>
          <w:trHeight w:val="240"/>
          <w:jc w:val="center"/>
        </w:trPr>
        <w:tc>
          <w:tcPr>
            <w:tcW w:w="4876" w:type="dxa"/>
            <w:tcBorders>
              <w:top w:val="nil"/>
              <w:left w:val="nil"/>
              <w:bottom w:val="nil"/>
              <w:right w:val="nil"/>
            </w:tcBorders>
            <w:hideMark/>
          </w:tcPr>
          <w:p w14:paraId="39D0EBEC"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EF793BA" w14:textId="77777777" w:rsidR="008144C7" w:rsidRPr="00635D1D" w:rsidRDefault="008144C7" w:rsidP="00C5582D">
            <w:pPr>
              <w:pStyle w:val="AmColumnHeading"/>
            </w:pPr>
            <w:r w:rsidRPr="00635D1D">
              <w:t>Poprawka</w:t>
            </w:r>
          </w:p>
        </w:tc>
      </w:tr>
      <w:tr w:rsidR="008144C7" w:rsidRPr="00635D1D" w14:paraId="6E0B69AF" w14:textId="77777777" w:rsidTr="00C5582D">
        <w:trPr>
          <w:jc w:val="center"/>
        </w:trPr>
        <w:tc>
          <w:tcPr>
            <w:tcW w:w="4876" w:type="dxa"/>
            <w:tcBorders>
              <w:top w:val="nil"/>
              <w:left w:val="nil"/>
              <w:bottom w:val="nil"/>
              <w:right w:val="nil"/>
            </w:tcBorders>
            <w:hideMark/>
          </w:tcPr>
          <w:p w14:paraId="489D9572" w14:textId="77777777" w:rsidR="008144C7" w:rsidRPr="00635D1D" w:rsidRDefault="008144C7" w:rsidP="00C5582D">
            <w:pPr>
              <w:pStyle w:val="Normal6a"/>
            </w:pPr>
            <w:r w:rsidRPr="00635D1D">
              <w:t>(5)</w:t>
            </w:r>
            <w:r w:rsidRPr="00635D1D">
              <w:tab/>
              <w:t>Rozporządzeniem Parlamentu Europejskiego i Rady (UE) 2024/2865</w:t>
            </w:r>
            <w:r w:rsidRPr="00635D1D">
              <w:rPr>
                <w:vertAlign w:val="superscript"/>
              </w:rPr>
              <w:t>6</w:t>
            </w:r>
            <w:r w:rsidRPr="00635D1D">
              <w:t xml:space="preserve"> wprowadzono zwolnienia z wymogów dotyczących etykietowania i pakowania w odniesieniu do opakowań o pojemności poniżej 10 ml. </w:t>
            </w:r>
            <w:r w:rsidRPr="00635D1D">
              <w:rPr>
                <w:b/>
                <w:i/>
              </w:rPr>
              <w:t>Konieczne są</w:t>
            </w:r>
            <w:r w:rsidRPr="00635D1D">
              <w:t xml:space="preserve"> jednak dalsze uproszczenia w odniesieniu do stosowania tego odstępstwa w przypadkach, gdy opakowania te są oznakowane uzupełniającym zwrotem wskazującym rodzaj zagrożenia EUH 208. Należy również doprecyzować wymogi dotyczące opakowań wewnętrznych i zewnętrznych w przypadkach, w których stosuje się odstępstwo dla opakowań o pojemności </w:t>
            </w:r>
            <w:r w:rsidRPr="00635D1D">
              <w:rPr>
                <w:b/>
                <w:i/>
              </w:rPr>
              <w:t>10</w:t>
            </w:r>
            <w:r w:rsidRPr="00635D1D">
              <w:t> ml.</w:t>
            </w:r>
          </w:p>
        </w:tc>
        <w:tc>
          <w:tcPr>
            <w:tcW w:w="4876" w:type="dxa"/>
            <w:tcBorders>
              <w:top w:val="nil"/>
              <w:left w:val="nil"/>
              <w:bottom w:val="nil"/>
              <w:right w:val="nil"/>
            </w:tcBorders>
            <w:hideMark/>
          </w:tcPr>
          <w:p w14:paraId="607B1CC4" w14:textId="77777777" w:rsidR="008144C7" w:rsidRPr="00635D1D" w:rsidRDefault="008144C7" w:rsidP="00C5582D">
            <w:pPr>
              <w:pStyle w:val="Normal6a"/>
            </w:pPr>
            <w:r w:rsidRPr="00635D1D">
              <w:t>(5)</w:t>
            </w:r>
            <w:r w:rsidRPr="00635D1D">
              <w:tab/>
              <w:t>Rozporządzeniem Parlamentu Europejskiego i Rady (UE) 2024/2865</w:t>
            </w:r>
            <w:r w:rsidRPr="00635D1D">
              <w:rPr>
                <w:vertAlign w:val="superscript"/>
              </w:rPr>
              <w:t>6</w:t>
            </w:r>
            <w:r w:rsidRPr="00635D1D">
              <w:t xml:space="preserve"> wprowadzono zwolnienia z wymogów dotyczących etykietowania i pakowania w odniesieniu do opakowań o pojemności poniżej 10 ml. </w:t>
            </w:r>
            <w:r w:rsidRPr="00635D1D">
              <w:rPr>
                <w:b/>
                <w:i/>
              </w:rPr>
              <w:t>Należy</w:t>
            </w:r>
            <w:r w:rsidRPr="00635D1D">
              <w:t xml:space="preserve"> jednak </w:t>
            </w:r>
            <w:r w:rsidRPr="00635D1D">
              <w:rPr>
                <w:b/>
                <w:i/>
              </w:rPr>
              <w:t>dalej rozszerzyć zakres na opakowania o pojemności nieprzekraczającej 100 ml oraz wprowadzić</w:t>
            </w:r>
            <w:r w:rsidRPr="00635D1D">
              <w:t xml:space="preserve"> dalsze uproszczenia w odniesieniu do stosowania tego odstępstwa w przypadkach, gdy opakowania te są oznakowane uzupełniającym zwrotem wskazującym rodzaj zagrożenia EUH 208. Należy również doprecyzować wymogi dotyczące opakowań wewnętrznych i zewnętrznych w przypadkach, w których stosuje się odstępstwo dla opakowań o pojemności </w:t>
            </w:r>
            <w:r w:rsidRPr="00635D1D">
              <w:rPr>
                <w:b/>
                <w:i/>
              </w:rPr>
              <w:t>100</w:t>
            </w:r>
            <w:r w:rsidRPr="00635D1D">
              <w:t> ml.</w:t>
            </w:r>
          </w:p>
        </w:tc>
      </w:tr>
      <w:tr w:rsidR="008144C7" w:rsidRPr="00635D1D" w14:paraId="7BE33962" w14:textId="77777777" w:rsidTr="00C5582D">
        <w:trPr>
          <w:jc w:val="center"/>
        </w:trPr>
        <w:tc>
          <w:tcPr>
            <w:tcW w:w="4876" w:type="dxa"/>
            <w:tcBorders>
              <w:top w:val="nil"/>
              <w:left w:val="nil"/>
              <w:bottom w:val="nil"/>
              <w:right w:val="nil"/>
            </w:tcBorders>
            <w:hideMark/>
          </w:tcPr>
          <w:p w14:paraId="46E260A6"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75A2A6BB" w14:textId="77777777" w:rsidR="008144C7" w:rsidRPr="00635D1D" w:rsidRDefault="008144C7" w:rsidP="00C5582D">
            <w:pPr>
              <w:pStyle w:val="Normal6a"/>
            </w:pPr>
            <w:r w:rsidRPr="00635D1D">
              <w:rPr>
                <w:b/>
                <w:i/>
              </w:rPr>
              <w:t>_________________</w:t>
            </w:r>
          </w:p>
        </w:tc>
      </w:tr>
      <w:tr w:rsidR="008144C7" w:rsidRPr="00635D1D" w14:paraId="1B56138D" w14:textId="77777777" w:rsidTr="00C5582D">
        <w:trPr>
          <w:jc w:val="center"/>
        </w:trPr>
        <w:tc>
          <w:tcPr>
            <w:tcW w:w="4876" w:type="dxa"/>
            <w:tcBorders>
              <w:top w:val="nil"/>
              <w:left w:val="nil"/>
              <w:bottom w:val="nil"/>
              <w:right w:val="nil"/>
            </w:tcBorders>
            <w:hideMark/>
          </w:tcPr>
          <w:p w14:paraId="571D62B4" w14:textId="77777777" w:rsidR="008144C7" w:rsidRPr="00635D1D" w:rsidRDefault="008144C7" w:rsidP="00C5582D">
            <w:pPr>
              <w:pStyle w:val="Normal6a"/>
            </w:pPr>
            <w:r w:rsidRPr="00635D1D">
              <w:rPr>
                <w:vertAlign w:val="superscript"/>
              </w:rPr>
              <w:t>6</w:t>
            </w:r>
            <w:r w:rsidRPr="00635D1D">
              <w:t xml:space="preserve"> Rozporządzenie Parlamentu Europejskiego i Rady (UE) 2024/2865 z dnia 23 października 2024 r. w sprawie zmiany rozporządzenia (WE) nr 1272/2008 w sprawie klasyfikacji, oznakowania i pakowania substancji i mieszanin (Dz.U. L, 2024/2865, 20.11.2024, ELI: http://data.europa.eu/eli/reg/2024/2865/oj).</w:t>
            </w:r>
          </w:p>
        </w:tc>
        <w:tc>
          <w:tcPr>
            <w:tcW w:w="4876" w:type="dxa"/>
            <w:tcBorders>
              <w:top w:val="nil"/>
              <w:left w:val="nil"/>
              <w:bottom w:val="nil"/>
              <w:right w:val="nil"/>
            </w:tcBorders>
            <w:hideMark/>
          </w:tcPr>
          <w:p w14:paraId="1D608835" w14:textId="77777777" w:rsidR="008144C7" w:rsidRPr="00635D1D" w:rsidRDefault="008144C7" w:rsidP="00C5582D">
            <w:pPr>
              <w:pStyle w:val="Normal6a"/>
            </w:pPr>
            <w:r w:rsidRPr="00635D1D">
              <w:rPr>
                <w:vertAlign w:val="superscript"/>
              </w:rPr>
              <w:t>6</w:t>
            </w:r>
            <w:r w:rsidRPr="00635D1D">
              <w:t xml:space="preserve"> Rozporządzenie Parlamentu Europejskiego i Rady (UE) 2024/2865 z dnia 23 października 2024 r. w sprawie zmiany rozporządzenia (WE) nr 1272/2008 w sprawie klasyfikacji, oznakowania i pakowania substancji i mieszanin (Dz.U. L, 2024/2865, 20.11.2024, ELI: http://data.europa.eu/eli/reg/2024/2865/oj).</w:t>
            </w:r>
          </w:p>
        </w:tc>
      </w:tr>
    </w:tbl>
    <w:p w14:paraId="5038C7D6"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2D573EC0" w14:textId="77777777" w:rsidR="008144C7" w:rsidRPr="00AD15CF" w:rsidRDefault="008144C7" w:rsidP="008144C7">
      <w:pPr>
        <w:rPr>
          <w:lang w:val="en-GB"/>
        </w:rPr>
      </w:pPr>
      <w:r w:rsidRPr="00AD15CF">
        <w:rPr>
          <w:rStyle w:val="HideTWBExt"/>
          <w:lang w:val="en-GB"/>
        </w:rPr>
        <w:t>&lt;/Amend&gt;</w:t>
      </w:r>
    </w:p>
    <w:p w14:paraId="3915E081"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122</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17528FE7"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Aurelijus</w:t>
      </w:r>
      <w:proofErr w:type="spellEnd"/>
      <w:r w:rsidRPr="00AD15CF">
        <w:rPr>
          <w:lang w:val="en-GB"/>
        </w:rPr>
        <w:t xml:space="preserve"> </w:t>
      </w:r>
      <w:proofErr w:type="spellStart"/>
      <w:r w:rsidRPr="00AD15CF">
        <w:rPr>
          <w:lang w:val="en-GB"/>
        </w:rPr>
        <w:t>Veryga</w:t>
      </w:r>
      <w:proofErr w:type="spellEnd"/>
      <w:r w:rsidRPr="00AD15CF">
        <w:rPr>
          <w:rStyle w:val="HideTWBExt"/>
          <w:b w:val="0"/>
          <w:lang w:val="en-GB"/>
        </w:rPr>
        <w:t>&lt;/Members&gt;</w:t>
      </w:r>
    </w:p>
    <w:p w14:paraId="55675EFE" w14:textId="77777777" w:rsidR="008144C7" w:rsidRPr="00635D1D" w:rsidRDefault="008144C7" w:rsidP="008144C7">
      <w:pPr>
        <w:pStyle w:val="NormalBold"/>
      </w:pPr>
      <w:r w:rsidRPr="00635D1D">
        <w:rPr>
          <w:rStyle w:val="HideTWBExt"/>
          <w:b w:val="0"/>
        </w:rPr>
        <w:t>&lt;/RepeatBlock-By&gt;</w:t>
      </w:r>
    </w:p>
    <w:p w14:paraId="79B41A73"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D67A85D" w14:textId="77777777" w:rsidR="008144C7" w:rsidRPr="00635D1D" w:rsidRDefault="008144C7" w:rsidP="008144C7">
      <w:pPr>
        <w:pStyle w:val="NormalBold"/>
      </w:pPr>
      <w:r w:rsidRPr="00635D1D">
        <w:rPr>
          <w:rStyle w:val="HideTWBExt"/>
          <w:b w:val="0"/>
        </w:rPr>
        <w:t>&lt;Article&gt;</w:t>
      </w:r>
      <w:r w:rsidRPr="00635D1D">
        <w:t>Motyw 5</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E527026" w14:textId="77777777" w:rsidTr="00C5582D">
        <w:trPr>
          <w:trHeight w:val="240"/>
          <w:jc w:val="center"/>
        </w:trPr>
        <w:tc>
          <w:tcPr>
            <w:tcW w:w="9752" w:type="dxa"/>
            <w:gridSpan w:val="2"/>
            <w:tcBorders>
              <w:top w:val="nil"/>
              <w:left w:val="nil"/>
              <w:bottom w:val="nil"/>
              <w:right w:val="nil"/>
            </w:tcBorders>
          </w:tcPr>
          <w:p w14:paraId="5CB2B18E" w14:textId="77777777" w:rsidR="008144C7" w:rsidRPr="00635D1D" w:rsidRDefault="008144C7" w:rsidP="00C5582D"/>
        </w:tc>
      </w:tr>
      <w:tr w:rsidR="008144C7" w:rsidRPr="00635D1D" w14:paraId="2FC0C065" w14:textId="77777777" w:rsidTr="00C5582D">
        <w:trPr>
          <w:trHeight w:val="240"/>
          <w:jc w:val="center"/>
        </w:trPr>
        <w:tc>
          <w:tcPr>
            <w:tcW w:w="4876" w:type="dxa"/>
            <w:tcBorders>
              <w:top w:val="nil"/>
              <w:left w:val="nil"/>
              <w:bottom w:val="nil"/>
              <w:right w:val="nil"/>
            </w:tcBorders>
            <w:hideMark/>
          </w:tcPr>
          <w:p w14:paraId="4BA53A4B"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CBA3CF2" w14:textId="77777777" w:rsidR="008144C7" w:rsidRPr="00635D1D" w:rsidRDefault="008144C7" w:rsidP="00C5582D">
            <w:pPr>
              <w:pStyle w:val="AmColumnHeading"/>
            </w:pPr>
            <w:r w:rsidRPr="00635D1D">
              <w:t>Poprawka</w:t>
            </w:r>
          </w:p>
        </w:tc>
      </w:tr>
      <w:tr w:rsidR="008144C7" w:rsidRPr="00635D1D" w14:paraId="1516A472" w14:textId="77777777" w:rsidTr="00C5582D">
        <w:trPr>
          <w:jc w:val="center"/>
        </w:trPr>
        <w:tc>
          <w:tcPr>
            <w:tcW w:w="4876" w:type="dxa"/>
            <w:tcBorders>
              <w:top w:val="nil"/>
              <w:left w:val="nil"/>
              <w:bottom w:val="nil"/>
              <w:right w:val="nil"/>
            </w:tcBorders>
            <w:hideMark/>
          </w:tcPr>
          <w:p w14:paraId="10A1AA2D" w14:textId="77777777" w:rsidR="008144C7" w:rsidRPr="00635D1D" w:rsidRDefault="008144C7" w:rsidP="00C5582D">
            <w:pPr>
              <w:pStyle w:val="Normal6a"/>
            </w:pPr>
            <w:r w:rsidRPr="00635D1D">
              <w:t>(5)</w:t>
            </w:r>
            <w:r w:rsidRPr="00635D1D">
              <w:tab/>
              <w:t>Rozporządzeniem Parlamentu Europejskiego i Rady (UE) 2024/2865</w:t>
            </w:r>
            <w:r w:rsidRPr="00635D1D">
              <w:rPr>
                <w:b/>
                <w:i/>
                <w:vertAlign w:val="superscript"/>
              </w:rPr>
              <w:t>6</w:t>
            </w:r>
            <w:r w:rsidRPr="00635D1D">
              <w:t xml:space="preserve"> wprowadzono zwolnienia z wymogów dotyczących etykietowania i pakowania w odniesieniu do opakowań o pojemności poniżej 10 ml. </w:t>
            </w:r>
            <w:r w:rsidRPr="00635D1D">
              <w:rPr>
                <w:b/>
                <w:i/>
              </w:rPr>
              <w:t>Konieczne są</w:t>
            </w:r>
            <w:r w:rsidRPr="00635D1D">
              <w:t xml:space="preserve"> jednak dalsze uproszczenia w odniesieniu do stosowania tego odstępstwa w przypadkach, gdy opakowania te są oznakowane uzupełniającym zwrotem wskazującym rodzaj zagrożenia EUH 208. Należy również doprecyzować wymogi dotyczące opakowań wewnętrznych i zewnętrznych w przypadkach, w których stosuje się odstępstwo dla opakowań o pojemności </w:t>
            </w:r>
            <w:r w:rsidRPr="00635D1D">
              <w:rPr>
                <w:b/>
                <w:i/>
              </w:rPr>
              <w:t>10</w:t>
            </w:r>
            <w:r w:rsidRPr="00635D1D">
              <w:t> ml.</w:t>
            </w:r>
          </w:p>
        </w:tc>
        <w:tc>
          <w:tcPr>
            <w:tcW w:w="4876" w:type="dxa"/>
            <w:tcBorders>
              <w:top w:val="nil"/>
              <w:left w:val="nil"/>
              <w:bottom w:val="nil"/>
              <w:right w:val="nil"/>
            </w:tcBorders>
            <w:hideMark/>
          </w:tcPr>
          <w:p w14:paraId="250A3EC4" w14:textId="77777777" w:rsidR="008144C7" w:rsidRPr="00635D1D" w:rsidRDefault="008144C7" w:rsidP="00C5582D">
            <w:pPr>
              <w:pStyle w:val="Normal6a"/>
            </w:pPr>
            <w:r w:rsidRPr="00635D1D">
              <w:t>(5)</w:t>
            </w:r>
            <w:r w:rsidRPr="00635D1D">
              <w:tab/>
              <w:t xml:space="preserve">Rozporządzeniem Parlamentu Europejskiego i Rady (UE) 2024/28656 wprowadzono zwolnienia z wymogów dotyczących etykietowania i pakowania w odniesieniu do opakowań o pojemności poniżej 10 ml. </w:t>
            </w:r>
            <w:r w:rsidRPr="00635D1D">
              <w:rPr>
                <w:b/>
                <w:i/>
              </w:rPr>
              <w:t>Należy</w:t>
            </w:r>
            <w:r w:rsidRPr="00635D1D">
              <w:t xml:space="preserve"> jednak </w:t>
            </w:r>
            <w:r w:rsidRPr="00635D1D">
              <w:rPr>
                <w:b/>
                <w:i/>
              </w:rPr>
              <w:t>dalej rozszerzyć zakres na opakowania o pojemności 75 ml oraz wprowadzić</w:t>
            </w:r>
            <w:r w:rsidRPr="00635D1D">
              <w:t xml:space="preserve"> dalsze uproszczenia w odniesieniu do stosowania tego odstępstwa w przypadkach, gdy opakowania te są oznakowane uzupełniającym zwrotem wskazującym rodzaj zagrożenia EUH 208. Należy również doprecyzować wymogi dotyczące opakowań wewnętrznych i zewnętrznych w przypadkach, w których stosuje się odstępstwo dla opakowań o pojemności </w:t>
            </w:r>
            <w:r w:rsidRPr="00635D1D">
              <w:rPr>
                <w:b/>
                <w:i/>
              </w:rPr>
              <w:t>75</w:t>
            </w:r>
            <w:r w:rsidRPr="00635D1D">
              <w:t> ml.</w:t>
            </w:r>
          </w:p>
        </w:tc>
      </w:tr>
      <w:tr w:rsidR="008144C7" w:rsidRPr="00635D1D" w14:paraId="6C1D56D5" w14:textId="77777777" w:rsidTr="00C5582D">
        <w:trPr>
          <w:jc w:val="center"/>
        </w:trPr>
        <w:tc>
          <w:tcPr>
            <w:tcW w:w="4876" w:type="dxa"/>
            <w:tcBorders>
              <w:top w:val="nil"/>
              <w:left w:val="nil"/>
              <w:bottom w:val="nil"/>
              <w:right w:val="nil"/>
            </w:tcBorders>
            <w:hideMark/>
          </w:tcPr>
          <w:p w14:paraId="20AF6895"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tcPr>
          <w:p w14:paraId="044BD454" w14:textId="77777777" w:rsidR="008144C7" w:rsidRPr="00635D1D" w:rsidRDefault="008144C7" w:rsidP="00C5582D"/>
        </w:tc>
      </w:tr>
      <w:tr w:rsidR="008144C7" w:rsidRPr="00635D1D" w14:paraId="0D35297E" w14:textId="77777777" w:rsidTr="00C5582D">
        <w:trPr>
          <w:jc w:val="center"/>
        </w:trPr>
        <w:tc>
          <w:tcPr>
            <w:tcW w:w="4876" w:type="dxa"/>
            <w:tcBorders>
              <w:top w:val="nil"/>
              <w:left w:val="nil"/>
              <w:bottom w:val="nil"/>
              <w:right w:val="nil"/>
            </w:tcBorders>
            <w:hideMark/>
          </w:tcPr>
          <w:p w14:paraId="3C990BAF" w14:textId="77777777" w:rsidR="008144C7" w:rsidRPr="00635D1D" w:rsidRDefault="008144C7" w:rsidP="00C5582D">
            <w:pPr>
              <w:pStyle w:val="Normal6a"/>
            </w:pPr>
            <w:r w:rsidRPr="00635D1D">
              <w:rPr>
                <w:b/>
                <w:i/>
                <w:vertAlign w:val="superscript"/>
              </w:rPr>
              <w:t>6</w:t>
            </w:r>
            <w:r w:rsidRPr="00635D1D">
              <w:t xml:space="preserve"> </w:t>
            </w:r>
            <w:r w:rsidRPr="00635D1D">
              <w:rPr>
                <w:b/>
                <w:i/>
              </w:rPr>
              <w:t>Rozporządzenie Parlamentu Europejskiego i Rady (UE) 2024/2865 z dnia 23 października 2024 r. w sprawie zmiany rozporządzenia (WE) nr 1272/2008 w sprawie klasyfikacji, oznakowania i pakowania substancji i mieszanin (Dz.U. L, 2024/2865, 20.11.2024, ELI: http://data.europa.eu/eli/reg/2024/2865/oj).</w:t>
            </w:r>
          </w:p>
        </w:tc>
        <w:tc>
          <w:tcPr>
            <w:tcW w:w="4876" w:type="dxa"/>
            <w:tcBorders>
              <w:top w:val="nil"/>
              <w:left w:val="nil"/>
              <w:bottom w:val="nil"/>
              <w:right w:val="nil"/>
            </w:tcBorders>
          </w:tcPr>
          <w:p w14:paraId="56621E67" w14:textId="77777777" w:rsidR="008144C7" w:rsidRPr="00635D1D" w:rsidRDefault="008144C7" w:rsidP="00C5582D"/>
        </w:tc>
      </w:tr>
    </w:tbl>
    <w:p w14:paraId="4B85729B"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598A881D" w14:textId="77777777" w:rsidR="008144C7" w:rsidRPr="00AD15CF" w:rsidRDefault="008144C7" w:rsidP="008144C7">
      <w:pPr>
        <w:rPr>
          <w:lang w:val="en-GB"/>
        </w:rPr>
      </w:pPr>
      <w:r w:rsidRPr="00AD15CF">
        <w:rPr>
          <w:rStyle w:val="HideTWBExt"/>
          <w:lang w:val="en-GB"/>
        </w:rPr>
        <w:t>&lt;/Amend&gt;</w:t>
      </w:r>
    </w:p>
    <w:p w14:paraId="7B070A03"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123</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58181E48"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Idoia</w:t>
      </w:r>
      <w:proofErr w:type="spellEnd"/>
      <w:r w:rsidRPr="00AD15CF">
        <w:rPr>
          <w:lang w:val="en-GB"/>
        </w:rPr>
        <w:t xml:space="preserve"> </w:t>
      </w:r>
      <w:proofErr w:type="spellStart"/>
      <w:r w:rsidRPr="00AD15CF">
        <w:rPr>
          <w:lang w:val="en-GB"/>
        </w:rPr>
        <w:t>Mendia</w:t>
      </w:r>
      <w:proofErr w:type="spellEnd"/>
      <w:r w:rsidRPr="00AD15CF">
        <w:rPr>
          <w:lang w:val="en-GB"/>
        </w:rPr>
        <w:t xml:space="preserve">, Kristian </w:t>
      </w:r>
      <w:proofErr w:type="spellStart"/>
      <w:r w:rsidRPr="00AD15CF">
        <w:rPr>
          <w:lang w:val="en-GB"/>
        </w:rPr>
        <w:t>Vigenin</w:t>
      </w:r>
      <w:proofErr w:type="spellEnd"/>
      <w:r w:rsidRPr="00AD15CF">
        <w:rPr>
          <w:lang w:val="en-GB"/>
        </w:rPr>
        <w:t xml:space="preserve">, François </w:t>
      </w:r>
      <w:proofErr w:type="spellStart"/>
      <w:r w:rsidRPr="00AD15CF">
        <w:rPr>
          <w:lang w:val="en-GB"/>
        </w:rPr>
        <w:t>Kalfon</w:t>
      </w:r>
      <w:proofErr w:type="spellEnd"/>
      <w:r w:rsidRPr="00AD15CF">
        <w:rPr>
          <w:lang w:val="en-GB"/>
        </w:rPr>
        <w:t xml:space="preserve">, Elisabeth Grossmann, Adnan </w:t>
      </w:r>
      <w:proofErr w:type="spellStart"/>
      <w:r w:rsidRPr="00AD15CF">
        <w:rPr>
          <w:lang w:val="en-GB"/>
        </w:rPr>
        <w:t>Dibrani</w:t>
      </w:r>
      <w:proofErr w:type="spellEnd"/>
      <w:r w:rsidRPr="00AD15CF">
        <w:rPr>
          <w:lang w:val="en-GB"/>
        </w:rPr>
        <w:t xml:space="preserve">, Sakis </w:t>
      </w:r>
      <w:proofErr w:type="spellStart"/>
      <w:r w:rsidRPr="00AD15CF">
        <w:rPr>
          <w:lang w:val="en-GB"/>
        </w:rPr>
        <w:t>Arnaoutoglou</w:t>
      </w:r>
      <w:proofErr w:type="spellEnd"/>
      <w:r w:rsidRPr="00AD15CF">
        <w:rPr>
          <w:lang w:val="en-GB"/>
        </w:rPr>
        <w:t xml:space="preserve">, César </w:t>
      </w:r>
      <w:proofErr w:type="spellStart"/>
      <w:r w:rsidRPr="00AD15CF">
        <w:rPr>
          <w:lang w:val="en-GB"/>
        </w:rPr>
        <w:t>Luena</w:t>
      </w:r>
      <w:proofErr w:type="spellEnd"/>
      <w:r w:rsidRPr="00AD15CF">
        <w:rPr>
          <w:lang w:val="en-GB"/>
        </w:rPr>
        <w:t xml:space="preserve">, Christophe </w:t>
      </w:r>
      <w:proofErr w:type="spellStart"/>
      <w:r w:rsidRPr="00AD15CF">
        <w:rPr>
          <w:lang w:val="en-GB"/>
        </w:rPr>
        <w:t>Clergeau</w:t>
      </w:r>
      <w:proofErr w:type="spellEnd"/>
      <w:r w:rsidRPr="00AD15CF">
        <w:rPr>
          <w:lang w:val="en-GB"/>
        </w:rPr>
        <w:t xml:space="preserve">, </w:t>
      </w:r>
      <w:proofErr w:type="spellStart"/>
      <w:r w:rsidRPr="00AD15CF">
        <w:rPr>
          <w:lang w:val="en-GB"/>
        </w:rPr>
        <w:t>Tiemo</w:t>
      </w:r>
      <w:proofErr w:type="spellEnd"/>
      <w:r w:rsidRPr="00AD15CF">
        <w:rPr>
          <w:lang w:val="en-GB"/>
        </w:rPr>
        <w:t xml:space="preserve"> </w:t>
      </w:r>
      <w:proofErr w:type="spellStart"/>
      <w:r w:rsidRPr="00AD15CF">
        <w:rPr>
          <w:lang w:val="en-GB"/>
        </w:rPr>
        <w:t>Wölken</w:t>
      </w:r>
      <w:proofErr w:type="spellEnd"/>
      <w:r w:rsidRPr="00AD15CF">
        <w:rPr>
          <w:lang w:val="en-GB"/>
        </w:rPr>
        <w:t xml:space="preserve">, Annalisa Corrado, </w:t>
      </w:r>
      <w:proofErr w:type="spellStart"/>
      <w:r w:rsidRPr="00AD15CF">
        <w:rPr>
          <w:lang w:val="en-GB"/>
        </w:rPr>
        <w:t>Heléne</w:t>
      </w:r>
      <w:proofErr w:type="spellEnd"/>
      <w:r w:rsidRPr="00AD15CF">
        <w:rPr>
          <w:lang w:val="en-GB"/>
        </w:rPr>
        <w:t xml:space="preserve"> </w:t>
      </w:r>
      <w:proofErr w:type="spellStart"/>
      <w:r w:rsidRPr="00AD15CF">
        <w:rPr>
          <w:lang w:val="en-GB"/>
        </w:rPr>
        <w:t>Fritzon</w:t>
      </w:r>
      <w:proofErr w:type="spellEnd"/>
      <w:r w:rsidRPr="00AD15CF">
        <w:rPr>
          <w:lang w:val="en-GB"/>
        </w:rPr>
        <w:t xml:space="preserve">, Marta </w:t>
      </w:r>
      <w:proofErr w:type="spellStart"/>
      <w:r w:rsidRPr="00AD15CF">
        <w:rPr>
          <w:lang w:val="en-GB"/>
        </w:rPr>
        <w:t>Temido</w:t>
      </w:r>
      <w:proofErr w:type="spellEnd"/>
      <w:r w:rsidRPr="00AD15CF">
        <w:rPr>
          <w:rStyle w:val="HideTWBExt"/>
          <w:b w:val="0"/>
          <w:lang w:val="en-GB"/>
        </w:rPr>
        <w:t>&lt;/Members&gt;</w:t>
      </w:r>
    </w:p>
    <w:p w14:paraId="304EA07A" w14:textId="77777777" w:rsidR="008144C7" w:rsidRPr="00635D1D" w:rsidRDefault="008144C7" w:rsidP="008144C7">
      <w:pPr>
        <w:pStyle w:val="NormalBold"/>
      </w:pPr>
      <w:r w:rsidRPr="00635D1D">
        <w:rPr>
          <w:rStyle w:val="HideTWBExt"/>
          <w:b w:val="0"/>
        </w:rPr>
        <w:t>&lt;/RepeatBlock-By&gt;</w:t>
      </w:r>
    </w:p>
    <w:p w14:paraId="536F2683"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A254049" w14:textId="77777777" w:rsidR="008144C7" w:rsidRPr="00635D1D" w:rsidRDefault="008144C7" w:rsidP="008144C7">
      <w:pPr>
        <w:pStyle w:val="NormalBold"/>
      </w:pPr>
      <w:r w:rsidRPr="00635D1D">
        <w:rPr>
          <w:rStyle w:val="HideTWBExt"/>
          <w:b w:val="0"/>
        </w:rPr>
        <w:t>&lt;Article&gt;</w:t>
      </w:r>
      <w:r w:rsidRPr="00635D1D">
        <w:t>Motyw 5</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5D4F395" w14:textId="77777777" w:rsidTr="00C5582D">
        <w:trPr>
          <w:trHeight w:val="240"/>
          <w:jc w:val="center"/>
        </w:trPr>
        <w:tc>
          <w:tcPr>
            <w:tcW w:w="9752" w:type="dxa"/>
            <w:gridSpan w:val="2"/>
            <w:tcBorders>
              <w:top w:val="nil"/>
              <w:left w:val="nil"/>
              <w:bottom w:val="nil"/>
              <w:right w:val="nil"/>
            </w:tcBorders>
          </w:tcPr>
          <w:p w14:paraId="32202269" w14:textId="77777777" w:rsidR="008144C7" w:rsidRPr="00635D1D" w:rsidRDefault="008144C7" w:rsidP="00C5582D"/>
        </w:tc>
      </w:tr>
      <w:tr w:rsidR="008144C7" w:rsidRPr="00635D1D" w14:paraId="59D5D541" w14:textId="77777777" w:rsidTr="00C5582D">
        <w:trPr>
          <w:trHeight w:val="240"/>
          <w:jc w:val="center"/>
        </w:trPr>
        <w:tc>
          <w:tcPr>
            <w:tcW w:w="4876" w:type="dxa"/>
            <w:tcBorders>
              <w:top w:val="nil"/>
              <w:left w:val="nil"/>
              <w:bottom w:val="nil"/>
              <w:right w:val="nil"/>
            </w:tcBorders>
            <w:hideMark/>
          </w:tcPr>
          <w:p w14:paraId="25916203"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5569E07C" w14:textId="77777777" w:rsidR="008144C7" w:rsidRPr="00635D1D" w:rsidRDefault="008144C7" w:rsidP="00C5582D">
            <w:pPr>
              <w:pStyle w:val="AmColumnHeading"/>
            </w:pPr>
            <w:r w:rsidRPr="00635D1D">
              <w:t>Poprawka</w:t>
            </w:r>
          </w:p>
        </w:tc>
      </w:tr>
      <w:tr w:rsidR="008144C7" w:rsidRPr="00635D1D" w14:paraId="626B3F6B" w14:textId="77777777" w:rsidTr="00C5582D">
        <w:trPr>
          <w:jc w:val="center"/>
        </w:trPr>
        <w:tc>
          <w:tcPr>
            <w:tcW w:w="4876" w:type="dxa"/>
            <w:tcBorders>
              <w:top w:val="nil"/>
              <w:left w:val="nil"/>
              <w:bottom w:val="nil"/>
              <w:right w:val="nil"/>
            </w:tcBorders>
            <w:hideMark/>
          </w:tcPr>
          <w:p w14:paraId="7B630124" w14:textId="77777777" w:rsidR="008144C7" w:rsidRPr="00635D1D" w:rsidRDefault="008144C7" w:rsidP="00C5582D">
            <w:pPr>
              <w:pStyle w:val="Normal6a"/>
            </w:pPr>
            <w:r w:rsidRPr="00635D1D">
              <w:t>(5)</w:t>
            </w:r>
            <w:r w:rsidRPr="00635D1D">
              <w:tab/>
              <w:t>Rozporządzeniem Parlamentu Europejskiego i Rady (UE) 2024/2865</w:t>
            </w:r>
            <w:r w:rsidRPr="00635D1D">
              <w:rPr>
                <w:vertAlign w:val="superscript"/>
              </w:rPr>
              <w:t>6</w:t>
            </w:r>
            <w:r w:rsidRPr="00635D1D">
              <w:t xml:space="preserve"> wprowadzono zwolnienia z wymogów dotyczących etykietowania i pakowania w odniesieniu do opakowań o pojemności poniżej 10 ml. </w:t>
            </w:r>
            <w:r w:rsidRPr="00635D1D">
              <w:rPr>
                <w:b/>
                <w:i/>
              </w:rPr>
              <w:t>Konieczne są jednak dalsze uproszczenia w odniesieniu do stosowania tego odstępstwa w przypadkach, gdy opakowania te są oznakowane uzupełniającym zwrotem wskazującym rodzaj zagrożenia EUH 208</w:t>
            </w:r>
            <w:r w:rsidRPr="00635D1D">
              <w:t xml:space="preserve">. </w:t>
            </w:r>
            <w:r w:rsidRPr="00635D1D">
              <w:rPr>
                <w:b/>
                <w:i/>
              </w:rPr>
              <w:t>Należy również doprecyzować wymogi dotyczące opakowań</w:t>
            </w:r>
            <w:r w:rsidRPr="00635D1D">
              <w:t xml:space="preserve"> wewnętrznych i zewnętrznych </w:t>
            </w:r>
            <w:r w:rsidRPr="00635D1D">
              <w:rPr>
                <w:b/>
                <w:i/>
              </w:rPr>
              <w:t>w przypadkach</w:t>
            </w:r>
            <w:r w:rsidRPr="00635D1D">
              <w:t xml:space="preserve">, </w:t>
            </w:r>
            <w:r w:rsidRPr="00635D1D">
              <w:rPr>
                <w:b/>
                <w:i/>
              </w:rPr>
              <w:t>w których stosuje się odstępstwo dla opakowań o pojemności 10 ml</w:t>
            </w:r>
            <w:r w:rsidRPr="00635D1D">
              <w:t>.</w:t>
            </w:r>
          </w:p>
        </w:tc>
        <w:tc>
          <w:tcPr>
            <w:tcW w:w="4876" w:type="dxa"/>
            <w:tcBorders>
              <w:top w:val="nil"/>
              <w:left w:val="nil"/>
              <w:bottom w:val="nil"/>
              <w:right w:val="nil"/>
            </w:tcBorders>
            <w:hideMark/>
          </w:tcPr>
          <w:p w14:paraId="202FBCD0" w14:textId="77777777" w:rsidR="008144C7" w:rsidRPr="00635D1D" w:rsidRDefault="008144C7" w:rsidP="00C5582D">
            <w:pPr>
              <w:pStyle w:val="Normal6a"/>
            </w:pPr>
            <w:r w:rsidRPr="00635D1D">
              <w:t>(5)</w:t>
            </w:r>
            <w:r w:rsidRPr="00635D1D">
              <w:tab/>
              <w:t>Rozporządzeniem Parlamentu Europejskiego i Rady (UE) 2024/2865</w:t>
            </w:r>
            <w:r w:rsidRPr="00635D1D">
              <w:rPr>
                <w:vertAlign w:val="superscript"/>
              </w:rPr>
              <w:t>6</w:t>
            </w:r>
            <w:r w:rsidRPr="00635D1D">
              <w:t xml:space="preserve"> wprowadzono zwolnienia z wymogów dotyczących etykietowania i pakowania w odniesieniu do opakowań o pojemności poniżej 10 ml. </w:t>
            </w:r>
            <w:r w:rsidRPr="00635D1D">
              <w:rPr>
                <w:b/>
                <w:i/>
              </w:rPr>
              <w:t>Wprowadzono w nim możliwość pominięcia elementów etykiety z takich opakowań pod pewnymi warunkami</w:t>
            </w:r>
            <w:r w:rsidRPr="00635D1D">
              <w:t xml:space="preserve">. </w:t>
            </w:r>
            <w:r w:rsidRPr="00635D1D">
              <w:rPr>
                <w:b/>
                <w:i/>
              </w:rPr>
              <w:t>Konieczne jest doprecyzowanie przypadków, w których wymagane jest umieszczenie elementów etykiety na opakowaniach</w:t>
            </w:r>
            <w:r w:rsidRPr="00635D1D">
              <w:t xml:space="preserve"> wewnętrznych i zewnętrznych, </w:t>
            </w:r>
            <w:r w:rsidRPr="00635D1D">
              <w:rPr>
                <w:b/>
                <w:i/>
              </w:rPr>
              <w:t>oraz przypadków umożliwiających całkowite pominięcie tych elementów</w:t>
            </w:r>
            <w:r w:rsidRPr="00635D1D">
              <w:t>.</w:t>
            </w:r>
          </w:p>
        </w:tc>
      </w:tr>
      <w:tr w:rsidR="008144C7" w:rsidRPr="00635D1D" w14:paraId="6E3819F2" w14:textId="77777777" w:rsidTr="00C5582D">
        <w:trPr>
          <w:jc w:val="center"/>
        </w:trPr>
        <w:tc>
          <w:tcPr>
            <w:tcW w:w="4876" w:type="dxa"/>
            <w:tcBorders>
              <w:top w:val="nil"/>
              <w:left w:val="nil"/>
              <w:bottom w:val="nil"/>
              <w:right w:val="nil"/>
            </w:tcBorders>
            <w:hideMark/>
          </w:tcPr>
          <w:p w14:paraId="476CCD21"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34063BFD" w14:textId="77777777" w:rsidR="008144C7" w:rsidRPr="00635D1D" w:rsidRDefault="008144C7" w:rsidP="00C5582D">
            <w:pPr>
              <w:pStyle w:val="Normal6a"/>
            </w:pPr>
            <w:r w:rsidRPr="00635D1D">
              <w:rPr>
                <w:b/>
                <w:i/>
              </w:rPr>
              <w:t>_________________</w:t>
            </w:r>
          </w:p>
        </w:tc>
      </w:tr>
      <w:tr w:rsidR="008144C7" w:rsidRPr="00635D1D" w14:paraId="7583662D" w14:textId="77777777" w:rsidTr="00C5582D">
        <w:trPr>
          <w:jc w:val="center"/>
        </w:trPr>
        <w:tc>
          <w:tcPr>
            <w:tcW w:w="4876" w:type="dxa"/>
            <w:tcBorders>
              <w:top w:val="nil"/>
              <w:left w:val="nil"/>
              <w:bottom w:val="nil"/>
              <w:right w:val="nil"/>
            </w:tcBorders>
            <w:hideMark/>
          </w:tcPr>
          <w:p w14:paraId="79484C3A" w14:textId="77777777" w:rsidR="008144C7" w:rsidRPr="00635D1D" w:rsidRDefault="008144C7" w:rsidP="00C5582D">
            <w:pPr>
              <w:pStyle w:val="Normal6a"/>
            </w:pPr>
            <w:r w:rsidRPr="00635D1D">
              <w:rPr>
                <w:vertAlign w:val="superscript"/>
              </w:rPr>
              <w:t>6</w:t>
            </w:r>
            <w:r w:rsidRPr="00635D1D">
              <w:t xml:space="preserve"> Rozporządzenie Parlamentu Europejskiego i Rady (UE) 2024/2865 z dnia 23 października 2024 r. w sprawie zmiany rozporządzenia (WE) nr 1272/2008 w sprawie klasyfikacji, oznakowania i pakowania substancji i mieszanin (Dz.U. L, 2024/2865, 20.11.2024, ELI: http://data.europa.eu/eli/reg/2024/2865/oj).</w:t>
            </w:r>
          </w:p>
        </w:tc>
        <w:tc>
          <w:tcPr>
            <w:tcW w:w="4876" w:type="dxa"/>
            <w:tcBorders>
              <w:top w:val="nil"/>
              <w:left w:val="nil"/>
              <w:bottom w:val="nil"/>
              <w:right w:val="nil"/>
            </w:tcBorders>
            <w:hideMark/>
          </w:tcPr>
          <w:p w14:paraId="65A13BE3" w14:textId="77777777" w:rsidR="008144C7" w:rsidRPr="00635D1D" w:rsidRDefault="008144C7" w:rsidP="00C5582D">
            <w:pPr>
              <w:pStyle w:val="Normal6a"/>
            </w:pPr>
            <w:r w:rsidRPr="00635D1D">
              <w:rPr>
                <w:vertAlign w:val="superscript"/>
              </w:rPr>
              <w:t>6</w:t>
            </w:r>
            <w:r w:rsidRPr="00635D1D">
              <w:t xml:space="preserve"> Rozporządzenie Parlamentu Europejskiego i Rady (UE) 2024/2865 z dnia 23 października 2024 r. w sprawie zmiany rozporządzenia (WE) nr 1272/2008 w sprawie klasyfikacji, oznakowania i pakowania substancji i mieszanin (Dz.U. L, 2024/2865, 20.11.2024, ELI: http://data.europa.eu/eli/reg/2024/2865/oj).</w:t>
            </w:r>
          </w:p>
        </w:tc>
      </w:tr>
    </w:tbl>
    <w:p w14:paraId="4CF3D012"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408228F7" w14:textId="77777777" w:rsidR="008144C7" w:rsidRPr="00AD15CF" w:rsidRDefault="008144C7" w:rsidP="008144C7">
      <w:pPr>
        <w:rPr>
          <w:lang w:val="en-GB"/>
        </w:rPr>
      </w:pPr>
      <w:r w:rsidRPr="00AD15CF">
        <w:rPr>
          <w:rStyle w:val="HideTWBExt"/>
          <w:lang w:val="en-GB"/>
        </w:rPr>
        <w:t>&lt;/Amend&gt;</w:t>
      </w:r>
    </w:p>
    <w:p w14:paraId="5079B527"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124</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6827800B"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Majdouline</w:t>
      </w:r>
      <w:proofErr w:type="spellEnd"/>
      <w:r w:rsidRPr="00AD15CF">
        <w:rPr>
          <w:lang w:val="en-GB"/>
        </w:rPr>
        <w:t xml:space="preserve"> </w:t>
      </w:r>
      <w:proofErr w:type="spellStart"/>
      <w:r w:rsidRPr="00AD15CF">
        <w:rPr>
          <w:lang w:val="en-GB"/>
        </w:rPr>
        <w:t>Sbai</w:t>
      </w:r>
      <w:proofErr w:type="spellEnd"/>
      <w:r w:rsidRPr="00AD15CF">
        <w:rPr>
          <w:rStyle w:val="HideTWBExt"/>
          <w:b w:val="0"/>
          <w:lang w:val="en-GB"/>
        </w:rPr>
        <w:t>&lt;/Members&gt;</w:t>
      </w:r>
    </w:p>
    <w:p w14:paraId="4E680EE5" w14:textId="77777777" w:rsidR="008144C7" w:rsidRPr="00635D1D" w:rsidRDefault="008144C7" w:rsidP="008144C7">
      <w:pPr>
        <w:pStyle w:val="NormalBold"/>
      </w:pPr>
      <w:r w:rsidRPr="00635D1D">
        <w:rPr>
          <w:rStyle w:val="HideTWBExt"/>
          <w:b w:val="0"/>
        </w:rPr>
        <w:t>&lt;/RepeatBlock-By&gt;</w:t>
      </w:r>
    </w:p>
    <w:p w14:paraId="09104C6C"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1508DEB" w14:textId="77777777" w:rsidR="008144C7" w:rsidRPr="00635D1D" w:rsidRDefault="008144C7" w:rsidP="008144C7">
      <w:pPr>
        <w:pStyle w:val="NormalBold"/>
      </w:pPr>
      <w:r w:rsidRPr="00635D1D">
        <w:rPr>
          <w:rStyle w:val="HideTWBExt"/>
          <w:b w:val="0"/>
        </w:rPr>
        <w:t>&lt;Article&gt;</w:t>
      </w:r>
      <w:r w:rsidRPr="00635D1D">
        <w:t>Motyw 5</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5345F94" w14:textId="77777777" w:rsidTr="00C5582D">
        <w:trPr>
          <w:trHeight w:val="240"/>
          <w:jc w:val="center"/>
        </w:trPr>
        <w:tc>
          <w:tcPr>
            <w:tcW w:w="9752" w:type="dxa"/>
            <w:gridSpan w:val="2"/>
            <w:tcBorders>
              <w:top w:val="nil"/>
              <w:left w:val="nil"/>
              <w:bottom w:val="nil"/>
              <w:right w:val="nil"/>
            </w:tcBorders>
          </w:tcPr>
          <w:p w14:paraId="1A61638A" w14:textId="77777777" w:rsidR="008144C7" w:rsidRPr="00635D1D" w:rsidRDefault="008144C7" w:rsidP="00C5582D"/>
        </w:tc>
      </w:tr>
      <w:tr w:rsidR="008144C7" w:rsidRPr="00635D1D" w14:paraId="00B9F982" w14:textId="77777777" w:rsidTr="00C5582D">
        <w:trPr>
          <w:trHeight w:val="240"/>
          <w:jc w:val="center"/>
        </w:trPr>
        <w:tc>
          <w:tcPr>
            <w:tcW w:w="4876" w:type="dxa"/>
            <w:tcBorders>
              <w:top w:val="nil"/>
              <w:left w:val="nil"/>
              <w:bottom w:val="nil"/>
              <w:right w:val="nil"/>
            </w:tcBorders>
            <w:hideMark/>
          </w:tcPr>
          <w:p w14:paraId="65437E51"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951C330" w14:textId="77777777" w:rsidR="008144C7" w:rsidRPr="00635D1D" w:rsidRDefault="008144C7" w:rsidP="00C5582D">
            <w:pPr>
              <w:pStyle w:val="AmColumnHeading"/>
            </w:pPr>
            <w:r w:rsidRPr="00635D1D">
              <w:t>Poprawka</w:t>
            </w:r>
          </w:p>
        </w:tc>
      </w:tr>
      <w:tr w:rsidR="008144C7" w:rsidRPr="00635D1D" w14:paraId="65844975" w14:textId="77777777" w:rsidTr="00C5582D">
        <w:trPr>
          <w:jc w:val="center"/>
        </w:trPr>
        <w:tc>
          <w:tcPr>
            <w:tcW w:w="4876" w:type="dxa"/>
            <w:tcBorders>
              <w:top w:val="nil"/>
              <w:left w:val="nil"/>
              <w:bottom w:val="nil"/>
              <w:right w:val="nil"/>
            </w:tcBorders>
            <w:hideMark/>
          </w:tcPr>
          <w:p w14:paraId="79A5A75F" w14:textId="77777777" w:rsidR="008144C7" w:rsidRPr="00635D1D" w:rsidRDefault="008144C7" w:rsidP="00C5582D">
            <w:pPr>
              <w:pStyle w:val="Normal6a"/>
            </w:pPr>
            <w:r w:rsidRPr="00635D1D">
              <w:t>(5)</w:t>
            </w:r>
            <w:r w:rsidRPr="00635D1D">
              <w:tab/>
              <w:t>Rozporządzeniem Parlamentu Europejskiego i Rady (UE) 2024/2865</w:t>
            </w:r>
            <w:r w:rsidRPr="00635D1D">
              <w:rPr>
                <w:vertAlign w:val="superscript"/>
              </w:rPr>
              <w:t>6</w:t>
            </w:r>
            <w:r w:rsidRPr="00635D1D">
              <w:t xml:space="preserve"> wprowadzono zwolnienia z wymogów dotyczących etykietowania i pakowania w odniesieniu do opakowań o pojemności poniżej 10 ml. </w:t>
            </w:r>
            <w:r w:rsidRPr="00635D1D">
              <w:rPr>
                <w:b/>
                <w:bCs/>
                <w:i/>
                <w:iCs/>
              </w:rPr>
              <w:t>Konieczne są</w:t>
            </w:r>
            <w:r w:rsidRPr="00635D1D">
              <w:t xml:space="preserve"> jednak </w:t>
            </w:r>
            <w:r w:rsidRPr="00635D1D">
              <w:rPr>
                <w:b/>
                <w:i/>
              </w:rPr>
              <w:t>dalsze uproszczenia w odniesieniu do stosowania tego odstępstwa w przypadkach, gdy opakowania te są oznakowane uzupełniającym zwrotem wskazującym rodzaj zagrożenia EUH 208.</w:t>
            </w:r>
            <w:r w:rsidRPr="00635D1D">
              <w:t xml:space="preserve"> </w:t>
            </w:r>
            <w:r w:rsidRPr="00635D1D">
              <w:rPr>
                <w:b/>
                <w:i/>
              </w:rPr>
              <w:t>Należy również doprecyzować wymogi dotyczące opakowań wewnętrznych i</w:t>
            </w:r>
            <w:r w:rsidRPr="00635D1D">
              <w:t xml:space="preserve"> zewnętrznych w </w:t>
            </w:r>
            <w:r w:rsidRPr="00635D1D">
              <w:rPr>
                <w:b/>
                <w:i/>
              </w:rPr>
              <w:t>przypadkach, w których stosuje się odstępstwo dla opakowań o pojemności 10 ml</w:t>
            </w:r>
            <w:r w:rsidRPr="00635D1D">
              <w:t>.</w:t>
            </w:r>
          </w:p>
        </w:tc>
        <w:tc>
          <w:tcPr>
            <w:tcW w:w="4876" w:type="dxa"/>
            <w:tcBorders>
              <w:top w:val="nil"/>
              <w:left w:val="nil"/>
              <w:bottom w:val="nil"/>
              <w:right w:val="nil"/>
            </w:tcBorders>
            <w:hideMark/>
          </w:tcPr>
          <w:p w14:paraId="6312DBBA" w14:textId="77777777" w:rsidR="008144C7" w:rsidRPr="00635D1D" w:rsidRDefault="008144C7" w:rsidP="00C5582D">
            <w:pPr>
              <w:pStyle w:val="Normal6a"/>
            </w:pPr>
            <w:r w:rsidRPr="00635D1D">
              <w:t>(5)</w:t>
            </w:r>
            <w:r w:rsidRPr="00635D1D">
              <w:tab/>
              <w:t>Rozporządzeniem Parlamentu Europejskiego i Rady (UE) 2024/2865</w:t>
            </w:r>
            <w:r w:rsidRPr="00635D1D">
              <w:rPr>
                <w:vertAlign w:val="superscript"/>
              </w:rPr>
              <w:t>6</w:t>
            </w:r>
            <w:r w:rsidRPr="00635D1D">
              <w:t xml:space="preserve"> wprowadzono zwolnienia z wymogów dotyczących etykietowania i pakowania w odniesieniu do opakowań o pojemności poniżej 10 ml. </w:t>
            </w:r>
            <w:r w:rsidRPr="00635D1D">
              <w:rPr>
                <w:b/>
                <w:i/>
              </w:rPr>
              <w:t>Wprowadzono w nim możliwość pominięcia elementów etykiety z takich opakowań wewnętrznych pod pewnymi warunkami.</w:t>
            </w:r>
            <w:r w:rsidRPr="00635D1D">
              <w:t xml:space="preserve"> </w:t>
            </w:r>
            <w:r w:rsidRPr="00635D1D">
              <w:rPr>
                <w:b/>
                <w:i/>
              </w:rPr>
              <w:t>Konieczna jest</w:t>
            </w:r>
            <w:r w:rsidRPr="00635D1D">
              <w:t xml:space="preserve"> jednak </w:t>
            </w:r>
            <w:r w:rsidRPr="00635D1D">
              <w:rPr>
                <w:b/>
                <w:i/>
              </w:rPr>
              <w:t>zmiana tych przepisów i doprecyzowanie przypadków, w których wymagane jest umieszczenie elementów etykiety na opakowaniach</w:t>
            </w:r>
            <w:r w:rsidRPr="00635D1D">
              <w:t xml:space="preserve"> zewnętrznych w </w:t>
            </w:r>
            <w:r w:rsidRPr="00635D1D">
              <w:rPr>
                <w:b/>
                <w:i/>
              </w:rPr>
              <w:t>sytuacjach umożliwiających całkowite pominięcie tych elementów</w:t>
            </w:r>
            <w:r w:rsidRPr="00635D1D">
              <w:t>.</w:t>
            </w:r>
          </w:p>
        </w:tc>
      </w:tr>
      <w:tr w:rsidR="008144C7" w:rsidRPr="00635D1D" w14:paraId="730C107D" w14:textId="77777777" w:rsidTr="00C5582D">
        <w:trPr>
          <w:jc w:val="center"/>
        </w:trPr>
        <w:tc>
          <w:tcPr>
            <w:tcW w:w="4876" w:type="dxa"/>
            <w:tcBorders>
              <w:top w:val="nil"/>
              <w:left w:val="nil"/>
              <w:bottom w:val="nil"/>
              <w:right w:val="nil"/>
            </w:tcBorders>
            <w:hideMark/>
          </w:tcPr>
          <w:p w14:paraId="1F02F402"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4F57B6C9" w14:textId="77777777" w:rsidR="008144C7" w:rsidRPr="00635D1D" w:rsidRDefault="008144C7" w:rsidP="00C5582D">
            <w:pPr>
              <w:pStyle w:val="Normal6a"/>
            </w:pPr>
            <w:r w:rsidRPr="00635D1D">
              <w:rPr>
                <w:b/>
                <w:i/>
              </w:rPr>
              <w:t>_________________</w:t>
            </w:r>
          </w:p>
        </w:tc>
      </w:tr>
      <w:tr w:rsidR="008144C7" w:rsidRPr="00635D1D" w14:paraId="1645CC89" w14:textId="77777777" w:rsidTr="00C5582D">
        <w:trPr>
          <w:jc w:val="center"/>
        </w:trPr>
        <w:tc>
          <w:tcPr>
            <w:tcW w:w="4876" w:type="dxa"/>
            <w:tcBorders>
              <w:top w:val="nil"/>
              <w:left w:val="nil"/>
              <w:bottom w:val="nil"/>
              <w:right w:val="nil"/>
            </w:tcBorders>
            <w:hideMark/>
          </w:tcPr>
          <w:p w14:paraId="30E17296" w14:textId="77777777" w:rsidR="008144C7" w:rsidRPr="00635D1D" w:rsidRDefault="008144C7" w:rsidP="00C5582D">
            <w:pPr>
              <w:pStyle w:val="Normal6a"/>
            </w:pPr>
            <w:r w:rsidRPr="00635D1D">
              <w:rPr>
                <w:vertAlign w:val="superscript"/>
              </w:rPr>
              <w:t>6</w:t>
            </w:r>
            <w:r w:rsidRPr="00635D1D">
              <w:t xml:space="preserve"> Rozporządzenie Parlamentu Europejskiego i Rady (UE) 2024/2865 z dnia 23 października 2024 r. w sprawie zmiany rozporządzenia (WE) nr 1272/2008 w sprawie klasyfikacji, oznakowania i pakowania substancji i mieszanin (Dz.U. L, 2024/2865, 20.11.2024, ELI: http://data.europa.eu/eli/reg/2024/2865/oj).</w:t>
            </w:r>
          </w:p>
        </w:tc>
        <w:tc>
          <w:tcPr>
            <w:tcW w:w="4876" w:type="dxa"/>
            <w:tcBorders>
              <w:top w:val="nil"/>
              <w:left w:val="nil"/>
              <w:bottom w:val="nil"/>
              <w:right w:val="nil"/>
            </w:tcBorders>
            <w:hideMark/>
          </w:tcPr>
          <w:p w14:paraId="53F5C2FA" w14:textId="77777777" w:rsidR="008144C7" w:rsidRPr="00635D1D" w:rsidRDefault="008144C7" w:rsidP="00C5582D">
            <w:pPr>
              <w:pStyle w:val="Normal6a"/>
            </w:pPr>
            <w:r w:rsidRPr="00635D1D">
              <w:rPr>
                <w:vertAlign w:val="superscript"/>
              </w:rPr>
              <w:t>6</w:t>
            </w:r>
            <w:r w:rsidRPr="00635D1D">
              <w:t xml:space="preserve"> Rozporządzenie Parlamentu Europejskiego i Rady (UE) 2024/2865 z dnia 23 października 2024 r. w sprawie zmiany rozporządzenia (WE) nr 1272/2008 w sprawie klasyfikacji, oznakowania i pakowania substancji i mieszanin (Dz.U. L, 2024/2865, 20.11.2024, ELI: http://data.europa.eu/eli/reg/2024/2865/oj).</w:t>
            </w:r>
          </w:p>
        </w:tc>
      </w:tr>
    </w:tbl>
    <w:p w14:paraId="0EC463D6"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1F36C7D6"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139D0DF9" w14:textId="77777777" w:rsidR="008144C7" w:rsidRPr="00635D1D" w:rsidRDefault="008144C7" w:rsidP="008144C7">
      <w:pPr>
        <w:pStyle w:val="AmJustText"/>
      </w:pPr>
      <w:r w:rsidRPr="00635D1D">
        <w:t>Działanie uczulające na skórę stanowi poważne zagrożenie dla zdrowia. Nie należy zezwalać na pominięcie odpowiedniego wymogu dotyczącego umieszczenia etykiety EUH 208 „Zawiera (nazwa substancji uczulającej). Może powodować wystąpienie reakcji alergicznej.” na opakowaniu wewnętrznym małych opakowań.</w:t>
      </w:r>
    </w:p>
    <w:p w14:paraId="0B2DC9E6" w14:textId="77777777" w:rsidR="008144C7" w:rsidRPr="00635D1D" w:rsidRDefault="008144C7" w:rsidP="008144C7">
      <w:r w:rsidRPr="00635D1D">
        <w:rPr>
          <w:rStyle w:val="HideTWBExt"/>
        </w:rPr>
        <w:t>&lt;/Amend&gt;</w:t>
      </w:r>
    </w:p>
    <w:p w14:paraId="24D2840B"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125</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3B206E11" w14:textId="77777777" w:rsidR="008144C7" w:rsidRPr="00635D1D" w:rsidRDefault="008144C7" w:rsidP="008144C7">
      <w:pPr>
        <w:pStyle w:val="NormalBold"/>
      </w:pPr>
      <w:r w:rsidRPr="00635D1D">
        <w:rPr>
          <w:rStyle w:val="HideTWBExt"/>
          <w:b w:val="0"/>
        </w:rPr>
        <w:t>&lt;RepeatBlock-By&gt;&lt;Members&gt;</w:t>
      </w:r>
      <w:r w:rsidRPr="00635D1D">
        <w:t xml:space="preserve">Per </w:t>
      </w:r>
      <w:proofErr w:type="spellStart"/>
      <w:r w:rsidRPr="00635D1D">
        <w:t>Clausen</w:t>
      </w:r>
      <w:proofErr w:type="spellEnd"/>
      <w:r w:rsidRPr="00635D1D">
        <w:t xml:space="preserve">, </w:t>
      </w:r>
      <w:proofErr w:type="spellStart"/>
      <w:r w:rsidRPr="00635D1D">
        <w:t>Anja</w:t>
      </w:r>
      <w:proofErr w:type="spellEnd"/>
      <w:r w:rsidRPr="00635D1D">
        <w:t xml:space="preserve"> </w:t>
      </w:r>
      <w:proofErr w:type="spellStart"/>
      <w:r w:rsidRPr="00635D1D">
        <w:t>Hazekamp</w:t>
      </w:r>
      <w:proofErr w:type="spellEnd"/>
      <w:r w:rsidRPr="00635D1D">
        <w:rPr>
          <w:rStyle w:val="HideTWBExt"/>
          <w:b w:val="0"/>
        </w:rPr>
        <w:t>&lt;/Members&gt;</w:t>
      </w:r>
    </w:p>
    <w:p w14:paraId="662B545F" w14:textId="77777777" w:rsidR="008144C7" w:rsidRPr="00635D1D" w:rsidRDefault="008144C7" w:rsidP="008144C7">
      <w:pPr>
        <w:pStyle w:val="NormalBold"/>
      </w:pPr>
      <w:r w:rsidRPr="00635D1D">
        <w:rPr>
          <w:rStyle w:val="HideTWBExt"/>
          <w:b w:val="0"/>
        </w:rPr>
        <w:t>&lt;/RepeatBlock-By&gt;</w:t>
      </w:r>
    </w:p>
    <w:p w14:paraId="2750A451"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BBC8F2A" w14:textId="77777777" w:rsidR="008144C7" w:rsidRPr="00635D1D" w:rsidRDefault="008144C7" w:rsidP="008144C7">
      <w:pPr>
        <w:pStyle w:val="NormalBold"/>
      </w:pPr>
      <w:r w:rsidRPr="00635D1D">
        <w:rPr>
          <w:rStyle w:val="HideTWBExt"/>
          <w:b w:val="0"/>
        </w:rPr>
        <w:t>&lt;Article&gt;</w:t>
      </w:r>
      <w:r w:rsidRPr="00635D1D">
        <w:t>Motyw 6</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A2A3A54" w14:textId="77777777" w:rsidTr="00C5582D">
        <w:trPr>
          <w:trHeight w:val="240"/>
          <w:jc w:val="center"/>
        </w:trPr>
        <w:tc>
          <w:tcPr>
            <w:tcW w:w="9752" w:type="dxa"/>
            <w:gridSpan w:val="2"/>
            <w:tcBorders>
              <w:top w:val="nil"/>
              <w:left w:val="nil"/>
              <w:bottom w:val="nil"/>
              <w:right w:val="nil"/>
            </w:tcBorders>
          </w:tcPr>
          <w:p w14:paraId="6BCD32FE" w14:textId="77777777" w:rsidR="008144C7" w:rsidRPr="00635D1D" w:rsidRDefault="008144C7" w:rsidP="00C5582D"/>
        </w:tc>
      </w:tr>
      <w:tr w:rsidR="008144C7" w:rsidRPr="00635D1D" w14:paraId="48EB7978" w14:textId="77777777" w:rsidTr="00C5582D">
        <w:trPr>
          <w:trHeight w:val="240"/>
          <w:jc w:val="center"/>
        </w:trPr>
        <w:tc>
          <w:tcPr>
            <w:tcW w:w="4876" w:type="dxa"/>
            <w:tcBorders>
              <w:top w:val="nil"/>
              <w:left w:val="nil"/>
              <w:bottom w:val="nil"/>
              <w:right w:val="nil"/>
            </w:tcBorders>
            <w:hideMark/>
          </w:tcPr>
          <w:p w14:paraId="010C6C54"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54A494C0" w14:textId="77777777" w:rsidR="008144C7" w:rsidRPr="00635D1D" w:rsidRDefault="008144C7" w:rsidP="00C5582D">
            <w:pPr>
              <w:pStyle w:val="AmColumnHeading"/>
            </w:pPr>
            <w:r w:rsidRPr="00635D1D">
              <w:t>Poprawka</w:t>
            </w:r>
          </w:p>
        </w:tc>
      </w:tr>
      <w:tr w:rsidR="008144C7" w:rsidRPr="00635D1D" w14:paraId="7D29EA06" w14:textId="77777777" w:rsidTr="00C5582D">
        <w:trPr>
          <w:jc w:val="center"/>
        </w:trPr>
        <w:tc>
          <w:tcPr>
            <w:tcW w:w="4876" w:type="dxa"/>
            <w:tcBorders>
              <w:top w:val="nil"/>
              <w:left w:val="nil"/>
              <w:bottom w:val="nil"/>
              <w:right w:val="nil"/>
            </w:tcBorders>
            <w:hideMark/>
          </w:tcPr>
          <w:p w14:paraId="0C9FCF3B" w14:textId="77777777" w:rsidR="008144C7" w:rsidRPr="00635D1D" w:rsidRDefault="008144C7" w:rsidP="00C5582D">
            <w:pPr>
              <w:pStyle w:val="Normal6a"/>
            </w:pPr>
            <w:r w:rsidRPr="00635D1D">
              <w:rPr>
                <w:b/>
                <w:i/>
              </w:rPr>
              <w:t>(6)</w:t>
            </w:r>
            <w:r w:rsidRPr="00635D1D">
              <w:tab/>
            </w:r>
            <w:r w:rsidRPr="00635D1D">
              <w:rPr>
                <w:b/>
                <w:i/>
              </w:rPr>
              <w:t>Aby zapewnić dostawcom elastyczność i stworzyć równe warunki dla małych i średnich przedsiębiorstw, które często zlecają usługi drukowania etykiet innym podmiotom, oraz ułatwić przygotowanie i produkcję etykiet rozkładanych, które trwają znacznie dłużej niż w przypadku standardowych etykiet, należy znieść ustalony sześciomiesięczny termin na dokonanie ponownego oznakowania oraz wprowadzić wymóg zmiany etykiet bez zbędnej zwłoki po uzyskaniu przez dostawcę nowych danych lub otrzymaniu o nich informacji.</w:t>
            </w:r>
          </w:p>
        </w:tc>
        <w:tc>
          <w:tcPr>
            <w:tcW w:w="4876" w:type="dxa"/>
            <w:tcBorders>
              <w:top w:val="nil"/>
              <w:left w:val="nil"/>
              <w:bottom w:val="nil"/>
              <w:right w:val="nil"/>
            </w:tcBorders>
            <w:hideMark/>
          </w:tcPr>
          <w:p w14:paraId="69DDCDB8" w14:textId="77777777" w:rsidR="008144C7" w:rsidRPr="00635D1D" w:rsidRDefault="008144C7" w:rsidP="00C5582D">
            <w:pPr>
              <w:pStyle w:val="Normal6a"/>
            </w:pPr>
            <w:r w:rsidRPr="00635D1D">
              <w:rPr>
                <w:b/>
                <w:i/>
              </w:rPr>
              <w:t>skreśla się</w:t>
            </w:r>
          </w:p>
        </w:tc>
      </w:tr>
    </w:tbl>
    <w:p w14:paraId="4C03F4BF"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4ED113EF" w14:textId="77777777" w:rsidR="008144C7" w:rsidRPr="00635D1D" w:rsidRDefault="008144C7" w:rsidP="008144C7">
      <w:r w:rsidRPr="00635D1D">
        <w:rPr>
          <w:rStyle w:val="HideTWBExt"/>
        </w:rPr>
        <w:t>&lt;/Amend&gt;</w:t>
      </w:r>
    </w:p>
    <w:p w14:paraId="2A5A1905"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126</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5D7E9122" w14:textId="77777777" w:rsidR="008144C7" w:rsidRPr="00635D1D" w:rsidRDefault="008144C7" w:rsidP="008144C7">
      <w:pPr>
        <w:pStyle w:val="NormalBold"/>
      </w:pPr>
      <w:r w:rsidRPr="00635D1D">
        <w:rPr>
          <w:rStyle w:val="HideTWBExt"/>
          <w:b w:val="0"/>
        </w:rPr>
        <w:t>&lt;RepeatBlock-By&gt;&lt;Members&gt;</w:t>
      </w:r>
      <w:proofErr w:type="spellStart"/>
      <w:r w:rsidRPr="00635D1D">
        <w:t>Idoia</w:t>
      </w:r>
      <w:proofErr w:type="spellEnd"/>
      <w:r w:rsidRPr="00635D1D">
        <w:t xml:space="preserve"> </w:t>
      </w:r>
      <w:proofErr w:type="spellStart"/>
      <w:r w:rsidRPr="00635D1D">
        <w:t>Mendia</w:t>
      </w:r>
      <w:proofErr w:type="spellEnd"/>
      <w:r w:rsidRPr="00635D1D">
        <w:t xml:space="preserve">, Kristian </w:t>
      </w:r>
      <w:proofErr w:type="spellStart"/>
      <w:r w:rsidRPr="00635D1D">
        <w:t>Vigenin</w:t>
      </w:r>
      <w:proofErr w:type="spellEnd"/>
      <w:r w:rsidRPr="00635D1D">
        <w:t xml:space="preserve">, François </w:t>
      </w:r>
      <w:proofErr w:type="spellStart"/>
      <w:r w:rsidRPr="00635D1D">
        <w:t>Kalfon</w:t>
      </w:r>
      <w:proofErr w:type="spellEnd"/>
      <w:r w:rsidRPr="00635D1D">
        <w:t xml:space="preserve">, </w:t>
      </w:r>
      <w:proofErr w:type="spellStart"/>
      <w:r w:rsidRPr="00635D1D">
        <w:t>Elisabeth</w:t>
      </w:r>
      <w:proofErr w:type="spellEnd"/>
      <w:r w:rsidRPr="00635D1D">
        <w:t xml:space="preserve"> Grossmann, </w:t>
      </w:r>
      <w:proofErr w:type="spellStart"/>
      <w:r w:rsidRPr="00635D1D">
        <w:t>Adnan</w:t>
      </w:r>
      <w:proofErr w:type="spellEnd"/>
      <w:r w:rsidRPr="00635D1D">
        <w:t xml:space="preserve"> </w:t>
      </w:r>
      <w:proofErr w:type="spellStart"/>
      <w:r w:rsidRPr="00635D1D">
        <w:t>Dibrani</w:t>
      </w:r>
      <w:proofErr w:type="spellEnd"/>
      <w:r w:rsidRPr="00635D1D">
        <w:t xml:space="preserve">, </w:t>
      </w:r>
      <w:proofErr w:type="spellStart"/>
      <w:r w:rsidRPr="00635D1D">
        <w:t>Sakis</w:t>
      </w:r>
      <w:proofErr w:type="spellEnd"/>
      <w:r w:rsidRPr="00635D1D">
        <w:t xml:space="preserve"> </w:t>
      </w:r>
      <w:proofErr w:type="spellStart"/>
      <w:r w:rsidRPr="00635D1D">
        <w:t>Arnaoutoglou</w:t>
      </w:r>
      <w:proofErr w:type="spellEnd"/>
      <w:r w:rsidRPr="00635D1D">
        <w:t xml:space="preserve">, </w:t>
      </w:r>
      <w:proofErr w:type="spellStart"/>
      <w:r w:rsidRPr="00635D1D">
        <w:t>César</w:t>
      </w:r>
      <w:proofErr w:type="spellEnd"/>
      <w:r w:rsidRPr="00635D1D">
        <w:t xml:space="preserve"> </w:t>
      </w:r>
      <w:proofErr w:type="spellStart"/>
      <w:r w:rsidRPr="00635D1D">
        <w:t>Luena</w:t>
      </w:r>
      <w:proofErr w:type="spellEnd"/>
      <w:r w:rsidRPr="00635D1D">
        <w:t xml:space="preserve">, Christophe </w:t>
      </w:r>
      <w:proofErr w:type="spellStart"/>
      <w:r w:rsidRPr="00635D1D">
        <w:t>Clergeau</w:t>
      </w:r>
      <w:proofErr w:type="spellEnd"/>
      <w:r w:rsidRPr="00635D1D">
        <w:t xml:space="preserve">, </w:t>
      </w:r>
      <w:proofErr w:type="spellStart"/>
      <w:r w:rsidRPr="00635D1D">
        <w:t>Tiemo</w:t>
      </w:r>
      <w:proofErr w:type="spellEnd"/>
      <w:r w:rsidRPr="00635D1D">
        <w:t xml:space="preserve"> </w:t>
      </w:r>
      <w:proofErr w:type="spellStart"/>
      <w:r w:rsidRPr="00635D1D">
        <w:t>Wölken</w:t>
      </w:r>
      <w:proofErr w:type="spellEnd"/>
      <w:r w:rsidRPr="00635D1D">
        <w:t xml:space="preserve">, </w:t>
      </w:r>
      <w:proofErr w:type="spellStart"/>
      <w:r w:rsidRPr="00635D1D">
        <w:t>Annalisa</w:t>
      </w:r>
      <w:proofErr w:type="spellEnd"/>
      <w:r w:rsidRPr="00635D1D">
        <w:t xml:space="preserve"> Corrado, </w:t>
      </w:r>
      <w:proofErr w:type="spellStart"/>
      <w:r w:rsidRPr="00635D1D">
        <w:t>Heléne</w:t>
      </w:r>
      <w:proofErr w:type="spellEnd"/>
      <w:r w:rsidRPr="00635D1D">
        <w:t xml:space="preserve"> </w:t>
      </w:r>
      <w:proofErr w:type="spellStart"/>
      <w:r w:rsidRPr="00635D1D">
        <w:t>Fritzon</w:t>
      </w:r>
      <w:proofErr w:type="spellEnd"/>
      <w:r w:rsidRPr="00635D1D">
        <w:t xml:space="preserve">, Marta Temido, </w:t>
      </w:r>
      <w:proofErr w:type="spellStart"/>
      <w:r w:rsidRPr="00635D1D">
        <w:t>Christel</w:t>
      </w:r>
      <w:proofErr w:type="spellEnd"/>
      <w:r w:rsidRPr="00635D1D">
        <w:t xml:space="preserve"> </w:t>
      </w:r>
      <w:proofErr w:type="spellStart"/>
      <w:r w:rsidRPr="00635D1D">
        <w:t>Schaldemose</w:t>
      </w:r>
      <w:proofErr w:type="spellEnd"/>
      <w:r w:rsidRPr="00635D1D">
        <w:rPr>
          <w:rStyle w:val="HideTWBExt"/>
          <w:b w:val="0"/>
        </w:rPr>
        <w:t>&lt;/Members&gt;</w:t>
      </w:r>
    </w:p>
    <w:p w14:paraId="5B92A7A8" w14:textId="77777777" w:rsidR="008144C7" w:rsidRPr="00635D1D" w:rsidRDefault="008144C7" w:rsidP="008144C7">
      <w:pPr>
        <w:pStyle w:val="NormalBold"/>
      </w:pPr>
      <w:r w:rsidRPr="00635D1D">
        <w:rPr>
          <w:rStyle w:val="HideTWBExt"/>
          <w:b w:val="0"/>
        </w:rPr>
        <w:t>&lt;/RepeatBlock-By&gt;</w:t>
      </w:r>
    </w:p>
    <w:p w14:paraId="2436BDDC"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31E74FD" w14:textId="77777777" w:rsidR="008144C7" w:rsidRPr="00635D1D" w:rsidRDefault="008144C7" w:rsidP="008144C7">
      <w:pPr>
        <w:pStyle w:val="NormalBold"/>
      </w:pPr>
      <w:r w:rsidRPr="00635D1D">
        <w:rPr>
          <w:rStyle w:val="HideTWBExt"/>
          <w:b w:val="0"/>
        </w:rPr>
        <w:t>&lt;Article&gt;</w:t>
      </w:r>
      <w:r w:rsidRPr="00635D1D">
        <w:t>Motyw 6</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4B40D65" w14:textId="77777777" w:rsidTr="00C5582D">
        <w:trPr>
          <w:trHeight w:val="240"/>
          <w:jc w:val="center"/>
        </w:trPr>
        <w:tc>
          <w:tcPr>
            <w:tcW w:w="9752" w:type="dxa"/>
            <w:gridSpan w:val="2"/>
            <w:tcBorders>
              <w:top w:val="nil"/>
              <w:left w:val="nil"/>
              <w:bottom w:val="nil"/>
              <w:right w:val="nil"/>
            </w:tcBorders>
          </w:tcPr>
          <w:p w14:paraId="227B0679" w14:textId="77777777" w:rsidR="008144C7" w:rsidRPr="00635D1D" w:rsidRDefault="008144C7" w:rsidP="00C5582D"/>
        </w:tc>
      </w:tr>
      <w:tr w:rsidR="008144C7" w:rsidRPr="00635D1D" w14:paraId="2F82AFBD" w14:textId="77777777" w:rsidTr="00C5582D">
        <w:trPr>
          <w:trHeight w:val="240"/>
          <w:jc w:val="center"/>
        </w:trPr>
        <w:tc>
          <w:tcPr>
            <w:tcW w:w="4876" w:type="dxa"/>
            <w:tcBorders>
              <w:top w:val="nil"/>
              <w:left w:val="nil"/>
              <w:bottom w:val="nil"/>
              <w:right w:val="nil"/>
            </w:tcBorders>
            <w:hideMark/>
          </w:tcPr>
          <w:p w14:paraId="6A72D9CB"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531A357C" w14:textId="77777777" w:rsidR="008144C7" w:rsidRPr="00635D1D" w:rsidRDefault="008144C7" w:rsidP="00C5582D">
            <w:pPr>
              <w:pStyle w:val="AmColumnHeading"/>
            </w:pPr>
            <w:r w:rsidRPr="00635D1D">
              <w:t>Poprawka</w:t>
            </w:r>
          </w:p>
        </w:tc>
      </w:tr>
      <w:tr w:rsidR="008144C7" w:rsidRPr="00635D1D" w14:paraId="72A462A0" w14:textId="77777777" w:rsidTr="00C5582D">
        <w:trPr>
          <w:jc w:val="center"/>
        </w:trPr>
        <w:tc>
          <w:tcPr>
            <w:tcW w:w="4876" w:type="dxa"/>
            <w:tcBorders>
              <w:top w:val="nil"/>
              <w:left w:val="nil"/>
              <w:bottom w:val="nil"/>
              <w:right w:val="nil"/>
            </w:tcBorders>
            <w:hideMark/>
          </w:tcPr>
          <w:p w14:paraId="439CA965" w14:textId="77777777" w:rsidR="008144C7" w:rsidRPr="00635D1D" w:rsidRDefault="008144C7" w:rsidP="00C5582D">
            <w:pPr>
              <w:pStyle w:val="Normal6a"/>
            </w:pPr>
            <w:r w:rsidRPr="00635D1D">
              <w:rPr>
                <w:b/>
                <w:i/>
              </w:rPr>
              <w:t>(6)</w:t>
            </w:r>
            <w:r w:rsidRPr="00635D1D">
              <w:tab/>
            </w:r>
            <w:r w:rsidRPr="00635D1D">
              <w:rPr>
                <w:b/>
                <w:i/>
              </w:rPr>
              <w:t>Aby zapewnić dostawcom elastyczność i stworzyć równe warunki dla małych i średnich przedsiębiorstw, które często zlecają usługi drukowania etykiet innym podmiotom, oraz ułatwić przygotowanie i produkcję etykiet rozkładanych, które trwają znacznie dłużej niż w przypadku standardowych etykiet, należy znieść ustalony sześciomiesięczny termin na dokonanie ponownego oznakowania oraz wprowadzić wymóg zmiany etykiet bez zbędnej zwłoki po uzyskaniu przez dostawcę nowych danych lub otrzymaniu o nich informacji.</w:t>
            </w:r>
          </w:p>
        </w:tc>
        <w:tc>
          <w:tcPr>
            <w:tcW w:w="4876" w:type="dxa"/>
            <w:tcBorders>
              <w:top w:val="nil"/>
              <w:left w:val="nil"/>
              <w:bottom w:val="nil"/>
              <w:right w:val="nil"/>
            </w:tcBorders>
            <w:hideMark/>
          </w:tcPr>
          <w:p w14:paraId="6C1B6952" w14:textId="77777777" w:rsidR="008144C7" w:rsidRPr="00635D1D" w:rsidRDefault="008144C7" w:rsidP="00C5582D">
            <w:pPr>
              <w:pStyle w:val="Normal6a"/>
            </w:pPr>
            <w:r w:rsidRPr="00635D1D">
              <w:rPr>
                <w:b/>
                <w:i/>
              </w:rPr>
              <w:t>skreśla się</w:t>
            </w:r>
          </w:p>
        </w:tc>
      </w:tr>
    </w:tbl>
    <w:p w14:paraId="27688D70"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7106B828" w14:textId="77777777" w:rsidR="008144C7" w:rsidRPr="00635D1D" w:rsidRDefault="008144C7" w:rsidP="008144C7">
      <w:r w:rsidRPr="00635D1D">
        <w:rPr>
          <w:rStyle w:val="HideTWBExt"/>
        </w:rPr>
        <w:t>&lt;/Amend&gt;</w:t>
      </w:r>
    </w:p>
    <w:p w14:paraId="15D08DFC"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127</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7CE3C633"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Majdouline</w:t>
      </w:r>
      <w:proofErr w:type="spellEnd"/>
      <w:r w:rsidRPr="00AD15CF">
        <w:rPr>
          <w:lang w:val="en-GB"/>
        </w:rPr>
        <w:t xml:space="preserve"> </w:t>
      </w:r>
      <w:proofErr w:type="spellStart"/>
      <w:r w:rsidRPr="00AD15CF">
        <w:rPr>
          <w:lang w:val="en-GB"/>
        </w:rPr>
        <w:t>Sbai</w:t>
      </w:r>
      <w:proofErr w:type="spellEnd"/>
      <w:r w:rsidRPr="00AD15CF">
        <w:rPr>
          <w:rStyle w:val="HideTWBExt"/>
          <w:b w:val="0"/>
          <w:lang w:val="en-GB"/>
        </w:rPr>
        <w:t>&lt;/Members&gt;</w:t>
      </w:r>
    </w:p>
    <w:p w14:paraId="49378192" w14:textId="77777777" w:rsidR="008144C7" w:rsidRPr="00635D1D" w:rsidRDefault="008144C7" w:rsidP="008144C7">
      <w:pPr>
        <w:pStyle w:val="NormalBold"/>
      </w:pPr>
      <w:r w:rsidRPr="00635D1D">
        <w:rPr>
          <w:rStyle w:val="HideTWBExt"/>
          <w:b w:val="0"/>
        </w:rPr>
        <w:t>&lt;/RepeatBlock-By&gt;</w:t>
      </w:r>
    </w:p>
    <w:p w14:paraId="71729F5E"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558D77A" w14:textId="77777777" w:rsidR="008144C7" w:rsidRPr="00635D1D" w:rsidRDefault="008144C7" w:rsidP="008144C7">
      <w:pPr>
        <w:pStyle w:val="NormalBold"/>
      </w:pPr>
      <w:r w:rsidRPr="00635D1D">
        <w:rPr>
          <w:rStyle w:val="HideTWBExt"/>
          <w:b w:val="0"/>
        </w:rPr>
        <w:t>&lt;Article&gt;</w:t>
      </w:r>
      <w:r w:rsidRPr="00635D1D">
        <w:t>Motyw 6</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85A0F04" w14:textId="77777777" w:rsidTr="00C5582D">
        <w:trPr>
          <w:trHeight w:val="240"/>
          <w:jc w:val="center"/>
        </w:trPr>
        <w:tc>
          <w:tcPr>
            <w:tcW w:w="9752" w:type="dxa"/>
            <w:gridSpan w:val="2"/>
            <w:tcBorders>
              <w:top w:val="nil"/>
              <w:left w:val="nil"/>
              <w:bottom w:val="nil"/>
              <w:right w:val="nil"/>
            </w:tcBorders>
          </w:tcPr>
          <w:p w14:paraId="4C4F46C0" w14:textId="77777777" w:rsidR="008144C7" w:rsidRPr="00635D1D" w:rsidRDefault="008144C7" w:rsidP="00C5582D"/>
        </w:tc>
      </w:tr>
      <w:tr w:rsidR="008144C7" w:rsidRPr="00635D1D" w14:paraId="30AC6B67" w14:textId="77777777" w:rsidTr="00C5582D">
        <w:trPr>
          <w:trHeight w:val="240"/>
          <w:jc w:val="center"/>
        </w:trPr>
        <w:tc>
          <w:tcPr>
            <w:tcW w:w="4876" w:type="dxa"/>
            <w:tcBorders>
              <w:top w:val="nil"/>
              <w:left w:val="nil"/>
              <w:bottom w:val="nil"/>
              <w:right w:val="nil"/>
            </w:tcBorders>
            <w:hideMark/>
          </w:tcPr>
          <w:p w14:paraId="51FEC912"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6748F5B" w14:textId="77777777" w:rsidR="008144C7" w:rsidRPr="00635D1D" w:rsidRDefault="008144C7" w:rsidP="00C5582D">
            <w:pPr>
              <w:pStyle w:val="AmColumnHeading"/>
            </w:pPr>
            <w:r w:rsidRPr="00635D1D">
              <w:t>Poprawka</w:t>
            </w:r>
          </w:p>
        </w:tc>
      </w:tr>
      <w:tr w:rsidR="008144C7" w:rsidRPr="00635D1D" w14:paraId="3DA64EED" w14:textId="77777777" w:rsidTr="00C5582D">
        <w:trPr>
          <w:jc w:val="center"/>
        </w:trPr>
        <w:tc>
          <w:tcPr>
            <w:tcW w:w="4876" w:type="dxa"/>
            <w:tcBorders>
              <w:top w:val="nil"/>
              <w:left w:val="nil"/>
              <w:bottom w:val="nil"/>
              <w:right w:val="nil"/>
            </w:tcBorders>
            <w:hideMark/>
          </w:tcPr>
          <w:p w14:paraId="61A123FC" w14:textId="77777777" w:rsidR="008144C7" w:rsidRPr="00635D1D" w:rsidRDefault="008144C7" w:rsidP="00C5582D">
            <w:pPr>
              <w:pStyle w:val="Normal6a"/>
            </w:pPr>
            <w:r w:rsidRPr="00635D1D">
              <w:t>(6)</w:t>
            </w:r>
            <w:r w:rsidRPr="00635D1D">
              <w:tab/>
              <w:t xml:space="preserve">Aby zapewnić </w:t>
            </w:r>
            <w:r w:rsidRPr="00635D1D">
              <w:rPr>
                <w:b/>
                <w:i/>
              </w:rPr>
              <w:t>dostawcom elastyczność</w:t>
            </w:r>
            <w:r w:rsidRPr="00635D1D">
              <w:t xml:space="preserve"> i stworzyć równe warunki dla małych i średnich przedsiębiorstw, które często zlecają usługi drukowania etykiet innym podmiotom, oraz ułatwić przygotowanie i produkcję etykiet rozkładanych, które trwają znacznie dłużej niż w przypadku standardowych etykiet, należy </w:t>
            </w:r>
            <w:r w:rsidRPr="00635D1D">
              <w:rPr>
                <w:b/>
                <w:i/>
              </w:rPr>
              <w:t>znieść ustalony sześciomiesięczny termin na dokonanie ponownego oznakowania oraz wprowadzić wymóg zmiany</w:t>
            </w:r>
            <w:r w:rsidRPr="00635D1D">
              <w:t xml:space="preserve"> etykiet </w:t>
            </w:r>
            <w:r w:rsidRPr="00635D1D">
              <w:rPr>
                <w:b/>
                <w:i/>
              </w:rPr>
              <w:t>bez zbędnej zwłoki po uzyskaniu przez dostawcę nowych danych lub otrzymaniu o nich informacji</w:t>
            </w:r>
            <w:r w:rsidRPr="00635D1D">
              <w:t>.</w:t>
            </w:r>
          </w:p>
        </w:tc>
        <w:tc>
          <w:tcPr>
            <w:tcW w:w="4876" w:type="dxa"/>
            <w:tcBorders>
              <w:top w:val="nil"/>
              <w:left w:val="nil"/>
              <w:bottom w:val="nil"/>
              <w:right w:val="nil"/>
            </w:tcBorders>
            <w:hideMark/>
          </w:tcPr>
          <w:p w14:paraId="7DEE6504" w14:textId="77777777" w:rsidR="008144C7" w:rsidRPr="00635D1D" w:rsidRDefault="008144C7" w:rsidP="00C5582D">
            <w:pPr>
              <w:pStyle w:val="Normal6a"/>
            </w:pPr>
            <w:r w:rsidRPr="00635D1D">
              <w:t>(6)</w:t>
            </w:r>
            <w:r w:rsidRPr="00635D1D">
              <w:tab/>
              <w:t xml:space="preserve">Aby zapewnić </w:t>
            </w:r>
            <w:r w:rsidRPr="00635D1D">
              <w:rPr>
                <w:b/>
                <w:i/>
              </w:rPr>
              <w:t xml:space="preserve">jasne i egzekwowalne przepisy dla wszystkich dostawców w odniesieniu do aktualizacji etykiet w przypadku nowych lub surowszych </w:t>
            </w:r>
            <w:proofErr w:type="spellStart"/>
            <w:r w:rsidRPr="00635D1D">
              <w:rPr>
                <w:b/>
                <w:i/>
              </w:rPr>
              <w:t>samoklasyfikacji</w:t>
            </w:r>
            <w:proofErr w:type="spellEnd"/>
            <w:r w:rsidRPr="00635D1D">
              <w:t xml:space="preserve"> i stworzyć równe warunki dla małych i średnich przedsiębiorstw, które często zlecają usługi drukowania etykiet innym podmiotom, oraz ułatwić przygotowanie i produkcję etykiet rozkładanych, które trwają znacznie dłużej niż w przypadku standardowych etykiet, należy </w:t>
            </w:r>
            <w:r w:rsidRPr="00635D1D">
              <w:rPr>
                <w:b/>
                <w:i/>
              </w:rPr>
              <w:t>ustanowić system aktualizacji takich</w:t>
            </w:r>
            <w:r w:rsidRPr="00635D1D">
              <w:t xml:space="preserve"> etykiet </w:t>
            </w:r>
            <w:r w:rsidRPr="00635D1D">
              <w:rPr>
                <w:b/>
                <w:i/>
              </w:rPr>
              <w:t>analogicznie do tego, co ma miejsce w przypadku zharmonizowanych klasyfikacji. Co roku Agencja powinna publikować wykaz nowych lub surowszych klasyfikacji z poprzedniego roku, a dostawcy takiej substancji lub mieszaniny powinni odpowiednio aktualizować swoją etykietę w jasnych ramach czasowych mających zastosowanie do wszystkich</w:t>
            </w:r>
            <w:r w:rsidRPr="00635D1D">
              <w:t>.</w:t>
            </w:r>
          </w:p>
        </w:tc>
      </w:tr>
    </w:tbl>
    <w:p w14:paraId="302EB955"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0B88C68D"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1935CC71" w14:textId="77777777" w:rsidR="008144C7" w:rsidRPr="00AD15CF" w:rsidRDefault="008144C7" w:rsidP="008144C7">
      <w:pPr>
        <w:pStyle w:val="AmJustText"/>
        <w:rPr>
          <w:lang w:val="en-GB"/>
        </w:rPr>
      </w:pPr>
      <w:r w:rsidRPr="00AD15CF">
        <w:rPr>
          <w:lang w:val="en-GB"/>
        </w:rPr>
        <w:t xml:space="preserve">The updates of hazard labels in case of changes in self-classification should follow a structure as applicable for such updates in case of changes of harmonised classification. Instead of each individual self-classification triggering a supplier after supplier update requirement, all relevant changes in self-classification in one calendar year should be grouped by the ECHA into one document at the beginning of the next calendar year. All suppliers should then have 18 months to update their label. Annual grouping of such updates with a clear periodicity for all suppliers would truly simplify issues, instead of unclear periods that can be triggered at any moment and that are virtually impossible to enforce </w:t>
      </w:r>
      <w:proofErr w:type="gramStart"/>
      <w:r w:rsidRPr="00AD15CF">
        <w:rPr>
          <w:lang w:val="en-GB"/>
        </w:rPr>
        <w:t>in light of</w:t>
      </w:r>
      <w:proofErr w:type="gramEnd"/>
      <w:r w:rsidRPr="00AD15CF">
        <w:rPr>
          <w:lang w:val="en-GB"/>
        </w:rPr>
        <w:t xml:space="preserve"> the complexities of supply chains. And it would leave ample time for suppliers for the update.</w:t>
      </w:r>
    </w:p>
    <w:p w14:paraId="3FF0CDE3" w14:textId="77777777" w:rsidR="008144C7" w:rsidRPr="00AD15CF" w:rsidRDefault="008144C7" w:rsidP="008144C7">
      <w:pPr>
        <w:rPr>
          <w:lang w:val="en-GB"/>
        </w:rPr>
      </w:pPr>
      <w:r w:rsidRPr="00AD15CF">
        <w:rPr>
          <w:rStyle w:val="HideTWBExt"/>
          <w:lang w:val="en-GB"/>
        </w:rPr>
        <w:t>&lt;/Amend&gt;</w:t>
      </w:r>
    </w:p>
    <w:p w14:paraId="52F4251A"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128</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7B402B30"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Elżbieta</w:t>
      </w:r>
      <w:proofErr w:type="spellEnd"/>
      <w:r w:rsidRPr="00AD15CF">
        <w:rPr>
          <w:lang w:val="en-GB"/>
        </w:rPr>
        <w:t xml:space="preserve"> Katarzyna </w:t>
      </w:r>
      <w:proofErr w:type="spellStart"/>
      <w:r w:rsidRPr="00AD15CF">
        <w:rPr>
          <w:lang w:val="en-GB"/>
        </w:rPr>
        <w:t>Łukacijewska</w:t>
      </w:r>
      <w:proofErr w:type="spellEnd"/>
      <w:r w:rsidRPr="00AD15CF">
        <w:rPr>
          <w:lang w:val="en-GB"/>
        </w:rPr>
        <w:t xml:space="preserve">, Ewa Kopacz, Hanna Gronkiewicz-Waltz, Adam </w:t>
      </w:r>
      <w:proofErr w:type="spellStart"/>
      <w:r w:rsidRPr="00AD15CF">
        <w:rPr>
          <w:lang w:val="en-GB"/>
        </w:rPr>
        <w:t>Jarubas</w:t>
      </w:r>
      <w:proofErr w:type="spellEnd"/>
      <w:r w:rsidRPr="00AD15CF">
        <w:rPr>
          <w:rStyle w:val="HideTWBExt"/>
          <w:b w:val="0"/>
          <w:lang w:val="en-GB"/>
        </w:rPr>
        <w:t>&lt;/Members&gt;</w:t>
      </w:r>
    </w:p>
    <w:p w14:paraId="67C5BAFC" w14:textId="77777777" w:rsidR="008144C7" w:rsidRPr="00635D1D" w:rsidRDefault="008144C7" w:rsidP="008144C7">
      <w:pPr>
        <w:pStyle w:val="NormalBold"/>
      </w:pPr>
      <w:r w:rsidRPr="00635D1D">
        <w:rPr>
          <w:rStyle w:val="HideTWBExt"/>
          <w:b w:val="0"/>
        </w:rPr>
        <w:t>&lt;/RepeatBlock-By&gt;</w:t>
      </w:r>
    </w:p>
    <w:p w14:paraId="27A33AC7"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C12A6FB" w14:textId="77777777" w:rsidR="008144C7" w:rsidRPr="00635D1D" w:rsidRDefault="008144C7" w:rsidP="008144C7">
      <w:pPr>
        <w:pStyle w:val="NormalBold"/>
      </w:pPr>
      <w:r w:rsidRPr="00635D1D">
        <w:rPr>
          <w:rStyle w:val="HideTWBExt"/>
          <w:b w:val="0"/>
        </w:rPr>
        <w:t>&lt;Article&gt;</w:t>
      </w:r>
      <w:r w:rsidRPr="00635D1D">
        <w:t>Motyw 6</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14B1F5B" w14:textId="77777777" w:rsidTr="00C5582D">
        <w:trPr>
          <w:trHeight w:val="240"/>
          <w:jc w:val="center"/>
        </w:trPr>
        <w:tc>
          <w:tcPr>
            <w:tcW w:w="9752" w:type="dxa"/>
            <w:gridSpan w:val="2"/>
            <w:tcBorders>
              <w:top w:val="nil"/>
              <w:left w:val="nil"/>
              <w:bottom w:val="nil"/>
              <w:right w:val="nil"/>
            </w:tcBorders>
          </w:tcPr>
          <w:p w14:paraId="329CB7FC" w14:textId="77777777" w:rsidR="008144C7" w:rsidRPr="00635D1D" w:rsidRDefault="008144C7" w:rsidP="00C5582D"/>
        </w:tc>
      </w:tr>
      <w:tr w:rsidR="008144C7" w:rsidRPr="00635D1D" w14:paraId="3804308B" w14:textId="77777777" w:rsidTr="00C5582D">
        <w:trPr>
          <w:trHeight w:val="240"/>
          <w:jc w:val="center"/>
        </w:trPr>
        <w:tc>
          <w:tcPr>
            <w:tcW w:w="4876" w:type="dxa"/>
            <w:tcBorders>
              <w:top w:val="nil"/>
              <w:left w:val="nil"/>
              <w:bottom w:val="nil"/>
              <w:right w:val="nil"/>
            </w:tcBorders>
            <w:hideMark/>
          </w:tcPr>
          <w:p w14:paraId="79FEB39B"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B3D4170" w14:textId="77777777" w:rsidR="008144C7" w:rsidRPr="00635D1D" w:rsidRDefault="008144C7" w:rsidP="00C5582D">
            <w:pPr>
              <w:pStyle w:val="AmColumnHeading"/>
            </w:pPr>
            <w:r w:rsidRPr="00635D1D">
              <w:t>Poprawka</w:t>
            </w:r>
          </w:p>
        </w:tc>
      </w:tr>
      <w:tr w:rsidR="008144C7" w:rsidRPr="00635D1D" w14:paraId="5C8A48AF" w14:textId="77777777" w:rsidTr="00C5582D">
        <w:trPr>
          <w:jc w:val="center"/>
        </w:trPr>
        <w:tc>
          <w:tcPr>
            <w:tcW w:w="4876" w:type="dxa"/>
            <w:tcBorders>
              <w:top w:val="nil"/>
              <w:left w:val="nil"/>
              <w:bottom w:val="nil"/>
              <w:right w:val="nil"/>
            </w:tcBorders>
            <w:hideMark/>
          </w:tcPr>
          <w:p w14:paraId="13C70995" w14:textId="77777777" w:rsidR="008144C7" w:rsidRPr="00635D1D" w:rsidRDefault="008144C7" w:rsidP="00C5582D">
            <w:pPr>
              <w:pStyle w:val="Normal6a"/>
            </w:pPr>
            <w:r w:rsidRPr="00635D1D">
              <w:t>(6)</w:t>
            </w:r>
            <w:r w:rsidRPr="00635D1D">
              <w:tab/>
              <w:t xml:space="preserve">Aby zapewnić dostawcom elastyczność i stworzyć równe warunki dla małych i średnich przedsiębiorstw, które często zlecają usługi drukowania etykiet innym podmiotom, oraz ułatwić przygotowanie i produkcję etykiet rozkładanych, które trwają znacznie dłużej niż w przypadku standardowych etykiet, należy </w:t>
            </w:r>
            <w:r w:rsidRPr="00635D1D">
              <w:rPr>
                <w:b/>
                <w:i/>
              </w:rPr>
              <w:t>znieść</w:t>
            </w:r>
            <w:r w:rsidRPr="00635D1D">
              <w:t xml:space="preserve"> ustalony sześciomiesięczny termin na dokonanie ponownego oznakowania </w:t>
            </w:r>
            <w:r w:rsidRPr="00635D1D">
              <w:rPr>
                <w:b/>
                <w:i/>
              </w:rPr>
              <w:t>oraz wprowadzić wymóg</w:t>
            </w:r>
            <w:r w:rsidRPr="00635D1D">
              <w:t xml:space="preserve"> zmiany etykiet bez zbędnej zwłoki po uzyskaniu przez dostawcę nowych danych lub otrzymaniu o nich informacji.</w:t>
            </w:r>
          </w:p>
        </w:tc>
        <w:tc>
          <w:tcPr>
            <w:tcW w:w="4876" w:type="dxa"/>
            <w:tcBorders>
              <w:top w:val="nil"/>
              <w:left w:val="nil"/>
              <w:bottom w:val="nil"/>
              <w:right w:val="nil"/>
            </w:tcBorders>
            <w:hideMark/>
          </w:tcPr>
          <w:p w14:paraId="55C75EBC" w14:textId="77777777" w:rsidR="008144C7" w:rsidRPr="00635D1D" w:rsidRDefault="008144C7" w:rsidP="00C5582D">
            <w:pPr>
              <w:pStyle w:val="Normal6a"/>
            </w:pPr>
            <w:r w:rsidRPr="00635D1D">
              <w:t>(6)</w:t>
            </w:r>
            <w:r w:rsidRPr="00635D1D">
              <w:tab/>
              <w:t xml:space="preserve">Aby zapewnić dostawcom </w:t>
            </w:r>
            <w:r w:rsidRPr="00635D1D">
              <w:rPr>
                <w:b/>
                <w:bCs/>
                <w:i/>
                <w:iCs/>
              </w:rPr>
              <w:t>substancji i mieszanin</w:t>
            </w:r>
            <w:r w:rsidRPr="00635D1D">
              <w:t xml:space="preserve"> elastyczność i stworzyć równe warunki dla małych i średnich przedsiębiorstw, które często zlecają usługi drukowania etykiet innym podmiotom, oraz ułatwić przygotowanie i produkcję etykiet rozkładanych, które trwają znacznie dłużej niż w przypadku standardowych etykiet, należy </w:t>
            </w:r>
            <w:r w:rsidRPr="00635D1D">
              <w:rPr>
                <w:b/>
                <w:i/>
              </w:rPr>
              <w:t>przedłużyć</w:t>
            </w:r>
            <w:r w:rsidRPr="00635D1D">
              <w:t xml:space="preserve"> ustalony sześciomiesięczny termin na dokonanie ponownego oznakowania </w:t>
            </w:r>
            <w:r w:rsidRPr="00635D1D">
              <w:rPr>
                <w:b/>
                <w:i/>
              </w:rPr>
              <w:t>do 24 miesięcy na podmiot, a jednocześnie dalej wymagać</w:t>
            </w:r>
            <w:r w:rsidRPr="00635D1D">
              <w:t xml:space="preserve"> zmiany etykiet bez zbędnej zwłoki po uzyskaniu przez dostawcę nowych danych lub otrzymaniu o nich informacji.</w:t>
            </w:r>
          </w:p>
        </w:tc>
      </w:tr>
    </w:tbl>
    <w:p w14:paraId="40133B1D"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3CCFA3B3" w14:textId="77777777" w:rsidR="008144C7" w:rsidRPr="00AD15CF" w:rsidRDefault="008144C7" w:rsidP="008144C7">
      <w:pPr>
        <w:rPr>
          <w:lang w:val="en-GB"/>
        </w:rPr>
      </w:pPr>
      <w:r w:rsidRPr="00AD15CF">
        <w:rPr>
          <w:rStyle w:val="HideTWBExt"/>
          <w:lang w:val="en-GB"/>
        </w:rPr>
        <w:t>&lt;/Amend&gt;</w:t>
      </w:r>
    </w:p>
    <w:p w14:paraId="1D30EDC4"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129</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791E478D"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Martin </w:t>
      </w:r>
      <w:proofErr w:type="spellStart"/>
      <w:r w:rsidRPr="00AD15CF">
        <w:rPr>
          <w:lang w:val="en-GB"/>
        </w:rPr>
        <w:t>Hojsík</w:t>
      </w:r>
      <w:proofErr w:type="spellEnd"/>
      <w:r w:rsidRPr="00AD15CF">
        <w:rPr>
          <w:lang w:val="en-GB"/>
        </w:rPr>
        <w:t xml:space="preserve">, Michal </w:t>
      </w:r>
      <w:proofErr w:type="spellStart"/>
      <w:r w:rsidRPr="00AD15CF">
        <w:rPr>
          <w:lang w:val="en-GB"/>
        </w:rPr>
        <w:t>Wiezik</w:t>
      </w:r>
      <w:proofErr w:type="spellEnd"/>
      <w:r w:rsidRPr="00AD15CF">
        <w:rPr>
          <w:lang w:val="en-GB"/>
        </w:rPr>
        <w:t xml:space="preserve">, Pascal </w:t>
      </w:r>
      <w:proofErr w:type="spellStart"/>
      <w:r w:rsidRPr="00AD15CF">
        <w:rPr>
          <w:lang w:val="en-GB"/>
        </w:rPr>
        <w:t>Canfin</w:t>
      </w:r>
      <w:proofErr w:type="spellEnd"/>
      <w:r w:rsidRPr="00AD15CF">
        <w:rPr>
          <w:lang w:val="en-GB"/>
        </w:rPr>
        <w:t xml:space="preserve">, </w:t>
      </w:r>
      <w:proofErr w:type="spellStart"/>
      <w:r w:rsidRPr="00AD15CF">
        <w:rPr>
          <w:lang w:val="en-GB"/>
        </w:rPr>
        <w:t>Grégory</w:t>
      </w:r>
      <w:proofErr w:type="spellEnd"/>
      <w:r w:rsidRPr="00AD15CF">
        <w:rPr>
          <w:lang w:val="en-GB"/>
        </w:rPr>
        <w:t xml:space="preserve"> </w:t>
      </w:r>
      <w:proofErr w:type="spellStart"/>
      <w:r w:rsidRPr="00AD15CF">
        <w:rPr>
          <w:lang w:val="en-GB"/>
        </w:rPr>
        <w:t>Allione</w:t>
      </w:r>
      <w:proofErr w:type="spellEnd"/>
      <w:r w:rsidRPr="00AD15CF">
        <w:rPr>
          <w:rStyle w:val="HideTWBExt"/>
          <w:b w:val="0"/>
          <w:lang w:val="en-GB"/>
        </w:rPr>
        <w:t>&lt;/Members&gt;</w:t>
      </w:r>
    </w:p>
    <w:p w14:paraId="19ABD3C7" w14:textId="77777777" w:rsidR="008144C7" w:rsidRPr="00635D1D" w:rsidRDefault="008144C7" w:rsidP="008144C7">
      <w:pPr>
        <w:pStyle w:val="NormalBold"/>
      </w:pPr>
      <w:r w:rsidRPr="00635D1D">
        <w:rPr>
          <w:rStyle w:val="HideTWBExt"/>
          <w:b w:val="0"/>
        </w:rPr>
        <w:t>&lt;/RepeatBlock-By&gt;</w:t>
      </w:r>
    </w:p>
    <w:p w14:paraId="6FE82DF7"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938512B" w14:textId="77777777" w:rsidR="008144C7" w:rsidRPr="00635D1D" w:rsidRDefault="008144C7" w:rsidP="008144C7">
      <w:pPr>
        <w:pStyle w:val="NormalBold"/>
      </w:pPr>
      <w:r w:rsidRPr="00635D1D">
        <w:rPr>
          <w:rStyle w:val="HideTWBExt"/>
          <w:b w:val="0"/>
        </w:rPr>
        <w:t>&lt;Article&gt;</w:t>
      </w:r>
      <w:r w:rsidRPr="00635D1D">
        <w:t>Motyw 6</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FD9C66F" w14:textId="77777777" w:rsidTr="00C5582D">
        <w:trPr>
          <w:trHeight w:val="240"/>
          <w:jc w:val="center"/>
        </w:trPr>
        <w:tc>
          <w:tcPr>
            <w:tcW w:w="9752" w:type="dxa"/>
            <w:gridSpan w:val="2"/>
            <w:tcBorders>
              <w:top w:val="nil"/>
              <w:left w:val="nil"/>
              <w:bottom w:val="nil"/>
              <w:right w:val="nil"/>
            </w:tcBorders>
          </w:tcPr>
          <w:p w14:paraId="408EC2F3" w14:textId="77777777" w:rsidR="008144C7" w:rsidRPr="00635D1D" w:rsidRDefault="008144C7" w:rsidP="00C5582D"/>
        </w:tc>
      </w:tr>
      <w:tr w:rsidR="008144C7" w:rsidRPr="00635D1D" w14:paraId="3AC628B2" w14:textId="77777777" w:rsidTr="00C5582D">
        <w:trPr>
          <w:trHeight w:val="240"/>
          <w:jc w:val="center"/>
        </w:trPr>
        <w:tc>
          <w:tcPr>
            <w:tcW w:w="4876" w:type="dxa"/>
            <w:tcBorders>
              <w:top w:val="nil"/>
              <w:left w:val="nil"/>
              <w:bottom w:val="nil"/>
              <w:right w:val="nil"/>
            </w:tcBorders>
            <w:hideMark/>
          </w:tcPr>
          <w:p w14:paraId="209E6838"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810E24A" w14:textId="77777777" w:rsidR="008144C7" w:rsidRPr="00635D1D" w:rsidRDefault="008144C7" w:rsidP="00C5582D">
            <w:pPr>
              <w:pStyle w:val="AmColumnHeading"/>
            </w:pPr>
            <w:r w:rsidRPr="00635D1D">
              <w:t>Poprawka</w:t>
            </w:r>
          </w:p>
        </w:tc>
      </w:tr>
      <w:tr w:rsidR="008144C7" w:rsidRPr="00635D1D" w14:paraId="4C6AB436" w14:textId="77777777" w:rsidTr="00C5582D">
        <w:trPr>
          <w:jc w:val="center"/>
        </w:trPr>
        <w:tc>
          <w:tcPr>
            <w:tcW w:w="4876" w:type="dxa"/>
            <w:tcBorders>
              <w:top w:val="nil"/>
              <w:left w:val="nil"/>
              <w:bottom w:val="nil"/>
              <w:right w:val="nil"/>
            </w:tcBorders>
            <w:hideMark/>
          </w:tcPr>
          <w:p w14:paraId="5F13F939" w14:textId="77777777" w:rsidR="008144C7" w:rsidRPr="00635D1D" w:rsidRDefault="008144C7" w:rsidP="00C5582D">
            <w:pPr>
              <w:pStyle w:val="Normal6a"/>
            </w:pPr>
            <w:r w:rsidRPr="00635D1D">
              <w:t>(6)</w:t>
            </w:r>
            <w:r w:rsidRPr="00635D1D">
              <w:tab/>
              <w:t xml:space="preserve">Aby zapewnić dostawcom </w:t>
            </w:r>
            <w:r w:rsidRPr="00635D1D">
              <w:rPr>
                <w:b/>
                <w:i/>
              </w:rPr>
              <w:t>elastyczność</w:t>
            </w:r>
            <w:r w:rsidRPr="00635D1D">
              <w:t xml:space="preserve"> i </w:t>
            </w:r>
            <w:r w:rsidRPr="00635D1D">
              <w:rPr>
                <w:b/>
                <w:i/>
              </w:rPr>
              <w:t>stworzyć równe warunki dla małych</w:t>
            </w:r>
            <w:r w:rsidRPr="00635D1D">
              <w:t xml:space="preserve"> i </w:t>
            </w:r>
            <w:r w:rsidRPr="00635D1D">
              <w:rPr>
                <w:b/>
                <w:bCs/>
                <w:i/>
                <w:iCs/>
              </w:rPr>
              <w:t>średnich przedsiębiorstw</w:t>
            </w:r>
            <w:r w:rsidRPr="00635D1D">
              <w:t xml:space="preserve">, które często zlecają usługi drukowania etykiet innym podmiotom, oraz ułatwić przygotowanie i produkcję etykiet rozkładanych, które trwają znacznie dłużej niż w przypadku standardowych etykiet, należy </w:t>
            </w:r>
            <w:r w:rsidRPr="00635D1D">
              <w:rPr>
                <w:b/>
                <w:i/>
              </w:rPr>
              <w:t>znieść ustalony sześciomiesięczny</w:t>
            </w:r>
            <w:r w:rsidRPr="00635D1D">
              <w:t xml:space="preserve"> termin na dokonanie ponownego oznakowania </w:t>
            </w:r>
            <w:r w:rsidRPr="00635D1D">
              <w:rPr>
                <w:b/>
                <w:i/>
              </w:rPr>
              <w:t>oraz wprowadzić wymóg zmiany etykiet bez zbędnej zwłoki</w:t>
            </w:r>
            <w:r w:rsidRPr="00635D1D">
              <w:t xml:space="preserve"> po uzyskaniu przez dostawcę nowych danych lub otrzymaniu o nich informacji.</w:t>
            </w:r>
          </w:p>
        </w:tc>
        <w:tc>
          <w:tcPr>
            <w:tcW w:w="4876" w:type="dxa"/>
            <w:tcBorders>
              <w:top w:val="nil"/>
              <w:left w:val="nil"/>
              <w:bottom w:val="nil"/>
              <w:right w:val="nil"/>
            </w:tcBorders>
            <w:hideMark/>
          </w:tcPr>
          <w:p w14:paraId="1C4CE144" w14:textId="77777777" w:rsidR="008144C7" w:rsidRPr="00635D1D" w:rsidRDefault="008144C7" w:rsidP="00C5582D">
            <w:pPr>
              <w:pStyle w:val="Normal6a"/>
            </w:pPr>
            <w:r w:rsidRPr="00635D1D">
              <w:t>(6)</w:t>
            </w:r>
            <w:r w:rsidRPr="00635D1D">
              <w:tab/>
              <w:t xml:space="preserve">Aby zapewnić </w:t>
            </w:r>
            <w:r w:rsidRPr="00635D1D">
              <w:rPr>
                <w:b/>
                <w:i/>
              </w:rPr>
              <w:t>więcej czasu</w:t>
            </w:r>
            <w:r w:rsidRPr="00635D1D">
              <w:t xml:space="preserve"> dostawcom </w:t>
            </w:r>
            <w:r w:rsidRPr="00635D1D">
              <w:rPr>
                <w:b/>
                <w:bCs/>
                <w:i/>
                <w:iCs/>
              </w:rPr>
              <w:t>substancji</w:t>
            </w:r>
            <w:r w:rsidRPr="00635D1D">
              <w:t xml:space="preserve"> i </w:t>
            </w:r>
            <w:r w:rsidRPr="00635D1D">
              <w:rPr>
                <w:b/>
                <w:i/>
              </w:rPr>
              <w:t>mieszanin, w szczególności małym</w:t>
            </w:r>
            <w:r w:rsidRPr="00635D1D">
              <w:t xml:space="preserve"> i </w:t>
            </w:r>
            <w:r w:rsidRPr="00635D1D">
              <w:rPr>
                <w:b/>
                <w:bCs/>
                <w:i/>
                <w:iCs/>
              </w:rPr>
              <w:t>średnim przedsiębiorstwom</w:t>
            </w:r>
            <w:r w:rsidRPr="00635D1D">
              <w:t xml:space="preserve">, które często zlecają usługi drukowania etykiet innym podmiotom, oraz ułatwić przygotowanie i produkcję etykiet rozkładanych, które trwają znacznie dłużej niż w przypadku standardowych etykiet, należy </w:t>
            </w:r>
            <w:r w:rsidRPr="00635D1D">
              <w:rPr>
                <w:b/>
                <w:i/>
              </w:rPr>
              <w:t>przedłużyć</w:t>
            </w:r>
            <w:r w:rsidRPr="00635D1D">
              <w:t xml:space="preserve"> termin na dokonanie ponownego oznakowania </w:t>
            </w:r>
            <w:r w:rsidRPr="00635D1D">
              <w:rPr>
                <w:b/>
                <w:i/>
              </w:rPr>
              <w:t>z sześciu do dziewięciu miesięcy</w:t>
            </w:r>
            <w:r w:rsidRPr="00635D1D">
              <w:t xml:space="preserve"> po uzyskaniu przez dostawcę nowych danych lub otrzymaniu o nich informacji.</w:t>
            </w:r>
          </w:p>
        </w:tc>
      </w:tr>
    </w:tbl>
    <w:p w14:paraId="34905289"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1FBB2039" w14:textId="77777777" w:rsidR="008144C7" w:rsidRPr="00AD15CF" w:rsidRDefault="008144C7" w:rsidP="008144C7">
      <w:pPr>
        <w:rPr>
          <w:lang w:val="en-GB"/>
        </w:rPr>
      </w:pPr>
      <w:r w:rsidRPr="00AD15CF">
        <w:rPr>
          <w:rStyle w:val="HideTWBExt"/>
          <w:lang w:val="en-GB"/>
        </w:rPr>
        <w:t>&lt;/Amend&gt;</w:t>
      </w:r>
    </w:p>
    <w:p w14:paraId="2D7D3652"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130</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3799C4A0"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Aurelijus</w:t>
      </w:r>
      <w:proofErr w:type="spellEnd"/>
      <w:r w:rsidRPr="00AD15CF">
        <w:rPr>
          <w:lang w:val="en-GB"/>
        </w:rPr>
        <w:t xml:space="preserve"> </w:t>
      </w:r>
      <w:proofErr w:type="spellStart"/>
      <w:r w:rsidRPr="00AD15CF">
        <w:rPr>
          <w:lang w:val="en-GB"/>
        </w:rPr>
        <w:t>Veryga</w:t>
      </w:r>
      <w:proofErr w:type="spellEnd"/>
      <w:r w:rsidRPr="00AD15CF">
        <w:rPr>
          <w:rStyle w:val="HideTWBExt"/>
          <w:b w:val="0"/>
          <w:lang w:val="en-GB"/>
        </w:rPr>
        <w:t>&lt;/Members&gt;</w:t>
      </w:r>
    </w:p>
    <w:p w14:paraId="211909FD" w14:textId="77777777" w:rsidR="008144C7" w:rsidRPr="00635D1D" w:rsidRDefault="008144C7" w:rsidP="008144C7">
      <w:pPr>
        <w:pStyle w:val="NormalBold"/>
      </w:pPr>
      <w:r w:rsidRPr="00635D1D">
        <w:rPr>
          <w:rStyle w:val="HideTWBExt"/>
          <w:b w:val="0"/>
        </w:rPr>
        <w:t>&lt;/RepeatBlock-By&gt;</w:t>
      </w:r>
    </w:p>
    <w:p w14:paraId="58A0FCE9"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31353DB" w14:textId="77777777" w:rsidR="008144C7" w:rsidRPr="00635D1D" w:rsidRDefault="008144C7" w:rsidP="008144C7">
      <w:pPr>
        <w:pStyle w:val="NormalBold"/>
      </w:pPr>
      <w:r w:rsidRPr="00635D1D">
        <w:rPr>
          <w:rStyle w:val="HideTWBExt"/>
          <w:b w:val="0"/>
        </w:rPr>
        <w:t>&lt;Article&gt;</w:t>
      </w:r>
      <w:r w:rsidRPr="00635D1D">
        <w:t>Motyw 6</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0D4EE751" w14:textId="77777777" w:rsidTr="00C5582D">
        <w:trPr>
          <w:trHeight w:val="240"/>
          <w:jc w:val="center"/>
        </w:trPr>
        <w:tc>
          <w:tcPr>
            <w:tcW w:w="9752" w:type="dxa"/>
            <w:gridSpan w:val="2"/>
            <w:tcBorders>
              <w:top w:val="nil"/>
              <w:left w:val="nil"/>
              <w:bottom w:val="nil"/>
              <w:right w:val="nil"/>
            </w:tcBorders>
          </w:tcPr>
          <w:p w14:paraId="0784D0E7" w14:textId="77777777" w:rsidR="008144C7" w:rsidRPr="00635D1D" w:rsidRDefault="008144C7" w:rsidP="00C5582D"/>
        </w:tc>
      </w:tr>
      <w:tr w:rsidR="008144C7" w:rsidRPr="00635D1D" w14:paraId="3F9A4A97" w14:textId="77777777" w:rsidTr="00C5582D">
        <w:trPr>
          <w:trHeight w:val="240"/>
          <w:jc w:val="center"/>
        </w:trPr>
        <w:tc>
          <w:tcPr>
            <w:tcW w:w="4876" w:type="dxa"/>
            <w:tcBorders>
              <w:top w:val="nil"/>
              <w:left w:val="nil"/>
              <w:bottom w:val="nil"/>
              <w:right w:val="nil"/>
            </w:tcBorders>
            <w:hideMark/>
          </w:tcPr>
          <w:p w14:paraId="270CC726"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040C38A" w14:textId="77777777" w:rsidR="008144C7" w:rsidRPr="00635D1D" w:rsidRDefault="008144C7" w:rsidP="00C5582D">
            <w:pPr>
              <w:pStyle w:val="AmColumnHeading"/>
            </w:pPr>
            <w:r w:rsidRPr="00635D1D">
              <w:t>Poprawka</w:t>
            </w:r>
          </w:p>
        </w:tc>
      </w:tr>
      <w:tr w:rsidR="008144C7" w:rsidRPr="00635D1D" w14:paraId="20896750" w14:textId="77777777" w:rsidTr="00C5582D">
        <w:trPr>
          <w:jc w:val="center"/>
        </w:trPr>
        <w:tc>
          <w:tcPr>
            <w:tcW w:w="4876" w:type="dxa"/>
            <w:tcBorders>
              <w:top w:val="nil"/>
              <w:left w:val="nil"/>
              <w:bottom w:val="nil"/>
              <w:right w:val="nil"/>
            </w:tcBorders>
            <w:hideMark/>
          </w:tcPr>
          <w:p w14:paraId="1D2C6B4F" w14:textId="77777777" w:rsidR="008144C7" w:rsidRPr="00635D1D" w:rsidRDefault="008144C7" w:rsidP="00C5582D">
            <w:pPr>
              <w:pStyle w:val="Normal6a"/>
            </w:pPr>
            <w:r w:rsidRPr="00635D1D">
              <w:t>(6)</w:t>
            </w:r>
            <w:r w:rsidRPr="00635D1D">
              <w:tab/>
              <w:t xml:space="preserve">Aby zapewnić dostawcom elastyczność i stworzyć równe warunki dla małych i średnich przedsiębiorstw, które często zlecają usługi drukowania etykiet innym podmiotom, oraz ułatwić przygotowanie i produkcję etykiet rozkładanych, które trwają znacznie dłużej niż w przypadku standardowych etykiet, należy </w:t>
            </w:r>
            <w:r w:rsidRPr="00635D1D">
              <w:rPr>
                <w:b/>
                <w:i/>
              </w:rPr>
              <w:t>znieść</w:t>
            </w:r>
            <w:r w:rsidRPr="00635D1D">
              <w:t xml:space="preserve"> ustalony sześciomiesięczny termin na dokonanie ponownego oznakowania </w:t>
            </w:r>
            <w:r w:rsidRPr="00635D1D">
              <w:rPr>
                <w:b/>
                <w:i/>
              </w:rPr>
              <w:t>oraz wprowadzić wymóg</w:t>
            </w:r>
            <w:r w:rsidRPr="00635D1D">
              <w:t xml:space="preserve"> zmiany etykiet bez zbędnej zwłoki po uzyskaniu przez dostawcę nowych danych lub otrzymaniu o nich informacji.</w:t>
            </w:r>
          </w:p>
        </w:tc>
        <w:tc>
          <w:tcPr>
            <w:tcW w:w="4876" w:type="dxa"/>
            <w:tcBorders>
              <w:top w:val="nil"/>
              <w:left w:val="nil"/>
              <w:bottom w:val="nil"/>
              <w:right w:val="nil"/>
            </w:tcBorders>
            <w:hideMark/>
          </w:tcPr>
          <w:p w14:paraId="4C1D711E" w14:textId="77777777" w:rsidR="008144C7" w:rsidRPr="00635D1D" w:rsidRDefault="008144C7" w:rsidP="00C5582D">
            <w:pPr>
              <w:pStyle w:val="Normal6a"/>
            </w:pPr>
            <w:r w:rsidRPr="00635D1D">
              <w:t>(6)</w:t>
            </w:r>
            <w:r w:rsidRPr="00635D1D">
              <w:tab/>
              <w:t xml:space="preserve">Aby zapewnić dostawcom </w:t>
            </w:r>
            <w:r w:rsidRPr="00635D1D">
              <w:rPr>
                <w:b/>
                <w:bCs/>
                <w:i/>
                <w:iCs/>
              </w:rPr>
              <w:t>substancji i mieszanin</w:t>
            </w:r>
            <w:r w:rsidRPr="00635D1D">
              <w:t xml:space="preserve"> elastyczność i stworzyć równe warunki dla małych i średnich przedsiębiorstw, które często zlecają usługi drukowania etykiet innym podmiotom, oraz ułatwić przygotowanie i produkcję etykiet rozkładanych, które trwają znacznie dłużej niż w przypadku standardowych etykiet, należy </w:t>
            </w:r>
            <w:r w:rsidRPr="00635D1D">
              <w:rPr>
                <w:b/>
                <w:i/>
              </w:rPr>
              <w:t>przedłużyć</w:t>
            </w:r>
            <w:r w:rsidRPr="00635D1D">
              <w:t xml:space="preserve"> ustalony sześciomiesięczny termin na dokonanie ponownego oznakowania </w:t>
            </w:r>
            <w:r w:rsidRPr="00635D1D">
              <w:rPr>
                <w:b/>
                <w:i/>
              </w:rPr>
              <w:t>do 24 miesięcy na podmiot, a jednocześnie dalej wymagać</w:t>
            </w:r>
            <w:r w:rsidRPr="00635D1D">
              <w:t xml:space="preserve"> zmiany etykiet bez zbędnej zwłoki po uzyskaniu przez dostawcę nowych danych lub otrzymaniu o nich informacji.</w:t>
            </w:r>
          </w:p>
        </w:tc>
      </w:tr>
    </w:tbl>
    <w:p w14:paraId="524D329E"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769BA6F8" w14:textId="77777777" w:rsidR="008144C7" w:rsidRPr="00E90719" w:rsidRDefault="008144C7" w:rsidP="008144C7">
      <w:pPr>
        <w:rPr>
          <w:lang w:val="en-GB"/>
        </w:rPr>
      </w:pPr>
      <w:r w:rsidRPr="00E90719">
        <w:rPr>
          <w:rStyle w:val="HideTWBExt"/>
          <w:lang w:val="en-GB"/>
        </w:rPr>
        <w:t>&lt;/Amend&gt;</w:t>
      </w:r>
    </w:p>
    <w:p w14:paraId="241137CF"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131</w:t>
      </w:r>
      <w:r w:rsidRPr="00E90719">
        <w:rPr>
          <w:rStyle w:val="HideTWBExt"/>
          <w:b w:val="0"/>
          <w:lang w:val="en-GB"/>
        </w:rPr>
        <w:t>&lt;/NumAm&gt;</w:t>
      </w:r>
    </w:p>
    <w:p w14:paraId="4396D671"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Pietro Fiocchi, Antonella Sberna</w:t>
      </w:r>
      <w:r w:rsidRPr="00E90719">
        <w:rPr>
          <w:rStyle w:val="HideTWBExt"/>
          <w:b w:val="0"/>
          <w:lang w:val="en-GB"/>
        </w:rPr>
        <w:t>&lt;/Members&gt;</w:t>
      </w:r>
    </w:p>
    <w:p w14:paraId="0CAD8984" w14:textId="77777777" w:rsidR="008144C7" w:rsidRPr="00E90719" w:rsidRDefault="008144C7" w:rsidP="008144C7">
      <w:pPr>
        <w:pStyle w:val="NormalBold"/>
      </w:pPr>
      <w:r w:rsidRPr="00E90719">
        <w:rPr>
          <w:rStyle w:val="HideTWBExt"/>
          <w:b w:val="0"/>
        </w:rPr>
        <w:t>&lt;/RepeatBlock-By&gt;</w:t>
      </w:r>
    </w:p>
    <w:p w14:paraId="788145F8"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2664411" w14:textId="77777777" w:rsidR="008144C7" w:rsidRPr="00635D1D" w:rsidRDefault="008144C7" w:rsidP="008144C7">
      <w:pPr>
        <w:pStyle w:val="NormalBold"/>
      </w:pPr>
      <w:r w:rsidRPr="00635D1D">
        <w:rPr>
          <w:rStyle w:val="HideTWBExt"/>
          <w:b w:val="0"/>
        </w:rPr>
        <w:t>&lt;Article&gt;</w:t>
      </w:r>
      <w:r w:rsidRPr="00635D1D">
        <w:t>Motyw 6</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1C29CC0" w14:textId="77777777" w:rsidTr="00C5582D">
        <w:trPr>
          <w:trHeight w:val="240"/>
          <w:jc w:val="center"/>
        </w:trPr>
        <w:tc>
          <w:tcPr>
            <w:tcW w:w="9752" w:type="dxa"/>
            <w:gridSpan w:val="2"/>
            <w:tcBorders>
              <w:top w:val="nil"/>
              <w:left w:val="nil"/>
              <w:bottom w:val="nil"/>
              <w:right w:val="nil"/>
            </w:tcBorders>
          </w:tcPr>
          <w:p w14:paraId="784DF526" w14:textId="77777777" w:rsidR="008144C7" w:rsidRPr="00635D1D" w:rsidRDefault="008144C7" w:rsidP="00C5582D"/>
        </w:tc>
      </w:tr>
      <w:tr w:rsidR="008144C7" w:rsidRPr="00635D1D" w14:paraId="067E1235" w14:textId="77777777" w:rsidTr="00C5582D">
        <w:trPr>
          <w:trHeight w:val="240"/>
          <w:jc w:val="center"/>
        </w:trPr>
        <w:tc>
          <w:tcPr>
            <w:tcW w:w="4876" w:type="dxa"/>
            <w:tcBorders>
              <w:top w:val="nil"/>
              <w:left w:val="nil"/>
              <w:bottom w:val="nil"/>
              <w:right w:val="nil"/>
            </w:tcBorders>
            <w:hideMark/>
          </w:tcPr>
          <w:p w14:paraId="02046BF6"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EAE79A8" w14:textId="77777777" w:rsidR="008144C7" w:rsidRPr="00635D1D" w:rsidRDefault="008144C7" w:rsidP="00C5582D">
            <w:pPr>
              <w:pStyle w:val="AmColumnHeading"/>
            </w:pPr>
            <w:r w:rsidRPr="00635D1D">
              <w:t>Poprawka</w:t>
            </w:r>
          </w:p>
        </w:tc>
      </w:tr>
      <w:tr w:rsidR="008144C7" w:rsidRPr="00635D1D" w14:paraId="057CB7D1" w14:textId="77777777" w:rsidTr="00C5582D">
        <w:trPr>
          <w:jc w:val="center"/>
        </w:trPr>
        <w:tc>
          <w:tcPr>
            <w:tcW w:w="4876" w:type="dxa"/>
            <w:tcBorders>
              <w:top w:val="nil"/>
              <w:left w:val="nil"/>
              <w:bottom w:val="nil"/>
              <w:right w:val="nil"/>
            </w:tcBorders>
            <w:hideMark/>
          </w:tcPr>
          <w:p w14:paraId="2D8D1C26" w14:textId="77777777" w:rsidR="008144C7" w:rsidRPr="00635D1D" w:rsidRDefault="008144C7" w:rsidP="00C5582D">
            <w:pPr>
              <w:pStyle w:val="Normal6a"/>
            </w:pPr>
            <w:r w:rsidRPr="00635D1D">
              <w:t>(6)</w:t>
            </w:r>
            <w:r w:rsidRPr="00635D1D">
              <w:tab/>
              <w:t xml:space="preserve">Aby zapewnić dostawcom elastyczność i stworzyć równe warunki dla małych i średnich przedsiębiorstw, które często zlecają usługi drukowania etykiet innym podmiotom, oraz ułatwić przygotowanie i produkcję etykiet rozkładanych, które trwają znacznie dłużej niż w przypadku standardowych etykiet, należy </w:t>
            </w:r>
            <w:r w:rsidRPr="00635D1D">
              <w:rPr>
                <w:b/>
                <w:i/>
              </w:rPr>
              <w:t>znieść</w:t>
            </w:r>
            <w:r w:rsidRPr="00635D1D">
              <w:t xml:space="preserve"> ustalony sześciomiesięczny termin na dokonanie ponownego oznakowania </w:t>
            </w:r>
            <w:r w:rsidRPr="00635D1D">
              <w:rPr>
                <w:b/>
                <w:i/>
              </w:rPr>
              <w:t>oraz wprowadzić wymóg</w:t>
            </w:r>
            <w:r w:rsidRPr="00635D1D">
              <w:t xml:space="preserve"> zmiany etykiet bez zbędnej zwłoki po uzyskaniu przez dostawcę nowych danych lub otrzymaniu o nich informacji.</w:t>
            </w:r>
          </w:p>
        </w:tc>
        <w:tc>
          <w:tcPr>
            <w:tcW w:w="4876" w:type="dxa"/>
            <w:tcBorders>
              <w:top w:val="nil"/>
              <w:left w:val="nil"/>
              <w:bottom w:val="nil"/>
              <w:right w:val="nil"/>
            </w:tcBorders>
            <w:hideMark/>
          </w:tcPr>
          <w:p w14:paraId="197DADAE" w14:textId="77777777" w:rsidR="008144C7" w:rsidRPr="00635D1D" w:rsidRDefault="008144C7" w:rsidP="00C5582D">
            <w:pPr>
              <w:pStyle w:val="Normal6a"/>
            </w:pPr>
            <w:r w:rsidRPr="00635D1D">
              <w:t>(6)</w:t>
            </w:r>
            <w:r w:rsidRPr="00635D1D">
              <w:tab/>
              <w:t xml:space="preserve">Aby zapewnić dostawcom </w:t>
            </w:r>
            <w:r w:rsidRPr="00635D1D">
              <w:rPr>
                <w:b/>
                <w:bCs/>
                <w:i/>
                <w:iCs/>
              </w:rPr>
              <w:t>substancji i mieszanin</w:t>
            </w:r>
            <w:r w:rsidRPr="00635D1D">
              <w:t xml:space="preserve"> elastyczność i stworzyć równe warunki dla małych i średnich przedsiębiorstw, które często zlecają usługi drukowania etykiet innym podmiotom, oraz ułatwić przygotowanie i produkcję etykiet rozkładanych, które trwają znacznie dłużej niż w przypadku standardowych etykiet, należy </w:t>
            </w:r>
            <w:r w:rsidRPr="00635D1D">
              <w:rPr>
                <w:b/>
                <w:i/>
              </w:rPr>
              <w:t>przedłużyć</w:t>
            </w:r>
            <w:r w:rsidRPr="00635D1D">
              <w:t xml:space="preserve"> ustalony sześciomiesięczny termin na dokonanie ponownego oznakowania </w:t>
            </w:r>
            <w:r w:rsidRPr="00635D1D">
              <w:rPr>
                <w:b/>
                <w:i/>
              </w:rPr>
              <w:t>do 24 miesięcy, a jednocześnie dalej wymagać</w:t>
            </w:r>
            <w:r w:rsidRPr="00635D1D">
              <w:t xml:space="preserve"> zmiany etykiet bez zbędnej zwłoki po uzyskaniu przez dostawcę nowych danych lub otrzymaniu o nich informacji.</w:t>
            </w:r>
          </w:p>
        </w:tc>
      </w:tr>
    </w:tbl>
    <w:p w14:paraId="1CA48AF8"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6F740EDA"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526ABB54" w14:textId="77777777" w:rsidR="008144C7" w:rsidRPr="00635D1D" w:rsidRDefault="008144C7" w:rsidP="008144C7">
      <w:pPr>
        <w:pStyle w:val="AmJustText"/>
      </w:pPr>
      <w:r w:rsidRPr="00635D1D">
        <w:t xml:space="preserve">Doświadczenie pokazuje, że sześciomiesięczny termin aktualizacji etykiet jest niemożliwy do dotrzymania w złożonych łańcuchach dostaw oraz może powodować błędy, zakłócenia i niepotrzebne odpady. 24-miesięczny okres przejściowy dla każdego podmiotu w łańcuchu dostaw jest zatem niezbędną i proporcjonalną alternatywą, która umożliwia dokładne i uporządkowane wdrożenie, zmniejsza ryzyko związane z przestrzeganiem przepisów, zapobiega przedwczesnemu usuwaniu etykiet i produktów oraz zapewnia spójność z przepisami dotyczącymi </w:t>
      </w:r>
      <w:proofErr w:type="spellStart"/>
      <w:r w:rsidRPr="00635D1D">
        <w:t>zrównoważoności</w:t>
      </w:r>
      <w:proofErr w:type="spellEnd"/>
      <w:r w:rsidRPr="00635D1D">
        <w:t xml:space="preserve"> i opakowań.</w:t>
      </w:r>
    </w:p>
    <w:p w14:paraId="63A1625A" w14:textId="77777777" w:rsidR="008144C7" w:rsidRPr="00635D1D" w:rsidRDefault="008144C7" w:rsidP="008144C7">
      <w:r w:rsidRPr="00635D1D">
        <w:rPr>
          <w:rStyle w:val="HideTWBExt"/>
        </w:rPr>
        <w:t>&lt;/Amend&gt;</w:t>
      </w:r>
    </w:p>
    <w:p w14:paraId="2FD3A70D"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132</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65BC6D4B" w14:textId="77777777" w:rsidR="008144C7" w:rsidRPr="00635D1D" w:rsidRDefault="008144C7" w:rsidP="008144C7">
      <w:pPr>
        <w:pStyle w:val="NormalBold"/>
      </w:pPr>
      <w:r w:rsidRPr="00635D1D">
        <w:rPr>
          <w:rStyle w:val="HideTWBExt"/>
          <w:b w:val="0"/>
        </w:rPr>
        <w:t>&lt;RepeatBlock-By&gt;&lt;Members&gt;</w:t>
      </w:r>
      <w:r w:rsidRPr="00635D1D">
        <w:t xml:space="preserve">Per </w:t>
      </w:r>
      <w:proofErr w:type="spellStart"/>
      <w:r w:rsidRPr="00635D1D">
        <w:t>Clausen</w:t>
      </w:r>
      <w:proofErr w:type="spellEnd"/>
      <w:r w:rsidRPr="00635D1D">
        <w:t xml:space="preserve">, </w:t>
      </w:r>
      <w:proofErr w:type="spellStart"/>
      <w:r w:rsidRPr="00635D1D">
        <w:t>Anja</w:t>
      </w:r>
      <w:proofErr w:type="spellEnd"/>
      <w:r w:rsidRPr="00635D1D">
        <w:t xml:space="preserve"> </w:t>
      </w:r>
      <w:proofErr w:type="spellStart"/>
      <w:r w:rsidRPr="00635D1D">
        <w:t>Hazekamp</w:t>
      </w:r>
      <w:proofErr w:type="spellEnd"/>
      <w:r w:rsidRPr="00635D1D">
        <w:rPr>
          <w:rStyle w:val="HideTWBExt"/>
          <w:b w:val="0"/>
        </w:rPr>
        <w:t>&lt;/Members&gt;</w:t>
      </w:r>
    </w:p>
    <w:p w14:paraId="08B9D2B5" w14:textId="77777777" w:rsidR="008144C7" w:rsidRPr="00635D1D" w:rsidRDefault="008144C7" w:rsidP="008144C7">
      <w:pPr>
        <w:pStyle w:val="NormalBold"/>
      </w:pPr>
      <w:r w:rsidRPr="00635D1D">
        <w:rPr>
          <w:rStyle w:val="HideTWBExt"/>
          <w:b w:val="0"/>
        </w:rPr>
        <w:t>&lt;/RepeatBlock-By&gt;</w:t>
      </w:r>
    </w:p>
    <w:p w14:paraId="5BD511EA"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81D25A3" w14:textId="77777777" w:rsidR="008144C7" w:rsidRPr="00635D1D" w:rsidRDefault="008144C7" w:rsidP="008144C7">
      <w:pPr>
        <w:pStyle w:val="NormalBold"/>
      </w:pPr>
      <w:r w:rsidRPr="00635D1D">
        <w:rPr>
          <w:rStyle w:val="HideTWBExt"/>
          <w:b w:val="0"/>
        </w:rPr>
        <w:t>&lt;Article&gt;</w:t>
      </w:r>
      <w:r w:rsidRPr="00635D1D">
        <w:t>Motyw 7</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09CA9723" w14:textId="77777777" w:rsidTr="00C5582D">
        <w:trPr>
          <w:trHeight w:val="240"/>
          <w:jc w:val="center"/>
        </w:trPr>
        <w:tc>
          <w:tcPr>
            <w:tcW w:w="9752" w:type="dxa"/>
            <w:gridSpan w:val="2"/>
            <w:tcBorders>
              <w:top w:val="nil"/>
              <w:left w:val="nil"/>
              <w:bottom w:val="nil"/>
              <w:right w:val="nil"/>
            </w:tcBorders>
          </w:tcPr>
          <w:p w14:paraId="313999B6" w14:textId="77777777" w:rsidR="008144C7" w:rsidRPr="00635D1D" w:rsidRDefault="008144C7" w:rsidP="00C5582D"/>
        </w:tc>
      </w:tr>
      <w:tr w:rsidR="008144C7" w:rsidRPr="00635D1D" w14:paraId="65CC7BAF" w14:textId="77777777" w:rsidTr="00C5582D">
        <w:trPr>
          <w:trHeight w:val="240"/>
          <w:jc w:val="center"/>
        </w:trPr>
        <w:tc>
          <w:tcPr>
            <w:tcW w:w="4876" w:type="dxa"/>
            <w:tcBorders>
              <w:top w:val="nil"/>
              <w:left w:val="nil"/>
              <w:bottom w:val="nil"/>
              <w:right w:val="nil"/>
            </w:tcBorders>
            <w:hideMark/>
          </w:tcPr>
          <w:p w14:paraId="3C14E026"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07E7E1C2" w14:textId="77777777" w:rsidR="008144C7" w:rsidRPr="00635D1D" w:rsidRDefault="008144C7" w:rsidP="00C5582D">
            <w:pPr>
              <w:pStyle w:val="AmColumnHeading"/>
            </w:pPr>
            <w:r w:rsidRPr="00635D1D">
              <w:t>Poprawka</w:t>
            </w:r>
          </w:p>
        </w:tc>
      </w:tr>
      <w:tr w:rsidR="008144C7" w:rsidRPr="00635D1D" w14:paraId="38AC06B3" w14:textId="77777777" w:rsidTr="00C5582D">
        <w:trPr>
          <w:jc w:val="center"/>
        </w:trPr>
        <w:tc>
          <w:tcPr>
            <w:tcW w:w="4876" w:type="dxa"/>
            <w:tcBorders>
              <w:top w:val="nil"/>
              <w:left w:val="nil"/>
              <w:bottom w:val="nil"/>
              <w:right w:val="nil"/>
            </w:tcBorders>
            <w:hideMark/>
          </w:tcPr>
          <w:p w14:paraId="70B1C8DB" w14:textId="77777777" w:rsidR="008144C7" w:rsidRPr="00635D1D" w:rsidRDefault="008144C7" w:rsidP="00C5582D">
            <w:pPr>
              <w:pStyle w:val="Normal6a"/>
            </w:pPr>
            <w:r w:rsidRPr="00635D1D">
              <w:rPr>
                <w:b/>
                <w:i/>
              </w:rPr>
              <w:t>(7)</w:t>
            </w:r>
            <w:r w:rsidRPr="00635D1D">
              <w:tab/>
            </w:r>
            <w:r w:rsidRPr="00635D1D">
              <w:rPr>
                <w:b/>
                <w:i/>
              </w:rPr>
              <w:t>W rozporządzeniu (UE) 2024/2865 ustanowiono przepisy dotyczące obowiązkowych wymogów dotyczących formatowania etykiet. Z nowo otrzymanych informacji</w:t>
            </w:r>
            <w:r w:rsidRPr="00635D1D">
              <w:rPr>
                <w:b/>
                <w:i/>
                <w:vertAlign w:val="superscript"/>
              </w:rPr>
              <w:t>7</w:t>
            </w:r>
            <w:r w:rsidRPr="00635D1D">
              <w:rPr>
                <w:b/>
                <w:i/>
              </w:rPr>
              <w:t xml:space="preserve"> wynika, że wymogi te wiążą się z nadmiernymi obciążeniami administracyjnymi oraz kosztami. Aby zrównoważyć potrzebę jasnego zrozumienia przez konsumentów informacji na etykietach z potrzebą zmniejszenia barier rynkowych i obciążeń dla przemysłu</w:t>
            </w:r>
            <w:r w:rsidRPr="00635D1D">
              <w:rPr>
                <w:b/>
                <w:i/>
                <w:vertAlign w:val="superscript"/>
              </w:rPr>
              <w:t>8</w:t>
            </w:r>
            <w:r w:rsidRPr="00635D1D">
              <w:rPr>
                <w:b/>
                <w:i/>
              </w:rPr>
              <w:t>, należy uprościć obecne obowiązki w zakresie formatowania bez obniżenia poziomu ochrony zdrowia ludzkiego i środowiska. Podmioty gospodarcze i organy egzekwowania prawa muszą pozostać odpowiedzialne za zapewnienie czytelności etykiet zgodnie z wymogami prawnymi.</w:t>
            </w:r>
          </w:p>
        </w:tc>
        <w:tc>
          <w:tcPr>
            <w:tcW w:w="4876" w:type="dxa"/>
            <w:tcBorders>
              <w:top w:val="nil"/>
              <w:left w:val="nil"/>
              <w:bottom w:val="nil"/>
              <w:right w:val="nil"/>
            </w:tcBorders>
            <w:hideMark/>
          </w:tcPr>
          <w:p w14:paraId="6F73630E" w14:textId="77777777" w:rsidR="008144C7" w:rsidRPr="00635D1D" w:rsidRDefault="008144C7" w:rsidP="00C5582D">
            <w:pPr>
              <w:pStyle w:val="Normal6a"/>
            </w:pPr>
            <w:r w:rsidRPr="00635D1D">
              <w:rPr>
                <w:b/>
                <w:i/>
              </w:rPr>
              <w:t>skreśla się</w:t>
            </w:r>
          </w:p>
        </w:tc>
      </w:tr>
      <w:tr w:rsidR="008144C7" w:rsidRPr="00635D1D" w14:paraId="0B5FACFC" w14:textId="77777777" w:rsidTr="00C5582D">
        <w:trPr>
          <w:jc w:val="center"/>
        </w:trPr>
        <w:tc>
          <w:tcPr>
            <w:tcW w:w="4876" w:type="dxa"/>
            <w:tcBorders>
              <w:top w:val="nil"/>
              <w:left w:val="nil"/>
              <w:bottom w:val="nil"/>
              <w:right w:val="nil"/>
            </w:tcBorders>
            <w:hideMark/>
          </w:tcPr>
          <w:p w14:paraId="3A89C92F"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tcPr>
          <w:p w14:paraId="52F7E6D7" w14:textId="77777777" w:rsidR="008144C7" w:rsidRPr="00635D1D" w:rsidRDefault="008144C7" w:rsidP="00C5582D"/>
        </w:tc>
      </w:tr>
      <w:tr w:rsidR="008144C7" w:rsidRPr="00635D1D" w14:paraId="2E54EEAF" w14:textId="77777777" w:rsidTr="00C5582D">
        <w:trPr>
          <w:jc w:val="center"/>
        </w:trPr>
        <w:tc>
          <w:tcPr>
            <w:tcW w:w="4876" w:type="dxa"/>
            <w:tcBorders>
              <w:top w:val="nil"/>
              <w:left w:val="nil"/>
              <w:bottom w:val="nil"/>
              <w:right w:val="nil"/>
            </w:tcBorders>
            <w:hideMark/>
          </w:tcPr>
          <w:p w14:paraId="707C0215" w14:textId="77777777" w:rsidR="008144C7" w:rsidRPr="00635D1D" w:rsidRDefault="008144C7" w:rsidP="00C5582D">
            <w:pPr>
              <w:pStyle w:val="Normal6a"/>
            </w:pPr>
            <w:r w:rsidRPr="00635D1D">
              <w:rPr>
                <w:b/>
                <w:i/>
                <w:vertAlign w:val="superscript"/>
              </w:rPr>
              <w:t>7</w:t>
            </w:r>
            <w:r w:rsidRPr="00635D1D">
              <w:t xml:space="preserve"> </w:t>
            </w:r>
            <w:r w:rsidRPr="00635D1D">
              <w:rPr>
                <w:b/>
                <w:i/>
              </w:rPr>
              <w:t>Szczegółową analizę kosztów związanych z nowymi wymogami dotyczącymi formatowania przedstawiono w dokumencie roboczym służb Komisji towarzyszącym wnioskowi dotyczącemu rozporządzenia Parlamentu Europejskiego i Rady zmieniającego rozporządzenia (WE) nr 1272/2008, (WE) nr 1223/2009 i (UE) 2019/1009 w odniesieniu do uproszczenia niektórych wymogów i procedur dotyczących produktów chemicznych, SWD(2025) 531, s. 14.</w:t>
            </w:r>
          </w:p>
        </w:tc>
        <w:tc>
          <w:tcPr>
            <w:tcW w:w="4876" w:type="dxa"/>
            <w:tcBorders>
              <w:top w:val="nil"/>
              <w:left w:val="nil"/>
              <w:bottom w:val="nil"/>
              <w:right w:val="nil"/>
            </w:tcBorders>
          </w:tcPr>
          <w:p w14:paraId="6068C4DB" w14:textId="77777777" w:rsidR="008144C7" w:rsidRPr="00635D1D" w:rsidRDefault="008144C7" w:rsidP="00C5582D"/>
        </w:tc>
      </w:tr>
      <w:tr w:rsidR="008144C7" w:rsidRPr="00635D1D" w14:paraId="163F31F6" w14:textId="77777777" w:rsidTr="00C5582D">
        <w:trPr>
          <w:jc w:val="center"/>
        </w:trPr>
        <w:tc>
          <w:tcPr>
            <w:tcW w:w="4876" w:type="dxa"/>
            <w:tcBorders>
              <w:top w:val="nil"/>
              <w:left w:val="nil"/>
              <w:bottom w:val="nil"/>
              <w:right w:val="nil"/>
            </w:tcBorders>
            <w:hideMark/>
          </w:tcPr>
          <w:p w14:paraId="0B558359" w14:textId="77777777" w:rsidR="008144C7" w:rsidRPr="00635D1D" w:rsidRDefault="008144C7" w:rsidP="00C5582D">
            <w:pPr>
              <w:pStyle w:val="Normal6a"/>
            </w:pPr>
            <w:r w:rsidRPr="00635D1D">
              <w:rPr>
                <w:b/>
                <w:i/>
                <w:vertAlign w:val="superscript"/>
              </w:rPr>
              <w:t>8</w:t>
            </w:r>
            <w:r w:rsidRPr="00635D1D">
              <w:t xml:space="preserve"> </w:t>
            </w:r>
            <w:r w:rsidRPr="00635D1D">
              <w:rPr>
                <w:b/>
                <w:i/>
              </w:rPr>
              <w:t xml:space="preserve">Jak przedstawiono w komunikacie Komisji do Parlamentu Europejskiego, Rady, Europejskiego Komitetu Ekonomiczno-Społecznego i Komitetu Regionów – Jednolity rynek: nasz europejski rynek wewnętrzny w niepewnym świecie. Strategia na rzecz prostszego, płynniejszego i silniejszego jednolitego rynku, COM(2025) 500 </w:t>
            </w:r>
            <w:proofErr w:type="spellStart"/>
            <w:r w:rsidRPr="00635D1D">
              <w:rPr>
                <w:b/>
                <w:i/>
              </w:rPr>
              <w:t>final</w:t>
            </w:r>
            <w:proofErr w:type="spellEnd"/>
            <w:r w:rsidRPr="00635D1D">
              <w:rPr>
                <w:b/>
                <w:i/>
              </w:rPr>
              <w:t>, s. 10, dokument dostępny pod adresem: https://single-market-economy.ec.europa.eu/document/download/d92c78d0-7d47-4a16-b53f-1cead54bcb49_en?filename=Communication%20-%20Single%20Market%20Strategy.pdf.</w:t>
            </w:r>
          </w:p>
        </w:tc>
        <w:tc>
          <w:tcPr>
            <w:tcW w:w="4876" w:type="dxa"/>
            <w:tcBorders>
              <w:top w:val="nil"/>
              <w:left w:val="nil"/>
              <w:bottom w:val="nil"/>
              <w:right w:val="nil"/>
            </w:tcBorders>
          </w:tcPr>
          <w:p w14:paraId="6A9CA3A7" w14:textId="77777777" w:rsidR="008144C7" w:rsidRPr="00635D1D" w:rsidRDefault="008144C7" w:rsidP="00C5582D"/>
        </w:tc>
      </w:tr>
    </w:tbl>
    <w:p w14:paraId="116C5A40"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04CEFF5A" w14:textId="77777777" w:rsidR="008144C7" w:rsidRPr="00E90719" w:rsidRDefault="008144C7" w:rsidP="008144C7">
      <w:pPr>
        <w:rPr>
          <w:lang w:val="en-GB"/>
        </w:rPr>
      </w:pPr>
      <w:r w:rsidRPr="00E90719">
        <w:rPr>
          <w:rStyle w:val="HideTWBExt"/>
          <w:lang w:val="en-GB"/>
        </w:rPr>
        <w:t>&lt;/Amend&gt;</w:t>
      </w:r>
    </w:p>
    <w:p w14:paraId="3A6F211B"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133</w:t>
      </w:r>
      <w:r w:rsidRPr="00E90719">
        <w:rPr>
          <w:rStyle w:val="HideTWBExt"/>
          <w:b w:val="0"/>
          <w:lang w:val="en-GB"/>
        </w:rPr>
        <w:t>&lt;/NumAm&gt;</w:t>
      </w:r>
    </w:p>
    <w:p w14:paraId="5455E977"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Nikola Minchev</w:t>
      </w:r>
      <w:r w:rsidRPr="00E90719">
        <w:rPr>
          <w:rStyle w:val="HideTWBExt"/>
          <w:b w:val="0"/>
          <w:lang w:val="en-GB"/>
        </w:rPr>
        <w:t>&lt;/Members&gt;</w:t>
      </w:r>
    </w:p>
    <w:p w14:paraId="7EEA6034" w14:textId="77777777" w:rsidR="008144C7" w:rsidRPr="00635D1D" w:rsidRDefault="008144C7" w:rsidP="008144C7">
      <w:pPr>
        <w:pStyle w:val="NormalBold"/>
      </w:pPr>
      <w:r w:rsidRPr="00635D1D">
        <w:rPr>
          <w:rStyle w:val="HideTWBExt"/>
          <w:b w:val="0"/>
        </w:rPr>
        <w:t>&lt;/RepeatBlock-By&gt;</w:t>
      </w:r>
    </w:p>
    <w:p w14:paraId="0079B344"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7DEDB4B" w14:textId="77777777" w:rsidR="008144C7" w:rsidRPr="00635D1D" w:rsidRDefault="008144C7" w:rsidP="008144C7">
      <w:pPr>
        <w:pStyle w:val="NormalBold"/>
      </w:pPr>
      <w:r w:rsidRPr="00635D1D">
        <w:rPr>
          <w:rStyle w:val="HideTWBExt"/>
          <w:b w:val="0"/>
        </w:rPr>
        <w:t>&lt;Article&gt;</w:t>
      </w:r>
      <w:r w:rsidRPr="00635D1D">
        <w:t>Motyw 7</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27E84A2" w14:textId="77777777" w:rsidTr="00C5582D">
        <w:trPr>
          <w:trHeight w:val="240"/>
          <w:jc w:val="center"/>
        </w:trPr>
        <w:tc>
          <w:tcPr>
            <w:tcW w:w="9752" w:type="dxa"/>
            <w:gridSpan w:val="2"/>
            <w:tcBorders>
              <w:top w:val="nil"/>
              <w:left w:val="nil"/>
              <w:bottom w:val="nil"/>
              <w:right w:val="nil"/>
            </w:tcBorders>
          </w:tcPr>
          <w:p w14:paraId="1B8FB0CE" w14:textId="77777777" w:rsidR="008144C7" w:rsidRPr="00635D1D" w:rsidRDefault="008144C7" w:rsidP="00C5582D"/>
        </w:tc>
      </w:tr>
      <w:tr w:rsidR="008144C7" w:rsidRPr="00635D1D" w14:paraId="76A4DD64" w14:textId="77777777" w:rsidTr="00C5582D">
        <w:trPr>
          <w:trHeight w:val="240"/>
          <w:jc w:val="center"/>
        </w:trPr>
        <w:tc>
          <w:tcPr>
            <w:tcW w:w="4876" w:type="dxa"/>
            <w:tcBorders>
              <w:top w:val="nil"/>
              <w:left w:val="nil"/>
              <w:bottom w:val="nil"/>
              <w:right w:val="nil"/>
            </w:tcBorders>
            <w:hideMark/>
          </w:tcPr>
          <w:p w14:paraId="7AB324B9"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594C05F" w14:textId="77777777" w:rsidR="008144C7" w:rsidRPr="00635D1D" w:rsidRDefault="008144C7" w:rsidP="00C5582D">
            <w:pPr>
              <w:pStyle w:val="AmColumnHeading"/>
            </w:pPr>
            <w:r w:rsidRPr="00635D1D">
              <w:t>Poprawka</w:t>
            </w:r>
          </w:p>
        </w:tc>
      </w:tr>
      <w:tr w:rsidR="008144C7" w:rsidRPr="00635D1D" w14:paraId="090F2E6C" w14:textId="77777777" w:rsidTr="00C5582D">
        <w:trPr>
          <w:jc w:val="center"/>
        </w:trPr>
        <w:tc>
          <w:tcPr>
            <w:tcW w:w="4876" w:type="dxa"/>
            <w:tcBorders>
              <w:top w:val="nil"/>
              <w:left w:val="nil"/>
              <w:bottom w:val="nil"/>
              <w:right w:val="nil"/>
            </w:tcBorders>
            <w:hideMark/>
          </w:tcPr>
          <w:p w14:paraId="2DCE4036" w14:textId="77777777" w:rsidR="008144C7" w:rsidRPr="00635D1D" w:rsidRDefault="008144C7" w:rsidP="00C5582D">
            <w:pPr>
              <w:pStyle w:val="Normal6a"/>
            </w:pPr>
            <w:r w:rsidRPr="00635D1D">
              <w:t>(7)</w:t>
            </w:r>
            <w:r w:rsidRPr="00635D1D">
              <w:tab/>
              <w:t>W rozporządzeniu (UE) 2024/2865 ustanowiono przepisy dotyczące obowiązkowych wymogów dotyczących formatowania etykiet. Z nowo otrzymanych informacji</w:t>
            </w:r>
            <w:r w:rsidRPr="00635D1D">
              <w:rPr>
                <w:vertAlign w:val="superscript"/>
              </w:rPr>
              <w:t>7</w:t>
            </w:r>
            <w:r w:rsidRPr="00635D1D">
              <w:t xml:space="preserve"> wynika, że wymogi te wiążą się z nadmiernymi obciążeniami administracyjnymi oraz kosztami. Aby zrównoważyć potrzebę jasnego zrozumienia przez konsumentów informacji na etykietach z potrzebą zmniejszenia barier rynkowych i obciążeń dla przemysłu</w:t>
            </w:r>
            <w:r w:rsidRPr="00635D1D">
              <w:rPr>
                <w:vertAlign w:val="superscript"/>
              </w:rPr>
              <w:t>8</w:t>
            </w:r>
            <w:r w:rsidRPr="00635D1D">
              <w:t>, należy uprościć obecne obowiązki w zakresie formatowania bez obniżenia poziomu ochrony zdrowia ludzkiego i środowiska. Podmioty gospodarcze i organy egzekwowania prawa muszą pozostać odpowiedzialne za zapewnienie czytelności etykiet zgodnie z wymogami prawnymi.</w:t>
            </w:r>
          </w:p>
        </w:tc>
        <w:tc>
          <w:tcPr>
            <w:tcW w:w="4876" w:type="dxa"/>
            <w:tcBorders>
              <w:top w:val="nil"/>
              <w:left w:val="nil"/>
              <w:bottom w:val="nil"/>
              <w:right w:val="nil"/>
            </w:tcBorders>
            <w:hideMark/>
          </w:tcPr>
          <w:p w14:paraId="5C822D42" w14:textId="77777777" w:rsidR="008144C7" w:rsidRPr="00635D1D" w:rsidRDefault="008144C7" w:rsidP="00C5582D">
            <w:pPr>
              <w:pStyle w:val="Normal6a"/>
            </w:pPr>
            <w:r w:rsidRPr="00635D1D">
              <w:t>(7)</w:t>
            </w:r>
            <w:r w:rsidRPr="00635D1D">
              <w:tab/>
              <w:t>W rozporządzeniu (UE) 2024/2865 ustanowiono przepisy dotyczące obowiązkowych wymogów dotyczących formatowania etykiet. Z nowo otrzymanych informacji</w:t>
            </w:r>
            <w:r w:rsidRPr="00635D1D">
              <w:rPr>
                <w:vertAlign w:val="superscript"/>
              </w:rPr>
              <w:t>7</w:t>
            </w:r>
            <w:r w:rsidRPr="00635D1D">
              <w:t xml:space="preserve"> wynika, że wymogi te wiążą się z nadmiernymi obciążeniami administracyjnymi oraz kosztami. Aby zrównoważyć potrzebę jasnego zrozumienia przez konsumentów informacji na etykietach z potrzebą zmniejszenia barier rynkowych i obciążeń dla przemysłu</w:t>
            </w:r>
            <w:r w:rsidRPr="00635D1D">
              <w:rPr>
                <w:vertAlign w:val="superscript"/>
              </w:rPr>
              <w:t>8</w:t>
            </w:r>
            <w:r w:rsidRPr="00635D1D">
              <w:rPr>
                <w:b/>
                <w:i/>
              </w:rPr>
              <w:t>, w szczególności dla MŚP</w:t>
            </w:r>
            <w:r w:rsidRPr="00635D1D">
              <w:t>, należy uprościć obecne obowiązki w zakresie formatowania bez obniżenia poziomu ochrony zdrowia ludzkiego i środowiska</w:t>
            </w:r>
            <w:r w:rsidRPr="00635D1D">
              <w:rPr>
                <w:b/>
                <w:i/>
              </w:rPr>
              <w:t>. Wprowadzone środki powinny utrzymać wysoki poziom ochrony konsumentów i zapewnić należyte funkcjonowanie rynku wewnętrznego</w:t>
            </w:r>
            <w:r w:rsidRPr="00635D1D">
              <w:t xml:space="preserve">. Podmioty gospodarcze i organy egzekwowania prawa muszą pozostać odpowiedzialne za zapewnienie czytelności etykiet zgodnie z wymogami prawnymi </w:t>
            </w:r>
            <w:r w:rsidRPr="00635D1D">
              <w:rPr>
                <w:b/>
                <w:i/>
              </w:rPr>
              <w:t>oraz ich łatwości do odczytania w miejscu zakupu i podczas użytkowania</w:t>
            </w:r>
            <w:r w:rsidRPr="00635D1D">
              <w:t xml:space="preserve">. </w:t>
            </w:r>
            <w:r w:rsidRPr="00635D1D">
              <w:rPr>
                <w:b/>
                <w:i/>
              </w:rPr>
              <w:t>Aby etykietę mogła być uznana za łatwą do odczytania, powinna ona cechować się wyraźnym kontrastem między tekstem etykiety a tłem, odpowiednim rozmiarem czcionki oraz odstępami między wierszami i literami, a także obejmować inne elementy formatowania zapewniające niezbędny poziom czytelności.</w:t>
            </w:r>
          </w:p>
        </w:tc>
      </w:tr>
      <w:tr w:rsidR="008144C7" w:rsidRPr="00635D1D" w14:paraId="7675A58D" w14:textId="77777777" w:rsidTr="00C5582D">
        <w:trPr>
          <w:jc w:val="center"/>
        </w:trPr>
        <w:tc>
          <w:tcPr>
            <w:tcW w:w="4876" w:type="dxa"/>
            <w:tcBorders>
              <w:top w:val="nil"/>
              <w:left w:val="nil"/>
              <w:bottom w:val="nil"/>
              <w:right w:val="nil"/>
            </w:tcBorders>
            <w:hideMark/>
          </w:tcPr>
          <w:p w14:paraId="267498DD"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62190F87" w14:textId="77777777" w:rsidR="008144C7" w:rsidRPr="00635D1D" w:rsidRDefault="008144C7" w:rsidP="00C5582D">
            <w:pPr>
              <w:pStyle w:val="Normal6a"/>
            </w:pPr>
            <w:r w:rsidRPr="00635D1D">
              <w:rPr>
                <w:b/>
                <w:i/>
              </w:rPr>
              <w:t>_________________</w:t>
            </w:r>
          </w:p>
        </w:tc>
      </w:tr>
      <w:tr w:rsidR="008144C7" w:rsidRPr="00635D1D" w14:paraId="29F9430E" w14:textId="77777777" w:rsidTr="00C5582D">
        <w:trPr>
          <w:jc w:val="center"/>
        </w:trPr>
        <w:tc>
          <w:tcPr>
            <w:tcW w:w="4876" w:type="dxa"/>
            <w:tcBorders>
              <w:top w:val="nil"/>
              <w:left w:val="nil"/>
              <w:bottom w:val="nil"/>
              <w:right w:val="nil"/>
            </w:tcBorders>
            <w:hideMark/>
          </w:tcPr>
          <w:p w14:paraId="1A5D0790" w14:textId="77777777" w:rsidR="008144C7" w:rsidRPr="00635D1D" w:rsidRDefault="008144C7" w:rsidP="00C5582D">
            <w:pPr>
              <w:pStyle w:val="Normal6a"/>
            </w:pPr>
            <w:r w:rsidRPr="00635D1D">
              <w:rPr>
                <w:vertAlign w:val="superscript"/>
              </w:rPr>
              <w:t>7</w:t>
            </w:r>
            <w:r w:rsidRPr="00635D1D">
              <w:t xml:space="preserve"> Szczegółową analizę kosztów związanych z nowymi wymogami dotyczącymi formatowania przedstawiono w dokumencie roboczym służb Komisji towarzyszącym wnioskowi dotyczącemu rozporządzenia Parlamentu Europejskiego i Rady zmieniającego rozporządzenia (WE) nr 1272/2008, (WE) nr 1223/2009 i (UE) 2019/1009 w odniesieniu do uproszczenia niektórych wymogów i procedur dotyczących produktów chemicznych, SWD(2025) 531, s. 14.</w:t>
            </w:r>
          </w:p>
        </w:tc>
        <w:tc>
          <w:tcPr>
            <w:tcW w:w="4876" w:type="dxa"/>
            <w:tcBorders>
              <w:top w:val="nil"/>
              <w:left w:val="nil"/>
              <w:bottom w:val="nil"/>
              <w:right w:val="nil"/>
            </w:tcBorders>
            <w:hideMark/>
          </w:tcPr>
          <w:p w14:paraId="7DF7E42B" w14:textId="77777777" w:rsidR="008144C7" w:rsidRPr="00635D1D" w:rsidRDefault="008144C7" w:rsidP="00C5582D">
            <w:pPr>
              <w:pStyle w:val="Normal6a"/>
            </w:pPr>
            <w:r w:rsidRPr="00635D1D">
              <w:rPr>
                <w:vertAlign w:val="superscript"/>
              </w:rPr>
              <w:t>7</w:t>
            </w:r>
            <w:r w:rsidRPr="00635D1D">
              <w:t xml:space="preserve"> Szczegółową analizę kosztów związanych z nowymi wymogami dotyczącymi formatowania przedstawiono w dokumencie roboczym służb Komisji towarzyszącym wnioskowi dotyczącemu rozporządzenia Parlamentu Europejskiego i Rady zmieniającego rozporządzenia (WE) nr 1272/2008, (WE) nr 1223/2009 i (UE) 2019/1009 w odniesieniu do uproszczenia niektórych wymogów i procedur dotyczących produktów chemicznych, SWD(2025) 531, s. 14.</w:t>
            </w:r>
          </w:p>
        </w:tc>
      </w:tr>
      <w:tr w:rsidR="008144C7" w:rsidRPr="00635D1D" w14:paraId="3A06AD00" w14:textId="77777777" w:rsidTr="00C5582D">
        <w:trPr>
          <w:jc w:val="center"/>
        </w:trPr>
        <w:tc>
          <w:tcPr>
            <w:tcW w:w="4876" w:type="dxa"/>
            <w:tcBorders>
              <w:top w:val="nil"/>
              <w:left w:val="nil"/>
              <w:bottom w:val="nil"/>
              <w:right w:val="nil"/>
            </w:tcBorders>
            <w:hideMark/>
          </w:tcPr>
          <w:p w14:paraId="5A8E2642" w14:textId="77777777" w:rsidR="008144C7" w:rsidRPr="00635D1D" w:rsidRDefault="008144C7" w:rsidP="00C5582D">
            <w:pPr>
              <w:pStyle w:val="Normal6a"/>
            </w:pPr>
            <w:r w:rsidRPr="00635D1D">
              <w:rPr>
                <w:vertAlign w:val="superscript"/>
              </w:rPr>
              <w:t>8</w:t>
            </w:r>
            <w:r w:rsidRPr="00635D1D">
              <w:t xml:space="preserve"> Jak przedstawiono w komunikacie Komisji do Parlamentu Europejskiego, Rady, Europejskiego Komitetu Ekonomiczno-Społecznego i Komitetu Regionów – Jednolity rynek: nasz europejski rynek wewnętrzny w niepewnym świecie. Strategia na rzecz prostszego, płynniejszego i silniejszego jednolitego rynku, COM(2025) 500 </w:t>
            </w:r>
            <w:proofErr w:type="spellStart"/>
            <w:r w:rsidRPr="00635D1D">
              <w:t>final</w:t>
            </w:r>
            <w:proofErr w:type="spellEnd"/>
            <w:r w:rsidRPr="00635D1D">
              <w:t>, s. 10, dokument dostępny pod adresem: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1A5E9855" w14:textId="77777777" w:rsidR="008144C7" w:rsidRPr="00635D1D" w:rsidRDefault="008144C7" w:rsidP="00C5582D">
            <w:pPr>
              <w:pStyle w:val="Normal6a"/>
            </w:pPr>
            <w:r w:rsidRPr="00635D1D">
              <w:rPr>
                <w:vertAlign w:val="superscript"/>
              </w:rPr>
              <w:t>8</w:t>
            </w:r>
            <w:r w:rsidRPr="00635D1D">
              <w:t xml:space="preserve"> Jak przedstawiono w komunikacie Komisji do Parlamentu Europejskiego, Rady, Europejskiego Komitetu Ekonomiczno-Społecznego i Komitetu Regionów – Jednolity rynek: nasz europejski rynek wewnętrzny w niepewnym świecie. Strategia na rzecz prostszego, płynniejszego i silniejszego jednolitego rynku, COM(2025) 500 </w:t>
            </w:r>
            <w:proofErr w:type="spellStart"/>
            <w:r w:rsidRPr="00635D1D">
              <w:t>final</w:t>
            </w:r>
            <w:proofErr w:type="spellEnd"/>
            <w:r w:rsidRPr="00635D1D">
              <w:t>, s. 10, dokument dostępny pod adresem: https://single-market-economy.ec.europa.eu/document/download/d92c78d0-7d47-4a16-b53f-1cead54bcb49_en?filename=Communication%20-%20Single%20Market%20Strategy.pdf.</w:t>
            </w:r>
          </w:p>
        </w:tc>
      </w:tr>
    </w:tbl>
    <w:p w14:paraId="2D27B4B7"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674C908B" w14:textId="77777777" w:rsidR="008144C7" w:rsidRPr="00E90719" w:rsidRDefault="008144C7" w:rsidP="008144C7">
      <w:pPr>
        <w:rPr>
          <w:lang w:val="en-GB"/>
        </w:rPr>
      </w:pPr>
      <w:r w:rsidRPr="00E90719">
        <w:rPr>
          <w:rStyle w:val="HideTWBExt"/>
          <w:lang w:val="en-GB"/>
        </w:rPr>
        <w:t>&lt;/Amend&gt;</w:t>
      </w:r>
    </w:p>
    <w:p w14:paraId="335CCAEB"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134</w:t>
      </w:r>
      <w:r w:rsidRPr="00E90719">
        <w:rPr>
          <w:rStyle w:val="HideTWBExt"/>
          <w:b w:val="0"/>
          <w:lang w:val="en-GB"/>
        </w:rPr>
        <w:t>&lt;/NumAm&gt;</w:t>
      </w:r>
    </w:p>
    <w:p w14:paraId="09E16B92"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Majdouline Sbai</w:t>
      </w:r>
      <w:r w:rsidRPr="00E90719">
        <w:rPr>
          <w:rStyle w:val="HideTWBExt"/>
          <w:b w:val="0"/>
          <w:lang w:val="en-GB"/>
        </w:rPr>
        <w:t>&lt;/Members&gt;</w:t>
      </w:r>
    </w:p>
    <w:p w14:paraId="27E87D7B" w14:textId="77777777" w:rsidR="008144C7" w:rsidRPr="00E90719" w:rsidRDefault="008144C7" w:rsidP="008144C7">
      <w:pPr>
        <w:pStyle w:val="NormalBold"/>
      </w:pPr>
      <w:r w:rsidRPr="00E90719">
        <w:rPr>
          <w:rStyle w:val="HideTWBExt"/>
          <w:b w:val="0"/>
        </w:rPr>
        <w:t>&lt;/RepeatBlock-By&gt;</w:t>
      </w:r>
    </w:p>
    <w:p w14:paraId="1D22AF6D"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6B0B6F9" w14:textId="77777777" w:rsidR="008144C7" w:rsidRPr="00635D1D" w:rsidRDefault="008144C7" w:rsidP="008144C7">
      <w:pPr>
        <w:pStyle w:val="NormalBold"/>
      </w:pPr>
      <w:r w:rsidRPr="00635D1D">
        <w:rPr>
          <w:rStyle w:val="HideTWBExt"/>
          <w:b w:val="0"/>
        </w:rPr>
        <w:t>&lt;Article&gt;</w:t>
      </w:r>
      <w:r w:rsidRPr="00635D1D">
        <w:t>Motyw 7</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FA49D8A" w14:textId="77777777" w:rsidTr="00C5582D">
        <w:trPr>
          <w:trHeight w:val="240"/>
          <w:jc w:val="center"/>
        </w:trPr>
        <w:tc>
          <w:tcPr>
            <w:tcW w:w="9752" w:type="dxa"/>
            <w:gridSpan w:val="2"/>
            <w:tcBorders>
              <w:top w:val="nil"/>
              <w:left w:val="nil"/>
              <w:bottom w:val="nil"/>
              <w:right w:val="nil"/>
            </w:tcBorders>
          </w:tcPr>
          <w:p w14:paraId="54684825" w14:textId="77777777" w:rsidR="008144C7" w:rsidRPr="00635D1D" w:rsidRDefault="008144C7" w:rsidP="00C5582D"/>
        </w:tc>
      </w:tr>
      <w:tr w:rsidR="008144C7" w:rsidRPr="00635D1D" w14:paraId="40CC3A02" w14:textId="77777777" w:rsidTr="00C5582D">
        <w:trPr>
          <w:trHeight w:val="240"/>
          <w:jc w:val="center"/>
        </w:trPr>
        <w:tc>
          <w:tcPr>
            <w:tcW w:w="4876" w:type="dxa"/>
            <w:tcBorders>
              <w:top w:val="nil"/>
              <w:left w:val="nil"/>
              <w:bottom w:val="nil"/>
              <w:right w:val="nil"/>
            </w:tcBorders>
            <w:hideMark/>
          </w:tcPr>
          <w:p w14:paraId="293C98C4"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4BD64AF" w14:textId="77777777" w:rsidR="008144C7" w:rsidRPr="00635D1D" w:rsidRDefault="008144C7" w:rsidP="00C5582D">
            <w:pPr>
              <w:pStyle w:val="AmColumnHeading"/>
            </w:pPr>
            <w:r w:rsidRPr="00635D1D">
              <w:t>Poprawka</w:t>
            </w:r>
          </w:p>
        </w:tc>
      </w:tr>
      <w:tr w:rsidR="008144C7" w:rsidRPr="00635D1D" w14:paraId="30AE35DF" w14:textId="77777777" w:rsidTr="00C5582D">
        <w:trPr>
          <w:jc w:val="center"/>
        </w:trPr>
        <w:tc>
          <w:tcPr>
            <w:tcW w:w="4876" w:type="dxa"/>
            <w:tcBorders>
              <w:top w:val="nil"/>
              <w:left w:val="nil"/>
              <w:bottom w:val="nil"/>
              <w:right w:val="nil"/>
            </w:tcBorders>
            <w:hideMark/>
          </w:tcPr>
          <w:p w14:paraId="75DA2D8C" w14:textId="77777777" w:rsidR="008144C7" w:rsidRPr="00635D1D" w:rsidRDefault="008144C7" w:rsidP="00C5582D">
            <w:pPr>
              <w:pStyle w:val="Normal6a"/>
            </w:pPr>
            <w:r w:rsidRPr="00635D1D">
              <w:t>(7)</w:t>
            </w:r>
            <w:r w:rsidRPr="00635D1D">
              <w:tab/>
              <w:t>W rozporządzeniu (UE) 2024/2865 ustanowiono przepisy dotyczące obowiązkowych wymogów dotyczących formatowania etykiet. Z nowo otrzymanych informacji</w:t>
            </w:r>
            <w:r w:rsidRPr="00635D1D">
              <w:rPr>
                <w:vertAlign w:val="superscript"/>
              </w:rPr>
              <w:t>7</w:t>
            </w:r>
            <w:r w:rsidRPr="00635D1D">
              <w:t xml:space="preserve"> wynika, że </w:t>
            </w:r>
            <w:r w:rsidRPr="00635D1D">
              <w:rPr>
                <w:b/>
                <w:i/>
              </w:rPr>
              <w:t>wymogi te</w:t>
            </w:r>
            <w:r w:rsidRPr="00635D1D">
              <w:t xml:space="preserve"> wiążą się z nadmiernymi obciążeniami administracyjnymi oraz kosztami. Aby zrównoważyć potrzebę jasnego zrozumienia przez konsumentów informacji na etykietach z potrzebą zmniejszenia barier rynkowych i obciążeń dla przemysłu</w:t>
            </w:r>
            <w:r w:rsidRPr="00635D1D">
              <w:rPr>
                <w:vertAlign w:val="superscript"/>
              </w:rPr>
              <w:t>8</w:t>
            </w:r>
            <w:r w:rsidRPr="00635D1D">
              <w:t xml:space="preserve">, należy </w:t>
            </w:r>
            <w:r w:rsidRPr="00635D1D">
              <w:rPr>
                <w:b/>
                <w:i/>
              </w:rPr>
              <w:t>uprościć</w:t>
            </w:r>
            <w:r w:rsidRPr="00635D1D">
              <w:t xml:space="preserve"> obecne obowiązki w zakresie formatowania bez obniżenia poziomu ochrony zdrowia ludzkiego i środowiska.</w:t>
            </w:r>
            <w:r w:rsidRPr="00635D1D">
              <w:rPr>
                <w:b/>
                <w:i/>
              </w:rPr>
              <w:t xml:space="preserve"> Podmioty gospodarcze i organy egzekwowania prawa</w:t>
            </w:r>
            <w:r w:rsidRPr="00635D1D">
              <w:t xml:space="preserve"> muszą pozostać </w:t>
            </w:r>
            <w:r w:rsidRPr="00635D1D">
              <w:rPr>
                <w:b/>
                <w:i/>
              </w:rPr>
              <w:t>odpowiedzialne</w:t>
            </w:r>
            <w:r w:rsidRPr="00635D1D">
              <w:t xml:space="preserve"> za zapewnienie czytelności </w:t>
            </w:r>
            <w:r w:rsidRPr="00635D1D">
              <w:rPr>
                <w:b/>
                <w:i/>
              </w:rPr>
              <w:t>etykiet</w:t>
            </w:r>
            <w:r w:rsidRPr="00635D1D">
              <w:t xml:space="preserve"> zgodnie z wymogami prawnymi.</w:t>
            </w:r>
          </w:p>
        </w:tc>
        <w:tc>
          <w:tcPr>
            <w:tcW w:w="4876" w:type="dxa"/>
            <w:tcBorders>
              <w:top w:val="nil"/>
              <w:left w:val="nil"/>
              <w:bottom w:val="nil"/>
              <w:right w:val="nil"/>
            </w:tcBorders>
            <w:hideMark/>
          </w:tcPr>
          <w:p w14:paraId="4E12575C" w14:textId="77777777" w:rsidR="008144C7" w:rsidRPr="00635D1D" w:rsidRDefault="008144C7" w:rsidP="00C5582D">
            <w:pPr>
              <w:pStyle w:val="Normal6a"/>
            </w:pPr>
            <w:r w:rsidRPr="00635D1D">
              <w:t>(7)</w:t>
            </w:r>
            <w:r w:rsidRPr="00635D1D">
              <w:tab/>
              <w:t xml:space="preserve">W rozporządzeniu (UE) 2024/2865 ustanowiono przepisy dotyczące obowiązkowych wymogów dotyczących formatowania etykiet. </w:t>
            </w:r>
            <w:r w:rsidRPr="00635D1D">
              <w:rPr>
                <w:b/>
                <w:i/>
              </w:rPr>
              <w:t xml:space="preserve">Nowe przepisy dotyczące odstępów między wierszami mają powszechne zastosowanie i w związku z tym powinny zostać utrzymane. </w:t>
            </w:r>
            <w:r w:rsidRPr="00635D1D">
              <w:t>Z nowo otrzymanych informacji</w:t>
            </w:r>
            <w:r w:rsidRPr="00635D1D">
              <w:rPr>
                <w:vertAlign w:val="superscript"/>
              </w:rPr>
              <w:t>7</w:t>
            </w:r>
            <w:r w:rsidRPr="00635D1D">
              <w:t xml:space="preserve"> wynika, że </w:t>
            </w:r>
            <w:r w:rsidRPr="00635D1D">
              <w:rPr>
                <w:b/>
                <w:i/>
              </w:rPr>
              <w:t>niektóre z tych wymogów w zakresie komunikacji w działalności handlowej</w:t>
            </w:r>
            <w:r w:rsidRPr="00635D1D">
              <w:t xml:space="preserve"> wiążą się z nadmiernymi obciążeniami administracyjnymi oraz kosztami. Aby zrównoważyć potrzebę jasnego zrozumienia przez konsumentów informacji na etykietach z potrzebą zmniejszenia barier rynkowych i obciążeń dla przemysłu</w:t>
            </w:r>
            <w:r w:rsidRPr="00635D1D">
              <w:rPr>
                <w:vertAlign w:val="superscript"/>
              </w:rPr>
              <w:t>8</w:t>
            </w:r>
            <w:r w:rsidRPr="00635D1D">
              <w:t xml:space="preserve">, należy </w:t>
            </w:r>
            <w:r w:rsidRPr="00635D1D">
              <w:rPr>
                <w:b/>
                <w:i/>
              </w:rPr>
              <w:t>zmienić</w:t>
            </w:r>
            <w:r w:rsidRPr="00635D1D">
              <w:t xml:space="preserve"> obecne obowiązki w zakresie formatowania bez obniżenia poziomu ochrony zdrowia ludzkiego i środowiska </w:t>
            </w:r>
            <w:r w:rsidRPr="00635D1D">
              <w:rPr>
                <w:b/>
                <w:i/>
              </w:rPr>
              <w:t>konsumentów</w:t>
            </w:r>
            <w:r w:rsidRPr="00635D1D">
              <w:t>.</w:t>
            </w:r>
            <w:r w:rsidRPr="00635D1D">
              <w:rPr>
                <w:b/>
                <w:i/>
              </w:rPr>
              <w:t xml:space="preserve"> Aby zapewnić właściwą czytelność etykiet dotyczących substancji i mieszanin sprzedawanych ogółowi społeczeństwa oraz ułatwić egzekwowanie przepisów, należy utrzymać wymogi dotyczące minimalnego rozmiaru czcionki. Dostawcy</w:t>
            </w:r>
            <w:r w:rsidRPr="00635D1D">
              <w:t xml:space="preserve"> muszą pozostać </w:t>
            </w:r>
            <w:r w:rsidRPr="00635D1D">
              <w:rPr>
                <w:b/>
                <w:i/>
              </w:rPr>
              <w:t>odpowiedzialni</w:t>
            </w:r>
            <w:r w:rsidRPr="00635D1D">
              <w:t xml:space="preserve"> za zapewnienie </w:t>
            </w:r>
            <w:r w:rsidRPr="00635D1D">
              <w:rPr>
                <w:b/>
                <w:bCs/>
                <w:i/>
                <w:iCs/>
              </w:rPr>
              <w:t>innych elementów</w:t>
            </w:r>
            <w:r w:rsidRPr="00635D1D">
              <w:t xml:space="preserve"> czytelności zgodnie z wymogami prawnymi.</w:t>
            </w:r>
          </w:p>
        </w:tc>
      </w:tr>
      <w:tr w:rsidR="008144C7" w:rsidRPr="00635D1D" w14:paraId="6E0EB432" w14:textId="77777777" w:rsidTr="00C5582D">
        <w:trPr>
          <w:jc w:val="center"/>
        </w:trPr>
        <w:tc>
          <w:tcPr>
            <w:tcW w:w="4876" w:type="dxa"/>
            <w:tcBorders>
              <w:top w:val="nil"/>
              <w:left w:val="nil"/>
              <w:bottom w:val="nil"/>
              <w:right w:val="nil"/>
            </w:tcBorders>
            <w:hideMark/>
          </w:tcPr>
          <w:p w14:paraId="26557080"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36C992BA" w14:textId="77777777" w:rsidR="008144C7" w:rsidRPr="00635D1D" w:rsidRDefault="008144C7" w:rsidP="00C5582D">
            <w:pPr>
              <w:pStyle w:val="Normal6a"/>
            </w:pPr>
            <w:r w:rsidRPr="00635D1D">
              <w:rPr>
                <w:b/>
                <w:i/>
              </w:rPr>
              <w:t>_________________</w:t>
            </w:r>
          </w:p>
        </w:tc>
      </w:tr>
      <w:tr w:rsidR="008144C7" w:rsidRPr="00635D1D" w14:paraId="632B5B5C" w14:textId="77777777" w:rsidTr="00C5582D">
        <w:trPr>
          <w:jc w:val="center"/>
        </w:trPr>
        <w:tc>
          <w:tcPr>
            <w:tcW w:w="4876" w:type="dxa"/>
            <w:tcBorders>
              <w:top w:val="nil"/>
              <w:left w:val="nil"/>
              <w:bottom w:val="nil"/>
              <w:right w:val="nil"/>
            </w:tcBorders>
            <w:hideMark/>
          </w:tcPr>
          <w:p w14:paraId="4523DF12" w14:textId="77777777" w:rsidR="008144C7" w:rsidRPr="00635D1D" w:rsidRDefault="008144C7" w:rsidP="00C5582D">
            <w:pPr>
              <w:pStyle w:val="Normal6a"/>
            </w:pPr>
            <w:r w:rsidRPr="00635D1D">
              <w:rPr>
                <w:vertAlign w:val="superscript"/>
              </w:rPr>
              <w:t>7</w:t>
            </w:r>
            <w:r w:rsidRPr="00635D1D">
              <w:t xml:space="preserve"> Szczegółową analizę kosztów związanych z nowymi wymogami dotyczącymi formatowania przedstawiono w dokumencie roboczym służb Komisji towarzyszącym wnioskowi dotyczącemu rozporządzenia Parlamentu Europejskiego i Rady zmieniającego rozporządzenia (WE) nr 1272/2008, (WE) nr 1223/2009 i (UE) 2019/1009 w odniesieniu do uproszczenia niektórych wymogów i procedur dotyczących produktów chemicznych, SWD(2025) 531, s. 14.</w:t>
            </w:r>
          </w:p>
        </w:tc>
        <w:tc>
          <w:tcPr>
            <w:tcW w:w="4876" w:type="dxa"/>
            <w:tcBorders>
              <w:top w:val="nil"/>
              <w:left w:val="nil"/>
              <w:bottom w:val="nil"/>
              <w:right w:val="nil"/>
            </w:tcBorders>
            <w:hideMark/>
          </w:tcPr>
          <w:p w14:paraId="0C318797" w14:textId="77777777" w:rsidR="008144C7" w:rsidRPr="00635D1D" w:rsidRDefault="008144C7" w:rsidP="00C5582D">
            <w:pPr>
              <w:pStyle w:val="Normal6a"/>
            </w:pPr>
            <w:r w:rsidRPr="00635D1D">
              <w:rPr>
                <w:vertAlign w:val="superscript"/>
              </w:rPr>
              <w:t>7</w:t>
            </w:r>
            <w:r w:rsidRPr="00635D1D">
              <w:t xml:space="preserve"> Szczegółową analizę kosztów związanych z nowymi wymogami dotyczącymi formatowania przedstawiono w dokumencie roboczym służb Komisji towarzyszącym wnioskowi dotyczącemu rozporządzenia Parlamentu Europejskiego i Rady zmieniającego rozporządzenia (WE) nr 1272/2008, (WE) nr 1223/2009 i (UE) 2019/1009 w odniesieniu do uproszczenia niektórych wymogów i procedur dotyczących produktów chemicznych, SWD(2025) 531, s. 14.</w:t>
            </w:r>
          </w:p>
        </w:tc>
      </w:tr>
      <w:tr w:rsidR="008144C7" w:rsidRPr="00635D1D" w14:paraId="08C2E584" w14:textId="77777777" w:rsidTr="00C5582D">
        <w:trPr>
          <w:jc w:val="center"/>
        </w:trPr>
        <w:tc>
          <w:tcPr>
            <w:tcW w:w="4876" w:type="dxa"/>
            <w:tcBorders>
              <w:top w:val="nil"/>
              <w:left w:val="nil"/>
              <w:bottom w:val="nil"/>
              <w:right w:val="nil"/>
            </w:tcBorders>
            <w:hideMark/>
          </w:tcPr>
          <w:p w14:paraId="115CB868" w14:textId="77777777" w:rsidR="008144C7" w:rsidRPr="00635D1D" w:rsidRDefault="008144C7" w:rsidP="00C5582D">
            <w:pPr>
              <w:pStyle w:val="Normal6a"/>
            </w:pPr>
            <w:r w:rsidRPr="00635D1D">
              <w:rPr>
                <w:vertAlign w:val="superscript"/>
              </w:rPr>
              <w:t>8</w:t>
            </w:r>
            <w:r w:rsidRPr="00635D1D">
              <w:t xml:space="preserve"> Jak przedstawiono w komunikacie Komisji do Parlamentu Europejskiego, Rady, Europejskiego Komitetu Ekonomiczno-Społecznego i Komitetu Regionów – Jednolity rynek: nasz europejski rynek wewnętrzny w niepewnym świecie. Strategia na rzecz prostszego, płynniejszego i silniejszego jednolitego rynku, COM(2025) 500 </w:t>
            </w:r>
            <w:proofErr w:type="spellStart"/>
            <w:r w:rsidRPr="00635D1D">
              <w:t>final</w:t>
            </w:r>
            <w:proofErr w:type="spellEnd"/>
            <w:r w:rsidRPr="00635D1D">
              <w:t>, s. 10, dokument dostępny pod adresem: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2D1B3B69" w14:textId="77777777" w:rsidR="008144C7" w:rsidRPr="00635D1D" w:rsidRDefault="008144C7" w:rsidP="00C5582D">
            <w:pPr>
              <w:pStyle w:val="Normal6a"/>
            </w:pPr>
            <w:r w:rsidRPr="00635D1D">
              <w:rPr>
                <w:vertAlign w:val="superscript"/>
              </w:rPr>
              <w:t>8</w:t>
            </w:r>
            <w:r w:rsidRPr="00635D1D">
              <w:t xml:space="preserve"> Jak przedstawiono w komunikacie Komisji do Parlamentu Europejskiego, Rady, Europejskiego Komitetu Ekonomiczno-Społecznego i Komitetu Regionów – Jednolity rynek: nasz europejski rynek wewnętrzny w niepewnym świecie. Strategia na rzecz prostszego, płynniejszego i silniejszego jednolitego rynku, COM(2025) 500 </w:t>
            </w:r>
            <w:proofErr w:type="spellStart"/>
            <w:r w:rsidRPr="00635D1D">
              <w:t>final</w:t>
            </w:r>
            <w:proofErr w:type="spellEnd"/>
            <w:r w:rsidRPr="00635D1D">
              <w:t>, s. 10, dokument dostępny pod adresem: https://single-market-economy.ec.europa.eu/document/download/d92c78d0-7d47-4a16-b53f-1cead54bcb49_en?filename=Communication%20-%20Single%20Market%20Strategy.pdf.</w:t>
            </w:r>
          </w:p>
        </w:tc>
      </w:tr>
    </w:tbl>
    <w:p w14:paraId="37EBBF89"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6A1FC8A7"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60619F5C" w14:textId="77777777" w:rsidR="008144C7" w:rsidRPr="00AD15CF" w:rsidRDefault="008144C7" w:rsidP="008144C7">
      <w:pPr>
        <w:pStyle w:val="AmJustText"/>
        <w:rPr>
          <w:lang w:val="en-GB"/>
        </w:rPr>
      </w:pPr>
      <w:r w:rsidRPr="00AD15CF">
        <w:rPr>
          <w:lang w:val="en-GB"/>
        </w:rPr>
        <w:t xml:space="preserve">A basic requirement of good readability is line spacing. Unfortunately, proper line spacing is not always respected. For that reason, the recently revised CLP Regulation introduced the generic requirement of 120% line spacing in all cases. This should be maintained. When it comes to font sizes, it is important to distinguish between B2B and B2C. While relevant arguments have been put forward that flexibility is needed for B2B labelling, not least </w:t>
      </w:r>
      <w:proofErr w:type="gramStart"/>
      <w:r w:rsidRPr="00AD15CF">
        <w:rPr>
          <w:lang w:val="en-GB"/>
        </w:rPr>
        <w:t>in light of</w:t>
      </w:r>
      <w:proofErr w:type="gramEnd"/>
      <w:r w:rsidRPr="00AD15CF">
        <w:rPr>
          <w:lang w:val="en-GB"/>
        </w:rPr>
        <w:t xml:space="preserve"> the availability of material safety data sheets for business operators, minimum font size should clearly be established for products for sale to the general public to ensure proper readability of hazard information. It is of paramount importance to ensure that consumer </w:t>
      </w:r>
      <w:proofErr w:type="gramStart"/>
      <w:r w:rsidRPr="00AD15CF">
        <w:rPr>
          <w:lang w:val="en-GB"/>
        </w:rPr>
        <w:t>are</w:t>
      </w:r>
      <w:proofErr w:type="gramEnd"/>
      <w:r w:rsidRPr="00AD15CF">
        <w:rPr>
          <w:lang w:val="en-GB"/>
        </w:rPr>
        <w:t xml:space="preserve"> properly informed of the hazards of a substance or a mixture. That requires that the obligation of minimum font size as established in the latest revision is retained for B2C.</w:t>
      </w:r>
    </w:p>
    <w:p w14:paraId="1C2B6D75" w14:textId="77777777" w:rsidR="008144C7" w:rsidRPr="00AD15CF" w:rsidRDefault="008144C7" w:rsidP="008144C7">
      <w:pPr>
        <w:rPr>
          <w:lang w:val="en-GB"/>
        </w:rPr>
      </w:pPr>
      <w:r w:rsidRPr="00AD15CF">
        <w:rPr>
          <w:rStyle w:val="HideTWBExt"/>
          <w:lang w:val="en-GB"/>
        </w:rPr>
        <w:t>&lt;/Amend&gt;</w:t>
      </w:r>
    </w:p>
    <w:p w14:paraId="7E996B68"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135</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5EBA69D1"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Martin </w:t>
      </w:r>
      <w:proofErr w:type="spellStart"/>
      <w:r w:rsidRPr="00AD15CF">
        <w:rPr>
          <w:lang w:val="en-GB"/>
        </w:rPr>
        <w:t>Hojsík</w:t>
      </w:r>
      <w:proofErr w:type="spellEnd"/>
      <w:r w:rsidRPr="00AD15CF">
        <w:rPr>
          <w:lang w:val="en-GB"/>
        </w:rPr>
        <w:t xml:space="preserve">, Michal </w:t>
      </w:r>
      <w:proofErr w:type="spellStart"/>
      <w:r w:rsidRPr="00AD15CF">
        <w:rPr>
          <w:lang w:val="en-GB"/>
        </w:rPr>
        <w:t>Wiezik</w:t>
      </w:r>
      <w:proofErr w:type="spellEnd"/>
      <w:r w:rsidRPr="00AD15CF">
        <w:rPr>
          <w:lang w:val="en-GB"/>
        </w:rPr>
        <w:t xml:space="preserve">, Pascal </w:t>
      </w:r>
      <w:proofErr w:type="spellStart"/>
      <w:r w:rsidRPr="00AD15CF">
        <w:rPr>
          <w:lang w:val="en-GB"/>
        </w:rPr>
        <w:t>Canfin</w:t>
      </w:r>
      <w:proofErr w:type="spellEnd"/>
      <w:r w:rsidRPr="00AD15CF">
        <w:rPr>
          <w:lang w:val="en-GB"/>
        </w:rPr>
        <w:t xml:space="preserve">, </w:t>
      </w:r>
      <w:proofErr w:type="spellStart"/>
      <w:r w:rsidRPr="00AD15CF">
        <w:rPr>
          <w:lang w:val="en-GB"/>
        </w:rPr>
        <w:t>Grégory</w:t>
      </w:r>
      <w:proofErr w:type="spellEnd"/>
      <w:r w:rsidRPr="00AD15CF">
        <w:rPr>
          <w:lang w:val="en-GB"/>
        </w:rPr>
        <w:t xml:space="preserve"> </w:t>
      </w:r>
      <w:proofErr w:type="spellStart"/>
      <w:r w:rsidRPr="00AD15CF">
        <w:rPr>
          <w:lang w:val="en-GB"/>
        </w:rPr>
        <w:t>Allione</w:t>
      </w:r>
      <w:proofErr w:type="spellEnd"/>
      <w:r w:rsidRPr="00AD15CF">
        <w:rPr>
          <w:rStyle w:val="HideTWBExt"/>
          <w:b w:val="0"/>
          <w:lang w:val="en-GB"/>
        </w:rPr>
        <w:t>&lt;/Members&gt;</w:t>
      </w:r>
    </w:p>
    <w:p w14:paraId="307A6CA4" w14:textId="77777777" w:rsidR="008144C7" w:rsidRPr="00635D1D" w:rsidRDefault="008144C7" w:rsidP="008144C7">
      <w:pPr>
        <w:pStyle w:val="NormalBold"/>
      </w:pPr>
      <w:r w:rsidRPr="00635D1D">
        <w:rPr>
          <w:rStyle w:val="HideTWBExt"/>
          <w:b w:val="0"/>
        </w:rPr>
        <w:t>&lt;/RepeatBlock-By&gt;</w:t>
      </w:r>
    </w:p>
    <w:p w14:paraId="63A690C4"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80C8A18" w14:textId="77777777" w:rsidR="008144C7" w:rsidRPr="00635D1D" w:rsidRDefault="008144C7" w:rsidP="008144C7">
      <w:pPr>
        <w:pStyle w:val="NormalBold"/>
      </w:pPr>
      <w:r w:rsidRPr="00635D1D">
        <w:rPr>
          <w:rStyle w:val="HideTWBExt"/>
          <w:b w:val="0"/>
        </w:rPr>
        <w:t>&lt;Article&gt;</w:t>
      </w:r>
      <w:r w:rsidRPr="00635D1D">
        <w:t>Motyw 7</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6E80FFA" w14:textId="77777777" w:rsidTr="00C5582D">
        <w:trPr>
          <w:trHeight w:val="240"/>
          <w:jc w:val="center"/>
        </w:trPr>
        <w:tc>
          <w:tcPr>
            <w:tcW w:w="9752" w:type="dxa"/>
            <w:gridSpan w:val="2"/>
            <w:tcBorders>
              <w:top w:val="nil"/>
              <w:left w:val="nil"/>
              <w:bottom w:val="nil"/>
              <w:right w:val="nil"/>
            </w:tcBorders>
          </w:tcPr>
          <w:p w14:paraId="641A7ADB" w14:textId="77777777" w:rsidR="008144C7" w:rsidRPr="00635D1D" w:rsidRDefault="008144C7" w:rsidP="00C5582D"/>
        </w:tc>
      </w:tr>
      <w:tr w:rsidR="008144C7" w:rsidRPr="00635D1D" w14:paraId="6BAC90F3" w14:textId="77777777" w:rsidTr="00C5582D">
        <w:trPr>
          <w:trHeight w:val="240"/>
          <w:jc w:val="center"/>
        </w:trPr>
        <w:tc>
          <w:tcPr>
            <w:tcW w:w="4876" w:type="dxa"/>
            <w:tcBorders>
              <w:top w:val="nil"/>
              <w:left w:val="nil"/>
              <w:bottom w:val="nil"/>
              <w:right w:val="nil"/>
            </w:tcBorders>
            <w:hideMark/>
          </w:tcPr>
          <w:p w14:paraId="6FB9E3A7"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95F64D8" w14:textId="77777777" w:rsidR="008144C7" w:rsidRPr="00635D1D" w:rsidRDefault="008144C7" w:rsidP="00C5582D">
            <w:pPr>
              <w:pStyle w:val="AmColumnHeading"/>
            </w:pPr>
            <w:r w:rsidRPr="00635D1D">
              <w:t>Poprawka</w:t>
            </w:r>
          </w:p>
        </w:tc>
      </w:tr>
      <w:tr w:rsidR="008144C7" w:rsidRPr="00635D1D" w14:paraId="63C21DB6" w14:textId="77777777" w:rsidTr="00C5582D">
        <w:trPr>
          <w:jc w:val="center"/>
        </w:trPr>
        <w:tc>
          <w:tcPr>
            <w:tcW w:w="4876" w:type="dxa"/>
            <w:tcBorders>
              <w:top w:val="nil"/>
              <w:left w:val="nil"/>
              <w:bottom w:val="nil"/>
              <w:right w:val="nil"/>
            </w:tcBorders>
            <w:hideMark/>
          </w:tcPr>
          <w:p w14:paraId="5641BC5A" w14:textId="77777777" w:rsidR="008144C7" w:rsidRPr="00635D1D" w:rsidRDefault="008144C7" w:rsidP="00C5582D">
            <w:pPr>
              <w:pStyle w:val="Normal6a"/>
            </w:pPr>
            <w:r w:rsidRPr="00635D1D">
              <w:t>(7)</w:t>
            </w:r>
            <w:r w:rsidRPr="00635D1D">
              <w:tab/>
              <w:t>W rozporządzeniu (UE) 2024/2865 ustanowiono przepisy dotyczące obowiązkowych wymogów dotyczących formatowania etykiet</w:t>
            </w:r>
            <w:r w:rsidRPr="00635D1D">
              <w:rPr>
                <w:b/>
                <w:i/>
              </w:rPr>
              <w:t>. Z nowo otrzymanych informacji</w:t>
            </w:r>
            <w:r w:rsidRPr="00635D1D">
              <w:rPr>
                <w:b/>
                <w:i/>
                <w:vertAlign w:val="superscript"/>
              </w:rPr>
              <w:t>7</w:t>
            </w:r>
            <w:r w:rsidRPr="00635D1D">
              <w:t xml:space="preserve"> </w:t>
            </w:r>
            <w:r w:rsidRPr="00635D1D">
              <w:rPr>
                <w:b/>
                <w:i/>
              </w:rPr>
              <w:t>wynika, że wymogi te wiążą się z nadmiernymi obciążeniami administracyjnymi oraz kosztami</w:t>
            </w:r>
            <w:r w:rsidRPr="00635D1D">
              <w:t>. Aby zrównoważyć potrzebę jasnego zrozumienia przez konsumentów informacji na etykietach z potrzebą zmniejszenia barier rynkowych i obciążeń dla przemysłu</w:t>
            </w:r>
            <w:r w:rsidRPr="00635D1D">
              <w:rPr>
                <w:vertAlign w:val="superscript"/>
              </w:rPr>
              <w:t>8</w:t>
            </w:r>
            <w:r w:rsidRPr="00635D1D">
              <w:t>, należy uprościć obecne obowiązki w zakresie formatowania bez obniżenia poziomu ochrony zdrowia ludzkiego i środowiska. Podmioty gospodarcze i organy egzekwowania prawa muszą pozostać odpowiedzialne za zapewnienie czytelności etykiet zgodnie z wymogami prawnymi.</w:t>
            </w:r>
          </w:p>
        </w:tc>
        <w:tc>
          <w:tcPr>
            <w:tcW w:w="4876" w:type="dxa"/>
            <w:tcBorders>
              <w:top w:val="nil"/>
              <w:left w:val="nil"/>
              <w:bottom w:val="nil"/>
              <w:right w:val="nil"/>
            </w:tcBorders>
            <w:hideMark/>
          </w:tcPr>
          <w:p w14:paraId="32E3AF20" w14:textId="77777777" w:rsidR="008144C7" w:rsidRPr="00635D1D" w:rsidRDefault="008144C7" w:rsidP="00C5582D">
            <w:pPr>
              <w:pStyle w:val="Normal6a"/>
            </w:pPr>
            <w:r w:rsidRPr="00635D1D">
              <w:t>(7)</w:t>
            </w:r>
            <w:r w:rsidRPr="00635D1D">
              <w:tab/>
              <w:t>W rozporządzeniu (UE) 2024/2865 ustanowiono przepisy dotyczące obowiązkowych wymogów dotyczących formatowania etykiet. Aby zrównoważyć potrzebę jasnego zrozumienia przez konsumentów informacji na etykietach z potrzebą zmniejszenia barier rynkowych i obciążeń dla przemysłu</w:t>
            </w:r>
            <w:r w:rsidRPr="00635D1D">
              <w:rPr>
                <w:vertAlign w:val="superscript"/>
              </w:rPr>
              <w:t>8</w:t>
            </w:r>
            <w:r w:rsidRPr="00635D1D">
              <w:t>, należy uprościć obecne obowiązki w zakresie formatowania</w:t>
            </w:r>
            <w:r w:rsidRPr="00635D1D">
              <w:rPr>
                <w:b/>
                <w:i/>
              </w:rPr>
              <w:t>, w przypadku gdy chemikalia są dostarczane w ramach działalności zawodowej lub przemysłowej w bezpośrednich relacjach między przedsiębiorstwami,</w:t>
            </w:r>
            <w:r w:rsidRPr="00635D1D">
              <w:t xml:space="preserve"> bez obniżenia poziomu ochrony zdrowia ludzkiego i środowiska. Podmioty gospodarcze i organy egzekwowania prawa muszą pozostać odpowiedzialne za zapewnienie czytelności etykiet zgodnie z wymogami prawnymi.</w:t>
            </w:r>
          </w:p>
        </w:tc>
      </w:tr>
      <w:tr w:rsidR="008144C7" w:rsidRPr="00635D1D" w14:paraId="09BE758A" w14:textId="77777777" w:rsidTr="00C5582D">
        <w:trPr>
          <w:jc w:val="center"/>
        </w:trPr>
        <w:tc>
          <w:tcPr>
            <w:tcW w:w="4876" w:type="dxa"/>
            <w:tcBorders>
              <w:top w:val="nil"/>
              <w:left w:val="nil"/>
              <w:bottom w:val="nil"/>
              <w:right w:val="nil"/>
            </w:tcBorders>
            <w:hideMark/>
          </w:tcPr>
          <w:p w14:paraId="28FACD13"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389A1257" w14:textId="77777777" w:rsidR="008144C7" w:rsidRPr="00635D1D" w:rsidRDefault="008144C7" w:rsidP="00C5582D">
            <w:pPr>
              <w:pStyle w:val="Normal6a"/>
            </w:pPr>
            <w:r w:rsidRPr="00635D1D">
              <w:rPr>
                <w:b/>
                <w:i/>
              </w:rPr>
              <w:t>_________________</w:t>
            </w:r>
          </w:p>
        </w:tc>
      </w:tr>
      <w:tr w:rsidR="008144C7" w:rsidRPr="00635D1D" w14:paraId="3D8E44BA" w14:textId="77777777" w:rsidTr="00C5582D">
        <w:trPr>
          <w:jc w:val="center"/>
        </w:trPr>
        <w:tc>
          <w:tcPr>
            <w:tcW w:w="4876" w:type="dxa"/>
            <w:tcBorders>
              <w:top w:val="nil"/>
              <w:left w:val="nil"/>
              <w:bottom w:val="nil"/>
              <w:right w:val="nil"/>
            </w:tcBorders>
            <w:hideMark/>
          </w:tcPr>
          <w:p w14:paraId="6AAFF21E" w14:textId="77777777" w:rsidR="008144C7" w:rsidRPr="00635D1D" w:rsidRDefault="008144C7" w:rsidP="00C5582D">
            <w:pPr>
              <w:pStyle w:val="Normal6a"/>
            </w:pPr>
            <w:r w:rsidRPr="00635D1D">
              <w:rPr>
                <w:b/>
                <w:i/>
                <w:vertAlign w:val="superscript"/>
              </w:rPr>
              <w:t>7</w:t>
            </w:r>
            <w:r w:rsidRPr="00635D1D">
              <w:t xml:space="preserve"> </w:t>
            </w:r>
            <w:r w:rsidRPr="00635D1D">
              <w:rPr>
                <w:b/>
                <w:i/>
              </w:rPr>
              <w:t>Szczegółową</w:t>
            </w:r>
            <w:r w:rsidRPr="00635D1D">
              <w:t xml:space="preserve"> analizę kosztów związanych z nowymi wymogami dotyczącymi formatowania przedstawiono w dokumencie roboczym służb Komisji towarzyszącym wnioskowi dotyczącemu rozporządzenia Parlamentu Europejskiego i Rady zmieniającego rozporządzenia (WE) nr 1272/2008, (WE) nr 1223/2009 i (UE) 2019/1009 w odniesieniu do uproszczenia niektórych wymogów i procedur dotyczących produktów chemicznych, SWD(2025) 531, s. 14.</w:t>
            </w:r>
          </w:p>
        </w:tc>
        <w:tc>
          <w:tcPr>
            <w:tcW w:w="4876" w:type="dxa"/>
            <w:tcBorders>
              <w:top w:val="nil"/>
              <w:left w:val="nil"/>
              <w:bottom w:val="nil"/>
              <w:right w:val="nil"/>
            </w:tcBorders>
          </w:tcPr>
          <w:p w14:paraId="7AE85192" w14:textId="77777777" w:rsidR="008144C7" w:rsidRPr="00635D1D" w:rsidRDefault="008144C7" w:rsidP="00C5582D"/>
        </w:tc>
      </w:tr>
      <w:tr w:rsidR="008144C7" w:rsidRPr="00635D1D" w14:paraId="7953690E" w14:textId="77777777" w:rsidTr="00C5582D">
        <w:trPr>
          <w:jc w:val="center"/>
        </w:trPr>
        <w:tc>
          <w:tcPr>
            <w:tcW w:w="4876" w:type="dxa"/>
            <w:tcBorders>
              <w:top w:val="nil"/>
              <w:left w:val="nil"/>
              <w:bottom w:val="nil"/>
              <w:right w:val="nil"/>
            </w:tcBorders>
            <w:hideMark/>
          </w:tcPr>
          <w:p w14:paraId="15EF629F" w14:textId="77777777" w:rsidR="008144C7" w:rsidRPr="00635D1D" w:rsidRDefault="008144C7" w:rsidP="00C5582D">
            <w:pPr>
              <w:pStyle w:val="Normal6a"/>
            </w:pPr>
            <w:r w:rsidRPr="00635D1D">
              <w:rPr>
                <w:vertAlign w:val="superscript"/>
              </w:rPr>
              <w:t>8</w:t>
            </w:r>
            <w:r w:rsidRPr="00635D1D">
              <w:t xml:space="preserve"> Jak przedstawiono w komunikacie Komisji do Parlamentu Europejskiego, Rady, Europejskiego Komitetu Ekonomiczno-Społecznego i Komitetu Regionów – Jednolity rynek: nasz europejski rynek wewnętrzny w niepewnym świecie. Strategia na rzecz prostszego, płynniejszego i silniejszego jednolitego rynku, COM(2025) 500 </w:t>
            </w:r>
            <w:proofErr w:type="spellStart"/>
            <w:r w:rsidRPr="00635D1D">
              <w:t>final</w:t>
            </w:r>
            <w:proofErr w:type="spellEnd"/>
            <w:r w:rsidRPr="00635D1D">
              <w:t>, s. 10, dokument dostępny pod adresem: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1BA73971" w14:textId="77777777" w:rsidR="008144C7" w:rsidRPr="00635D1D" w:rsidRDefault="008144C7" w:rsidP="00C5582D">
            <w:pPr>
              <w:pStyle w:val="Normal6a"/>
            </w:pPr>
            <w:r w:rsidRPr="00635D1D">
              <w:rPr>
                <w:vertAlign w:val="superscript"/>
              </w:rPr>
              <w:t>8</w:t>
            </w:r>
            <w:r w:rsidRPr="00635D1D">
              <w:t xml:space="preserve"> Jak przedstawiono w komunikacie Komisji do Parlamentu Europejskiego, Rady, Europejskiego Komitetu Ekonomiczno-Społecznego i Komitetu Regionów – Jednolity rynek: nasz europejski rynek wewnętrzny w niepewnym świecie. Strategia na rzecz prostszego, płynniejszego i silniejszego jednolitego rynku, COM(2025) 500 </w:t>
            </w:r>
            <w:proofErr w:type="spellStart"/>
            <w:r w:rsidRPr="00635D1D">
              <w:t>final</w:t>
            </w:r>
            <w:proofErr w:type="spellEnd"/>
            <w:r w:rsidRPr="00635D1D">
              <w:t>, s. 10, dokument dostępny pod adresem: https://single-market-economy.ec.europa.eu/document/download/d92c78d0-7d47-4a16-b53f-1cead54bcb49_en?filename=Communication%20-%20Single%20Market%20Strategy.pdf.</w:t>
            </w:r>
          </w:p>
        </w:tc>
      </w:tr>
    </w:tbl>
    <w:p w14:paraId="0FF24975"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5CF8BB49"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4D35B8AF" w14:textId="77777777" w:rsidR="008144C7" w:rsidRPr="00635D1D" w:rsidRDefault="008144C7" w:rsidP="008144C7">
      <w:pPr>
        <w:pStyle w:val="AmJustText"/>
      </w:pPr>
      <w:r w:rsidRPr="00635D1D">
        <w:t>Aby organy mogły egzekwować formatowanie i wypełniać swoje obowiązki oraz aby zapewnić podmiotom gospodarczym sprawiedliwe warunki na rynku wewnętrznym, przepisy dotyczące etykietowania i formatowania muszą być jasne.</w:t>
      </w:r>
    </w:p>
    <w:p w14:paraId="20FAF143" w14:textId="77777777" w:rsidR="008144C7" w:rsidRPr="00635D1D" w:rsidRDefault="008144C7" w:rsidP="008144C7">
      <w:r w:rsidRPr="00635D1D">
        <w:rPr>
          <w:rStyle w:val="HideTWBExt"/>
        </w:rPr>
        <w:t>&lt;/Amend&gt;</w:t>
      </w:r>
    </w:p>
    <w:p w14:paraId="4D8EE12A"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136</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7D60E504" w14:textId="77777777" w:rsidR="008144C7" w:rsidRPr="00635D1D" w:rsidRDefault="008144C7" w:rsidP="008144C7">
      <w:pPr>
        <w:pStyle w:val="NormalBold"/>
      </w:pPr>
      <w:r w:rsidRPr="00635D1D">
        <w:rPr>
          <w:rStyle w:val="HideTWBExt"/>
          <w:b w:val="0"/>
        </w:rPr>
        <w:t>&lt;RepeatBlock-By&gt;&lt;Members&gt;</w:t>
      </w:r>
      <w:proofErr w:type="spellStart"/>
      <w:r w:rsidRPr="00635D1D">
        <w:t>Idoia</w:t>
      </w:r>
      <w:proofErr w:type="spellEnd"/>
      <w:r w:rsidRPr="00635D1D">
        <w:t xml:space="preserve"> </w:t>
      </w:r>
      <w:proofErr w:type="spellStart"/>
      <w:r w:rsidRPr="00635D1D">
        <w:t>Mendia</w:t>
      </w:r>
      <w:proofErr w:type="spellEnd"/>
      <w:r w:rsidRPr="00635D1D">
        <w:t xml:space="preserve">, Kristian </w:t>
      </w:r>
      <w:proofErr w:type="spellStart"/>
      <w:r w:rsidRPr="00635D1D">
        <w:t>Vigenin</w:t>
      </w:r>
      <w:proofErr w:type="spellEnd"/>
      <w:r w:rsidRPr="00635D1D">
        <w:t xml:space="preserve">, François </w:t>
      </w:r>
      <w:proofErr w:type="spellStart"/>
      <w:r w:rsidRPr="00635D1D">
        <w:t>Kalfon</w:t>
      </w:r>
      <w:proofErr w:type="spellEnd"/>
      <w:r w:rsidRPr="00635D1D">
        <w:t xml:space="preserve">, </w:t>
      </w:r>
      <w:proofErr w:type="spellStart"/>
      <w:r w:rsidRPr="00635D1D">
        <w:t>Elisabeth</w:t>
      </w:r>
      <w:proofErr w:type="spellEnd"/>
      <w:r w:rsidRPr="00635D1D">
        <w:t xml:space="preserve"> Grossmann, </w:t>
      </w:r>
      <w:proofErr w:type="spellStart"/>
      <w:r w:rsidRPr="00635D1D">
        <w:t>Adnan</w:t>
      </w:r>
      <w:proofErr w:type="spellEnd"/>
      <w:r w:rsidRPr="00635D1D">
        <w:t xml:space="preserve"> </w:t>
      </w:r>
      <w:proofErr w:type="spellStart"/>
      <w:r w:rsidRPr="00635D1D">
        <w:t>Dibrani</w:t>
      </w:r>
      <w:proofErr w:type="spellEnd"/>
      <w:r w:rsidRPr="00635D1D">
        <w:t xml:space="preserve">, </w:t>
      </w:r>
      <w:proofErr w:type="spellStart"/>
      <w:r w:rsidRPr="00635D1D">
        <w:t>Sakis</w:t>
      </w:r>
      <w:proofErr w:type="spellEnd"/>
      <w:r w:rsidRPr="00635D1D">
        <w:t xml:space="preserve"> </w:t>
      </w:r>
      <w:proofErr w:type="spellStart"/>
      <w:r w:rsidRPr="00635D1D">
        <w:t>Arnaoutoglou</w:t>
      </w:r>
      <w:proofErr w:type="spellEnd"/>
      <w:r w:rsidRPr="00635D1D">
        <w:t xml:space="preserve">, </w:t>
      </w:r>
      <w:proofErr w:type="spellStart"/>
      <w:r w:rsidRPr="00635D1D">
        <w:t>César</w:t>
      </w:r>
      <w:proofErr w:type="spellEnd"/>
      <w:r w:rsidRPr="00635D1D">
        <w:t xml:space="preserve"> </w:t>
      </w:r>
      <w:proofErr w:type="spellStart"/>
      <w:r w:rsidRPr="00635D1D">
        <w:t>Luena</w:t>
      </w:r>
      <w:proofErr w:type="spellEnd"/>
      <w:r w:rsidRPr="00635D1D">
        <w:t xml:space="preserve">, Christophe </w:t>
      </w:r>
      <w:proofErr w:type="spellStart"/>
      <w:r w:rsidRPr="00635D1D">
        <w:t>Clergeau</w:t>
      </w:r>
      <w:proofErr w:type="spellEnd"/>
      <w:r w:rsidRPr="00635D1D">
        <w:t xml:space="preserve">, </w:t>
      </w:r>
      <w:proofErr w:type="spellStart"/>
      <w:r w:rsidRPr="00635D1D">
        <w:t>Tiemo</w:t>
      </w:r>
      <w:proofErr w:type="spellEnd"/>
      <w:r w:rsidRPr="00635D1D">
        <w:t xml:space="preserve"> </w:t>
      </w:r>
      <w:proofErr w:type="spellStart"/>
      <w:r w:rsidRPr="00635D1D">
        <w:t>Wölken</w:t>
      </w:r>
      <w:proofErr w:type="spellEnd"/>
      <w:r w:rsidRPr="00635D1D">
        <w:t xml:space="preserve">, </w:t>
      </w:r>
      <w:proofErr w:type="spellStart"/>
      <w:r w:rsidRPr="00635D1D">
        <w:t>Annalisa</w:t>
      </w:r>
      <w:proofErr w:type="spellEnd"/>
      <w:r w:rsidRPr="00635D1D">
        <w:t xml:space="preserve"> Corrado, </w:t>
      </w:r>
      <w:proofErr w:type="spellStart"/>
      <w:r w:rsidRPr="00635D1D">
        <w:t>Heléne</w:t>
      </w:r>
      <w:proofErr w:type="spellEnd"/>
      <w:r w:rsidRPr="00635D1D">
        <w:t xml:space="preserve"> </w:t>
      </w:r>
      <w:proofErr w:type="spellStart"/>
      <w:r w:rsidRPr="00635D1D">
        <w:t>Fritzon</w:t>
      </w:r>
      <w:proofErr w:type="spellEnd"/>
      <w:r w:rsidRPr="00635D1D">
        <w:t>, Marta Temido</w:t>
      </w:r>
      <w:r w:rsidRPr="00635D1D">
        <w:rPr>
          <w:rStyle w:val="HideTWBExt"/>
          <w:b w:val="0"/>
        </w:rPr>
        <w:t>&lt;/</w:t>
      </w:r>
      <w:proofErr w:type="spellStart"/>
      <w:r w:rsidRPr="00635D1D">
        <w:rPr>
          <w:rStyle w:val="HideTWBExt"/>
          <w:b w:val="0"/>
        </w:rPr>
        <w:t>Members</w:t>
      </w:r>
      <w:proofErr w:type="spellEnd"/>
      <w:r w:rsidRPr="00635D1D">
        <w:rPr>
          <w:rStyle w:val="HideTWBExt"/>
          <w:b w:val="0"/>
        </w:rPr>
        <w:t>&gt;</w:t>
      </w:r>
    </w:p>
    <w:p w14:paraId="093EC5B7" w14:textId="77777777" w:rsidR="008144C7" w:rsidRPr="00635D1D" w:rsidRDefault="008144C7" w:rsidP="008144C7">
      <w:pPr>
        <w:pStyle w:val="NormalBold"/>
      </w:pPr>
      <w:r w:rsidRPr="00635D1D">
        <w:rPr>
          <w:rStyle w:val="HideTWBExt"/>
          <w:b w:val="0"/>
        </w:rPr>
        <w:t>&lt;/RepeatBlock-By&gt;</w:t>
      </w:r>
    </w:p>
    <w:p w14:paraId="4833A950"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0F345DF" w14:textId="77777777" w:rsidR="008144C7" w:rsidRPr="00635D1D" w:rsidRDefault="008144C7" w:rsidP="008144C7">
      <w:pPr>
        <w:pStyle w:val="NormalBold"/>
      </w:pPr>
      <w:r w:rsidRPr="00635D1D">
        <w:rPr>
          <w:rStyle w:val="HideTWBExt"/>
          <w:b w:val="0"/>
        </w:rPr>
        <w:t>&lt;Article&gt;</w:t>
      </w:r>
      <w:r w:rsidRPr="00635D1D">
        <w:t>Motyw 7</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6F623B5" w14:textId="77777777" w:rsidTr="00C5582D">
        <w:trPr>
          <w:trHeight w:val="240"/>
          <w:jc w:val="center"/>
        </w:trPr>
        <w:tc>
          <w:tcPr>
            <w:tcW w:w="9752" w:type="dxa"/>
            <w:gridSpan w:val="2"/>
            <w:tcBorders>
              <w:top w:val="nil"/>
              <w:left w:val="nil"/>
              <w:bottom w:val="nil"/>
              <w:right w:val="nil"/>
            </w:tcBorders>
          </w:tcPr>
          <w:p w14:paraId="0FCC2D65" w14:textId="77777777" w:rsidR="008144C7" w:rsidRPr="00635D1D" w:rsidRDefault="008144C7" w:rsidP="00C5582D"/>
        </w:tc>
      </w:tr>
      <w:tr w:rsidR="008144C7" w:rsidRPr="00635D1D" w14:paraId="78E34E98" w14:textId="77777777" w:rsidTr="00C5582D">
        <w:trPr>
          <w:trHeight w:val="240"/>
          <w:jc w:val="center"/>
        </w:trPr>
        <w:tc>
          <w:tcPr>
            <w:tcW w:w="4876" w:type="dxa"/>
            <w:tcBorders>
              <w:top w:val="nil"/>
              <w:left w:val="nil"/>
              <w:bottom w:val="nil"/>
              <w:right w:val="nil"/>
            </w:tcBorders>
            <w:hideMark/>
          </w:tcPr>
          <w:p w14:paraId="4BC49595"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FAB4783" w14:textId="77777777" w:rsidR="008144C7" w:rsidRPr="00635D1D" w:rsidRDefault="008144C7" w:rsidP="00C5582D">
            <w:pPr>
              <w:pStyle w:val="AmColumnHeading"/>
            </w:pPr>
            <w:r w:rsidRPr="00635D1D">
              <w:t>Poprawka</w:t>
            </w:r>
          </w:p>
        </w:tc>
      </w:tr>
      <w:tr w:rsidR="008144C7" w:rsidRPr="00635D1D" w14:paraId="5DCE91B8" w14:textId="77777777" w:rsidTr="00C5582D">
        <w:trPr>
          <w:jc w:val="center"/>
        </w:trPr>
        <w:tc>
          <w:tcPr>
            <w:tcW w:w="4876" w:type="dxa"/>
            <w:tcBorders>
              <w:top w:val="nil"/>
              <w:left w:val="nil"/>
              <w:bottom w:val="nil"/>
              <w:right w:val="nil"/>
            </w:tcBorders>
            <w:hideMark/>
          </w:tcPr>
          <w:p w14:paraId="434B0D89" w14:textId="77777777" w:rsidR="008144C7" w:rsidRPr="00635D1D" w:rsidRDefault="008144C7" w:rsidP="00C5582D">
            <w:pPr>
              <w:pStyle w:val="Normal6a"/>
            </w:pPr>
            <w:r w:rsidRPr="00635D1D">
              <w:t>(7)</w:t>
            </w:r>
            <w:r w:rsidRPr="00635D1D">
              <w:tab/>
              <w:t>W rozporządzeniu (UE) 2024/2865 ustanowiono przepisy dotyczące obowiązkowych wymogów dotyczących formatowania etykiet. Z nowo otrzymanych informacji</w:t>
            </w:r>
            <w:r w:rsidRPr="00635D1D">
              <w:rPr>
                <w:vertAlign w:val="superscript"/>
              </w:rPr>
              <w:t>7</w:t>
            </w:r>
            <w:r w:rsidRPr="00635D1D">
              <w:t xml:space="preserve"> wynika, że wymogi te wiążą się z nadmiernymi obciążeniami administracyjnymi oraz kosztami. Aby zrównoważyć potrzebę jasnego zrozumienia przez konsumentów informacji na etykietach z potrzebą zmniejszenia barier rynkowych i obciążeń dla przemysłu</w:t>
            </w:r>
            <w:r w:rsidRPr="00635D1D">
              <w:rPr>
                <w:vertAlign w:val="superscript"/>
              </w:rPr>
              <w:t>8</w:t>
            </w:r>
            <w:r w:rsidRPr="00635D1D">
              <w:t xml:space="preserve">, należy uprościć obecne obowiązki w zakresie formatowania bez obniżenia poziomu ochrony zdrowia ludzkiego i środowiska. </w:t>
            </w:r>
            <w:r w:rsidRPr="00635D1D">
              <w:rPr>
                <w:b/>
                <w:i/>
              </w:rPr>
              <w:t>Podmioty gospodarcze</w:t>
            </w:r>
            <w:r w:rsidRPr="00635D1D">
              <w:t xml:space="preserve"> i organy </w:t>
            </w:r>
            <w:r w:rsidRPr="00635D1D">
              <w:rPr>
                <w:b/>
                <w:bCs/>
                <w:i/>
                <w:iCs/>
              </w:rPr>
              <w:t>egzekwowania prawa</w:t>
            </w:r>
            <w:r w:rsidRPr="00635D1D">
              <w:t xml:space="preserve"> muszą pozostać </w:t>
            </w:r>
            <w:r w:rsidRPr="00635D1D">
              <w:rPr>
                <w:b/>
                <w:bCs/>
                <w:i/>
                <w:iCs/>
              </w:rPr>
              <w:t>odpowiedzialne</w:t>
            </w:r>
            <w:r w:rsidRPr="00635D1D">
              <w:t xml:space="preserve"> za zapewnienie czytelności etykiet zgodnie z wymogami prawnymi.</w:t>
            </w:r>
          </w:p>
        </w:tc>
        <w:tc>
          <w:tcPr>
            <w:tcW w:w="4876" w:type="dxa"/>
            <w:tcBorders>
              <w:top w:val="nil"/>
              <w:left w:val="nil"/>
              <w:bottom w:val="nil"/>
              <w:right w:val="nil"/>
            </w:tcBorders>
            <w:hideMark/>
          </w:tcPr>
          <w:p w14:paraId="31532566" w14:textId="77777777" w:rsidR="008144C7" w:rsidRPr="00635D1D" w:rsidRDefault="008144C7" w:rsidP="00C5582D">
            <w:pPr>
              <w:pStyle w:val="Normal6a"/>
            </w:pPr>
            <w:r w:rsidRPr="00635D1D">
              <w:t>(7)</w:t>
            </w:r>
            <w:r w:rsidRPr="00635D1D">
              <w:tab/>
              <w:t>W rozporządzeniu (UE) 2024/2865 ustanowiono przepisy dotyczące obowiązkowych wymogów dotyczących formatowania etykiet. Z nowo otrzymanych informacji</w:t>
            </w:r>
            <w:r w:rsidRPr="00635D1D">
              <w:rPr>
                <w:vertAlign w:val="superscript"/>
              </w:rPr>
              <w:t>7</w:t>
            </w:r>
            <w:r w:rsidRPr="00635D1D">
              <w:t xml:space="preserve"> wynika, że wymogi te wiążą się z nadmiernymi obciążeniami administracyjnymi oraz kosztami. Aby zrównoważyć potrzebę jasnego zrozumienia przez konsumentów informacji na etykietach z potrzebą zmniejszenia barier rynkowych i </w:t>
            </w:r>
            <w:r w:rsidRPr="00635D1D">
              <w:rPr>
                <w:b/>
                <w:i/>
              </w:rPr>
              <w:t>nieuzasadnionych</w:t>
            </w:r>
            <w:r w:rsidRPr="00635D1D">
              <w:t xml:space="preserve"> obciążeń dla przemysłu</w:t>
            </w:r>
            <w:r w:rsidRPr="00635D1D">
              <w:rPr>
                <w:vertAlign w:val="superscript"/>
              </w:rPr>
              <w:t>8</w:t>
            </w:r>
            <w:r w:rsidRPr="00635D1D">
              <w:t>, należy uprościć obecne obowiązki w zakresie formatowania bez obniżenia poziomu ochrony zdrowia ludzkiego</w:t>
            </w:r>
            <w:r w:rsidRPr="00635D1D">
              <w:rPr>
                <w:b/>
                <w:i/>
              </w:rPr>
              <w:t>, bezpieczeństwa</w:t>
            </w:r>
            <w:r w:rsidRPr="00635D1D">
              <w:t xml:space="preserve"> i środowiska. </w:t>
            </w:r>
            <w:r w:rsidRPr="00635D1D">
              <w:rPr>
                <w:b/>
                <w:i/>
              </w:rPr>
              <w:t>Dostawcy</w:t>
            </w:r>
            <w:r w:rsidRPr="00635D1D">
              <w:t xml:space="preserve"> i organy muszą pozostać </w:t>
            </w:r>
            <w:r w:rsidRPr="00635D1D">
              <w:rPr>
                <w:b/>
                <w:bCs/>
                <w:i/>
                <w:iCs/>
              </w:rPr>
              <w:t>odpowiedzialni</w:t>
            </w:r>
            <w:r w:rsidRPr="00635D1D">
              <w:t xml:space="preserve"> za zapewnienie czytelności etykiet zgodnie z wymogami prawnymi.</w:t>
            </w:r>
          </w:p>
        </w:tc>
      </w:tr>
      <w:tr w:rsidR="008144C7" w:rsidRPr="00635D1D" w14:paraId="50DAF131" w14:textId="77777777" w:rsidTr="00C5582D">
        <w:trPr>
          <w:jc w:val="center"/>
        </w:trPr>
        <w:tc>
          <w:tcPr>
            <w:tcW w:w="4876" w:type="dxa"/>
            <w:tcBorders>
              <w:top w:val="nil"/>
              <w:left w:val="nil"/>
              <w:bottom w:val="nil"/>
              <w:right w:val="nil"/>
            </w:tcBorders>
            <w:hideMark/>
          </w:tcPr>
          <w:p w14:paraId="58B92D9D"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5317BDD8" w14:textId="77777777" w:rsidR="008144C7" w:rsidRPr="00635D1D" w:rsidRDefault="008144C7" w:rsidP="00C5582D">
            <w:pPr>
              <w:pStyle w:val="Normal6a"/>
            </w:pPr>
            <w:r w:rsidRPr="00635D1D">
              <w:rPr>
                <w:b/>
                <w:i/>
              </w:rPr>
              <w:t>_________________</w:t>
            </w:r>
          </w:p>
        </w:tc>
      </w:tr>
      <w:tr w:rsidR="008144C7" w:rsidRPr="00635D1D" w14:paraId="0DC8C535" w14:textId="77777777" w:rsidTr="00C5582D">
        <w:trPr>
          <w:jc w:val="center"/>
        </w:trPr>
        <w:tc>
          <w:tcPr>
            <w:tcW w:w="4876" w:type="dxa"/>
            <w:tcBorders>
              <w:top w:val="nil"/>
              <w:left w:val="nil"/>
              <w:bottom w:val="nil"/>
              <w:right w:val="nil"/>
            </w:tcBorders>
            <w:hideMark/>
          </w:tcPr>
          <w:p w14:paraId="7A63C9F3" w14:textId="77777777" w:rsidR="008144C7" w:rsidRPr="00635D1D" w:rsidRDefault="008144C7" w:rsidP="00C5582D">
            <w:pPr>
              <w:pStyle w:val="Normal6a"/>
            </w:pPr>
            <w:r w:rsidRPr="00635D1D">
              <w:rPr>
                <w:vertAlign w:val="superscript"/>
              </w:rPr>
              <w:t>7</w:t>
            </w:r>
            <w:r w:rsidRPr="00635D1D">
              <w:t xml:space="preserve"> Szczegółową analizę kosztów związanych z nowymi wymogami dotyczącymi formatowania przedstawiono w dokumencie roboczym służb Komisji towarzyszącym wnioskowi dotyczącemu rozporządzenia Parlamentu Europejskiego i Rady zmieniającego rozporządzenia (WE) nr 1272/2008, (WE) nr 1223/2009 i (UE) 2019/1009 w odniesieniu do uproszczenia niektórych wymogów i procedur dotyczących produktów chemicznych, SWD(2025) 531, s. 14.</w:t>
            </w:r>
          </w:p>
        </w:tc>
        <w:tc>
          <w:tcPr>
            <w:tcW w:w="4876" w:type="dxa"/>
            <w:tcBorders>
              <w:top w:val="nil"/>
              <w:left w:val="nil"/>
              <w:bottom w:val="nil"/>
              <w:right w:val="nil"/>
            </w:tcBorders>
            <w:hideMark/>
          </w:tcPr>
          <w:p w14:paraId="614777B8" w14:textId="77777777" w:rsidR="008144C7" w:rsidRPr="00635D1D" w:rsidRDefault="008144C7" w:rsidP="00C5582D">
            <w:pPr>
              <w:pStyle w:val="Normal6a"/>
            </w:pPr>
            <w:r w:rsidRPr="00635D1D">
              <w:rPr>
                <w:vertAlign w:val="superscript"/>
              </w:rPr>
              <w:t>7</w:t>
            </w:r>
            <w:r w:rsidRPr="00635D1D">
              <w:t xml:space="preserve"> Szczegółową analizę kosztów związanych z nowymi wymogami dotyczącymi formatowania przedstawiono w dokumencie roboczym służb Komisji towarzyszącym wnioskowi dotyczącemu rozporządzenia Parlamentu Europejskiego i Rady zmieniającego rozporządzenia (WE) nr 1272/2008, (WE) nr 1223/2009 i (UE) 2019/1009 w odniesieniu do uproszczenia niektórych wymogów i procedur dotyczących produktów chemicznych, SWD(2025) 531, s. 14.</w:t>
            </w:r>
          </w:p>
        </w:tc>
      </w:tr>
      <w:tr w:rsidR="008144C7" w:rsidRPr="00635D1D" w14:paraId="5AC9A9E8" w14:textId="77777777" w:rsidTr="00C5582D">
        <w:trPr>
          <w:jc w:val="center"/>
        </w:trPr>
        <w:tc>
          <w:tcPr>
            <w:tcW w:w="4876" w:type="dxa"/>
            <w:tcBorders>
              <w:top w:val="nil"/>
              <w:left w:val="nil"/>
              <w:bottom w:val="nil"/>
              <w:right w:val="nil"/>
            </w:tcBorders>
            <w:hideMark/>
          </w:tcPr>
          <w:p w14:paraId="6A42434A" w14:textId="77777777" w:rsidR="008144C7" w:rsidRPr="00635D1D" w:rsidRDefault="008144C7" w:rsidP="00C5582D">
            <w:pPr>
              <w:pStyle w:val="Normal6a"/>
            </w:pPr>
            <w:r w:rsidRPr="00635D1D">
              <w:rPr>
                <w:vertAlign w:val="superscript"/>
              </w:rPr>
              <w:t>8</w:t>
            </w:r>
            <w:r w:rsidRPr="00635D1D">
              <w:t xml:space="preserve"> Jak przedstawiono w komunikacie Komisji do Parlamentu Europejskiego, Rady, Europejskiego Komitetu Ekonomiczno-Społecznego i Komitetu Regionów – Jednolity rynek: nasz europejski rynek wewnętrzny w niepewnym świecie. Strategia na rzecz prostszego, płynniejszego i silniejszego jednolitego rynku, COM(2025) 500 </w:t>
            </w:r>
            <w:proofErr w:type="spellStart"/>
            <w:r w:rsidRPr="00635D1D">
              <w:t>final</w:t>
            </w:r>
            <w:proofErr w:type="spellEnd"/>
            <w:r w:rsidRPr="00635D1D">
              <w:t>, s. 10, dokument dostępny pod adresem: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0B1C6133" w14:textId="77777777" w:rsidR="008144C7" w:rsidRPr="00635D1D" w:rsidRDefault="008144C7" w:rsidP="00C5582D">
            <w:pPr>
              <w:pStyle w:val="Normal6a"/>
            </w:pPr>
            <w:r w:rsidRPr="00635D1D">
              <w:rPr>
                <w:vertAlign w:val="superscript"/>
              </w:rPr>
              <w:t>8</w:t>
            </w:r>
            <w:r w:rsidRPr="00635D1D">
              <w:t xml:space="preserve"> Jak przedstawiono w komunikacie Komisji do Parlamentu Europejskiego, Rady, Europejskiego Komitetu Ekonomiczno-Społecznego i Komitetu Regionów – Jednolity rynek: nasz europejski rynek wewnętrzny w niepewnym świecie. Strategia na rzecz prostszego, płynniejszego i silniejszego jednolitego rynku, COM(2025) 500 </w:t>
            </w:r>
            <w:proofErr w:type="spellStart"/>
            <w:r w:rsidRPr="00635D1D">
              <w:t>final</w:t>
            </w:r>
            <w:proofErr w:type="spellEnd"/>
            <w:r w:rsidRPr="00635D1D">
              <w:t>, s. 10, dokument dostępny pod adresem: https://single-market-economy.ec.europa.eu/document/download/d92c78d0-7d47-4a16-b53f-1cead54bcb49_en?filename=Communication%20-%20Single%20Market%20Strategy.pdf.</w:t>
            </w:r>
          </w:p>
        </w:tc>
      </w:tr>
    </w:tbl>
    <w:p w14:paraId="058814F5"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5098AF27" w14:textId="77777777" w:rsidR="008144C7" w:rsidRPr="00E90719" w:rsidRDefault="008144C7" w:rsidP="008144C7">
      <w:pPr>
        <w:rPr>
          <w:lang w:val="en-GB"/>
        </w:rPr>
      </w:pPr>
      <w:r w:rsidRPr="00E90719">
        <w:rPr>
          <w:rStyle w:val="HideTWBExt"/>
          <w:lang w:val="en-GB"/>
        </w:rPr>
        <w:t>&lt;/Amend&gt;</w:t>
      </w:r>
    </w:p>
    <w:p w14:paraId="75B97164"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137</w:t>
      </w:r>
      <w:r w:rsidRPr="00E90719">
        <w:rPr>
          <w:rStyle w:val="HideTWBExt"/>
          <w:b w:val="0"/>
          <w:lang w:val="en-GB"/>
        </w:rPr>
        <w:t>&lt;/NumAm&gt;</w:t>
      </w:r>
    </w:p>
    <w:p w14:paraId="664005DB"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Idoia Mendia, Kristian Vigenin, François Kalfon, Elisabeth Grossmann, Adnan Dibrani, Sakis Arnaoutoglou, César Luena, Christophe Clergeau, Tiemo Wölken, Annalisa Corrado, Heléne Fritzon, Marta Temido, Christel Schaldemose</w:t>
      </w:r>
      <w:r w:rsidRPr="00E90719">
        <w:rPr>
          <w:rStyle w:val="HideTWBExt"/>
          <w:b w:val="0"/>
          <w:lang w:val="en-GB"/>
        </w:rPr>
        <w:t>&lt;/Members&gt;</w:t>
      </w:r>
    </w:p>
    <w:p w14:paraId="412D9E91" w14:textId="77777777" w:rsidR="008144C7" w:rsidRPr="00635D1D" w:rsidRDefault="008144C7" w:rsidP="008144C7">
      <w:pPr>
        <w:pStyle w:val="NormalBold"/>
      </w:pPr>
      <w:r w:rsidRPr="00635D1D">
        <w:rPr>
          <w:rStyle w:val="HideTWBExt"/>
          <w:b w:val="0"/>
        </w:rPr>
        <w:t>&lt;/RepeatBlock-By&gt;</w:t>
      </w:r>
    </w:p>
    <w:p w14:paraId="0E28EBC2"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2E9251A" w14:textId="77777777" w:rsidR="008144C7" w:rsidRPr="00635D1D" w:rsidRDefault="008144C7" w:rsidP="008144C7">
      <w:pPr>
        <w:pStyle w:val="NormalBold"/>
      </w:pPr>
      <w:r w:rsidRPr="00635D1D">
        <w:rPr>
          <w:rStyle w:val="HideTWBExt"/>
          <w:b w:val="0"/>
        </w:rPr>
        <w:t>&lt;Article&gt;</w:t>
      </w:r>
      <w:r w:rsidRPr="00635D1D">
        <w:t>Motyw 7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1C3883C" w14:textId="77777777" w:rsidTr="00C5582D">
        <w:trPr>
          <w:trHeight w:val="240"/>
          <w:jc w:val="center"/>
        </w:trPr>
        <w:tc>
          <w:tcPr>
            <w:tcW w:w="9752" w:type="dxa"/>
            <w:gridSpan w:val="2"/>
            <w:tcBorders>
              <w:top w:val="nil"/>
              <w:left w:val="nil"/>
              <w:bottom w:val="nil"/>
              <w:right w:val="nil"/>
            </w:tcBorders>
          </w:tcPr>
          <w:p w14:paraId="5541360E" w14:textId="77777777" w:rsidR="008144C7" w:rsidRPr="00635D1D" w:rsidRDefault="008144C7" w:rsidP="00C5582D"/>
        </w:tc>
      </w:tr>
      <w:tr w:rsidR="008144C7" w:rsidRPr="00635D1D" w14:paraId="78FAE0B4" w14:textId="77777777" w:rsidTr="00C5582D">
        <w:trPr>
          <w:trHeight w:val="240"/>
          <w:jc w:val="center"/>
        </w:trPr>
        <w:tc>
          <w:tcPr>
            <w:tcW w:w="4876" w:type="dxa"/>
            <w:tcBorders>
              <w:top w:val="nil"/>
              <w:left w:val="nil"/>
              <w:bottom w:val="nil"/>
              <w:right w:val="nil"/>
            </w:tcBorders>
            <w:hideMark/>
          </w:tcPr>
          <w:p w14:paraId="054E34C6"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44B54A4" w14:textId="77777777" w:rsidR="008144C7" w:rsidRPr="00635D1D" w:rsidRDefault="008144C7" w:rsidP="00C5582D">
            <w:pPr>
              <w:pStyle w:val="AmColumnHeading"/>
            </w:pPr>
            <w:r w:rsidRPr="00635D1D">
              <w:t>Poprawka</w:t>
            </w:r>
          </w:p>
        </w:tc>
      </w:tr>
      <w:tr w:rsidR="008144C7" w:rsidRPr="00635D1D" w14:paraId="5F698D58" w14:textId="77777777" w:rsidTr="00C5582D">
        <w:trPr>
          <w:jc w:val="center"/>
        </w:trPr>
        <w:tc>
          <w:tcPr>
            <w:tcW w:w="4876" w:type="dxa"/>
            <w:tcBorders>
              <w:top w:val="nil"/>
              <w:left w:val="nil"/>
              <w:bottom w:val="nil"/>
              <w:right w:val="nil"/>
            </w:tcBorders>
          </w:tcPr>
          <w:p w14:paraId="4B8B6462" w14:textId="77777777" w:rsidR="008144C7" w:rsidRPr="00635D1D" w:rsidRDefault="008144C7" w:rsidP="00C5582D">
            <w:pPr>
              <w:pStyle w:val="Normal6a"/>
            </w:pPr>
          </w:p>
        </w:tc>
        <w:tc>
          <w:tcPr>
            <w:tcW w:w="4876" w:type="dxa"/>
            <w:tcBorders>
              <w:top w:val="nil"/>
              <w:left w:val="nil"/>
              <w:bottom w:val="nil"/>
              <w:right w:val="nil"/>
            </w:tcBorders>
            <w:hideMark/>
          </w:tcPr>
          <w:p w14:paraId="3D96DB58" w14:textId="77777777" w:rsidR="008144C7" w:rsidRPr="00635D1D" w:rsidRDefault="008144C7" w:rsidP="00C5582D">
            <w:pPr>
              <w:pStyle w:val="Normal6a"/>
            </w:pPr>
            <w:r w:rsidRPr="00635D1D">
              <w:rPr>
                <w:b/>
                <w:i/>
              </w:rPr>
              <w:t>(7a)</w:t>
            </w:r>
            <w:r w:rsidRPr="00635D1D">
              <w:tab/>
            </w:r>
            <w:r w:rsidRPr="00635D1D">
              <w:rPr>
                <w:b/>
                <w:i/>
              </w:rPr>
              <w:t>Etykietowanie produktów chemicznych przeznaczonych do powszechnej sprzedaży stanowi główne, a często jedyne źródło informacji o zagrożeniach i wskazówek dotyczących bezpiecznego stosowania dla konsumentów, którzy nie posiadają specjalistycznego przeszkolenia w zakresie bezpieczeństwa chemicznego. Istotne jest zatem, aby takie etykiety przedstawiały krytyczne informacje dotyczące bezpieczeństwa w sposób zapewniający natychmiastową czytelność i zrozumienie. Konsumenci mogą mieć do czynienia z produktami chemicznymi w różnych okolicznościach, w tym w nieoptymalnych warunkach oświetlenia, sytuacjach nadzwyczajnych wymagających szybkiej reakcji lub w środowiskach, w których osoby o różnym stopniu ostrości widzenia, poziomie umiejętności czytania i pisania oraz kompetencjach językowych mogą mieć dostęp do produktów. Ponadto otoczenie konsumenckie często obejmuje grupy szczególnie wrażliwe, w tym dzieci, osoby starsze i osoby z dysfunkcjami sensorycznymi, które to grupy mogą mieć styczność z niewłaściwie oznakowanymi produktami. Użytkownicy profesjonalni działają natomiast w ustrukturyzowanych ramach regulacyjnych, które wymagają kompleksowych szkoleń w zakresie bezpieczeństwa, zapewniają dostęp do kart charakterystyki i dokumentacji technicznej, wymagają stosowania środków ochrony indywidualnej oraz zapewniają nadzór instytucjonalny nad procedurami obchodzenia się z substancjami chemicznymi. Użytkownicy profesjonalni korzystają zatem z wielu warstw informacji na temat bezpieczeństwa wykraczających poza samo etykietowanie produktu. W związku z tym konieczne jest ustanowienie wymogów dotyczących minimalnego rozmiaru czcionki na etykietach produktów chemicznych w opakowaniach o pojemności do 10 litrów, które są zazwyczaj dostarczane konsumentom, ale również użytkownikom profesjonalnym, takim jak salony fryzjerskie i kosmetyczne, które niekoniecznie mają dostęp do wyższego poziomu szkolenia w zakresie stosowania substancji niebezpiecznych, a tym samym dopilnowanie, aby ostrzeżenia o krytycznym zagrożeniu, zwroty określające środki ostrożności i instrukcje postępowania w sytuacjach wyjątkowych były umieszczone w widocznym miejscu i łatwo dostępne dla wszystkich członków społeczeństwa, niezależnie od wieku, zdolności widzenia lub wiedzy technicznej, przy jednoczesnym utrzymaniu proporcjonalnych wymogów dla kontekstów zawodowych, w których istnieją już dodatkowe mechanizmy bezpieczeństwa.</w:t>
            </w:r>
          </w:p>
        </w:tc>
      </w:tr>
    </w:tbl>
    <w:p w14:paraId="6F6042A8"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5AEA1121" w14:textId="77777777" w:rsidR="008144C7" w:rsidRPr="00E90719" w:rsidRDefault="008144C7" w:rsidP="008144C7">
      <w:pPr>
        <w:rPr>
          <w:lang w:val="en-GB"/>
        </w:rPr>
      </w:pPr>
      <w:r w:rsidRPr="00E90719">
        <w:rPr>
          <w:rStyle w:val="HideTWBExt"/>
          <w:lang w:val="en-GB"/>
        </w:rPr>
        <w:t>&lt;/Amend&gt;</w:t>
      </w:r>
    </w:p>
    <w:p w14:paraId="10438934"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138</w:t>
      </w:r>
      <w:r w:rsidRPr="00E90719">
        <w:rPr>
          <w:rStyle w:val="HideTWBExt"/>
          <w:b w:val="0"/>
          <w:lang w:val="en-GB"/>
        </w:rPr>
        <w:t>&lt;/NumAm&gt;</w:t>
      </w:r>
    </w:p>
    <w:p w14:paraId="09F34744"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Pietro Fiocchi, Antonella Sberna</w:t>
      </w:r>
      <w:r w:rsidRPr="00E90719">
        <w:rPr>
          <w:rStyle w:val="HideTWBExt"/>
          <w:b w:val="0"/>
          <w:lang w:val="en-GB"/>
        </w:rPr>
        <w:t>&lt;/Members&gt;</w:t>
      </w:r>
    </w:p>
    <w:p w14:paraId="5501B818" w14:textId="77777777" w:rsidR="008144C7" w:rsidRPr="00E90719" w:rsidRDefault="008144C7" w:rsidP="008144C7">
      <w:pPr>
        <w:pStyle w:val="NormalBold"/>
      </w:pPr>
      <w:r w:rsidRPr="00E90719">
        <w:rPr>
          <w:rStyle w:val="HideTWBExt"/>
          <w:b w:val="0"/>
        </w:rPr>
        <w:t>&lt;/RepeatBlock-By&gt;</w:t>
      </w:r>
    </w:p>
    <w:p w14:paraId="3E0059FE"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E8946FB" w14:textId="77777777" w:rsidR="008144C7" w:rsidRPr="00635D1D" w:rsidRDefault="008144C7" w:rsidP="008144C7">
      <w:pPr>
        <w:pStyle w:val="NormalBold"/>
      </w:pPr>
      <w:r w:rsidRPr="00635D1D">
        <w:rPr>
          <w:rStyle w:val="HideTWBExt"/>
          <w:b w:val="0"/>
        </w:rPr>
        <w:t>&lt;Article&gt;</w:t>
      </w:r>
      <w:r w:rsidRPr="00635D1D">
        <w:t>Motyw 7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5B3F22A" w14:textId="77777777" w:rsidTr="00C5582D">
        <w:trPr>
          <w:trHeight w:val="240"/>
          <w:jc w:val="center"/>
        </w:trPr>
        <w:tc>
          <w:tcPr>
            <w:tcW w:w="9752" w:type="dxa"/>
            <w:gridSpan w:val="2"/>
            <w:tcBorders>
              <w:top w:val="nil"/>
              <w:left w:val="nil"/>
              <w:bottom w:val="nil"/>
              <w:right w:val="nil"/>
            </w:tcBorders>
          </w:tcPr>
          <w:p w14:paraId="6374DFA0" w14:textId="77777777" w:rsidR="008144C7" w:rsidRPr="00635D1D" w:rsidRDefault="008144C7" w:rsidP="00C5582D"/>
        </w:tc>
      </w:tr>
      <w:tr w:rsidR="008144C7" w:rsidRPr="00635D1D" w14:paraId="316C2008" w14:textId="77777777" w:rsidTr="00C5582D">
        <w:trPr>
          <w:trHeight w:val="240"/>
          <w:jc w:val="center"/>
        </w:trPr>
        <w:tc>
          <w:tcPr>
            <w:tcW w:w="4876" w:type="dxa"/>
            <w:tcBorders>
              <w:top w:val="nil"/>
              <w:left w:val="nil"/>
              <w:bottom w:val="nil"/>
              <w:right w:val="nil"/>
            </w:tcBorders>
            <w:hideMark/>
          </w:tcPr>
          <w:p w14:paraId="335E0475"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8DDD61E" w14:textId="77777777" w:rsidR="008144C7" w:rsidRPr="00635D1D" w:rsidRDefault="008144C7" w:rsidP="00C5582D">
            <w:pPr>
              <w:pStyle w:val="AmColumnHeading"/>
            </w:pPr>
            <w:r w:rsidRPr="00635D1D">
              <w:t>Poprawka</w:t>
            </w:r>
          </w:p>
        </w:tc>
      </w:tr>
      <w:tr w:rsidR="008144C7" w:rsidRPr="00635D1D" w14:paraId="71CB2E6F" w14:textId="77777777" w:rsidTr="00C5582D">
        <w:trPr>
          <w:jc w:val="center"/>
        </w:trPr>
        <w:tc>
          <w:tcPr>
            <w:tcW w:w="4876" w:type="dxa"/>
            <w:tcBorders>
              <w:top w:val="nil"/>
              <w:left w:val="nil"/>
              <w:bottom w:val="nil"/>
              <w:right w:val="nil"/>
            </w:tcBorders>
          </w:tcPr>
          <w:p w14:paraId="1C15924C" w14:textId="77777777" w:rsidR="008144C7" w:rsidRPr="00635D1D" w:rsidRDefault="008144C7" w:rsidP="00C5582D">
            <w:pPr>
              <w:pStyle w:val="Normal6a"/>
            </w:pPr>
          </w:p>
        </w:tc>
        <w:tc>
          <w:tcPr>
            <w:tcW w:w="4876" w:type="dxa"/>
            <w:tcBorders>
              <w:top w:val="nil"/>
              <w:left w:val="nil"/>
              <w:bottom w:val="nil"/>
              <w:right w:val="nil"/>
            </w:tcBorders>
            <w:hideMark/>
          </w:tcPr>
          <w:p w14:paraId="029A3AB7" w14:textId="77777777" w:rsidR="008144C7" w:rsidRPr="00635D1D" w:rsidRDefault="008144C7" w:rsidP="00C5582D">
            <w:pPr>
              <w:pStyle w:val="Normal6a"/>
            </w:pPr>
            <w:r w:rsidRPr="00635D1D">
              <w:rPr>
                <w:b/>
                <w:i/>
              </w:rPr>
              <w:t>(7a)</w:t>
            </w:r>
            <w:r w:rsidRPr="00635D1D">
              <w:tab/>
            </w:r>
            <w:r w:rsidRPr="00635D1D">
              <w:rPr>
                <w:b/>
                <w:i/>
              </w:rPr>
              <w:t>Etykieta produktu może stanowić jedyne źródło informacji łatwo dostępne dla użytkowników. W związku z tym konieczne jest, aby etykieta była łatwo czytelna w normalnych warunkach i w wyjątkowych okolicznościach, takich jak wypadki. Aby etykietę można było uznać za czytelną, należy wziąć pod uwagę kombinację cech, w tym wyraźny kontrast między tekstem a tłem, odpowiedni krój pisma, odpowiedni rozmiar czcionki, odpowiedni odstęp między wierszami i literami, ogólny wzór etykiety i inne istotne elementy formatowania, które łącznie zapewniają odpowiedni stopień czytelności.</w:t>
            </w:r>
          </w:p>
        </w:tc>
      </w:tr>
    </w:tbl>
    <w:p w14:paraId="1AC13BC2"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021E4D62"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5F8B5C27" w14:textId="77777777" w:rsidR="008144C7" w:rsidRPr="00635D1D" w:rsidRDefault="008144C7" w:rsidP="008144C7">
      <w:pPr>
        <w:pStyle w:val="AmJustText"/>
      </w:pPr>
      <w:r w:rsidRPr="00635D1D">
        <w:t>W motywie doprecyzowano, że konsumenci opierają się przede wszystkim na etykietach zawierających informacje o zagrożeniach, zaś użytkownicy profesjonalni mają dostęp do dodatkowych źródeł, takich jak karty charakterystyki i szkolenia. Podkreślono w nim, że czytelność etykiety zależy od czynników obejmujących układ graficzny, kontrast, czcionkę i odstępy, oraz zauważono, że odniesienia do wytycznych ECHA są zbędne, ponieważ aspekty te są już ujęte w art. 50 ust. 2 rozporządzenia (WE) nr 1272/2008.</w:t>
      </w:r>
    </w:p>
    <w:p w14:paraId="005B1CD1" w14:textId="77777777" w:rsidR="008144C7" w:rsidRPr="00635D1D" w:rsidRDefault="008144C7" w:rsidP="008144C7">
      <w:r w:rsidRPr="00635D1D">
        <w:rPr>
          <w:rStyle w:val="HideTWBExt"/>
        </w:rPr>
        <w:t>&lt;/Amend&gt;</w:t>
      </w:r>
    </w:p>
    <w:p w14:paraId="59E04C48"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139</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0CDB495D" w14:textId="77777777" w:rsidR="008144C7" w:rsidRPr="00635D1D" w:rsidRDefault="008144C7" w:rsidP="008144C7">
      <w:pPr>
        <w:pStyle w:val="NormalBold"/>
      </w:pPr>
      <w:r w:rsidRPr="00635D1D">
        <w:rPr>
          <w:rStyle w:val="HideTWBExt"/>
          <w:b w:val="0"/>
        </w:rPr>
        <w:t>&lt;RepeatBlock-By&gt;&lt;Members&gt;</w:t>
      </w:r>
      <w:r w:rsidRPr="00635D1D">
        <w:t xml:space="preserve">Martin </w:t>
      </w:r>
      <w:proofErr w:type="spellStart"/>
      <w:r w:rsidRPr="00635D1D">
        <w:t>Hojsík</w:t>
      </w:r>
      <w:proofErr w:type="spellEnd"/>
      <w:r w:rsidRPr="00635D1D">
        <w:t xml:space="preserve">, Michal </w:t>
      </w:r>
      <w:proofErr w:type="spellStart"/>
      <w:r w:rsidRPr="00635D1D">
        <w:t>Wiezik</w:t>
      </w:r>
      <w:proofErr w:type="spellEnd"/>
      <w:r w:rsidRPr="00635D1D">
        <w:t xml:space="preserve">, Pascal </w:t>
      </w:r>
      <w:proofErr w:type="spellStart"/>
      <w:r w:rsidRPr="00635D1D">
        <w:t>Canfin</w:t>
      </w:r>
      <w:proofErr w:type="spellEnd"/>
      <w:r w:rsidRPr="00635D1D">
        <w:t xml:space="preserve">, </w:t>
      </w:r>
      <w:proofErr w:type="spellStart"/>
      <w:r w:rsidRPr="00635D1D">
        <w:t>Grégory</w:t>
      </w:r>
      <w:proofErr w:type="spellEnd"/>
      <w:r w:rsidRPr="00635D1D">
        <w:t xml:space="preserve"> </w:t>
      </w:r>
      <w:proofErr w:type="spellStart"/>
      <w:r w:rsidRPr="00635D1D">
        <w:t>Allione</w:t>
      </w:r>
      <w:proofErr w:type="spellEnd"/>
      <w:r w:rsidRPr="00635D1D">
        <w:t xml:space="preserve">, </w:t>
      </w:r>
      <w:proofErr w:type="spellStart"/>
      <w:r w:rsidRPr="00635D1D">
        <w:t>Yvan</w:t>
      </w:r>
      <w:proofErr w:type="spellEnd"/>
      <w:r w:rsidRPr="00635D1D">
        <w:t xml:space="preserve"> </w:t>
      </w:r>
      <w:proofErr w:type="spellStart"/>
      <w:r w:rsidRPr="00635D1D">
        <w:t>Verougstraete</w:t>
      </w:r>
      <w:proofErr w:type="spellEnd"/>
      <w:r w:rsidRPr="00635D1D">
        <w:rPr>
          <w:rStyle w:val="HideTWBExt"/>
          <w:b w:val="0"/>
        </w:rPr>
        <w:t>&lt;/Members&gt;</w:t>
      </w:r>
    </w:p>
    <w:p w14:paraId="539A3B24" w14:textId="77777777" w:rsidR="008144C7" w:rsidRPr="00635D1D" w:rsidRDefault="008144C7" w:rsidP="008144C7">
      <w:pPr>
        <w:pStyle w:val="NormalBold"/>
      </w:pPr>
      <w:r w:rsidRPr="00635D1D">
        <w:rPr>
          <w:rStyle w:val="HideTWBExt"/>
          <w:b w:val="0"/>
        </w:rPr>
        <w:t>&lt;/RepeatBlock-By&gt;</w:t>
      </w:r>
    </w:p>
    <w:p w14:paraId="5EDBC36C"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FE4DCED" w14:textId="77777777" w:rsidR="008144C7" w:rsidRPr="00635D1D" w:rsidRDefault="008144C7" w:rsidP="008144C7">
      <w:pPr>
        <w:pStyle w:val="NormalBold"/>
      </w:pPr>
      <w:r w:rsidRPr="00635D1D">
        <w:rPr>
          <w:rStyle w:val="HideTWBExt"/>
          <w:b w:val="0"/>
        </w:rPr>
        <w:t>&lt;Article&gt;</w:t>
      </w:r>
      <w:r w:rsidRPr="00635D1D">
        <w:t>Motyw 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F962362" w14:textId="77777777" w:rsidTr="00C5582D">
        <w:trPr>
          <w:trHeight w:val="240"/>
          <w:jc w:val="center"/>
        </w:trPr>
        <w:tc>
          <w:tcPr>
            <w:tcW w:w="9752" w:type="dxa"/>
            <w:gridSpan w:val="2"/>
            <w:tcBorders>
              <w:top w:val="nil"/>
              <w:left w:val="nil"/>
              <w:bottom w:val="nil"/>
              <w:right w:val="nil"/>
            </w:tcBorders>
          </w:tcPr>
          <w:p w14:paraId="79FC5001" w14:textId="77777777" w:rsidR="008144C7" w:rsidRPr="00635D1D" w:rsidRDefault="008144C7" w:rsidP="00C5582D"/>
        </w:tc>
      </w:tr>
      <w:tr w:rsidR="008144C7" w:rsidRPr="00635D1D" w14:paraId="7636CA69" w14:textId="77777777" w:rsidTr="00C5582D">
        <w:trPr>
          <w:trHeight w:val="240"/>
          <w:jc w:val="center"/>
        </w:trPr>
        <w:tc>
          <w:tcPr>
            <w:tcW w:w="4876" w:type="dxa"/>
            <w:tcBorders>
              <w:top w:val="nil"/>
              <w:left w:val="nil"/>
              <w:bottom w:val="nil"/>
              <w:right w:val="nil"/>
            </w:tcBorders>
            <w:hideMark/>
          </w:tcPr>
          <w:p w14:paraId="1DD84B88"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0DD66D96" w14:textId="77777777" w:rsidR="008144C7" w:rsidRPr="00635D1D" w:rsidRDefault="008144C7" w:rsidP="00C5582D">
            <w:pPr>
              <w:pStyle w:val="AmColumnHeading"/>
            </w:pPr>
            <w:r w:rsidRPr="00635D1D">
              <w:t>Poprawka</w:t>
            </w:r>
          </w:p>
        </w:tc>
      </w:tr>
      <w:tr w:rsidR="008144C7" w:rsidRPr="00635D1D" w14:paraId="26CF47C6" w14:textId="77777777" w:rsidTr="00C5582D">
        <w:trPr>
          <w:jc w:val="center"/>
        </w:trPr>
        <w:tc>
          <w:tcPr>
            <w:tcW w:w="4876" w:type="dxa"/>
            <w:tcBorders>
              <w:top w:val="nil"/>
              <w:left w:val="nil"/>
              <w:bottom w:val="nil"/>
              <w:right w:val="nil"/>
            </w:tcBorders>
            <w:hideMark/>
          </w:tcPr>
          <w:p w14:paraId="2F0023D1" w14:textId="77777777" w:rsidR="008144C7" w:rsidRPr="00635D1D" w:rsidRDefault="008144C7" w:rsidP="00C5582D">
            <w:pPr>
              <w:pStyle w:val="Normal6a"/>
            </w:pPr>
            <w:r w:rsidRPr="00635D1D">
              <w:t>(8)</w:t>
            </w:r>
            <w:r w:rsidRPr="00635D1D">
              <w:tab/>
              <w:t xml:space="preserve">Aby zmniejszyć obciążenia dla przemysłu i usprawnić swobodny obrót substancjami i mieszaninami na rynku wewnętrznym, należy zmienić rozporządzenie (WE) nr 1272/2008 w odniesieniu do przepisów dotyczących </w:t>
            </w:r>
            <w:r w:rsidRPr="00635D1D">
              <w:rPr>
                <w:b/>
                <w:i/>
              </w:rPr>
              <w:t>reklam i</w:t>
            </w:r>
            <w:r w:rsidRPr="00635D1D">
              <w:t xml:space="preserve"> ofert sprzedaży na odległość, wykorzystując obowiązujące przepisy określone w innym ustawodawstwie Unii o tych samych celach. W tym względzie wymogi dotyczące </w:t>
            </w:r>
            <w:r w:rsidRPr="00635D1D">
              <w:rPr>
                <w:b/>
                <w:i/>
              </w:rPr>
              <w:t>reklam i</w:t>
            </w:r>
            <w:r w:rsidRPr="00635D1D">
              <w:t xml:space="preserve"> ofert sprzedaży na odległość powinny ograniczać się do produktów wprowadzanych do obrotu z przeznaczeniem dla ogółu społeczeństwa, ponieważ rozporządzenie (WE) nr 1907/2006</w:t>
            </w:r>
            <w:r w:rsidRPr="00635D1D">
              <w:rPr>
                <w:vertAlign w:val="superscript"/>
              </w:rPr>
              <w:t>9</w:t>
            </w:r>
            <w:r w:rsidRPr="00635D1D">
              <w:t xml:space="preserve"> przewiduje już jasne obowiązki dotyczące przepływu informacji w łańcuchach dostaw substancji i mieszanin.</w:t>
            </w:r>
          </w:p>
        </w:tc>
        <w:tc>
          <w:tcPr>
            <w:tcW w:w="4876" w:type="dxa"/>
            <w:tcBorders>
              <w:top w:val="nil"/>
              <w:left w:val="nil"/>
              <w:bottom w:val="nil"/>
              <w:right w:val="nil"/>
            </w:tcBorders>
            <w:hideMark/>
          </w:tcPr>
          <w:p w14:paraId="336AE490" w14:textId="77777777" w:rsidR="008144C7" w:rsidRPr="00635D1D" w:rsidRDefault="008144C7" w:rsidP="00C5582D">
            <w:pPr>
              <w:pStyle w:val="Normal6a"/>
            </w:pPr>
            <w:r w:rsidRPr="00635D1D">
              <w:t>(8)</w:t>
            </w:r>
            <w:r w:rsidRPr="00635D1D">
              <w:tab/>
              <w:t>Aby zmniejszyć obciążenia dla przemysłu i usprawnić swobodny obrót substancjami i mieszaninami na rynku wewnętrznym, należy zmienić rozporządzenie (WE) nr 1272/2008 w odniesieniu do przepisów dotyczących ofert sprzedaży na odległość, wykorzystując obowiązujące przepisy określone w innym ustawodawstwie Unii o tych samych celach. W tym względzie wymogi dotyczące ofert sprzedaży na odległość powinny ograniczać się do produktów wprowadzanych do obrotu z przeznaczeniem dla ogółu społeczeństwa, ponieważ rozporządzenie (WE) nr 1907/2006</w:t>
            </w:r>
            <w:r w:rsidRPr="00635D1D">
              <w:rPr>
                <w:vertAlign w:val="superscript"/>
              </w:rPr>
              <w:t>9</w:t>
            </w:r>
            <w:r w:rsidRPr="00635D1D">
              <w:t xml:space="preserve"> przewiduje już jasne obowiązki dotyczące przepływu informacji w łańcuchach dostaw substancji i mieszanin. </w:t>
            </w:r>
            <w:r w:rsidRPr="00635D1D">
              <w:rPr>
                <w:b/>
                <w:i/>
              </w:rPr>
              <w:t xml:space="preserve">Konsumenci coraz częściej kupują substancje i mieszaniny w ramach sprzedaży na odległość, np. przez </w:t>
            </w:r>
            <w:proofErr w:type="spellStart"/>
            <w:r w:rsidRPr="00635D1D">
              <w:rPr>
                <w:b/>
                <w:i/>
              </w:rPr>
              <w:t>internet</w:t>
            </w:r>
            <w:proofErr w:type="spellEnd"/>
            <w:r w:rsidRPr="00635D1D">
              <w:rPr>
                <w:b/>
                <w:i/>
              </w:rPr>
              <w:t xml:space="preserve"> za pośrednictwem sklepów internetowych, internetowych platform handlowych lub aplikacji mobilnych. W związku z tym informacje widniejące na etykiecie powinny być udostępniane w formie obrazu lub jako część opisu produktu, z wyjątkiem sprzedaży na odległość użytkownikom profesjonalnym lub przemysłowym. W przypadku gdy strona internetowa lub aplikacja mobilna przeznaczona dla użytkowników profesjonalnych lub przemysłowych umożliwia ogółowi społeczeństwa zakup substancji lub mieszanin, dostawcy powinni być również zobowiązani do podawania informacji na etykiecie przy sprzedaży na odległość.</w:t>
            </w:r>
          </w:p>
        </w:tc>
      </w:tr>
      <w:tr w:rsidR="008144C7" w:rsidRPr="00635D1D" w14:paraId="55687D91" w14:textId="77777777" w:rsidTr="00C5582D">
        <w:trPr>
          <w:jc w:val="center"/>
        </w:trPr>
        <w:tc>
          <w:tcPr>
            <w:tcW w:w="4876" w:type="dxa"/>
            <w:tcBorders>
              <w:top w:val="nil"/>
              <w:left w:val="nil"/>
              <w:bottom w:val="nil"/>
              <w:right w:val="nil"/>
            </w:tcBorders>
            <w:hideMark/>
          </w:tcPr>
          <w:p w14:paraId="79013A23"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3F204E4C" w14:textId="77777777" w:rsidR="008144C7" w:rsidRPr="00635D1D" w:rsidRDefault="008144C7" w:rsidP="00C5582D">
            <w:pPr>
              <w:pStyle w:val="Normal6a"/>
            </w:pPr>
            <w:r w:rsidRPr="00635D1D">
              <w:rPr>
                <w:b/>
                <w:i/>
              </w:rPr>
              <w:t>_________________</w:t>
            </w:r>
          </w:p>
        </w:tc>
      </w:tr>
      <w:tr w:rsidR="008144C7" w:rsidRPr="00635D1D" w14:paraId="5D2779A3" w14:textId="77777777" w:rsidTr="00C5582D">
        <w:trPr>
          <w:jc w:val="center"/>
        </w:trPr>
        <w:tc>
          <w:tcPr>
            <w:tcW w:w="4876" w:type="dxa"/>
            <w:tcBorders>
              <w:top w:val="nil"/>
              <w:left w:val="nil"/>
              <w:bottom w:val="nil"/>
              <w:right w:val="nil"/>
            </w:tcBorders>
            <w:hideMark/>
          </w:tcPr>
          <w:p w14:paraId="24A61A37" w14:textId="77777777" w:rsidR="008144C7" w:rsidRPr="00635D1D" w:rsidRDefault="008144C7" w:rsidP="00C5582D">
            <w:pPr>
              <w:pStyle w:val="Normal6a"/>
            </w:pPr>
            <w:r w:rsidRPr="00635D1D">
              <w:rPr>
                <w:vertAlign w:val="superscript"/>
              </w:rPr>
              <w:t>9</w:t>
            </w:r>
            <w:r w:rsidRPr="00635D1D">
              <w:t xml:space="preserve"> 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 ELI: http://data.europa.eu/eli/reg/2006/1907/oj).</w:t>
            </w:r>
          </w:p>
        </w:tc>
        <w:tc>
          <w:tcPr>
            <w:tcW w:w="4876" w:type="dxa"/>
            <w:tcBorders>
              <w:top w:val="nil"/>
              <w:left w:val="nil"/>
              <w:bottom w:val="nil"/>
              <w:right w:val="nil"/>
            </w:tcBorders>
            <w:hideMark/>
          </w:tcPr>
          <w:p w14:paraId="13487119" w14:textId="77777777" w:rsidR="008144C7" w:rsidRPr="00635D1D" w:rsidRDefault="008144C7" w:rsidP="00C5582D">
            <w:pPr>
              <w:pStyle w:val="Normal6a"/>
            </w:pPr>
            <w:r w:rsidRPr="00635D1D">
              <w:rPr>
                <w:vertAlign w:val="superscript"/>
              </w:rPr>
              <w:t>9</w:t>
            </w:r>
            <w:r w:rsidRPr="00635D1D">
              <w:t xml:space="preserve"> 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 ELI: http://data.europa.eu/eli/reg/2006/1907/oj).</w:t>
            </w:r>
          </w:p>
        </w:tc>
      </w:tr>
    </w:tbl>
    <w:p w14:paraId="4E724CD6"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11FA99CB" w14:textId="77777777" w:rsidR="008144C7" w:rsidRPr="00E90719" w:rsidRDefault="008144C7" w:rsidP="008144C7">
      <w:pPr>
        <w:rPr>
          <w:lang w:val="en-GB"/>
        </w:rPr>
      </w:pPr>
      <w:r w:rsidRPr="00E90719">
        <w:rPr>
          <w:rStyle w:val="HideTWBExt"/>
          <w:lang w:val="en-GB"/>
        </w:rPr>
        <w:t>&lt;/Amend&gt;</w:t>
      </w:r>
    </w:p>
    <w:p w14:paraId="36ECAABC"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140</w:t>
      </w:r>
      <w:r w:rsidRPr="00E90719">
        <w:rPr>
          <w:rStyle w:val="HideTWBExt"/>
          <w:b w:val="0"/>
          <w:lang w:val="en-GB"/>
        </w:rPr>
        <w:t>&lt;/NumAm&gt;</w:t>
      </w:r>
    </w:p>
    <w:p w14:paraId="305EAE10"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Idoia Mendia, Kristian Vigenin, François Kalfon, Elisabeth Grossmann, Adnan Dibrani, Sakis Arnaoutoglou, César Luena, Christophe Clergeau, Tiemo Wölken, Annalisa Corrado, Heléne Fritzon, Marta Temido</w:t>
      </w:r>
      <w:r w:rsidRPr="00E90719">
        <w:rPr>
          <w:rStyle w:val="HideTWBExt"/>
          <w:b w:val="0"/>
          <w:lang w:val="en-GB"/>
        </w:rPr>
        <w:t>&lt;/Members&gt;</w:t>
      </w:r>
    </w:p>
    <w:p w14:paraId="3B486565" w14:textId="77777777" w:rsidR="008144C7" w:rsidRPr="00635D1D" w:rsidRDefault="008144C7" w:rsidP="008144C7">
      <w:pPr>
        <w:pStyle w:val="NormalBold"/>
      </w:pPr>
      <w:r w:rsidRPr="00635D1D">
        <w:rPr>
          <w:rStyle w:val="HideTWBExt"/>
          <w:b w:val="0"/>
        </w:rPr>
        <w:t>&lt;/RepeatBlock-By&gt;</w:t>
      </w:r>
    </w:p>
    <w:p w14:paraId="63669567"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717E75B8" w14:textId="77777777" w:rsidR="008144C7" w:rsidRPr="00635D1D" w:rsidRDefault="008144C7" w:rsidP="008144C7">
      <w:pPr>
        <w:pStyle w:val="NormalBold"/>
      </w:pPr>
      <w:r w:rsidRPr="00635D1D">
        <w:rPr>
          <w:rStyle w:val="HideTWBExt"/>
          <w:b w:val="0"/>
        </w:rPr>
        <w:t>&lt;Article&gt;</w:t>
      </w:r>
      <w:r w:rsidRPr="00635D1D">
        <w:t>Motyw 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FDBFE0A" w14:textId="77777777" w:rsidTr="00C5582D">
        <w:trPr>
          <w:trHeight w:val="240"/>
          <w:jc w:val="center"/>
        </w:trPr>
        <w:tc>
          <w:tcPr>
            <w:tcW w:w="9752" w:type="dxa"/>
            <w:gridSpan w:val="2"/>
            <w:tcBorders>
              <w:top w:val="nil"/>
              <w:left w:val="nil"/>
              <w:bottom w:val="nil"/>
              <w:right w:val="nil"/>
            </w:tcBorders>
          </w:tcPr>
          <w:p w14:paraId="1B7703DD" w14:textId="77777777" w:rsidR="008144C7" w:rsidRPr="00635D1D" w:rsidRDefault="008144C7" w:rsidP="00C5582D"/>
        </w:tc>
      </w:tr>
      <w:tr w:rsidR="008144C7" w:rsidRPr="00635D1D" w14:paraId="08B31913" w14:textId="77777777" w:rsidTr="00C5582D">
        <w:trPr>
          <w:trHeight w:val="240"/>
          <w:jc w:val="center"/>
        </w:trPr>
        <w:tc>
          <w:tcPr>
            <w:tcW w:w="4876" w:type="dxa"/>
            <w:tcBorders>
              <w:top w:val="nil"/>
              <w:left w:val="nil"/>
              <w:bottom w:val="nil"/>
              <w:right w:val="nil"/>
            </w:tcBorders>
            <w:hideMark/>
          </w:tcPr>
          <w:p w14:paraId="75ADADC8"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2F0BDEE" w14:textId="77777777" w:rsidR="008144C7" w:rsidRPr="00635D1D" w:rsidRDefault="008144C7" w:rsidP="00C5582D">
            <w:pPr>
              <w:pStyle w:val="AmColumnHeading"/>
            </w:pPr>
            <w:r w:rsidRPr="00635D1D">
              <w:t>Poprawka</w:t>
            </w:r>
          </w:p>
        </w:tc>
      </w:tr>
      <w:tr w:rsidR="008144C7" w:rsidRPr="00635D1D" w14:paraId="750BAF5B" w14:textId="77777777" w:rsidTr="00C5582D">
        <w:trPr>
          <w:jc w:val="center"/>
        </w:trPr>
        <w:tc>
          <w:tcPr>
            <w:tcW w:w="4876" w:type="dxa"/>
            <w:tcBorders>
              <w:top w:val="nil"/>
              <w:left w:val="nil"/>
              <w:bottom w:val="nil"/>
              <w:right w:val="nil"/>
            </w:tcBorders>
            <w:hideMark/>
          </w:tcPr>
          <w:p w14:paraId="59D59790" w14:textId="77777777" w:rsidR="008144C7" w:rsidRPr="00635D1D" w:rsidRDefault="008144C7" w:rsidP="00C5582D">
            <w:pPr>
              <w:pStyle w:val="Normal6a"/>
            </w:pPr>
            <w:r w:rsidRPr="00635D1D">
              <w:t>(8)</w:t>
            </w:r>
            <w:r w:rsidRPr="00635D1D">
              <w:tab/>
              <w:t xml:space="preserve">Aby zmniejszyć obciążenia dla przemysłu i usprawnić swobodny obrót substancjami i mieszaninami na rynku wewnętrznym, należy zmienić rozporządzenie (WE) nr 1272/2008 w odniesieniu do przepisów dotyczących reklam </w:t>
            </w:r>
            <w:r w:rsidRPr="00635D1D">
              <w:rPr>
                <w:b/>
                <w:i/>
              </w:rPr>
              <w:t>i ofert sprzedaży na odległość</w:t>
            </w:r>
            <w:r w:rsidRPr="00635D1D">
              <w:t xml:space="preserve">, wykorzystując obowiązujące przepisy określone w innym ustawodawstwie Unii o tych samych celach. W tym względzie </w:t>
            </w:r>
            <w:r w:rsidRPr="00635D1D">
              <w:rPr>
                <w:b/>
                <w:i/>
              </w:rPr>
              <w:t>wymogi dotyczące reklam i ofert sprzedaży na odległość powinny ograniczać się do produktów wprowadzanych do obrotu z przeznaczeniem dla ogółu społeczeństwa</w:t>
            </w:r>
            <w:r w:rsidRPr="00635D1D">
              <w:t xml:space="preserve">, </w:t>
            </w:r>
            <w:r w:rsidRPr="00635D1D">
              <w:rPr>
                <w:b/>
                <w:i/>
              </w:rPr>
              <w:t>ponieważ</w:t>
            </w:r>
            <w:r w:rsidRPr="00635D1D">
              <w:t xml:space="preserve"> rozporządzenie (WE) nr 1907/2006</w:t>
            </w:r>
            <w:r w:rsidRPr="00635D1D">
              <w:rPr>
                <w:vertAlign w:val="superscript"/>
              </w:rPr>
              <w:t>9</w:t>
            </w:r>
            <w:r w:rsidRPr="00635D1D">
              <w:t xml:space="preserve"> przewiduje już jasne obowiązki dotyczące przepływu informacji w łańcuchach dostaw substancji i mieszanin.</w:t>
            </w:r>
          </w:p>
        </w:tc>
        <w:tc>
          <w:tcPr>
            <w:tcW w:w="4876" w:type="dxa"/>
            <w:tcBorders>
              <w:top w:val="nil"/>
              <w:left w:val="nil"/>
              <w:bottom w:val="nil"/>
              <w:right w:val="nil"/>
            </w:tcBorders>
            <w:hideMark/>
          </w:tcPr>
          <w:p w14:paraId="722448D9" w14:textId="77777777" w:rsidR="008144C7" w:rsidRPr="00635D1D" w:rsidRDefault="008144C7" w:rsidP="00C5582D">
            <w:pPr>
              <w:pStyle w:val="Normal6a"/>
            </w:pPr>
            <w:r w:rsidRPr="00635D1D">
              <w:t>(8)</w:t>
            </w:r>
            <w:r w:rsidRPr="00635D1D">
              <w:tab/>
              <w:t xml:space="preserve">Aby zmniejszyć obciążenia dla przemysłu i usprawnić swobodny obrót substancjami i mieszaninami na rynku wewnętrznym, należy zmienić rozporządzenie (WE) nr 1272/2008 w odniesieniu do przepisów dotyczących reklam, wykorzystując obowiązujące przepisy określone w innym ustawodawstwie Unii o tych samych celach. W tym względzie </w:t>
            </w:r>
            <w:r w:rsidRPr="00635D1D">
              <w:rPr>
                <w:b/>
                <w:i/>
              </w:rPr>
              <w:t>należy zauważyć</w:t>
            </w:r>
            <w:r w:rsidRPr="00635D1D">
              <w:t xml:space="preserve">, </w:t>
            </w:r>
            <w:r w:rsidRPr="00635D1D">
              <w:rPr>
                <w:b/>
                <w:i/>
              </w:rPr>
              <w:t>że</w:t>
            </w:r>
            <w:r w:rsidRPr="00635D1D">
              <w:t xml:space="preserve"> rozporządzenie (WE) nr 1907/2006</w:t>
            </w:r>
            <w:r w:rsidRPr="00635D1D">
              <w:rPr>
                <w:vertAlign w:val="superscript"/>
              </w:rPr>
              <w:t>9</w:t>
            </w:r>
            <w:r w:rsidRPr="00635D1D">
              <w:t xml:space="preserve"> przewiduje już jasne obowiązki dotyczące przepływu informacji w łańcuchach dostaw substancji i mieszanin.</w:t>
            </w:r>
          </w:p>
        </w:tc>
      </w:tr>
      <w:tr w:rsidR="008144C7" w:rsidRPr="00635D1D" w14:paraId="0BCF0EB8" w14:textId="77777777" w:rsidTr="00C5582D">
        <w:trPr>
          <w:jc w:val="center"/>
        </w:trPr>
        <w:tc>
          <w:tcPr>
            <w:tcW w:w="4876" w:type="dxa"/>
            <w:tcBorders>
              <w:top w:val="nil"/>
              <w:left w:val="nil"/>
              <w:bottom w:val="nil"/>
              <w:right w:val="nil"/>
            </w:tcBorders>
            <w:hideMark/>
          </w:tcPr>
          <w:p w14:paraId="5C532015"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7C02A05D" w14:textId="77777777" w:rsidR="008144C7" w:rsidRPr="00635D1D" w:rsidRDefault="008144C7" w:rsidP="00C5582D">
            <w:pPr>
              <w:pStyle w:val="Normal6a"/>
            </w:pPr>
            <w:r w:rsidRPr="00635D1D">
              <w:rPr>
                <w:b/>
                <w:i/>
              </w:rPr>
              <w:t>_________________</w:t>
            </w:r>
          </w:p>
        </w:tc>
      </w:tr>
      <w:tr w:rsidR="008144C7" w:rsidRPr="00635D1D" w14:paraId="03B8B3E1" w14:textId="77777777" w:rsidTr="00C5582D">
        <w:trPr>
          <w:jc w:val="center"/>
        </w:trPr>
        <w:tc>
          <w:tcPr>
            <w:tcW w:w="4876" w:type="dxa"/>
            <w:tcBorders>
              <w:top w:val="nil"/>
              <w:left w:val="nil"/>
              <w:bottom w:val="nil"/>
              <w:right w:val="nil"/>
            </w:tcBorders>
            <w:hideMark/>
          </w:tcPr>
          <w:p w14:paraId="217450EF" w14:textId="77777777" w:rsidR="008144C7" w:rsidRPr="00635D1D" w:rsidRDefault="008144C7" w:rsidP="00C5582D">
            <w:pPr>
              <w:pStyle w:val="Normal6a"/>
            </w:pPr>
            <w:r w:rsidRPr="00635D1D">
              <w:rPr>
                <w:vertAlign w:val="superscript"/>
              </w:rPr>
              <w:t>9</w:t>
            </w:r>
            <w:r w:rsidRPr="00635D1D">
              <w:t xml:space="preserve"> 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 ELI: http://data.europa.eu/eli/reg/2006/1907/oj).</w:t>
            </w:r>
          </w:p>
        </w:tc>
        <w:tc>
          <w:tcPr>
            <w:tcW w:w="4876" w:type="dxa"/>
            <w:tcBorders>
              <w:top w:val="nil"/>
              <w:left w:val="nil"/>
              <w:bottom w:val="nil"/>
              <w:right w:val="nil"/>
            </w:tcBorders>
            <w:hideMark/>
          </w:tcPr>
          <w:p w14:paraId="06519B1F" w14:textId="77777777" w:rsidR="008144C7" w:rsidRPr="00635D1D" w:rsidRDefault="008144C7" w:rsidP="00C5582D">
            <w:pPr>
              <w:pStyle w:val="Normal6a"/>
            </w:pPr>
            <w:r w:rsidRPr="00635D1D">
              <w:rPr>
                <w:vertAlign w:val="superscript"/>
              </w:rPr>
              <w:t>9</w:t>
            </w:r>
            <w:r w:rsidRPr="00635D1D">
              <w:t xml:space="preserve"> 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 ELI: http://data.europa.eu/eli/reg/2006/1907/oj).</w:t>
            </w:r>
          </w:p>
        </w:tc>
      </w:tr>
    </w:tbl>
    <w:p w14:paraId="5FD97A61"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3538CB8F" w14:textId="77777777" w:rsidR="008144C7" w:rsidRPr="00E90719" w:rsidRDefault="008144C7" w:rsidP="008144C7">
      <w:pPr>
        <w:rPr>
          <w:lang w:val="en-GB"/>
        </w:rPr>
      </w:pPr>
      <w:r w:rsidRPr="00E90719">
        <w:rPr>
          <w:rStyle w:val="HideTWBExt"/>
          <w:lang w:val="en-GB"/>
        </w:rPr>
        <w:t>&lt;/Amend&gt;</w:t>
      </w:r>
    </w:p>
    <w:p w14:paraId="473BA72F"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141</w:t>
      </w:r>
      <w:r w:rsidRPr="00E90719">
        <w:rPr>
          <w:rStyle w:val="HideTWBExt"/>
          <w:b w:val="0"/>
          <w:lang w:val="en-GB"/>
        </w:rPr>
        <w:t>&lt;/NumAm&gt;</w:t>
      </w:r>
    </w:p>
    <w:p w14:paraId="568990F6"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Elżbieta Katarzyna Łukacijewska, Ewa Kopacz, Hanna Gronkiewicz-Waltz, Adam Jarubas</w:t>
      </w:r>
      <w:r w:rsidRPr="00E90719">
        <w:rPr>
          <w:rStyle w:val="HideTWBExt"/>
          <w:b w:val="0"/>
          <w:lang w:val="en-GB"/>
        </w:rPr>
        <w:t>&lt;/Members&gt;</w:t>
      </w:r>
    </w:p>
    <w:p w14:paraId="768B13DE" w14:textId="77777777" w:rsidR="008144C7" w:rsidRPr="00635D1D" w:rsidRDefault="008144C7" w:rsidP="008144C7">
      <w:pPr>
        <w:pStyle w:val="NormalBold"/>
      </w:pPr>
      <w:r w:rsidRPr="00635D1D">
        <w:rPr>
          <w:rStyle w:val="HideTWBExt"/>
          <w:b w:val="0"/>
        </w:rPr>
        <w:t>&lt;/RepeatBlock-By&gt;</w:t>
      </w:r>
    </w:p>
    <w:p w14:paraId="50861812"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3563E16" w14:textId="77777777" w:rsidR="008144C7" w:rsidRPr="00635D1D" w:rsidRDefault="008144C7" w:rsidP="008144C7">
      <w:pPr>
        <w:pStyle w:val="NormalBold"/>
      </w:pPr>
      <w:r w:rsidRPr="00635D1D">
        <w:rPr>
          <w:rStyle w:val="HideTWBExt"/>
          <w:b w:val="0"/>
        </w:rPr>
        <w:t>&lt;Article&gt;</w:t>
      </w:r>
      <w:r w:rsidRPr="00635D1D">
        <w:t>Motyw 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F501B38" w14:textId="77777777" w:rsidTr="00C5582D">
        <w:trPr>
          <w:trHeight w:val="240"/>
          <w:jc w:val="center"/>
        </w:trPr>
        <w:tc>
          <w:tcPr>
            <w:tcW w:w="9752" w:type="dxa"/>
            <w:gridSpan w:val="2"/>
            <w:tcBorders>
              <w:top w:val="nil"/>
              <w:left w:val="nil"/>
              <w:bottom w:val="nil"/>
              <w:right w:val="nil"/>
            </w:tcBorders>
          </w:tcPr>
          <w:p w14:paraId="5E9899C6" w14:textId="77777777" w:rsidR="008144C7" w:rsidRPr="00635D1D" w:rsidRDefault="008144C7" w:rsidP="00C5582D"/>
        </w:tc>
      </w:tr>
      <w:tr w:rsidR="008144C7" w:rsidRPr="00635D1D" w14:paraId="67D08AAA" w14:textId="77777777" w:rsidTr="00C5582D">
        <w:trPr>
          <w:trHeight w:val="240"/>
          <w:jc w:val="center"/>
        </w:trPr>
        <w:tc>
          <w:tcPr>
            <w:tcW w:w="4876" w:type="dxa"/>
            <w:tcBorders>
              <w:top w:val="nil"/>
              <w:left w:val="nil"/>
              <w:bottom w:val="nil"/>
              <w:right w:val="nil"/>
            </w:tcBorders>
            <w:hideMark/>
          </w:tcPr>
          <w:p w14:paraId="5F310876"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71E7DE4" w14:textId="77777777" w:rsidR="008144C7" w:rsidRPr="00635D1D" w:rsidRDefault="008144C7" w:rsidP="00C5582D">
            <w:pPr>
              <w:pStyle w:val="AmColumnHeading"/>
            </w:pPr>
            <w:r w:rsidRPr="00635D1D">
              <w:t>Poprawka</w:t>
            </w:r>
          </w:p>
        </w:tc>
      </w:tr>
      <w:tr w:rsidR="008144C7" w:rsidRPr="00635D1D" w14:paraId="73C80A30" w14:textId="77777777" w:rsidTr="00C5582D">
        <w:trPr>
          <w:jc w:val="center"/>
        </w:trPr>
        <w:tc>
          <w:tcPr>
            <w:tcW w:w="4876" w:type="dxa"/>
            <w:tcBorders>
              <w:top w:val="nil"/>
              <w:left w:val="nil"/>
              <w:bottom w:val="nil"/>
              <w:right w:val="nil"/>
            </w:tcBorders>
            <w:hideMark/>
          </w:tcPr>
          <w:p w14:paraId="466478E5" w14:textId="77777777" w:rsidR="008144C7" w:rsidRPr="00635D1D" w:rsidRDefault="008144C7" w:rsidP="00C5582D">
            <w:pPr>
              <w:pStyle w:val="Normal6a"/>
            </w:pPr>
            <w:r w:rsidRPr="00635D1D">
              <w:t>(8)</w:t>
            </w:r>
            <w:r w:rsidRPr="00635D1D">
              <w:tab/>
              <w:t>Aby zmniejszyć obciążenia dla przemysłu i usprawnić swobodny obrót substancjami i mieszaninami na rynku wewnętrznym, należy zmienić rozporządzenie (WE) nr 1272/2008 w odniesieniu do przepisów dotyczących reklam i ofert sprzedaży na odległość, wykorzystując obowiązujące przepisy określone w innym ustawodawstwie Unii o tych samych celach. W tym względzie wymogi dotyczące reklam i ofert sprzedaży na odległość powinny ograniczać się do produktów wprowadzanych do obrotu z przeznaczeniem dla ogółu społeczeństwa, ponieważ rozporządzenie (WE) nr 1907/2006</w:t>
            </w:r>
            <w:r w:rsidRPr="00635D1D">
              <w:rPr>
                <w:b/>
                <w:i/>
                <w:vertAlign w:val="superscript"/>
              </w:rPr>
              <w:t>9</w:t>
            </w:r>
            <w:r w:rsidRPr="00635D1D">
              <w:t xml:space="preserve"> przewiduje już jasne obowiązki dotyczące przepływu informacji w łańcuchach dostaw substancji i mieszanin.</w:t>
            </w:r>
          </w:p>
        </w:tc>
        <w:tc>
          <w:tcPr>
            <w:tcW w:w="4876" w:type="dxa"/>
            <w:tcBorders>
              <w:top w:val="nil"/>
              <w:left w:val="nil"/>
              <w:bottom w:val="nil"/>
              <w:right w:val="nil"/>
            </w:tcBorders>
            <w:hideMark/>
          </w:tcPr>
          <w:p w14:paraId="177EBA91" w14:textId="77777777" w:rsidR="008144C7" w:rsidRPr="00635D1D" w:rsidRDefault="008144C7" w:rsidP="00C5582D">
            <w:pPr>
              <w:pStyle w:val="Normal6a"/>
            </w:pPr>
            <w:r w:rsidRPr="00635D1D">
              <w:t>(8)</w:t>
            </w:r>
            <w:r w:rsidRPr="00635D1D">
              <w:tab/>
              <w:t xml:space="preserve">Aby zmniejszyć obciążenia dla przemysłu i usprawnić swobodny obrót substancjami i mieszaninami na rynku wewnętrznym, należy zmienić rozporządzenie (WE) nr 1272/2008 w odniesieniu do przepisów dotyczących reklam i ofert sprzedaży na odległość, wykorzystując obowiązujące przepisy określone w innym ustawodawstwie Unii o tych samych celach. W tym względzie wymogi dotyczące reklam i ofert sprzedaży na odległość powinny ograniczać się do produktów wprowadzanych do obrotu z przeznaczeniem dla ogółu społeczeństwa, ponieważ rozporządzenie (WE) nr 1907/2006 przewiduje już jasne obowiązki dotyczące przepływu informacji w łańcuchach dostaw substancji i mieszanin </w:t>
            </w:r>
            <w:r w:rsidRPr="00635D1D">
              <w:rPr>
                <w:b/>
                <w:i/>
              </w:rPr>
              <w:t>dla użytkowników profesjonalnych i przemysłowych za pośrednictwem karty charakterystyki</w:t>
            </w:r>
            <w:r w:rsidRPr="00635D1D">
              <w:t>.</w:t>
            </w:r>
          </w:p>
        </w:tc>
      </w:tr>
      <w:tr w:rsidR="008144C7" w:rsidRPr="00635D1D" w14:paraId="074AAF89" w14:textId="77777777" w:rsidTr="00C5582D">
        <w:trPr>
          <w:jc w:val="center"/>
        </w:trPr>
        <w:tc>
          <w:tcPr>
            <w:tcW w:w="4876" w:type="dxa"/>
            <w:tcBorders>
              <w:top w:val="nil"/>
              <w:left w:val="nil"/>
              <w:bottom w:val="nil"/>
              <w:right w:val="nil"/>
            </w:tcBorders>
            <w:hideMark/>
          </w:tcPr>
          <w:p w14:paraId="5C3BD882"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tcPr>
          <w:p w14:paraId="7EEDE3D7" w14:textId="77777777" w:rsidR="008144C7" w:rsidRPr="00635D1D" w:rsidRDefault="008144C7" w:rsidP="00C5582D"/>
        </w:tc>
      </w:tr>
      <w:tr w:rsidR="008144C7" w:rsidRPr="00635D1D" w14:paraId="6C272488" w14:textId="77777777" w:rsidTr="00C5582D">
        <w:trPr>
          <w:jc w:val="center"/>
        </w:trPr>
        <w:tc>
          <w:tcPr>
            <w:tcW w:w="4876" w:type="dxa"/>
            <w:tcBorders>
              <w:top w:val="nil"/>
              <w:left w:val="nil"/>
              <w:bottom w:val="nil"/>
              <w:right w:val="nil"/>
            </w:tcBorders>
            <w:hideMark/>
          </w:tcPr>
          <w:p w14:paraId="573CDB22" w14:textId="77777777" w:rsidR="008144C7" w:rsidRPr="00635D1D" w:rsidRDefault="008144C7" w:rsidP="00C5582D">
            <w:pPr>
              <w:pStyle w:val="Normal6a"/>
            </w:pPr>
            <w:r w:rsidRPr="00635D1D">
              <w:rPr>
                <w:b/>
                <w:i/>
                <w:vertAlign w:val="superscript"/>
              </w:rPr>
              <w:t>9</w:t>
            </w:r>
            <w:r w:rsidRPr="00635D1D">
              <w:t xml:space="preserve"> </w:t>
            </w:r>
            <w:r w:rsidRPr="00635D1D">
              <w:rPr>
                <w:b/>
                <w:i/>
              </w:rPr>
              <w:t>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 ELI: http://data.europa.eu/eli/reg/2006/1907/oj).</w:t>
            </w:r>
          </w:p>
        </w:tc>
        <w:tc>
          <w:tcPr>
            <w:tcW w:w="4876" w:type="dxa"/>
            <w:tcBorders>
              <w:top w:val="nil"/>
              <w:left w:val="nil"/>
              <w:bottom w:val="nil"/>
              <w:right w:val="nil"/>
            </w:tcBorders>
          </w:tcPr>
          <w:p w14:paraId="54AF8250" w14:textId="77777777" w:rsidR="008144C7" w:rsidRPr="00635D1D" w:rsidRDefault="008144C7" w:rsidP="00C5582D"/>
        </w:tc>
      </w:tr>
    </w:tbl>
    <w:p w14:paraId="34B15DB5"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1364BC9A" w14:textId="77777777" w:rsidR="008144C7" w:rsidRPr="00AD15CF" w:rsidRDefault="008144C7" w:rsidP="008144C7">
      <w:pPr>
        <w:rPr>
          <w:lang w:val="en-GB"/>
        </w:rPr>
      </w:pPr>
      <w:r w:rsidRPr="00AD15CF">
        <w:rPr>
          <w:rStyle w:val="HideTWBExt"/>
          <w:lang w:val="en-GB"/>
        </w:rPr>
        <w:t>&lt;/Amend&gt;</w:t>
      </w:r>
    </w:p>
    <w:p w14:paraId="671021BD"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142</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70EB48AB"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Aurelijus</w:t>
      </w:r>
      <w:proofErr w:type="spellEnd"/>
      <w:r w:rsidRPr="00AD15CF">
        <w:rPr>
          <w:lang w:val="en-GB"/>
        </w:rPr>
        <w:t xml:space="preserve"> </w:t>
      </w:r>
      <w:proofErr w:type="spellStart"/>
      <w:r w:rsidRPr="00AD15CF">
        <w:rPr>
          <w:lang w:val="en-GB"/>
        </w:rPr>
        <w:t>Veryga</w:t>
      </w:r>
      <w:proofErr w:type="spellEnd"/>
      <w:r w:rsidRPr="00AD15CF">
        <w:rPr>
          <w:rStyle w:val="HideTWBExt"/>
          <w:b w:val="0"/>
          <w:lang w:val="en-GB"/>
        </w:rPr>
        <w:t>&lt;/Members&gt;</w:t>
      </w:r>
    </w:p>
    <w:p w14:paraId="0D4FAF60" w14:textId="77777777" w:rsidR="008144C7" w:rsidRPr="00635D1D" w:rsidRDefault="008144C7" w:rsidP="008144C7">
      <w:pPr>
        <w:pStyle w:val="NormalBold"/>
      </w:pPr>
      <w:r w:rsidRPr="00635D1D">
        <w:rPr>
          <w:rStyle w:val="HideTWBExt"/>
          <w:b w:val="0"/>
        </w:rPr>
        <w:t>&lt;/RepeatBlock-By&gt;</w:t>
      </w:r>
    </w:p>
    <w:p w14:paraId="4507B50A"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3B91F31" w14:textId="77777777" w:rsidR="008144C7" w:rsidRPr="00635D1D" w:rsidRDefault="008144C7" w:rsidP="008144C7">
      <w:pPr>
        <w:pStyle w:val="NormalBold"/>
      </w:pPr>
      <w:r w:rsidRPr="00635D1D">
        <w:rPr>
          <w:rStyle w:val="HideTWBExt"/>
          <w:b w:val="0"/>
        </w:rPr>
        <w:t>&lt;Article&gt;</w:t>
      </w:r>
      <w:r w:rsidRPr="00635D1D">
        <w:t>Motyw 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B50B9FC" w14:textId="77777777" w:rsidTr="00C5582D">
        <w:trPr>
          <w:trHeight w:val="240"/>
          <w:jc w:val="center"/>
        </w:trPr>
        <w:tc>
          <w:tcPr>
            <w:tcW w:w="9752" w:type="dxa"/>
            <w:gridSpan w:val="2"/>
            <w:tcBorders>
              <w:top w:val="nil"/>
              <w:left w:val="nil"/>
              <w:bottom w:val="nil"/>
              <w:right w:val="nil"/>
            </w:tcBorders>
          </w:tcPr>
          <w:p w14:paraId="7FEE7D7A" w14:textId="77777777" w:rsidR="008144C7" w:rsidRPr="00635D1D" w:rsidRDefault="008144C7" w:rsidP="00C5582D"/>
        </w:tc>
      </w:tr>
      <w:tr w:rsidR="008144C7" w:rsidRPr="00635D1D" w14:paraId="5795AA00" w14:textId="77777777" w:rsidTr="00C5582D">
        <w:trPr>
          <w:trHeight w:val="240"/>
          <w:jc w:val="center"/>
        </w:trPr>
        <w:tc>
          <w:tcPr>
            <w:tcW w:w="4876" w:type="dxa"/>
            <w:tcBorders>
              <w:top w:val="nil"/>
              <w:left w:val="nil"/>
              <w:bottom w:val="nil"/>
              <w:right w:val="nil"/>
            </w:tcBorders>
            <w:hideMark/>
          </w:tcPr>
          <w:p w14:paraId="62FC04BC"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94E9ACD" w14:textId="77777777" w:rsidR="008144C7" w:rsidRPr="00635D1D" w:rsidRDefault="008144C7" w:rsidP="00C5582D">
            <w:pPr>
              <w:pStyle w:val="AmColumnHeading"/>
            </w:pPr>
            <w:r w:rsidRPr="00635D1D">
              <w:t>Poprawka</w:t>
            </w:r>
          </w:p>
        </w:tc>
      </w:tr>
      <w:tr w:rsidR="008144C7" w:rsidRPr="00635D1D" w14:paraId="00E5BAF1" w14:textId="77777777" w:rsidTr="00C5582D">
        <w:trPr>
          <w:jc w:val="center"/>
        </w:trPr>
        <w:tc>
          <w:tcPr>
            <w:tcW w:w="4876" w:type="dxa"/>
            <w:tcBorders>
              <w:top w:val="nil"/>
              <w:left w:val="nil"/>
              <w:bottom w:val="nil"/>
              <w:right w:val="nil"/>
            </w:tcBorders>
            <w:hideMark/>
          </w:tcPr>
          <w:p w14:paraId="23A7A1D6" w14:textId="77777777" w:rsidR="008144C7" w:rsidRPr="00635D1D" w:rsidRDefault="008144C7" w:rsidP="00C5582D">
            <w:pPr>
              <w:pStyle w:val="Normal6a"/>
            </w:pPr>
            <w:r w:rsidRPr="00635D1D">
              <w:t>(8)</w:t>
            </w:r>
            <w:r w:rsidRPr="00635D1D">
              <w:tab/>
              <w:t>Aby zmniejszyć obciążenia dla przemysłu i usprawnić swobodny obrót substancjami i mieszaninami na rynku wewnętrznym, należy zmienić rozporządzenie (WE) nr 1272/2008 w odniesieniu do przepisów dotyczących reklam i ofert sprzedaży na odległość, wykorzystując obowiązujące przepisy określone w innym ustawodawstwie Unii o tych samych celach. W tym względzie wymogi dotyczące reklam i ofert sprzedaży na odległość powinny ograniczać się do produktów wprowadzanych do obrotu z przeznaczeniem dla ogółu społeczeństwa, ponieważ rozporządzenie (WE) nr 1907/2006</w:t>
            </w:r>
            <w:r w:rsidRPr="00635D1D">
              <w:rPr>
                <w:b/>
                <w:i/>
                <w:vertAlign w:val="superscript"/>
              </w:rPr>
              <w:t>9</w:t>
            </w:r>
            <w:r w:rsidRPr="00635D1D">
              <w:t xml:space="preserve"> przewiduje już jasne obowiązki dotyczące przepływu informacji w łańcuchach dostaw substancji i mieszanin.</w:t>
            </w:r>
          </w:p>
        </w:tc>
        <w:tc>
          <w:tcPr>
            <w:tcW w:w="4876" w:type="dxa"/>
            <w:tcBorders>
              <w:top w:val="nil"/>
              <w:left w:val="nil"/>
              <w:bottom w:val="nil"/>
              <w:right w:val="nil"/>
            </w:tcBorders>
            <w:hideMark/>
          </w:tcPr>
          <w:p w14:paraId="70F84E6E" w14:textId="77777777" w:rsidR="008144C7" w:rsidRPr="00635D1D" w:rsidRDefault="008144C7" w:rsidP="00C5582D">
            <w:pPr>
              <w:pStyle w:val="Normal6a"/>
            </w:pPr>
            <w:r w:rsidRPr="00635D1D">
              <w:t>(8)</w:t>
            </w:r>
            <w:r w:rsidRPr="00635D1D">
              <w:tab/>
              <w:t xml:space="preserve">Aby zmniejszyć obciążenia dla przemysłu i usprawnić swobodny obrót substancjami i mieszaninami na rynku wewnętrznym, należy zmienić rozporządzenie (WE) nr 1272/2008 w odniesieniu do przepisów dotyczących reklam i ofert sprzedaży na odległość, wykorzystując obowiązujące przepisy określone w innym ustawodawstwie Unii o tych samych celach. W tym względzie wymogi dotyczące reklam i ofert sprzedaży na odległość powinny ograniczać się do produktów wprowadzanych do obrotu z przeznaczeniem dla ogółu społeczeństwa, ponieważ rozporządzenie (WE) nr 1907/2006 przewiduje już jasne obowiązki dotyczące przepływu informacji w łańcuchach dostaw substancji i mieszanin </w:t>
            </w:r>
            <w:r w:rsidRPr="00635D1D">
              <w:rPr>
                <w:b/>
                <w:i/>
              </w:rPr>
              <w:t>dla użytkowników profesjonalnych i przemysłowych za pośrednictwem karty charakterystyki</w:t>
            </w:r>
            <w:r w:rsidRPr="00635D1D">
              <w:t>.</w:t>
            </w:r>
          </w:p>
        </w:tc>
      </w:tr>
      <w:tr w:rsidR="008144C7" w:rsidRPr="00635D1D" w14:paraId="07567CF5" w14:textId="77777777" w:rsidTr="00C5582D">
        <w:trPr>
          <w:jc w:val="center"/>
        </w:trPr>
        <w:tc>
          <w:tcPr>
            <w:tcW w:w="4876" w:type="dxa"/>
            <w:tcBorders>
              <w:top w:val="nil"/>
              <w:left w:val="nil"/>
              <w:bottom w:val="nil"/>
              <w:right w:val="nil"/>
            </w:tcBorders>
            <w:hideMark/>
          </w:tcPr>
          <w:p w14:paraId="08414F19"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tcPr>
          <w:p w14:paraId="4C84379E" w14:textId="77777777" w:rsidR="008144C7" w:rsidRPr="00635D1D" w:rsidRDefault="008144C7" w:rsidP="00C5582D"/>
        </w:tc>
      </w:tr>
      <w:tr w:rsidR="008144C7" w:rsidRPr="00635D1D" w14:paraId="53838D71" w14:textId="77777777" w:rsidTr="00C5582D">
        <w:trPr>
          <w:jc w:val="center"/>
        </w:trPr>
        <w:tc>
          <w:tcPr>
            <w:tcW w:w="4876" w:type="dxa"/>
            <w:tcBorders>
              <w:top w:val="nil"/>
              <w:left w:val="nil"/>
              <w:bottom w:val="nil"/>
              <w:right w:val="nil"/>
            </w:tcBorders>
            <w:hideMark/>
          </w:tcPr>
          <w:p w14:paraId="1C0488FD" w14:textId="77777777" w:rsidR="008144C7" w:rsidRPr="00635D1D" w:rsidRDefault="008144C7" w:rsidP="00C5582D">
            <w:pPr>
              <w:pStyle w:val="Normal6a"/>
            </w:pPr>
            <w:r w:rsidRPr="00635D1D">
              <w:rPr>
                <w:b/>
                <w:i/>
                <w:vertAlign w:val="superscript"/>
              </w:rPr>
              <w:t>9</w:t>
            </w:r>
            <w:r w:rsidRPr="00635D1D">
              <w:t xml:space="preserve"> </w:t>
            </w:r>
            <w:r w:rsidRPr="00635D1D">
              <w:rPr>
                <w:b/>
                <w:i/>
              </w:rPr>
              <w:t>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 ELI: http://data.europa.eu/eli/reg/2006/1907/oj).</w:t>
            </w:r>
          </w:p>
        </w:tc>
        <w:tc>
          <w:tcPr>
            <w:tcW w:w="4876" w:type="dxa"/>
            <w:tcBorders>
              <w:top w:val="nil"/>
              <w:left w:val="nil"/>
              <w:bottom w:val="nil"/>
              <w:right w:val="nil"/>
            </w:tcBorders>
          </w:tcPr>
          <w:p w14:paraId="75081E69" w14:textId="77777777" w:rsidR="008144C7" w:rsidRPr="00635D1D" w:rsidRDefault="008144C7" w:rsidP="00C5582D"/>
        </w:tc>
      </w:tr>
    </w:tbl>
    <w:p w14:paraId="78D60615"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45B45242" w14:textId="77777777" w:rsidR="008144C7" w:rsidRPr="00E90719" w:rsidRDefault="008144C7" w:rsidP="008144C7">
      <w:pPr>
        <w:rPr>
          <w:lang w:val="en-GB"/>
        </w:rPr>
      </w:pPr>
      <w:r w:rsidRPr="00E90719">
        <w:rPr>
          <w:rStyle w:val="HideTWBExt"/>
          <w:lang w:val="en-GB"/>
        </w:rPr>
        <w:t>&lt;/Amend&gt;</w:t>
      </w:r>
    </w:p>
    <w:p w14:paraId="16553048"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143</w:t>
      </w:r>
      <w:r w:rsidRPr="00E90719">
        <w:rPr>
          <w:rStyle w:val="HideTWBExt"/>
          <w:b w:val="0"/>
          <w:lang w:val="en-GB"/>
        </w:rPr>
        <w:t>&lt;/NumAm&gt;</w:t>
      </w:r>
    </w:p>
    <w:p w14:paraId="5D29EE74"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Pietro Fiocchi, Antonella Sberna</w:t>
      </w:r>
      <w:r w:rsidRPr="00E90719">
        <w:rPr>
          <w:rStyle w:val="HideTWBExt"/>
          <w:b w:val="0"/>
          <w:lang w:val="en-GB"/>
        </w:rPr>
        <w:t>&lt;/Members&gt;</w:t>
      </w:r>
    </w:p>
    <w:p w14:paraId="2CADD01A" w14:textId="77777777" w:rsidR="008144C7" w:rsidRPr="00E90719" w:rsidRDefault="008144C7" w:rsidP="008144C7">
      <w:pPr>
        <w:pStyle w:val="NormalBold"/>
      </w:pPr>
      <w:r w:rsidRPr="00E90719">
        <w:rPr>
          <w:rStyle w:val="HideTWBExt"/>
          <w:b w:val="0"/>
        </w:rPr>
        <w:t>&lt;/RepeatBlock-By&gt;</w:t>
      </w:r>
    </w:p>
    <w:p w14:paraId="231547DE"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272E200" w14:textId="77777777" w:rsidR="008144C7" w:rsidRPr="00635D1D" w:rsidRDefault="008144C7" w:rsidP="008144C7">
      <w:pPr>
        <w:pStyle w:val="NormalBold"/>
      </w:pPr>
      <w:r w:rsidRPr="00635D1D">
        <w:rPr>
          <w:rStyle w:val="HideTWBExt"/>
          <w:b w:val="0"/>
        </w:rPr>
        <w:t>&lt;Article&gt;</w:t>
      </w:r>
      <w:r w:rsidRPr="00635D1D">
        <w:t>Motyw 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A30CBF5" w14:textId="77777777" w:rsidTr="00C5582D">
        <w:trPr>
          <w:trHeight w:val="240"/>
          <w:jc w:val="center"/>
        </w:trPr>
        <w:tc>
          <w:tcPr>
            <w:tcW w:w="9752" w:type="dxa"/>
            <w:gridSpan w:val="2"/>
            <w:tcBorders>
              <w:top w:val="nil"/>
              <w:left w:val="nil"/>
              <w:bottom w:val="nil"/>
              <w:right w:val="nil"/>
            </w:tcBorders>
          </w:tcPr>
          <w:p w14:paraId="0C54BF05" w14:textId="77777777" w:rsidR="008144C7" w:rsidRPr="00635D1D" w:rsidRDefault="008144C7" w:rsidP="00C5582D"/>
        </w:tc>
      </w:tr>
      <w:tr w:rsidR="008144C7" w:rsidRPr="00635D1D" w14:paraId="5DE25243" w14:textId="77777777" w:rsidTr="00C5582D">
        <w:trPr>
          <w:trHeight w:val="240"/>
          <w:jc w:val="center"/>
        </w:trPr>
        <w:tc>
          <w:tcPr>
            <w:tcW w:w="4876" w:type="dxa"/>
            <w:tcBorders>
              <w:top w:val="nil"/>
              <w:left w:val="nil"/>
              <w:bottom w:val="nil"/>
              <w:right w:val="nil"/>
            </w:tcBorders>
            <w:hideMark/>
          </w:tcPr>
          <w:p w14:paraId="2D0D35C3"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ED4342B" w14:textId="77777777" w:rsidR="008144C7" w:rsidRPr="00635D1D" w:rsidRDefault="008144C7" w:rsidP="00C5582D">
            <w:pPr>
              <w:pStyle w:val="AmColumnHeading"/>
            </w:pPr>
            <w:r w:rsidRPr="00635D1D">
              <w:t>Poprawka</w:t>
            </w:r>
          </w:p>
        </w:tc>
      </w:tr>
      <w:tr w:rsidR="008144C7" w:rsidRPr="00635D1D" w14:paraId="7A091408" w14:textId="77777777" w:rsidTr="00C5582D">
        <w:trPr>
          <w:jc w:val="center"/>
        </w:trPr>
        <w:tc>
          <w:tcPr>
            <w:tcW w:w="4876" w:type="dxa"/>
            <w:tcBorders>
              <w:top w:val="nil"/>
              <w:left w:val="nil"/>
              <w:bottom w:val="nil"/>
              <w:right w:val="nil"/>
            </w:tcBorders>
            <w:hideMark/>
          </w:tcPr>
          <w:p w14:paraId="4E7AC781" w14:textId="77777777" w:rsidR="008144C7" w:rsidRPr="00635D1D" w:rsidRDefault="008144C7" w:rsidP="00C5582D">
            <w:pPr>
              <w:pStyle w:val="Normal6a"/>
            </w:pPr>
            <w:r w:rsidRPr="00635D1D">
              <w:t>(8)</w:t>
            </w:r>
            <w:r w:rsidRPr="00635D1D">
              <w:tab/>
              <w:t>Aby zmniejszyć obciążenia dla przemysłu i usprawnić swobodny obrót substancjami i mieszaninami na rynku wewnętrznym, należy zmienić rozporządzenie (WE) nr 1272/2008 w odniesieniu do przepisów dotyczących reklam i ofert sprzedaży na odległość, wykorzystując obowiązujące przepisy określone w innym ustawodawstwie Unii o tych samych celach. W tym względzie wymogi dotyczące reklam i ofert sprzedaży na odległość powinny ograniczać się do produktów wprowadzanych do obrotu z przeznaczeniem dla ogółu społeczeństwa, ponieważ rozporządzenie (WE) nr 1907/2006</w:t>
            </w:r>
            <w:r w:rsidRPr="00635D1D">
              <w:rPr>
                <w:vertAlign w:val="superscript"/>
              </w:rPr>
              <w:t>9</w:t>
            </w:r>
            <w:r w:rsidRPr="00635D1D">
              <w:t xml:space="preserve"> przewiduje już jasne obowiązki dotyczące przepływu informacji w łańcuchach dostaw substancji i mieszanin.</w:t>
            </w:r>
          </w:p>
        </w:tc>
        <w:tc>
          <w:tcPr>
            <w:tcW w:w="4876" w:type="dxa"/>
            <w:tcBorders>
              <w:top w:val="nil"/>
              <w:left w:val="nil"/>
              <w:bottom w:val="nil"/>
              <w:right w:val="nil"/>
            </w:tcBorders>
            <w:hideMark/>
          </w:tcPr>
          <w:p w14:paraId="574480AB" w14:textId="77777777" w:rsidR="008144C7" w:rsidRPr="00635D1D" w:rsidRDefault="008144C7" w:rsidP="00C5582D">
            <w:pPr>
              <w:pStyle w:val="Normal6a"/>
            </w:pPr>
            <w:r w:rsidRPr="00635D1D">
              <w:rPr>
                <w:i/>
                <w:iCs/>
              </w:rPr>
              <w:t>(Nie dotyczy polskiej wersji językowej.)</w:t>
            </w:r>
            <w:r w:rsidRPr="00635D1D">
              <w:tab/>
              <w:t xml:space="preserve">   </w:t>
            </w:r>
          </w:p>
        </w:tc>
      </w:tr>
      <w:tr w:rsidR="008144C7" w:rsidRPr="00635D1D" w14:paraId="452713B5" w14:textId="77777777" w:rsidTr="00C5582D">
        <w:trPr>
          <w:jc w:val="center"/>
        </w:trPr>
        <w:tc>
          <w:tcPr>
            <w:tcW w:w="4876" w:type="dxa"/>
            <w:tcBorders>
              <w:top w:val="nil"/>
              <w:left w:val="nil"/>
              <w:bottom w:val="nil"/>
              <w:right w:val="nil"/>
            </w:tcBorders>
            <w:hideMark/>
          </w:tcPr>
          <w:p w14:paraId="49527709"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7BAD5F1F" w14:textId="77777777" w:rsidR="008144C7" w:rsidRPr="00635D1D" w:rsidRDefault="008144C7" w:rsidP="00C5582D">
            <w:pPr>
              <w:pStyle w:val="Normal6a"/>
            </w:pPr>
            <w:r w:rsidRPr="00635D1D">
              <w:rPr>
                <w:b/>
                <w:i/>
              </w:rPr>
              <w:t>_________________</w:t>
            </w:r>
          </w:p>
        </w:tc>
      </w:tr>
      <w:tr w:rsidR="008144C7" w:rsidRPr="00635D1D" w14:paraId="009D098B" w14:textId="77777777" w:rsidTr="00C5582D">
        <w:trPr>
          <w:jc w:val="center"/>
        </w:trPr>
        <w:tc>
          <w:tcPr>
            <w:tcW w:w="4876" w:type="dxa"/>
            <w:tcBorders>
              <w:top w:val="nil"/>
              <w:left w:val="nil"/>
              <w:bottom w:val="nil"/>
              <w:right w:val="nil"/>
            </w:tcBorders>
            <w:hideMark/>
          </w:tcPr>
          <w:p w14:paraId="072BF2E1" w14:textId="77777777" w:rsidR="008144C7" w:rsidRPr="00635D1D" w:rsidRDefault="008144C7" w:rsidP="00C5582D">
            <w:pPr>
              <w:pStyle w:val="Normal6a"/>
            </w:pPr>
            <w:r w:rsidRPr="00635D1D">
              <w:rPr>
                <w:vertAlign w:val="superscript"/>
              </w:rPr>
              <w:t>9</w:t>
            </w:r>
            <w:r w:rsidRPr="00635D1D">
              <w:t xml:space="preserve"> 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 ELI: http://data.europa.eu/eli/reg/2006/1907/oj).</w:t>
            </w:r>
          </w:p>
        </w:tc>
        <w:tc>
          <w:tcPr>
            <w:tcW w:w="4876" w:type="dxa"/>
            <w:tcBorders>
              <w:top w:val="nil"/>
              <w:left w:val="nil"/>
              <w:bottom w:val="nil"/>
              <w:right w:val="nil"/>
            </w:tcBorders>
            <w:hideMark/>
          </w:tcPr>
          <w:p w14:paraId="3C115956" w14:textId="77777777" w:rsidR="008144C7" w:rsidRPr="00635D1D" w:rsidRDefault="008144C7" w:rsidP="00C5582D">
            <w:pPr>
              <w:pStyle w:val="Normal6a"/>
            </w:pPr>
            <w:r w:rsidRPr="00635D1D">
              <w:rPr>
                <w:vertAlign w:val="superscript"/>
              </w:rPr>
              <w:t>9</w:t>
            </w:r>
            <w:r w:rsidRPr="00635D1D">
              <w:t xml:space="preserve"> 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 ELI: http://data.europa.eu/eli/reg/2006/1907/oj).</w:t>
            </w:r>
          </w:p>
        </w:tc>
      </w:tr>
    </w:tbl>
    <w:p w14:paraId="2383D00C"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12D118D5"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7AB25265" w14:textId="77777777" w:rsidR="008144C7" w:rsidRPr="00635D1D" w:rsidRDefault="008144C7" w:rsidP="008144C7">
      <w:pPr>
        <w:pStyle w:val="AmJustText"/>
      </w:pPr>
      <w:r w:rsidRPr="00635D1D">
        <w:t>Poprawka służy doprecyzowaniu, że wymogi dotyczące reklam i sprzedaży na odległość mają zastosowanie wyłącznie do produktów przeznaczonych dla ogółu społeczeństwa. Zmniejsza to niepotrzebne obciążenia dla przemysłu, a jednocześnie gwarantuje swobodny przepływ towarów na rynku wewnętrznym. Użytkownicy profesjonalni i przemysłowi są już objęci rozporządzeniem (WE) nr 1907/2006 za pośrednictwem kart charakterystyki, co pozwala uniknąć powielania działań i zapewnia spójność prawną.</w:t>
      </w:r>
    </w:p>
    <w:p w14:paraId="260FD8ED" w14:textId="77777777" w:rsidR="008144C7" w:rsidRPr="00635D1D" w:rsidRDefault="008144C7" w:rsidP="008144C7">
      <w:r w:rsidRPr="00635D1D">
        <w:rPr>
          <w:rStyle w:val="HideTWBExt"/>
        </w:rPr>
        <w:t>&lt;/Amend&gt;</w:t>
      </w:r>
    </w:p>
    <w:p w14:paraId="07011CBF"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144</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50B8756C" w14:textId="77777777" w:rsidR="008144C7" w:rsidRPr="00635D1D" w:rsidRDefault="008144C7" w:rsidP="008144C7">
      <w:pPr>
        <w:pStyle w:val="NormalBold"/>
      </w:pPr>
      <w:r w:rsidRPr="00635D1D">
        <w:rPr>
          <w:rStyle w:val="HideTWBExt"/>
          <w:b w:val="0"/>
        </w:rPr>
        <w:t>&lt;RepeatBlock-By&gt;&lt;Members&gt;</w:t>
      </w:r>
      <w:r w:rsidRPr="00635D1D">
        <w:t xml:space="preserve">Pietro </w:t>
      </w:r>
      <w:proofErr w:type="spellStart"/>
      <w:r w:rsidRPr="00635D1D">
        <w:t>Fiocchi</w:t>
      </w:r>
      <w:proofErr w:type="spellEnd"/>
      <w:r w:rsidRPr="00635D1D">
        <w:t xml:space="preserve">, Antonella </w:t>
      </w:r>
      <w:proofErr w:type="spellStart"/>
      <w:r w:rsidRPr="00635D1D">
        <w:t>Sberna</w:t>
      </w:r>
      <w:proofErr w:type="spellEnd"/>
      <w:r w:rsidRPr="00635D1D">
        <w:rPr>
          <w:rStyle w:val="HideTWBExt"/>
          <w:b w:val="0"/>
        </w:rPr>
        <w:t>&lt;/Members&gt;</w:t>
      </w:r>
    </w:p>
    <w:p w14:paraId="4F7D8640" w14:textId="77777777" w:rsidR="008144C7" w:rsidRPr="00635D1D" w:rsidRDefault="008144C7" w:rsidP="008144C7">
      <w:pPr>
        <w:pStyle w:val="NormalBold"/>
      </w:pPr>
      <w:r w:rsidRPr="00635D1D">
        <w:rPr>
          <w:rStyle w:val="HideTWBExt"/>
          <w:b w:val="0"/>
        </w:rPr>
        <w:t>&lt;/RepeatBlock-By&gt;</w:t>
      </w:r>
    </w:p>
    <w:p w14:paraId="1D94332C"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97BE45E" w14:textId="77777777" w:rsidR="008144C7" w:rsidRPr="00635D1D" w:rsidRDefault="008144C7" w:rsidP="008144C7">
      <w:pPr>
        <w:pStyle w:val="NormalBold"/>
      </w:pPr>
      <w:r w:rsidRPr="00635D1D">
        <w:rPr>
          <w:rStyle w:val="HideTWBExt"/>
          <w:b w:val="0"/>
        </w:rPr>
        <w:t>&lt;Article&gt;</w:t>
      </w:r>
      <w:r w:rsidRPr="00635D1D">
        <w:t>Motyw 8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A34C564" w14:textId="77777777" w:rsidTr="00C5582D">
        <w:trPr>
          <w:trHeight w:val="240"/>
          <w:jc w:val="center"/>
        </w:trPr>
        <w:tc>
          <w:tcPr>
            <w:tcW w:w="9752" w:type="dxa"/>
            <w:gridSpan w:val="2"/>
            <w:tcBorders>
              <w:top w:val="nil"/>
              <w:left w:val="nil"/>
              <w:bottom w:val="nil"/>
              <w:right w:val="nil"/>
            </w:tcBorders>
          </w:tcPr>
          <w:p w14:paraId="00F4CBA2" w14:textId="77777777" w:rsidR="008144C7" w:rsidRPr="00635D1D" w:rsidRDefault="008144C7" w:rsidP="00C5582D"/>
        </w:tc>
      </w:tr>
      <w:tr w:rsidR="008144C7" w:rsidRPr="00635D1D" w14:paraId="3EF0B71A" w14:textId="77777777" w:rsidTr="00C5582D">
        <w:trPr>
          <w:trHeight w:val="240"/>
          <w:jc w:val="center"/>
        </w:trPr>
        <w:tc>
          <w:tcPr>
            <w:tcW w:w="4876" w:type="dxa"/>
            <w:tcBorders>
              <w:top w:val="nil"/>
              <w:left w:val="nil"/>
              <w:bottom w:val="nil"/>
              <w:right w:val="nil"/>
            </w:tcBorders>
            <w:hideMark/>
          </w:tcPr>
          <w:p w14:paraId="6585685D"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A01B7B0" w14:textId="77777777" w:rsidR="008144C7" w:rsidRPr="00635D1D" w:rsidRDefault="008144C7" w:rsidP="00C5582D">
            <w:pPr>
              <w:pStyle w:val="AmColumnHeading"/>
            </w:pPr>
            <w:r w:rsidRPr="00635D1D">
              <w:t>Poprawka</w:t>
            </w:r>
          </w:p>
        </w:tc>
      </w:tr>
      <w:tr w:rsidR="008144C7" w:rsidRPr="00635D1D" w14:paraId="585EF1C5" w14:textId="77777777" w:rsidTr="00C5582D">
        <w:trPr>
          <w:jc w:val="center"/>
        </w:trPr>
        <w:tc>
          <w:tcPr>
            <w:tcW w:w="4876" w:type="dxa"/>
            <w:tcBorders>
              <w:top w:val="nil"/>
              <w:left w:val="nil"/>
              <w:bottom w:val="nil"/>
              <w:right w:val="nil"/>
            </w:tcBorders>
          </w:tcPr>
          <w:p w14:paraId="33AD23F5" w14:textId="77777777" w:rsidR="008144C7" w:rsidRPr="00635D1D" w:rsidRDefault="008144C7" w:rsidP="00C5582D">
            <w:pPr>
              <w:pStyle w:val="Normal6a"/>
            </w:pPr>
          </w:p>
        </w:tc>
        <w:tc>
          <w:tcPr>
            <w:tcW w:w="4876" w:type="dxa"/>
            <w:tcBorders>
              <w:top w:val="nil"/>
              <w:left w:val="nil"/>
              <w:bottom w:val="nil"/>
              <w:right w:val="nil"/>
            </w:tcBorders>
            <w:hideMark/>
          </w:tcPr>
          <w:p w14:paraId="14493ABC" w14:textId="77777777" w:rsidR="008144C7" w:rsidRPr="00635D1D" w:rsidRDefault="008144C7" w:rsidP="00C5582D">
            <w:pPr>
              <w:pStyle w:val="Normal6a"/>
            </w:pPr>
            <w:r w:rsidRPr="00635D1D">
              <w:rPr>
                <w:b/>
                <w:i/>
              </w:rPr>
              <w:t>(8a)</w:t>
            </w:r>
            <w:r w:rsidRPr="00635D1D">
              <w:tab/>
            </w:r>
            <w:r w:rsidRPr="00635D1D">
              <w:rPr>
                <w:b/>
                <w:i/>
              </w:rPr>
              <w:t>Użytkownicy profesjonalni i przemysłowi są zazwyczaj lepiej poinformowani o zagrożeniach związanych z substancjami i mieszaninami niż konsumenci. Należy zatem zróżnicować wymogi informacyjne w zależności od tego, czy produkty są przeznaczone do użytku konsumenckiego, czy do użytku profesjonalnego i przemysłowego. Reklamę lub ofertę sprzedaży na odległość należy uznać za skierowaną do konsumentów na podstawie obiektywnych elementów, w tym tego, czy wyraźnie wskazano, że substancja lub mieszanina jest przeznaczona wyłącznie do użytku profesjonalnego, a także kontekstu, w którym reklama lub oferta są udostępniane, takiego jak: targi, publikacje handlowe czy platformy cyfrowe dla użytkowników profesjonalnych.</w:t>
            </w:r>
          </w:p>
        </w:tc>
      </w:tr>
    </w:tbl>
    <w:p w14:paraId="4D6E0A9A"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11998F57"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4B1CA478" w14:textId="77777777" w:rsidR="008144C7" w:rsidRPr="00635D1D" w:rsidRDefault="008144C7" w:rsidP="008144C7">
      <w:pPr>
        <w:pStyle w:val="AmJustText"/>
      </w:pPr>
      <w:r w:rsidRPr="00635D1D">
        <w:t>Poprawka ta służy wprowadzeniu obiektywnych kryteriów ustalania, kiedy reklamy lub oferty sprzedaży na odległość są skierowane do konsumentów. Zwiększa ona pewność prawa dla podmiotów gospodarczych i organów, zwłaszcza w kontekście internetowym, przy jednoczesnym utrzymaniu wysokiego poziomu ochrony konsumentów.</w:t>
      </w:r>
    </w:p>
    <w:p w14:paraId="24DE5B59" w14:textId="77777777" w:rsidR="008144C7" w:rsidRPr="00AD15CF" w:rsidRDefault="008144C7" w:rsidP="008144C7">
      <w:pPr>
        <w:rPr>
          <w:lang w:val="en-GB"/>
        </w:rPr>
      </w:pPr>
      <w:r w:rsidRPr="00AD15CF">
        <w:rPr>
          <w:rStyle w:val="HideTWBExt"/>
          <w:lang w:val="en-GB"/>
        </w:rPr>
        <w:t>&lt;/Amend&gt;</w:t>
      </w:r>
    </w:p>
    <w:p w14:paraId="72F233FA"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145</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50C0E5F8"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Aurelijus</w:t>
      </w:r>
      <w:proofErr w:type="spellEnd"/>
      <w:r w:rsidRPr="00AD15CF">
        <w:rPr>
          <w:lang w:val="en-GB"/>
        </w:rPr>
        <w:t xml:space="preserve"> </w:t>
      </w:r>
      <w:proofErr w:type="spellStart"/>
      <w:r w:rsidRPr="00AD15CF">
        <w:rPr>
          <w:lang w:val="en-GB"/>
        </w:rPr>
        <w:t>Veryga</w:t>
      </w:r>
      <w:proofErr w:type="spellEnd"/>
      <w:r w:rsidRPr="00AD15CF">
        <w:rPr>
          <w:rStyle w:val="HideTWBExt"/>
          <w:b w:val="0"/>
          <w:lang w:val="en-GB"/>
        </w:rPr>
        <w:t>&lt;/Members&gt;</w:t>
      </w:r>
    </w:p>
    <w:p w14:paraId="13434785" w14:textId="77777777" w:rsidR="008144C7" w:rsidRPr="00635D1D" w:rsidRDefault="008144C7" w:rsidP="008144C7">
      <w:pPr>
        <w:pStyle w:val="NormalBold"/>
      </w:pPr>
      <w:r w:rsidRPr="00635D1D">
        <w:rPr>
          <w:rStyle w:val="HideTWBExt"/>
          <w:b w:val="0"/>
        </w:rPr>
        <w:t>&lt;/RepeatBlock-By&gt;</w:t>
      </w:r>
    </w:p>
    <w:p w14:paraId="171B666D"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135246A" w14:textId="77777777" w:rsidR="008144C7" w:rsidRPr="00635D1D" w:rsidRDefault="008144C7" w:rsidP="008144C7">
      <w:pPr>
        <w:pStyle w:val="NormalBold"/>
      </w:pPr>
      <w:r w:rsidRPr="00635D1D">
        <w:rPr>
          <w:rStyle w:val="HideTWBExt"/>
          <w:b w:val="0"/>
        </w:rPr>
        <w:t>&lt;Article&gt;</w:t>
      </w:r>
      <w:r w:rsidRPr="00635D1D">
        <w:t>Motyw 8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DAF5254" w14:textId="77777777" w:rsidTr="00C5582D">
        <w:trPr>
          <w:trHeight w:val="240"/>
          <w:jc w:val="center"/>
        </w:trPr>
        <w:tc>
          <w:tcPr>
            <w:tcW w:w="9752" w:type="dxa"/>
            <w:gridSpan w:val="2"/>
            <w:tcBorders>
              <w:top w:val="nil"/>
              <w:left w:val="nil"/>
              <w:bottom w:val="nil"/>
              <w:right w:val="nil"/>
            </w:tcBorders>
          </w:tcPr>
          <w:p w14:paraId="3EC2AE8E" w14:textId="77777777" w:rsidR="008144C7" w:rsidRPr="00635D1D" w:rsidRDefault="008144C7" w:rsidP="00C5582D"/>
        </w:tc>
      </w:tr>
      <w:tr w:rsidR="008144C7" w:rsidRPr="00635D1D" w14:paraId="2178CAF1" w14:textId="77777777" w:rsidTr="00C5582D">
        <w:trPr>
          <w:trHeight w:val="240"/>
          <w:jc w:val="center"/>
        </w:trPr>
        <w:tc>
          <w:tcPr>
            <w:tcW w:w="4876" w:type="dxa"/>
            <w:tcBorders>
              <w:top w:val="nil"/>
              <w:left w:val="nil"/>
              <w:bottom w:val="nil"/>
              <w:right w:val="nil"/>
            </w:tcBorders>
            <w:hideMark/>
          </w:tcPr>
          <w:p w14:paraId="59F64B10"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58AA89E4" w14:textId="77777777" w:rsidR="008144C7" w:rsidRPr="00635D1D" w:rsidRDefault="008144C7" w:rsidP="00C5582D">
            <w:pPr>
              <w:pStyle w:val="AmColumnHeading"/>
            </w:pPr>
            <w:r w:rsidRPr="00635D1D">
              <w:t>Poprawka</w:t>
            </w:r>
          </w:p>
        </w:tc>
      </w:tr>
      <w:tr w:rsidR="008144C7" w:rsidRPr="00635D1D" w14:paraId="4F191763" w14:textId="77777777" w:rsidTr="00C5582D">
        <w:trPr>
          <w:jc w:val="center"/>
        </w:trPr>
        <w:tc>
          <w:tcPr>
            <w:tcW w:w="4876" w:type="dxa"/>
            <w:tcBorders>
              <w:top w:val="nil"/>
              <w:left w:val="nil"/>
              <w:bottom w:val="nil"/>
              <w:right w:val="nil"/>
            </w:tcBorders>
          </w:tcPr>
          <w:p w14:paraId="320E5498" w14:textId="77777777" w:rsidR="008144C7" w:rsidRPr="00635D1D" w:rsidRDefault="008144C7" w:rsidP="00C5582D">
            <w:pPr>
              <w:pStyle w:val="Normal6a"/>
            </w:pPr>
          </w:p>
        </w:tc>
        <w:tc>
          <w:tcPr>
            <w:tcW w:w="4876" w:type="dxa"/>
            <w:tcBorders>
              <w:top w:val="nil"/>
              <w:left w:val="nil"/>
              <w:bottom w:val="nil"/>
              <w:right w:val="nil"/>
            </w:tcBorders>
            <w:hideMark/>
          </w:tcPr>
          <w:p w14:paraId="6AD02B46" w14:textId="77777777" w:rsidR="008144C7" w:rsidRPr="00635D1D" w:rsidRDefault="008144C7" w:rsidP="00C5582D">
            <w:pPr>
              <w:pStyle w:val="Normal6a"/>
            </w:pPr>
            <w:r w:rsidRPr="00635D1D">
              <w:rPr>
                <w:b/>
                <w:i/>
              </w:rPr>
              <w:t>(8a)</w:t>
            </w:r>
            <w:r w:rsidRPr="00635D1D">
              <w:tab/>
            </w:r>
            <w:r w:rsidRPr="00635D1D">
              <w:rPr>
                <w:b/>
                <w:i/>
              </w:rPr>
              <w:t>Użytkownicy profesjonalni i przemysłowi są zazwyczaj lepiej poinformowani o zagrożeniach związanych z substancjami i mieszaninami niż konsumenci. Należy zatem zróżnicować wymogi informacyjne w zależności od tego, czy produkty są przeznaczone do użytku konsumenckiego, czy do użytku profesjonalnego i przemysłowego. Reklama lub oferta sprzedaży na odległość jest skierowana do konsumentów na podstawie obiektywnych elementów, w tym tego, czy wyraźnie wskazano, że substancja lub mieszanina jest przeznaczona wyłącznie do użytku profesjonalnego, a także kontekstu, w którym reklama lub oferta są udostępniane, takiego jak: targi, publikacje handlowe czy platformy cyfrowe dla użytkowników profesjonalnych.</w:t>
            </w:r>
          </w:p>
        </w:tc>
      </w:tr>
    </w:tbl>
    <w:p w14:paraId="10A30DA8"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5A4F8D98" w14:textId="77777777" w:rsidR="008144C7" w:rsidRPr="00E90719" w:rsidRDefault="008144C7" w:rsidP="008144C7">
      <w:pPr>
        <w:rPr>
          <w:lang w:val="en-GB"/>
        </w:rPr>
      </w:pPr>
      <w:r w:rsidRPr="00E90719">
        <w:rPr>
          <w:rStyle w:val="HideTWBExt"/>
          <w:lang w:val="en-GB"/>
        </w:rPr>
        <w:t>&lt;/Amend&gt;</w:t>
      </w:r>
    </w:p>
    <w:p w14:paraId="32BF8BAF"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146</w:t>
      </w:r>
      <w:r w:rsidRPr="00E90719">
        <w:rPr>
          <w:rStyle w:val="HideTWBExt"/>
          <w:b w:val="0"/>
          <w:lang w:val="en-GB"/>
        </w:rPr>
        <w:t>&lt;/NumAm&gt;</w:t>
      </w:r>
    </w:p>
    <w:p w14:paraId="795E7543"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Idoia Mendia, Kristian Vigenin, François Kalfon, Elisabeth Grossmann, Adnan Dibrani, Sakis Arnaoutoglou, César Luena, Christophe Clergeau, Tiemo Wölken, Annalisa Corrado, Heléne Fritzon, Marta Temido</w:t>
      </w:r>
      <w:r w:rsidRPr="00E90719">
        <w:rPr>
          <w:rStyle w:val="HideTWBExt"/>
          <w:b w:val="0"/>
          <w:lang w:val="en-GB"/>
        </w:rPr>
        <w:t>&lt;/Members&gt;</w:t>
      </w:r>
    </w:p>
    <w:p w14:paraId="37C5907D" w14:textId="77777777" w:rsidR="008144C7" w:rsidRPr="00635D1D" w:rsidRDefault="008144C7" w:rsidP="008144C7">
      <w:pPr>
        <w:pStyle w:val="NormalBold"/>
      </w:pPr>
      <w:r w:rsidRPr="00635D1D">
        <w:rPr>
          <w:rStyle w:val="HideTWBExt"/>
          <w:b w:val="0"/>
        </w:rPr>
        <w:t>&lt;/RepeatBlock-By&gt;</w:t>
      </w:r>
    </w:p>
    <w:p w14:paraId="3144DCB5"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9D3E8AA" w14:textId="77777777" w:rsidR="008144C7" w:rsidRPr="00635D1D" w:rsidRDefault="008144C7" w:rsidP="008144C7">
      <w:pPr>
        <w:pStyle w:val="NormalBold"/>
      </w:pPr>
      <w:r w:rsidRPr="00635D1D">
        <w:rPr>
          <w:rStyle w:val="HideTWBExt"/>
          <w:b w:val="0"/>
        </w:rPr>
        <w:t>&lt;Article&gt;</w:t>
      </w:r>
      <w:r w:rsidRPr="00635D1D">
        <w:t>Motyw 9</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B63FEBD" w14:textId="77777777" w:rsidTr="00C5582D">
        <w:trPr>
          <w:trHeight w:val="240"/>
          <w:jc w:val="center"/>
        </w:trPr>
        <w:tc>
          <w:tcPr>
            <w:tcW w:w="9752" w:type="dxa"/>
            <w:gridSpan w:val="2"/>
            <w:tcBorders>
              <w:top w:val="nil"/>
              <w:left w:val="nil"/>
              <w:bottom w:val="nil"/>
              <w:right w:val="nil"/>
            </w:tcBorders>
          </w:tcPr>
          <w:p w14:paraId="1191A497" w14:textId="77777777" w:rsidR="008144C7" w:rsidRPr="00635D1D" w:rsidRDefault="008144C7" w:rsidP="00C5582D"/>
        </w:tc>
      </w:tr>
      <w:tr w:rsidR="008144C7" w:rsidRPr="00635D1D" w14:paraId="40D3D9E3" w14:textId="77777777" w:rsidTr="00C5582D">
        <w:trPr>
          <w:trHeight w:val="240"/>
          <w:jc w:val="center"/>
        </w:trPr>
        <w:tc>
          <w:tcPr>
            <w:tcW w:w="4876" w:type="dxa"/>
            <w:tcBorders>
              <w:top w:val="nil"/>
              <w:left w:val="nil"/>
              <w:bottom w:val="nil"/>
              <w:right w:val="nil"/>
            </w:tcBorders>
            <w:hideMark/>
          </w:tcPr>
          <w:p w14:paraId="66304FE1"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67565EB" w14:textId="77777777" w:rsidR="008144C7" w:rsidRPr="00635D1D" w:rsidRDefault="008144C7" w:rsidP="00C5582D">
            <w:pPr>
              <w:pStyle w:val="AmColumnHeading"/>
            </w:pPr>
            <w:r w:rsidRPr="00635D1D">
              <w:t>Poprawka</w:t>
            </w:r>
          </w:p>
        </w:tc>
      </w:tr>
      <w:tr w:rsidR="008144C7" w:rsidRPr="00635D1D" w14:paraId="36BF36BB" w14:textId="77777777" w:rsidTr="00C5582D">
        <w:trPr>
          <w:jc w:val="center"/>
        </w:trPr>
        <w:tc>
          <w:tcPr>
            <w:tcW w:w="4876" w:type="dxa"/>
            <w:tcBorders>
              <w:top w:val="nil"/>
              <w:left w:val="nil"/>
              <w:bottom w:val="nil"/>
              <w:right w:val="nil"/>
            </w:tcBorders>
            <w:hideMark/>
          </w:tcPr>
          <w:p w14:paraId="1A5ABA6D" w14:textId="77777777" w:rsidR="008144C7" w:rsidRPr="00635D1D" w:rsidRDefault="008144C7" w:rsidP="00C5582D">
            <w:pPr>
              <w:pStyle w:val="Normal6a"/>
            </w:pPr>
            <w:r w:rsidRPr="00635D1D">
              <w:t>(9)</w:t>
            </w:r>
            <w:r w:rsidRPr="00635D1D">
              <w:tab/>
              <w:t xml:space="preserve">Przed zmianami wprowadzonymi rozporządzeniem (UE) 2024/2865 rozporządzenie (WE) nr 1272/2008 zawierało wymóg, aby w reklamach mieszanin stwarzających zagrożenie, które mogą być nabywane przez ogół społeczeństwa bez uprzedniego zapoznania się z etykietą, wymieniano rodzaj lub rodzaje zagrożeń wskazanych na etykiecie, a także aby w reklamach substancji wymieniano odnośne klasy zagrożenia lub kategorie zagrożeń. Rozporządzeniem (UE) 2024/2865 wprowadzono nowy wymóg, zgodnie z którym w przypadku wszelkiej sprzedaży na odległość substancji i mieszanin stwarzających zagrożenie w ofercie należy uwzględnić wszystkie informacje z etykiety, dbając tym samym o to, aby nabywca był zawsze informowany o zagrożeniach przed zakupem produktu. Rozporządzeniem tym rozszerzono również wymogi dotyczące reklam, nakazując wskazywanie w nich piktogramów określających rodzaj zagrożenia, haseł ostrzegawczych, zwrotów określających zagrożenie i zwrotów uzupełniających, a ponadto zachęcanie ogółu społeczeństwa do postępowania zgodnie z informacjami zamieszczonymi na etykiecie produktu. Reklamy są środkami promocji sprzedaży lub stosowania produktów chemicznych, a w momencie sprzedaży etykieta umieszczona na opakowaniu substancji lub mieszaniny lub informacje uwzględnione na etykiecie w przypadku ofert sprzedaży na odległość zawierają pełne informacje o zagrożeniach związanych z tą substancją lub mieszaniną. W związku z tym w odniesieniu do reklam należałoby wprowadzić </w:t>
            </w:r>
            <w:r w:rsidRPr="00635D1D">
              <w:rPr>
                <w:b/>
                <w:i/>
              </w:rPr>
              <w:t>obowiązek</w:t>
            </w:r>
            <w:r w:rsidRPr="00635D1D">
              <w:t xml:space="preserve"> zachęcania klientów do zapoznania się z etykietą i informacjami o produkcie przed użyciem, ale bez powielania informacji o zagrożeniach uwzględnionych na etykiecie.</w:t>
            </w:r>
          </w:p>
        </w:tc>
        <w:tc>
          <w:tcPr>
            <w:tcW w:w="4876" w:type="dxa"/>
            <w:tcBorders>
              <w:top w:val="nil"/>
              <w:left w:val="nil"/>
              <w:bottom w:val="nil"/>
              <w:right w:val="nil"/>
            </w:tcBorders>
            <w:hideMark/>
          </w:tcPr>
          <w:p w14:paraId="25AE9CB9" w14:textId="77777777" w:rsidR="008144C7" w:rsidRPr="00635D1D" w:rsidRDefault="008144C7" w:rsidP="00C5582D">
            <w:pPr>
              <w:pStyle w:val="Normal6a"/>
            </w:pPr>
            <w:r w:rsidRPr="00635D1D">
              <w:t>(9)</w:t>
            </w:r>
            <w:r w:rsidRPr="00635D1D">
              <w:tab/>
              <w:t xml:space="preserve">Przed zmianami wprowadzonymi rozporządzeniem (UE) 2024/2865 rozporządzenie (WE) nr 1272/2008 zawierało wymóg, aby w reklamach mieszanin stwarzających zagrożenie, które mogą być nabywane przez ogół społeczeństwa bez uprzedniego zapoznania się z etykietą, wymieniano rodzaj lub rodzaje zagrożeń wskazanych na etykiecie, a także aby w reklamach substancji wymieniano odnośne klasy zagrożenia lub kategorie zagrożeń. Rozporządzeniem (UE) 2024/2865 wprowadzono nowy wymóg, zgodnie z którym w przypadku wszelkiej sprzedaży na odległość substancji i mieszanin stwarzających zagrożenie w ofercie należy uwzględnić wszystkie informacje z etykiety, dbając tym samym o to, aby nabywca był zawsze informowany o zagrożeniach przed zakupem produktu. Rozporządzeniem tym rozszerzono również wymogi dotyczące reklam, nakazując wskazywanie w nich piktogramów określających rodzaj zagrożenia, haseł ostrzegawczych, zwrotów określających zagrożenie i zwrotów uzupełniających, a ponadto zachęcanie ogółu społeczeństwa do postępowania zgodnie z informacjami zamieszczonymi na etykiecie produktu. Reklamy są środkami promocji sprzedaży lub stosowania produktów chemicznych, a w momencie sprzedaży etykieta umieszczona na opakowaniu substancji lub mieszaniny lub informacje uwzględnione na etykiecie w przypadku ofert sprzedaży na odległość zawierają pełne informacje o zagrożeniach związanych z tą substancją lub mieszaniną. W związku z tym </w:t>
            </w:r>
            <w:r w:rsidRPr="00635D1D">
              <w:rPr>
                <w:b/>
                <w:i/>
              </w:rPr>
              <w:t>należałoby skupić się na tych elementach, które umożliwiają natychmiastowe wzrokowe rozpoznanie charakteru i powagi zagrożenia, a mianowicie na piktogramach określających rodzaj zagrożenia i hasłach ostrzegawczych, a jednocześnie</w:t>
            </w:r>
            <w:r w:rsidRPr="00635D1D">
              <w:t xml:space="preserve"> w odniesieniu do reklam należałoby wprowadzić </w:t>
            </w:r>
            <w:r w:rsidRPr="00635D1D">
              <w:rPr>
                <w:b/>
                <w:bCs/>
                <w:i/>
                <w:iCs/>
              </w:rPr>
              <w:t>wymóg</w:t>
            </w:r>
            <w:r w:rsidRPr="00635D1D">
              <w:t xml:space="preserve"> zachęcania klientów do zapoznania się z etykietą i informacjami o produkcie przed użyciem, ale bez powielania </w:t>
            </w:r>
            <w:r w:rsidRPr="00635D1D">
              <w:rPr>
                <w:b/>
                <w:i/>
              </w:rPr>
              <w:t>wszystkich</w:t>
            </w:r>
            <w:r w:rsidRPr="00635D1D">
              <w:t xml:space="preserve"> informacji o zagrożeniach uwzględnionych na etykiecie. </w:t>
            </w:r>
            <w:r w:rsidRPr="00635D1D">
              <w:rPr>
                <w:b/>
                <w:i/>
              </w:rPr>
              <w:t>Podejście to gwarantuje, że reklamy pozostaną wystarczająco informacyjne, aby ostrzegać potencjalnych użytkowników o niebezpiecznym charakterze produktu, bez nakładania wymogów, w wyniku których reklamy zawierałyby zbyt wiele szczegółów lub byłyby trudne do interpretacji lub niepraktyczne z handlowego punktu widzenia.</w:t>
            </w:r>
          </w:p>
        </w:tc>
      </w:tr>
    </w:tbl>
    <w:p w14:paraId="60A36F62"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78F4FF6E" w14:textId="77777777" w:rsidR="008144C7" w:rsidRPr="00E90719" w:rsidRDefault="008144C7" w:rsidP="008144C7">
      <w:pPr>
        <w:rPr>
          <w:lang w:val="en-GB"/>
        </w:rPr>
      </w:pPr>
      <w:r w:rsidRPr="00E90719">
        <w:rPr>
          <w:rStyle w:val="HideTWBExt"/>
          <w:lang w:val="en-GB"/>
        </w:rPr>
        <w:t>&lt;/Amend&gt;</w:t>
      </w:r>
    </w:p>
    <w:p w14:paraId="0E084820"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147</w:t>
      </w:r>
      <w:r w:rsidRPr="00E90719">
        <w:rPr>
          <w:rStyle w:val="HideTWBExt"/>
          <w:b w:val="0"/>
          <w:lang w:val="en-GB"/>
        </w:rPr>
        <w:t>&lt;/NumAm&gt;</w:t>
      </w:r>
    </w:p>
    <w:p w14:paraId="6EC3B6D5"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Martin Hojsík, Michal Wiezik, Pascal Canfin, Jeannette Baljeu, Grégory Allione, Yvan Verougstraete</w:t>
      </w:r>
      <w:r w:rsidRPr="00E90719">
        <w:rPr>
          <w:rStyle w:val="HideTWBExt"/>
          <w:b w:val="0"/>
          <w:lang w:val="en-GB"/>
        </w:rPr>
        <w:t>&lt;/Members&gt;</w:t>
      </w:r>
    </w:p>
    <w:p w14:paraId="654A06F5" w14:textId="77777777" w:rsidR="008144C7" w:rsidRPr="00635D1D" w:rsidRDefault="008144C7" w:rsidP="008144C7">
      <w:pPr>
        <w:pStyle w:val="NormalBold"/>
      </w:pPr>
      <w:r w:rsidRPr="00635D1D">
        <w:rPr>
          <w:rStyle w:val="HideTWBExt"/>
          <w:b w:val="0"/>
        </w:rPr>
        <w:t>&lt;/RepeatBlock-By&gt;</w:t>
      </w:r>
    </w:p>
    <w:p w14:paraId="63F9CF53"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19399B1" w14:textId="77777777" w:rsidR="008144C7" w:rsidRPr="00635D1D" w:rsidRDefault="008144C7" w:rsidP="008144C7">
      <w:pPr>
        <w:pStyle w:val="NormalBold"/>
      </w:pPr>
      <w:r w:rsidRPr="00635D1D">
        <w:rPr>
          <w:rStyle w:val="HideTWBExt"/>
          <w:b w:val="0"/>
        </w:rPr>
        <w:t>&lt;Article&gt;</w:t>
      </w:r>
      <w:r w:rsidRPr="00635D1D">
        <w:t>Motyw 9</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8C3A26E" w14:textId="77777777" w:rsidTr="00C5582D">
        <w:trPr>
          <w:trHeight w:val="240"/>
          <w:jc w:val="center"/>
        </w:trPr>
        <w:tc>
          <w:tcPr>
            <w:tcW w:w="9752" w:type="dxa"/>
            <w:gridSpan w:val="2"/>
            <w:tcBorders>
              <w:top w:val="nil"/>
              <w:left w:val="nil"/>
              <w:bottom w:val="nil"/>
              <w:right w:val="nil"/>
            </w:tcBorders>
          </w:tcPr>
          <w:p w14:paraId="167BDC6B" w14:textId="77777777" w:rsidR="008144C7" w:rsidRPr="00635D1D" w:rsidRDefault="008144C7" w:rsidP="00C5582D"/>
        </w:tc>
      </w:tr>
      <w:tr w:rsidR="008144C7" w:rsidRPr="00635D1D" w14:paraId="058BCB94" w14:textId="77777777" w:rsidTr="00C5582D">
        <w:trPr>
          <w:trHeight w:val="240"/>
          <w:jc w:val="center"/>
        </w:trPr>
        <w:tc>
          <w:tcPr>
            <w:tcW w:w="4876" w:type="dxa"/>
            <w:tcBorders>
              <w:top w:val="nil"/>
              <w:left w:val="nil"/>
              <w:bottom w:val="nil"/>
              <w:right w:val="nil"/>
            </w:tcBorders>
            <w:hideMark/>
          </w:tcPr>
          <w:p w14:paraId="743B25B8"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C22FE8B" w14:textId="77777777" w:rsidR="008144C7" w:rsidRPr="00635D1D" w:rsidRDefault="008144C7" w:rsidP="00C5582D">
            <w:pPr>
              <w:pStyle w:val="AmColumnHeading"/>
            </w:pPr>
            <w:r w:rsidRPr="00635D1D">
              <w:t>Poprawka</w:t>
            </w:r>
          </w:p>
        </w:tc>
      </w:tr>
      <w:tr w:rsidR="008144C7" w:rsidRPr="00635D1D" w14:paraId="3183C2FA" w14:textId="77777777" w:rsidTr="00C5582D">
        <w:trPr>
          <w:jc w:val="center"/>
        </w:trPr>
        <w:tc>
          <w:tcPr>
            <w:tcW w:w="4876" w:type="dxa"/>
            <w:tcBorders>
              <w:top w:val="nil"/>
              <w:left w:val="nil"/>
              <w:bottom w:val="nil"/>
              <w:right w:val="nil"/>
            </w:tcBorders>
            <w:hideMark/>
          </w:tcPr>
          <w:p w14:paraId="5F0D9F44" w14:textId="77777777" w:rsidR="008144C7" w:rsidRPr="00635D1D" w:rsidRDefault="008144C7" w:rsidP="00C5582D">
            <w:pPr>
              <w:pStyle w:val="Normal6a"/>
            </w:pPr>
            <w:r w:rsidRPr="00635D1D">
              <w:t>(9)</w:t>
            </w:r>
            <w:r w:rsidRPr="00635D1D">
              <w:tab/>
              <w:t>Przed zmianami wprowadzonymi rozporządzeniem (UE) 2024/2865 rozporządzenie (WE) nr 1272/2008 zawierało wymóg, aby w reklamach mieszanin stwarzających zagrożenie, które mogą być nabywane przez ogół społeczeństwa bez uprzedniego zapoznania się z etykietą, wymieniano rodzaj lub rodzaje zagrożeń wskazanych na etykiecie, a także aby w reklamach substancji wymieniano odnośne klasy zagrożenia lub kategorie zagrożeń. Rozporządzeniem (UE) 2024/2865 wprowadzono nowy wymóg, zgodnie z którym w przypadku wszelkiej sprzedaży na odległość substancji i mieszanin stwarzających zagrożenie w ofercie należy uwzględnić wszystkie informacje z etykiety, dbając tym samym o to, aby nabywca był zawsze informowany o zagrożeniach przed zakupem produktu. Rozporządzeniem tym rozszerzono również wymogi dotyczące reklam, nakazując wskazywanie w nich piktogramów określających rodzaj zagrożenia, haseł ostrzegawczych, zwrotów określających zagrożenie i zwrotów uzupełniających, a ponadto zachęcanie ogółu społeczeństwa do postępowania zgodnie z informacjami zamieszczonymi na etykiecie produktu. Reklamy są środkami promocji sprzedaży lub stosowania produktów chemicznych, a w momencie sprzedaży etykieta umieszczona na opakowaniu substancji lub mieszaniny lub informacje uwzględnione na etykiecie w przypadku ofert sprzedaży na odległość zawierają pełne informacje o zagrożeniach związanych z tą substancją lub mieszaniną. W związku z tym w odniesieniu do reklam należałoby wprowadzić obowiązek zachęcania klientów do zapoznania się z etykietą i informacjami o produkcie przed użyciem, ale bez powielania informacji o zagrożeniach uwzględnionych na etykiecie.</w:t>
            </w:r>
          </w:p>
        </w:tc>
        <w:tc>
          <w:tcPr>
            <w:tcW w:w="4876" w:type="dxa"/>
            <w:tcBorders>
              <w:top w:val="nil"/>
              <w:left w:val="nil"/>
              <w:bottom w:val="nil"/>
              <w:right w:val="nil"/>
            </w:tcBorders>
            <w:hideMark/>
          </w:tcPr>
          <w:p w14:paraId="28A3DDE1" w14:textId="77777777" w:rsidR="008144C7" w:rsidRPr="00635D1D" w:rsidRDefault="008144C7" w:rsidP="00C5582D">
            <w:pPr>
              <w:pStyle w:val="Normal6a"/>
            </w:pPr>
            <w:r w:rsidRPr="00635D1D">
              <w:t>(9)</w:t>
            </w:r>
            <w:r w:rsidRPr="00635D1D">
              <w:tab/>
              <w:t xml:space="preserve">Przed zmianami wprowadzonymi rozporządzeniem (UE) 2024/2865 rozporządzenie (WE) nr 1272/2008 zawierało wymóg, aby w reklamach mieszanin stwarzających zagrożenie, które mogą być nabywane przez ogół społeczeństwa bez uprzedniego zapoznania się z etykietą, wymieniano rodzaj lub rodzaje zagrożeń wskazanych na etykiecie, a także aby w reklamach substancji wymieniano odnośne klasy zagrożenia lub kategorie zagrożeń. Rozporządzeniem (UE) 2024/2865 wprowadzono nowy wymóg, zgodnie z którym w przypadku wszelkiej sprzedaży na odległość substancji i mieszanin stwarzających zagrożenie w ofercie należy uwzględnić wszystkie informacje z etykiety, dbając tym samym o to, aby nabywca był zawsze informowany o zagrożeniach przed zakupem produktu. Rozporządzeniem tym rozszerzono również wymogi dotyczące reklam, nakazując wskazywanie w nich piktogramów określających rodzaj zagrożenia, haseł ostrzegawczych, zwrotów określających zagrożenie i zwrotów uzupełniających, a ponadto zachęcanie ogółu społeczeństwa do postępowania zgodnie z informacjami zamieszczonymi na etykiecie produktu. Reklamy są środkami promocji sprzedaży lub stosowania produktów chemicznych, a w momencie sprzedaży etykieta umieszczona na opakowaniu substancji lub mieszaniny lub informacje uwzględnione na etykiecie w przypadku ofert sprzedaży na odległość zawierają pełne informacje o zagrożeniach związanych z tą substancją lub mieszaniną. W związku z tym w odniesieniu do reklam należałoby wprowadzić obowiązek zachęcania klientów do zapoznania się z etykietą i informacjami o produkcie przed użyciem </w:t>
            </w:r>
            <w:r w:rsidRPr="00635D1D">
              <w:rPr>
                <w:b/>
                <w:i/>
              </w:rPr>
              <w:t>oraz wymóg zastosowania odpowiedniego hasła ostrzegawczego lub piktogramu</w:t>
            </w:r>
            <w:r w:rsidRPr="00635D1D">
              <w:t xml:space="preserve">, ale bez powielania informacji o </w:t>
            </w:r>
            <w:r w:rsidRPr="00635D1D">
              <w:rPr>
                <w:b/>
                <w:i/>
              </w:rPr>
              <w:t>wszystkich</w:t>
            </w:r>
            <w:r w:rsidRPr="00635D1D">
              <w:t xml:space="preserve"> zagrożeniach uwzględnionych na etykiecie. </w:t>
            </w:r>
            <w:r w:rsidRPr="00635D1D">
              <w:rPr>
                <w:b/>
                <w:i/>
              </w:rPr>
              <w:t>Biorąc pod uwagę różnorodność form reklamy, dostawcom należy zapewnić pewien stopień elastyczności w zakresie sposobu przekazywania tych informacji w reklamach.</w:t>
            </w:r>
          </w:p>
        </w:tc>
      </w:tr>
    </w:tbl>
    <w:p w14:paraId="26DBBA2D"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56822384" w14:textId="77777777" w:rsidR="008144C7" w:rsidRPr="00AD15CF" w:rsidRDefault="008144C7" w:rsidP="008144C7">
      <w:pPr>
        <w:rPr>
          <w:lang w:val="en-GB"/>
        </w:rPr>
      </w:pPr>
      <w:r w:rsidRPr="00AD15CF">
        <w:rPr>
          <w:rStyle w:val="HideTWBExt"/>
          <w:lang w:val="en-GB"/>
        </w:rPr>
        <w:t>&lt;/Amend&gt;</w:t>
      </w:r>
    </w:p>
    <w:p w14:paraId="0814A153"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148</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1A7DA62D"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Aurelijus</w:t>
      </w:r>
      <w:proofErr w:type="spellEnd"/>
      <w:r w:rsidRPr="00AD15CF">
        <w:rPr>
          <w:lang w:val="en-GB"/>
        </w:rPr>
        <w:t xml:space="preserve"> </w:t>
      </w:r>
      <w:proofErr w:type="spellStart"/>
      <w:r w:rsidRPr="00AD15CF">
        <w:rPr>
          <w:lang w:val="en-GB"/>
        </w:rPr>
        <w:t>Veryga</w:t>
      </w:r>
      <w:proofErr w:type="spellEnd"/>
      <w:r w:rsidRPr="00AD15CF">
        <w:rPr>
          <w:rStyle w:val="HideTWBExt"/>
          <w:b w:val="0"/>
          <w:lang w:val="en-GB"/>
        </w:rPr>
        <w:t>&lt;/Members&gt;</w:t>
      </w:r>
    </w:p>
    <w:p w14:paraId="615CC897" w14:textId="77777777" w:rsidR="008144C7" w:rsidRPr="00635D1D" w:rsidRDefault="008144C7" w:rsidP="008144C7">
      <w:pPr>
        <w:pStyle w:val="NormalBold"/>
      </w:pPr>
      <w:r w:rsidRPr="00635D1D">
        <w:rPr>
          <w:rStyle w:val="HideTWBExt"/>
          <w:b w:val="0"/>
        </w:rPr>
        <w:t>&lt;/RepeatBlock-By&gt;</w:t>
      </w:r>
    </w:p>
    <w:p w14:paraId="3F882432"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4E155BF" w14:textId="77777777" w:rsidR="008144C7" w:rsidRPr="00635D1D" w:rsidRDefault="008144C7" w:rsidP="008144C7">
      <w:pPr>
        <w:pStyle w:val="NormalBold"/>
      </w:pPr>
      <w:r w:rsidRPr="00635D1D">
        <w:rPr>
          <w:rStyle w:val="HideTWBExt"/>
          <w:b w:val="0"/>
        </w:rPr>
        <w:t>&lt;Article&gt;</w:t>
      </w:r>
      <w:r w:rsidRPr="00635D1D">
        <w:t>Motyw 9</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19D3D22" w14:textId="77777777" w:rsidTr="00C5582D">
        <w:trPr>
          <w:trHeight w:val="240"/>
          <w:jc w:val="center"/>
        </w:trPr>
        <w:tc>
          <w:tcPr>
            <w:tcW w:w="9752" w:type="dxa"/>
            <w:gridSpan w:val="2"/>
            <w:tcBorders>
              <w:top w:val="nil"/>
              <w:left w:val="nil"/>
              <w:bottom w:val="nil"/>
              <w:right w:val="nil"/>
            </w:tcBorders>
          </w:tcPr>
          <w:p w14:paraId="33A37A72" w14:textId="77777777" w:rsidR="008144C7" w:rsidRPr="00635D1D" w:rsidRDefault="008144C7" w:rsidP="00C5582D"/>
        </w:tc>
      </w:tr>
      <w:tr w:rsidR="008144C7" w:rsidRPr="00635D1D" w14:paraId="78680EB7" w14:textId="77777777" w:rsidTr="00C5582D">
        <w:trPr>
          <w:trHeight w:val="240"/>
          <w:jc w:val="center"/>
        </w:trPr>
        <w:tc>
          <w:tcPr>
            <w:tcW w:w="4876" w:type="dxa"/>
            <w:tcBorders>
              <w:top w:val="nil"/>
              <w:left w:val="nil"/>
              <w:bottom w:val="nil"/>
              <w:right w:val="nil"/>
            </w:tcBorders>
            <w:hideMark/>
          </w:tcPr>
          <w:p w14:paraId="283F1366"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6D805ED" w14:textId="77777777" w:rsidR="008144C7" w:rsidRPr="00635D1D" w:rsidRDefault="008144C7" w:rsidP="00C5582D">
            <w:pPr>
              <w:pStyle w:val="AmColumnHeading"/>
            </w:pPr>
            <w:r w:rsidRPr="00635D1D">
              <w:t>Poprawka</w:t>
            </w:r>
          </w:p>
        </w:tc>
      </w:tr>
      <w:tr w:rsidR="008144C7" w:rsidRPr="00635D1D" w14:paraId="7A82EF18" w14:textId="77777777" w:rsidTr="00C5582D">
        <w:trPr>
          <w:jc w:val="center"/>
        </w:trPr>
        <w:tc>
          <w:tcPr>
            <w:tcW w:w="4876" w:type="dxa"/>
            <w:tcBorders>
              <w:top w:val="nil"/>
              <w:left w:val="nil"/>
              <w:bottom w:val="nil"/>
              <w:right w:val="nil"/>
            </w:tcBorders>
            <w:hideMark/>
          </w:tcPr>
          <w:p w14:paraId="4B097678" w14:textId="77777777" w:rsidR="008144C7" w:rsidRPr="00635D1D" w:rsidRDefault="008144C7" w:rsidP="00C5582D">
            <w:pPr>
              <w:pStyle w:val="Normal6a"/>
            </w:pPr>
            <w:r w:rsidRPr="00635D1D">
              <w:t>(9)</w:t>
            </w:r>
            <w:r w:rsidRPr="00635D1D">
              <w:tab/>
              <w:t>Przed zmianami wprowadzonymi rozporządzeniem (UE) 2024/2865 rozporządzenie (WE) nr 1272/2008 zawierało wymóg, aby w reklamach mieszanin stwarzających zagrożenie, które mogą być nabywane przez ogół społeczeństwa bez uprzedniego zapoznania się z etykietą, wymieniano rodzaj lub rodzaje zagrożeń wskazanych na etykiecie, a także aby w reklamach substancji wymieniano odnośne klasy zagrożenia lub kategorie zagrożeń. Rozporządzeniem (UE) 2024/2865 wprowadzono nowy wymóg, zgodnie z którym w przypadku wszelkiej sprzedaży na odległość substancji i mieszanin stwarzających zagrożenie w ofercie należy uwzględnić wszystkie informacje z etykiety, dbając tym samym o to, aby nabywca był zawsze informowany o zagrożeniach przed zakupem produktu. Rozporządzeniem tym rozszerzono również wymogi dotyczące reklam, nakazując wskazywanie w nich piktogramów określających rodzaj zagrożenia, haseł ostrzegawczych, zwrotów określających zagrożenie i zwrotów uzupełniających, a ponadto zachęcanie ogółu społeczeństwa do postępowania zgodnie z informacjami zamieszczonymi na etykiecie produktu. Reklamy są środkami promocji sprzedaży lub stosowania produktów chemicznych, a w momencie sprzedaży etykieta umieszczona na opakowaniu substancji lub mieszaniny lub informacje uwzględnione na etykiecie w przypadku ofert sprzedaży na odległość zawierają pełne informacje o zagrożeniach związanych z tą substancją lub mieszaniną. W związku z tym w odniesieniu do reklam należałoby wprowadzić obowiązek zachęcania klientów do zapoznania się z etykietą i informacjami o produkcie przed użyciem, ale bez powielania informacji o zagrożeniach uwzględnionych na etykiecie.</w:t>
            </w:r>
          </w:p>
        </w:tc>
        <w:tc>
          <w:tcPr>
            <w:tcW w:w="4876" w:type="dxa"/>
            <w:tcBorders>
              <w:top w:val="nil"/>
              <w:left w:val="nil"/>
              <w:bottom w:val="nil"/>
              <w:right w:val="nil"/>
            </w:tcBorders>
            <w:hideMark/>
          </w:tcPr>
          <w:p w14:paraId="4512BA54" w14:textId="77777777" w:rsidR="008144C7" w:rsidRPr="00635D1D" w:rsidRDefault="008144C7" w:rsidP="00C5582D">
            <w:pPr>
              <w:pStyle w:val="Normal6a"/>
            </w:pPr>
            <w:r w:rsidRPr="00635D1D">
              <w:t>(9)</w:t>
            </w:r>
            <w:r w:rsidRPr="00635D1D">
              <w:tab/>
              <w:t>Przed zmianami wprowadzonymi rozporządzeniem (UE) 2024/2865 rozporządzenie (WE) nr 1272/2008 zawierało wymóg, aby w reklamach mieszanin stwarzających zagrożenie, które mogą być nabywane przez ogół społeczeństwa bez uprzedniego zapoznania się z etykietą, wymieniano rodzaj lub rodzaje zagrożeń wskazanych na etykiecie, a także aby w reklamach substancji wymieniano odnośne klasy zagrożenia lub kategorie zagrożeń. Rozporządzeniem (UE) 2024/2865 wprowadzono nowy wymóg, zgodnie z którym w przypadku wszelkiej sprzedaży na odległość substancji i mieszanin stwarzających zagrożenie w ofercie należy uwzględnić wszystkie informacje z etykiety, dbając tym samym o to, aby nabywca był zawsze informowany o zagrożeniach przed zakupem produktu. Rozporządzeniem tym rozszerzono również wymogi dotyczące reklam, nakazując wskazywanie w nich piktogramów określających rodzaj zagrożenia, haseł ostrzegawczych, zwrotów określających zagrożenie i zwrotów uzupełniających, a ponadto zachęcanie ogółu społeczeństwa do postępowania zgodnie z informacjami zamieszczonymi na etykiecie produktu. Reklamy są środkami promocji sprzedaży lub stosowania produktów chemicznych, a w momencie sprzedaży etykieta umieszczona na opakowaniu substancji lub mieszaniny lub informacje uwzględnione na etykiecie w przypadku ofert sprzedaży na odległość zawierają pełne informacje o zagrożeniach związanych z tą substancją lub mieszaniną. W związku z tym w odniesieniu do reklam należałoby wprowadzić obowiązek zachęcania klientów do zapoznania się z etykietą i informacjami o produkcie przed użyciem, ale bez powielania informacji o zagrożeniach uwzględnionych na etykiecie.</w:t>
            </w:r>
            <w:r w:rsidRPr="00635D1D">
              <w:rPr>
                <w:b/>
                <w:i/>
              </w:rPr>
              <w:t> Biorąc pod uwagę różnorodność form reklamy, dostawcom należy zapewnić pewien stopień elastyczności w zakresie sposobu przekazywania tych informacji w reklamach.</w:t>
            </w:r>
          </w:p>
        </w:tc>
      </w:tr>
    </w:tbl>
    <w:p w14:paraId="0C1B6FF8"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13A34780" w14:textId="77777777" w:rsidR="008144C7" w:rsidRPr="00E90719" w:rsidRDefault="008144C7" w:rsidP="008144C7">
      <w:pPr>
        <w:rPr>
          <w:lang w:val="en-GB"/>
        </w:rPr>
      </w:pPr>
      <w:r w:rsidRPr="00E90719">
        <w:rPr>
          <w:rStyle w:val="HideTWBExt"/>
          <w:lang w:val="en-GB"/>
        </w:rPr>
        <w:t>&lt;/Amend&gt;</w:t>
      </w:r>
    </w:p>
    <w:p w14:paraId="5E2ED84B"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149</w:t>
      </w:r>
      <w:r w:rsidRPr="00E90719">
        <w:rPr>
          <w:rStyle w:val="HideTWBExt"/>
          <w:b w:val="0"/>
          <w:lang w:val="en-GB"/>
        </w:rPr>
        <w:t>&lt;/NumAm&gt;</w:t>
      </w:r>
    </w:p>
    <w:p w14:paraId="462C8BCA"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Elżbieta Katarzyna Łukacijewska, Ewa Kopacz, Hanna Gronkiewicz-Waltz, Adam Jarubas</w:t>
      </w:r>
      <w:r w:rsidRPr="00E90719">
        <w:rPr>
          <w:rStyle w:val="HideTWBExt"/>
          <w:b w:val="0"/>
          <w:lang w:val="en-GB"/>
        </w:rPr>
        <w:t>&lt;/Members&gt;</w:t>
      </w:r>
    </w:p>
    <w:p w14:paraId="35FB965B" w14:textId="77777777" w:rsidR="008144C7" w:rsidRPr="00635D1D" w:rsidRDefault="008144C7" w:rsidP="008144C7">
      <w:pPr>
        <w:pStyle w:val="NormalBold"/>
      </w:pPr>
      <w:r w:rsidRPr="00635D1D">
        <w:rPr>
          <w:rStyle w:val="HideTWBExt"/>
          <w:b w:val="0"/>
        </w:rPr>
        <w:t>&lt;/RepeatBlock-By&gt;</w:t>
      </w:r>
    </w:p>
    <w:p w14:paraId="0FC3EFF6"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AD96E1B" w14:textId="77777777" w:rsidR="008144C7" w:rsidRPr="00635D1D" w:rsidRDefault="008144C7" w:rsidP="008144C7">
      <w:pPr>
        <w:pStyle w:val="NormalBold"/>
      </w:pPr>
      <w:r w:rsidRPr="00635D1D">
        <w:rPr>
          <w:rStyle w:val="HideTWBExt"/>
          <w:b w:val="0"/>
        </w:rPr>
        <w:t>&lt;Article&gt;</w:t>
      </w:r>
      <w:r w:rsidRPr="00635D1D">
        <w:t>Motyw 9</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3111490" w14:textId="77777777" w:rsidTr="00C5582D">
        <w:trPr>
          <w:trHeight w:val="240"/>
          <w:jc w:val="center"/>
        </w:trPr>
        <w:tc>
          <w:tcPr>
            <w:tcW w:w="9752" w:type="dxa"/>
            <w:gridSpan w:val="2"/>
            <w:tcBorders>
              <w:top w:val="nil"/>
              <w:left w:val="nil"/>
              <w:bottom w:val="nil"/>
              <w:right w:val="nil"/>
            </w:tcBorders>
          </w:tcPr>
          <w:p w14:paraId="3261F56D" w14:textId="77777777" w:rsidR="008144C7" w:rsidRPr="00635D1D" w:rsidRDefault="008144C7" w:rsidP="00C5582D"/>
        </w:tc>
      </w:tr>
      <w:tr w:rsidR="008144C7" w:rsidRPr="00635D1D" w14:paraId="64CBE22C" w14:textId="77777777" w:rsidTr="00C5582D">
        <w:trPr>
          <w:trHeight w:val="240"/>
          <w:jc w:val="center"/>
        </w:trPr>
        <w:tc>
          <w:tcPr>
            <w:tcW w:w="4876" w:type="dxa"/>
            <w:tcBorders>
              <w:top w:val="nil"/>
              <w:left w:val="nil"/>
              <w:bottom w:val="nil"/>
              <w:right w:val="nil"/>
            </w:tcBorders>
            <w:hideMark/>
          </w:tcPr>
          <w:p w14:paraId="714EBA77"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45465A2" w14:textId="77777777" w:rsidR="008144C7" w:rsidRPr="00635D1D" w:rsidRDefault="008144C7" w:rsidP="00C5582D">
            <w:pPr>
              <w:pStyle w:val="AmColumnHeading"/>
            </w:pPr>
            <w:r w:rsidRPr="00635D1D">
              <w:t>Poprawka</w:t>
            </w:r>
          </w:p>
        </w:tc>
      </w:tr>
      <w:tr w:rsidR="008144C7" w:rsidRPr="00635D1D" w14:paraId="6EB8F2B4" w14:textId="77777777" w:rsidTr="00C5582D">
        <w:trPr>
          <w:jc w:val="center"/>
        </w:trPr>
        <w:tc>
          <w:tcPr>
            <w:tcW w:w="4876" w:type="dxa"/>
            <w:tcBorders>
              <w:top w:val="nil"/>
              <w:left w:val="nil"/>
              <w:bottom w:val="nil"/>
              <w:right w:val="nil"/>
            </w:tcBorders>
            <w:hideMark/>
          </w:tcPr>
          <w:p w14:paraId="7CB0A898" w14:textId="77777777" w:rsidR="008144C7" w:rsidRPr="00635D1D" w:rsidRDefault="008144C7" w:rsidP="00C5582D">
            <w:pPr>
              <w:pStyle w:val="Normal6a"/>
            </w:pPr>
            <w:r w:rsidRPr="00635D1D">
              <w:t>(9)</w:t>
            </w:r>
            <w:r w:rsidRPr="00635D1D">
              <w:tab/>
              <w:t>Przed zmianami wprowadzonymi rozporządzeniem (UE) 2024/2865 rozporządzenie (WE) nr 1272/2008 zawierało wymóg, aby w reklamach mieszanin stwarzających zagrożenie, które mogą być nabywane przez ogół społeczeństwa bez uprzedniego zapoznania się z etykietą, wymieniano rodzaj lub rodzaje zagrożeń wskazanych na etykiecie, a także aby w reklamach substancji wymieniano odnośne klasy zagrożenia lub kategorie zagrożeń. Rozporządzeniem (UE) 2024/2865 wprowadzono nowy wymóg, zgodnie z którym w przypadku wszelkiej sprzedaży na odległość substancji i mieszanin stwarzających zagrożenie w ofercie należy uwzględnić wszystkie informacje z etykiety, dbając tym samym o to, aby nabywca był zawsze informowany o zagrożeniach przed zakupem produktu. Rozporządzeniem tym rozszerzono również wymogi dotyczące reklam, nakazując wskazywanie w nich piktogramów określających rodzaj zagrożenia, haseł ostrzegawczych, zwrotów określających zagrożenie i zwrotów uzupełniających, a ponadto zachęcanie ogółu społeczeństwa do postępowania zgodnie z informacjami zamieszczonymi na etykiecie produktu. Reklamy są środkami promocji sprzedaży lub stosowania produktów chemicznych, a w momencie sprzedaży etykieta umieszczona na opakowaniu substancji lub mieszaniny lub informacje uwzględnione na etykiecie w przypadku ofert sprzedaży na odległość zawierają pełne informacje o zagrożeniach związanych z tą substancją lub mieszaniną. W związku z tym w odniesieniu do reklam należałoby wprowadzić obowiązek zachęcania klientów do zapoznania się z etykietą i informacjami o produkcie przed użyciem, ale bez powielania informacji o zagrożeniach uwzględnionych na etykiecie.</w:t>
            </w:r>
          </w:p>
        </w:tc>
        <w:tc>
          <w:tcPr>
            <w:tcW w:w="4876" w:type="dxa"/>
            <w:tcBorders>
              <w:top w:val="nil"/>
              <w:left w:val="nil"/>
              <w:bottom w:val="nil"/>
              <w:right w:val="nil"/>
            </w:tcBorders>
            <w:hideMark/>
          </w:tcPr>
          <w:p w14:paraId="2040BDAA" w14:textId="77777777" w:rsidR="008144C7" w:rsidRPr="00635D1D" w:rsidRDefault="008144C7" w:rsidP="00C5582D">
            <w:pPr>
              <w:pStyle w:val="Normal6a"/>
            </w:pPr>
            <w:r w:rsidRPr="00635D1D">
              <w:t>(9)</w:t>
            </w:r>
            <w:r w:rsidRPr="00635D1D">
              <w:tab/>
              <w:t xml:space="preserve">Przed zmianami wprowadzonymi rozporządzeniem (UE) 2024/2865 rozporządzenie (WE) nr 1272/2008 zawierało wymóg, aby w reklamach mieszanin stwarzających zagrożenie, które mogą być nabywane przez ogół społeczeństwa bez uprzedniego zapoznania się z etykietą, wymieniano rodzaj lub rodzaje zagrożeń wskazanych na etykiecie, a także aby w reklamach substancji wymieniano odnośne klasy zagrożenia lub kategorie zagrożeń. Rozporządzeniem (UE) 2024/2865 wprowadzono nowy wymóg, zgodnie z którym w przypadku wszelkiej sprzedaży na odległość substancji i mieszanin stwarzających zagrożenie w ofercie należy uwzględnić wszystkie informacje z etykiety, dbając tym samym o to, aby nabywca był zawsze informowany o zagrożeniach przed zakupem produktu. Rozporządzeniem tym rozszerzono również wymogi dotyczące reklam, nakazując wskazywanie w nich piktogramów określających rodzaj zagrożenia, haseł ostrzegawczych, zwrotów określających zagrożenie i zwrotów uzupełniających, a ponadto zachęcanie ogółu społeczeństwa do postępowania zgodnie z informacjami zamieszczonymi na etykiecie produktu. Reklamy są środkami promocji sprzedaży lub stosowania produktów chemicznych, a w momencie sprzedaży etykieta umieszczona na opakowaniu substancji lub mieszaniny lub informacje uwzględnione na etykiecie w przypadku ofert sprzedaży na odległość zawierają pełne informacje o zagrożeniach związanych z tą substancją lub mieszaniną. W związku z tym w odniesieniu do reklam należałoby wprowadzić obowiązek zachęcania klientów do zapoznania się z etykietą i informacjami o produkcie przed użyciem, ale bez powielania informacji o zagrożeniach uwzględnionych na etykiecie. </w:t>
            </w:r>
            <w:r w:rsidRPr="00635D1D">
              <w:rPr>
                <w:b/>
                <w:i/>
              </w:rPr>
              <w:t>Biorąc pod uwagę różnorodność form reklamy, dostawcom należy zapewnić pewien stopień elastyczności w zakresie sposobu przekazywania tych informacji w reklamach.</w:t>
            </w:r>
          </w:p>
        </w:tc>
      </w:tr>
    </w:tbl>
    <w:p w14:paraId="4843DC53"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6E683C95" w14:textId="77777777" w:rsidR="008144C7" w:rsidRPr="00E90719" w:rsidRDefault="008144C7" w:rsidP="008144C7">
      <w:pPr>
        <w:rPr>
          <w:lang w:val="en-GB"/>
        </w:rPr>
      </w:pPr>
      <w:r w:rsidRPr="00E90719">
        <w:rPr>
          <w:rStyle w:val="HideTWBExt"/>
          <w:lang w:val="en-GB"/>
        </w:rPr>
        <w:t>&lt;/Amend&gt;</w:t>
      </w:r>
    </w:p>
    <w:p w14:paraId="78080CE2"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150</w:t>
      </w:r>
      <w:r w:rsidRPr="00E90719">
        <w:rPr>
          <w:rStyle w:val="HideTWBExt"/>
          <w:b w:val="0"/>
          <w:lang w:val="en-GB"/>
        </w:rPr>
        <w:t>&lt;/NumAm&gt;</w:t>
      </w:r>
    </w:p>
    <w:p w14:paraId="67E32000"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Per Clausen, Anja Hazekamp</w:t>
      </w:r>
      <w:r w:rsidRPr="00E90719">
        <w:rPr>
          <w:rStyle w:val="HideTWBExt"/>
          <w:b w:val="0"/>
          <w:lang w:val="en-GB"/>
        </w:rPr>
        <w:t>&lt;/Members&gt;</w:t>
      </w:r>
    </w:p>
    <w:p w14:paraId="0F4FA168" w14:textId="77777777" w:rsidR="008144C7" w:rsidRPr="00635D1D" w:rsidRDefault="008144C7" w:rsidP="008144C7">
      <w:pPr>
        <w:pStyle w:val="NormalBold"/>
      </w:pPr>
      <w:r w:rsidRPr="00635D1D">
        <w:rPr>
          <w:rStyle w:val="HideTWBExt"/>
          <w:b w:val="0"/>
        </w:rPr>
        <w:t>&lt;/RepeatBlock-By&gt;</w:t>
      </w:r>
    </w:p>
    <w:p w14:paraId="7CEFBA7D"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3D257F5" w14:textId="77777777" w:rsidR="008144C7" w:rsidRPr="00635D1D" w:rsidRDefault="008144C7" w:rsidP="008144C7">
      <w:pPr>
        <w:pStyle w:val="NormalBold"/>
      </w:pPr>
      <w:r w:rsidRPr="00635D1D">
        <w:rPr>
          <w:rStyle w:val="HideTWBExt"/>
          <w:b w:val="0"/>
        </w:rPr>
        <w:t>&lt;Article&gt;</w:t>
      </w:r>
      <w:r w:rsidRPr="00635D1D">
        <w:t>Motyw 9</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45B5AEE" w14:textId="77777777" w:rsidTr="00C5582D">
        <w:trPr>
          <w:trHeight w:val="240"/>
          <w:jc w:val="center"/>
        </w:trPr>
        <w:tc>
          <w:tcPr>
            <w:tcW w:w="9752" w:type="dxa"/>
            <w:gridSpan w:val="2"/>
            <w:tcBorders>
              <w:top w:val="nil"/>
              <w:left w:val="nil"/>
              <w:bottom w:val="nil"/>
              <w:right w:val="nil"/>
            </w:tcBorders>
          </w:tcPr>
          <w:p w14:paraId="0784FFF0" w14:textId="77777777" w:rsidR="008144C7" w:rsidRPr="00635D1D" w:rsidRDefault="008144C7" w:rsidP="00C5582D"/>
        </w:tc>
      </w:tr>
      <w:tr w:rsidR="008144C7" w:rsidRPr="00635D1D" w14:paraId="538403CF" w14:textId="77777777" w:rsidTr="00C5582D">
        <w:trPr>
          <w:trHeight w:val="240"/>
          <w:jc w:val="center"/>
        </w:trPr>
        <w:tc>
          <w:tcPr>
            <w:tcW w:w="4876" w:type="dxa"/>
            <w:tcBorders>
              <w:top w:val="nil"/>
              <w:left w:val="nil"/>
              <w:bottom w:val="nil"/>
              <w:right w:val="nil"/>
            </w:tcBorders>
            <w:hideMark/>
          </w:tcPr>
          <w:p w14:paraId="0FBC0D8B"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C604000" w14:textId="77777777" w:rsidR="008144C7" w:rsidRPr="00635D1D" w:rsidRDefault="008144C7" w:rsidP="00C5582D">
            <w:pPr>
              <w:pStyle w:val="AmColumnHeading"/>
            </w:pPr>
            <w:r w:rsidRPr="00635D1D">
              <w:t>Poprawka</w:t>
            </w:r>
          </w:p>
        </w:tc>
      </w:tr>
      <w:tr w:rsidR="008144C7" w:rsidRPr="00635D1D" w14:paraId="42829930" w14:textId="77777777" w:rsidTr="00C5582D">
        <w:trPr>
          <w:jc w:val="center"/>
        </w:trPr>
        <w:tc>
          <w:tcPr>
            <w:tcW w:w="4876" w:type="dxa"/>
            <w:tcBorders>
              <w:top w:val="nil"/>
              <w:left w:val="nil"/>
              <w:bottom w:val="nil"/>
              <w:right w:val="nil"/>
            </w:tcBorders>
            <w:hideMark/>
          </w:tcPr>
          <w:p w14:paraId="0A9304CD" w14:textId="77777777" w:rsidR="008144C7" w:rsidRPr="00635D1D" w:rsidRDefault="008144C7" w:rsidP="00C5582D">
            <w:pPr>
              <w:pStyle w:val="Normal6a"/>
            </w:pPr>
            <w:r w:rsidRPr="00635D1D">
              <w:t>(9)</w:t>
            </w:r>
            <w:r w:rsidRPr="00635D1D">
              <w:tab/>
              <w:t>Przed zmianami wprowadzonymi rozporządzeniem (UE) 2024/2865 rozporządzenie (WE) nr 1272/2008 zawierało wymóg, aby w reklamach mieszanin stwarzających zagrożenie, które mogą być nabywane przez ogół społeczeństwa bez uprzedniego zapoznania się z etykietą, wymieniano rodzaj lub rodzaje zagrożeń wskazanych na etykiecie, a także aby w reklamach substancji wymieniano odnośne klasy zagrożenia lub kategorie zagrożeń. Rozporządzeniem (UE) 2024/2865 wprowadzono nowy wymóg, zgodnie z którym w przypadku wszelkiej sprzedaży na odległość substancji i mieszanin stwarzających zagrożenie w ofercie należy uwzględnić wszystkie informacje z etykiety, dbając tym samym o to, aby nabywca był zawsze informowany o zagrożeniach przed zakupem produktu. Rozporządzeniem tym rozszerzono również wymogi dotyczące reklam, nakazując wskazywanie w nich piktogramów określających rodzaj zagrożenia, haseł ostrzegawczych, zwrotów określających zagrożenie i zwrotów uzupełniających, a ponadto zachęcanie ogółu społeczeństwa do postępowania zgodnie z informacjami zamieszczonymi na etykiecie produktu. Reklamy są środkami promocji sprzedaży lub stosowania produktów chemicznych, a w momencie sprzedaży etykieta umieszczona na opakowaniu substancji lub mieszaniny lub informacje uwzględnione na etykiecie w przypadku ofert sprzedaży na odległość zawierają pełne informacje o zagrożeniach związanych z tą substancją lub mieszaniną. W związku z tym w odniesieniu do reklam należałoby wprowadzić obowiązek zachęcania klientów do zapoznania się z etykietą i informacjami o produkcie przed użyciem, ale bez powielania informacji o zagrożeniach uwzględnionych na etykiecie.</w:t>
            </w:r>
          </w:p>
        </w:tc>
        <w:tc>
          <w:tcPr>
            <w:tcW w:w="4876" w:type="dxa"/>
            <w:tcBorders>
              <w:top w:val="nil"/>
              <w:left w:val="nil"/>
              <w:bottom w:val="nil"/>
              <w:right w:val="nil"/>
            </w:tcBorders>
            <w:hideMark/>
          </w:tcPr>
          <w:p w14:paraId="452BF5D4" w14:textId="77777777" w:rsidR="008144C7" w:rsidRPr="00635D1D" w:rsidRDefault="008144C7" w:rsidP="00C5582D">
            <w:pPr>
              <w:pStyle w:val="Normal6a"/>
            </w:pPr>
            <w:r w:rsidRPr="00635D1D">
              <w:t>(9)</w:t>
            </w:r>
            <w:r w:rsidRPr="00635D1D">
              <w:tab/>
              <w:t xml:space="preserve">Przed zmianami wprowadzonymi rozporządzeniem (UE) 2024/2865 rozporządzenie (WE) nr 1272/2008 zawierało wymóg, aby w reklamach mieszanin stwarzających zagrożenie, które mogą być nabywane przez ogół społeczeństwa bez uprzedniego zapoznania się z etykietą, wymieniano rodzaj lub rodzaje zagrożeń wskazanych na etykiecie, a także aby w reklamach substancji wymieniano odnośne klasy zagrożenia lub kategorie zagrożeń. Rozporządzeniem (UE) 2024/2865 wprowadzono nowy wymóg, zgodnie z którym w przypadku wszelkiej sprzedaży na odległość substancji i mieszanin stwarzających zagrożenie w ofercie należy uwzględnić wszystkie informacje z etykiety, dbając tym samym o to, aby nabywca był zawsze informowany o zagrożeniach przed zakupem produktu. Rozporządzeniem tym rozszerzono również wymogi dotyczące reklam, nakazując wskazywanie w nich piktogramów określających rodzaj zagrożenia, haseł ostrzegawczych, zwrotów określających zagrożenie i zwrotów uzupełniających, a ponadto zachęcanie ogółu społeczeństwa do postępowania zgodnie z informacjami zamieszczonymi na etykiecie produktu. Reklamy są środkami promocji sprzedaży lub stosowania produktów chemicznych, a w momencie sprzedaży etykieta umieszczona na opakowaniu substancji lub mieszaniny lub informacje uwzględnione na etykiecie w przypadku ofert sprzedaży na odległość zawierają pełne informacje o zagrożeniach związanych z tą substancją lub mieszaniną. W związku z tym w odniesieniu do reklam należałoby wprowadzić obowiązek </w:t>
            </w:r>
            <w:r w:rsidRPr="00635D1D">
              <w:rPr>
                <w:b/>
                <w:i/>
              </w:rPr>
              <w:t>umieszczania w nich piktogramów określających rodzaj zagrożenia i haseł ostrzegawczych oraz</w:t>
            </w:r>
            <w:r w:rsidRPr="00635D1D">
              <w:t xml:space="preserve"> zachęcania klientów do zapoznania się z etykietą i informacjami o produkcie przed użyciem, ale bez powielania </w:t>
            </w:r>
            <w:r w:rsidRPr="00635D1D">
              <w:rPr>
                <w:b/>
                <w:i/>
              </w:rPr>
              <w:t>wszystkich</w:t>
            </w:r>
            <w:r w:rsidRPr="00635D1D">
              <w:t xml:space="preserve"> informacji o zagrożeniach uwzględnionych na etykiecie.</w:t>
            </w:r>
          </w:p>
        </w:tc>
      </w:tr>
    </w:tbl>
    <w:p w14:paraId="273B91BE"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3352EE8E" w14:textId="77777777" w:rsidR="008144C7" w:rsidRPr="00E90719" w:rsidRDefault="008144C7" w:rsidP="008144C7">
      <w:pPr>
        <w:rPr>
          <w:lang w:val="en-GB"/>
        </w:rPr>
      </w:pPr>
      <w:r w:rsidRPr="00E90719">
        <w:rPr>
          <w:rStyle w:val="HideTWBExt"/>
          <w:lang w:val="en-GB"/>
        </w:rPr>
        <w:t>&lt;/Amend&gt;</w:t>
      </w:r>
    </w:p>
    <w:p w14:paraId="04E87508"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151</w:t>
      </w:r>
      <w:r w:rsidRPr="00E90719">
        <w:rPr>
          <w:rStyle w:val="HideTWBExt"/>
          <w:b w:val="0"/>
          <w:lang w:val="en-GB"/>
        </w:rPr>
        <w:t>&lt;/NumAm&gt;</w:t>
      </w:r>
    </w:p>
    <w:p w14:paraId="64DE723F"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Silvia Sardone, Ondřej Knotek, Jana Nagyová, Roberto Vannacci, Anne-Sophie Frigout, Mathilde Androuët, Valérie Deloge</w:t>
      </w:r>
      <w:r w:rsidRPr="00E90719">
        <w:rPr>
          <w:rStyle w:val="HideTWBExt"/>
          <w:b w:val="0"/>
          <w:lang w:val="en-GB"/>
        </w:rPr>
        <w:t>&lt;/Members&gt;</w:t>
      </w:r>
    </w:p>
    <w:p w14:paraId="44D1B985" w14:textId="77777777" w:rsidR="008144C7" w:rsidRPr="00635D1D" w:rsidRDefault="008144C7" w:rsidP="008144C7">
      <w:pPr>
        <w:pStyle w:val="NormalBold"/>
      </w:pPr>
      <w:r w:rsidRPr="00635D1D">
        <w:rPr>
          <w:rStyle w:val="HideTWBExt"/>
          <w:b w:val="0"/>
        </w:rPr>
        <w:t>&lt;/RepeatBlock-By&gt;</w:t>
      </w:r>
    </w:p>
    <w:p w14:paraId="3CC70CF7"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B493DEA" w14:textId="77777777" w:rsidR="008144C7" w:rsidRPr="00635D1D" w:rsidRDefault="008144C7" w:rsidP="008144C7">
      <w:pPr>
        <w:pStyle w:val="NormalBold"/>
      </w:pPr>
      <w:r w:rsidRPr="00635D1D">
        <w:rPr>
          <w:rStyle w:val="HideTWBExt"/>
          <w:b w:val="0"/>
        </w:rPr>
        <w:t>&lt;Article&gt;</w:t>
      </w:r>
      <w:r w:rsidRPr="00635D1D">
        <w:t>Motyw 9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BB5882A" w14:textId="77777777" w:rsidTr="00C5582D">
        <w:trPr>
          <w:trHeight w:val="240"/>
          <w:jc w:val="center"/>
        </w:trPr>
        <w:tc>
          <w:tcPr>
            <w:tcW w:w="9752" w:type="dxa"/>
            <w:gridSpan w:val="2"/>
            <w:tcBorders>
              <w:top w:val="nil"/>
              <w:left w:val="nil"/>
              <w:bottom w:val="nil"/>
              <w:right w:val="nil"/>
            </w:tcBorders>
          </w:tcPr>
          <w:p w14:paraId="03D92037" w14:textId="77777777" w:rsidR="008144C7" w:rsidRPr="00635D1D" w:rsidRDefault="008144C7" w:rsidP="00C5582D"/>
        </w:tc>
      </w:tr>
      <w:tr w:rsidR="008144C7" w:rsidRPr="00635D1D" w14:paraId="20D4A1BF" w14:textId="77777777" w:rsidTr="00C5582D">
        <w:trPr>
          <w:trHeight w:val="240"/>
          <w:jc w:val="center"/>
        </w:trPr>
        <w:tc>
          <w:tcPr>
            <w:tcW w:w="4876" w:type="dxa"/>
            <w:tcBorders>
              <w:top w:val="nil"/>
              <w:left w:val="nil"/>
              <w:bottom w:val="nil"/>
              <w:right w:val="nil"/>
            </w:tcBorders>
            <w:hideMark/>
          </w:tcPr>
          <w:p w14:paraId="3E359736"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8F6D84C" w14:textId="77777777" w:rsidR="008144C7" w:rsidRPr="00635D1D" w:rsidRDefault="008144C7" w:rsidP="00C5582D">
            <w:pPr>
              <w:pStyle w:val="AmColumnHeading"/>
            </w:pPr>
            <w:r w:rsidRPr="00635D1D">
              <w:t>Poprawka</w:t>
            </w:r>
          </w:p>
        </w:tc>
      </w:tr>
      <w:tr w:rsidR="008144C7" w:rsidRPr="00635D1D" w14:paraId="36793985" w14:textId="77777777" w:rsidTr="00C5582D">
        <w:trPr>
          <w:jc w:val="center"/>
        </w:trPr>
        <w:tc>
          <w:tcPr>
            <w:tcW w:w="4876" w:type="dxa"/>
            <w:tcBorders>
              <w:top w:val="nil"/>
              <w:left w:val="nil"/>
              <w:bottom w:val="nil"/>
              <w:right w:val="nil"/>
            </w:tcBorders>
          </w:tcPr>
          <w:p w14:paraId="184DD077" w14:textId="77777777" w:rsidR="008144C7" w:rsidRPr="00635D1D" w:rsidRDefault="008144C7" w:rsidP="00C5582D">
            <w:pPr>
              <w:pStyle w:val="Normal6a"/>
            </w:pPr>
          </w:p>
        </w:tc>
        <w:tc>
          <w:tcPr>
            <w:tcW w:w="4876" w:type="dxa"/>
            <w:tcBorders>
              <w:top w:val="nil"/>
              <w:left w:val="nil"/>
              <w:bottom w:val="nil"/>
              <w:right w:val="nil"/>
            </w:tcBorders>
            <w:hideMark/>
          </w:tcPr>
          <w:p w14:paraId="7C4321EB" w14:textId="77777777" w:rsidR="008144C7" w:rsidRPr="00635D1D" w:rsidRDefault="008144C7" w:rsidP="00C5582D">
            <w:pPr>
              <w:pStyle w:val="Normal6a"/>
            </w:pPr>
            <w:r w:rsidRPr="00635D1D">
              <w:rPr>
                <w:b/>
                <w:i/>
              </w:rPr>
              <w:t>(9a)</w:t>
            </w:r>
            <w:r w:rsidRPr="00635D1D">
              <w:tab/>
            </w:r>
            <w:r w:rsidRPr="00635D1D">
              <w:rPr>
                <w:b/>
                <w:i/>
              </w:rPr>
              <w:t>Rozporządzeniem (UE) 2024/2865 wprowadzono nowe klasy zagrożenia, które nie zostały jeszcze przyjęte na szczeblu ONZ, a mianowicie substancje zaburzające funkcjonowanie układu hormonalnego, substancje trwałe, wykazujące zdolność do bioakumulacji i toksyczne (PBT), substancje bardzo trwałe i wykazujące bardzo dużą zdolność do bioakumulacji (</w:t>
            </w:r>
            <w:proofErr w:type="spellStart"/>
            <w:r w:rsidRPr="00635D1D">
              <w:rPr>
                <w:b/>
                <w:i/>
              </w:rPr>
              <w:t>vPvB</w:t>
            </w:r>
            <w:proofErr w:type="spellEnd"/>
            <w:r w:rsidRPr="00635D1D">
              <w:rPr>
                <w:b/>
                <w:i/>
              </w:rPr>
              <w:t>), substancje trwałe, mobilne i toksyczne (PMT) oraz substancje bardzo trwałe i bardzo mobilne (</w:t>
            </w:r>
            <w:proofErr w:type="spellStart"/>
            <w:r w:rsidRPr="00635D1D">
              <w:rPr>
                <w:b/>
                <w:i/>
              </w:rPr>
              <w:t>vPvM</w:t>
            </w:r>
            <w:proofErr w:type="spellEnd"/>
            <w:r w:rsidRPr="00635D1D">
              <w:rPr>
                <w:b/>
                <w:i/>
              </w:rPr>
              <w:t>). Te klasy zagrożenia są obecnie przedmiotem dyskusji w ramach Globalnie Zharmonizowanego Systemu Klasyfikacji i Oznakowania Chemikaliów (GHS) ONZ, który stanowi uznany na szczeblu międzynarodowym system globalnej harmonizacji kryteriów klasyfikacji zagrożeń. Biorąc pod uwagę, że Unia powinna powstrzymać się od wdrażania tych klas zagrożenia przed ich formalnym przyjęciem na szczeblu ONZ, należy uchylić rozporządzenie delegowane Komisji (UE) 2023/707, aby zabezpieczyć globalną harmonizację regulacyjną i zapobiec potencjalnemu spadkowi konkurencyjności przemysłu Unii.</w:t>
            </w:r>
          </w:p>
        </w:tc>
      </w:tr>
    </w:tbl>
    <w:p w14:paraId="63A0749D"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1DA687F3" w14:textId="77777777" w:rsidR="008144C7" w:rsidRPr="00E90719" w:rsidRDefault="008144C7" w:rsidP="008144C7">
      <w:pPr>
        <w:rPr>
          <w:lang w:val="en-GB"/>
        </w:rPr>
      </w:pPr>
      <w:r w:rsidRPr="00E90719">
        <w:rPr>
          <w:rStyle w:val="HideTWBExt"/>
          <w:lang w:val="en-GB"/>
        </w:rPr>
        <w:t>&lt;/Amend&gt;</w:t>
      </w:r>
    </w:p>
    <w:p w14:paraId="4A1ED6A8"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152</w:t>
      </w:r>
      <w:r w:rsidRPr="00E90719">
        <w:rPr>
          <w:rStyle w:val="HideTWBExt"/>
          <w:b w:val="0"/>
          <w:lang w:val="en-GB"/>
        </w:rPr>
        <w:t>&lt;/NumAm&gt;</w:t>
      </w:r>
    </w:p>
    <w:p w14:paraId="1C1DC147"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Per Clausen, Anja Hazekamp</w:t>
      </w:r>
      <w:r w:rsidRPr="00E90719">
        <w:rPr>
          <w:rStyle w:val="HideTWBExt"/>
          <w:b w:val="0"/>
          <w:lang w:val="en-GB"/>
        </w:rPr>
        <w:t>&lt;/Members&gt;</w:t>
      </w:r>
    </w:p>
    <w:p w14:paraId="3C8C76E4" w14:textId="77777777" w:rsidR="008144C7" w:rsidRPr="00635D1D" w:rsidRDefault="008144C7" w:rsidP="008144C7">
      <w:pPr>
        <w:pStyle w:val="NormalBold"/>
      </w:pPr>
      <w:r w:rsidRPr="00635D1D">
        <w:rPr>
          <w:rStyle w:val="HideTWBExt"/>
          <w:b w:val="0"/>
        </w:rPr>
        <w:t>&lt;/RepeatBlock-By&gt;</w:t>
      </w:r>
    </w:p>
    <w:p w14:paraId="73B9E836"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E0E4239" w14:textId="77777777" w:rsidR="008144C7" w:rsidRPr="00635D1D" w:rsidRDefault="008144C7" w:rsidP="008144C7">
      <w:pPr>
        <w:pStyle w:val="NormalBold"/>
      </w:pPr>
      <w:r w:rsidRPr="00635D1D">
        <w:rPr>
          <w:rStyle w:val="HideTWBExt"/>
          <w:b w:val="0"/>
        </w:rPr>
        <w:t>&lt;Article&gt;</w:t>
      </w:r>
      <w:r w:rsidRPr="00635D1D">
        <w:t>Motyw 10</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CE46FF2" w14:textId="77777777" w:rsidTr="00C5582D">
        <w:trPr>
          <w:trHeight w:val="240"/>
          <w:jc w:val="center"/>
        </w:trPr>
        <w:tc>
          <w:tcPr>
            <w:tcW w:w="9752" w:type="dxa"/>
            <w:gridSpan w:val="2"/>
            <w:tcBorders>
              <w:top w:val="nil"/>
              <w:left w:val="nil"/>
              <w:bottom w:val="nil"/>
              <w:right w:val="nil"/>
            </w:tcBorders>
          </w:tcPr>
          <w:p w14:paraId="440F600B" w14:textId="77777777" w:rsidR="008144C7" w:rsidRPr="00635D1D" w:rsidRDefault="008144C7" w:rsidP="00C5582D"/>
        </w:tc>
      </w:tr>
      <w:tr w:rsidR="008144C7" w:rsidRPr="00635D1D" w14:paraId="1BFBA661" w14:textId="77777777" w:rsidTr="00C5582D">
        <w:trPr>
          <w:trHeight w:val="240"/>
          <w:jc w:val="center"/>
        </w:trPr>
        <w:tc>
          <w:tcPr>
            <w:tcW w:w="4876" w:type="dxa"/>
            <w:tcBorders>
              <w:top w:val="nil"/>
              <w:left w:val="nil"/>
              <w:bottom w:val="nil"/>
              <w:right w:val="nil"/>
            </w:tcBorders>
            <w:hideMark/>
          </w:tcPr>
          <w:p w14:paraId="02A76A9D"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BB1B863" w14:textId="77777777" w:rsidR="008144C7" w:rsidRPr="00635D1D" w:rsidRDefault="008144C7" w:rsidP="00C5582D">
            <w:pPr>
              <w:pStyle w:val="AmColumnHeading"/>
            </w:pPr>
            <w:r w:rsidRPr="00635D1D">
              <w:t>Poprawka</w:t>
            </w:r>
          </w:p>
        </w:tc>
      </w:tr>
      <w:tr w:rsidR="008144C7" w:rsidRPr="00635D1D" w14:paraId="7B0AA1C8" w14:textId="77777777" w:rsidTr="00C5582D">
        <w:trPr>
          <w:jc w:val="center"/>
        </w:trPr>
        <w:tc>
          <w:tcPr>
            <w:tcW w:w="4876" w:type="dxa"/>
            <w:tcBorders>
              <w:top w:val="nil"/>
              <w:left w:val="nil"/>
              <w:bottom w:val="nil"/>
              <w:right w:val="nil"/>
            </w:tcBorders>
            <w:hideMark/>
          </w:tcPr>
          <w:p w14:paraId="202A9DC0" w14:textId="77777777" w:rsidR="008144C7" w:rsidRPr="00635D1D" w:rsidRDefault="008144C7" w:rsidP="00C5582D">
            <w:pPr>
              <w:pStyle w:val="Normal6a"/>
            </w:pPr>
            <w:r w:rsidRPr="00635D1D">
              <w:t>(10)</w:t>
            </w:r>
            <w:r w:rsidRPr="00635D1D">
              <w:tab/>
              <w:t>Ponieważ rozporządzenie Parlamentu Europejskiego i Rady (WE) nr 1107/2009</w:t>
            </w:r>
            <w:r w:rsidRPr="00635D1D">
              <w:rPr>
                <w:vertAlign w:val="superscript"/>
              </w:rPr>
              <w:t>10</w:t>
            </w:r>
            <w:r w:rsidRPr="00635D1D">
              <w:t xml:space="preserve"> i rozporządzenie Parlamentu Europejskiego i Rady (UE) nr 528/2012</w:t>
            </w:r>
            <w:r w:rsidRPr="00635D1D">
              <w:rPr>
                <w:vertAlign w:val="superscript"/>
              </w:rPr>
              <w:t>11</w:t>
            </w:r>
            <w:r w:rsidRPr="00635D1D">
              <w:t xml:space="preserve"> zawierają wymóg, aby w reklamach dozwolonych środków ochrony roślin i produktów biobójczych stosowano sformułowanie „Przed każdym użyciem należy przeczytać etykietę i informacje dotyczące produktu”, właściwe byłoby </w:t>
            </w:r>
            <w:r w:rsidRPr="00635D1D">
              <w:rPr>
                <w:b/>
                <w:i/>
              </w:rPr>
              <w:t>zastosowanie tego samego wymogu</w:t>
            </w:r>
            <w:r w:rsidRPr="00635D1D">
              <w:t xml:space="preserve"> w odniesieniu do reklam substancji i mieszanin stwarzających zagrożenie w celu zapewnienia spójności</w:t>
            </w:r>
            <w:r w:rsidRPr="00635D1D">
              <w:rPr>
                <w:b/>
                <w:i/>
              </w:rPr>
              <w:t>, zwłaszcza</w:t>
            </w:r>
            <w:r w:rsidRPr="00635D1D">
              <w:t xml:space="preserve"> w przypadkach, gdy reklamowane substancje i mieszaniny stwarzające zagrożenie stanowią zarazem dozwolone środki ochrony roślin lub produkty biobójcze.</w:t>
            </w:r>
          </w:p>
        </w:tc>
        <w:tc>
          <w:tcPr>
            <w:tcW w:w="4876" w:type="dxa"/>
            <w:tcBorders>
              <w:top w:val="nil"/>
              <w:left w:val="nil"/>
              <w:bottom w:val="nil"/>
              <w:right w:val="nil"/>
            </w:tcBorders>
            <w:hideMark/>
          </w:tcPr>
          <w:p w14:paraId="1DF27F4E" w14:textId="77777777" w:rsidR="008144C7" w:rsidRPr="00635D1D" w:rsidRDefault="008144C7" w:rsidP="00C5582D">
            <w:pPr>
              <w:pStyle w:val="Normal6a"/>
            </w:pPr>
            <w:r w:rsidRPr="00635D1D">
              <w:t>(10)</w:t>
            </w:r>
            <w:r w:rsidRPr="00635D1D">
              <w:tab/>
              <w:t>Ponieważ rozporządzenie Parlamentu Europejskiego i Rady (WE) nr 1107/2009</w:t>
            </w:r>
            <w:r w:rsidRPr="00635D1D">
              <w:rPr>
                <w:vertAlign w:val="superscript"/>
              </w:rPr>
              <w:t>10</w:t>
            </w:r>
            <w:r w:rsidRPr="00635D1D">
              <w:t xml:space="preserve"> i rozporządzenie Parlamentu Europejskiego i Rady (UE) nr 528/2012</w:t>
            </w:r>
            <w:r w:rsidRPr="00635D1D">
              <w:rPr>
                <w:vertAlign w:val="superscript"/>
              </w:rPr>
              <w:t>11</w:t>
            </w:r>
            <w:r w:rsidRPr="00635D1D">
              <w:t xml:space="preserve"> zawierają wymóg, aby w reklamach dozwolonych środków ochrony roślin i produktów biobójczych stosowano </w:t>
            </w:r>
            <w:r w:rsidRPr="00635D1D">
              <w:rPr>
                <w:b/>
                <w:i/>
              </w:rPr>
              <w:t>jedynie</w:t>
            </w:r>
            <w:r w:rsidRPr="00635D1D">
              <w:t xml:space="preserve"> sformułowanie „Przed każdym użyciem należy przeczytać etykietę i informacje dotyczące produktu”, właściwe byłoby </w:t>
            </w:r>
            <w:r w:rsidRPr="00635D1D">
              <w:rPr>
                <w:b/>
                <w:i/>
              </w:rPr>
              <w:t>wprowadzenie zmian w tym rozporządzeniu, aby zagwarantować ten sam wymóg</w:t>
            </w:r>
            <w:r w:rsidRPr="00635D1D">
              <w:t xml:space="preserve"> w odniesieniu do reklam substancji i mieszanin stwarzających zagrożenie w celu zapewnienia spójności w przypadkach, gdy reklamowane substancje i mieszaniny stwarzające zagrożenie stanowią zarazem dozwolone środki ochrony roślin lub produkty biobójcze.</w:t>
            </w:r>
          </w:p>
        </w:tc>
      </w:tr>
      <w:tr w:rsidR="008144C7" w:rsidRPr="00635D1D" w14:paraId="777AE666" w14:textId="77777777" w:rsidTr="00C5582D">
        <w:trPr>
          <w:jc w:val="center"/>
        </w:trPr>
        <w:tc>
          <w:tcPr>
            <w:tcW w:w="4876" w:type="dxa"/>
            <w:tcBorders>
              <w:top w:val="nil"/>
              <w:left w:val="nil"/>
              <w:bottom w:val="nil"/>
              <w:right w:val="nil"/>
            </w:tcBorders>
            <w:hideMark/>
          </w:tcPr>
          <w:p w14:paraId="61ED7CAD"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6ED4DEF9" w14:textId="77777777" w:rsidR="008144C7" w:rsidRPr="00635D1D" w:rsidRDefault="008144C7" w:rsidP="00C5582D">
            <w:pPr>
              <w:pStyle w:val="Normal6a"/>
            </w:pPr>
            <w:r w:rsidRPr="00635D1D">
              <w:rPr>
                <w:b/>
                <w:i/>
              </w:rPr>
              <w:t>_________________</w:t>
            </w:r>
          </w:p>
        </w:tc>
      </w:tr>
      <w:tr w:rsidR="008144C7" w:rsidRPr="00635D1D" w14:paraId="0672CC8E" w14:textId="77777777" w:rsidTr="00C5582D">
        <w:trPr>
          <w:jc w:val="center"/>
        </w:trPr>
        <w:tc>
          <w:tcPr>
            <w:tcW w:w="4876" w:type="dxa"/>
            <w:tcBorders>
              <w:top w:val="nil"/>
              <w:left w:val="nil"/>
              <w:bottom w:val="nil"/>
              <w:right w:val="nil"/>
            </w:tcBorders>
            <w:hideMark/>
          </w:tcPr>
          <w:p w14:paraId="40E5BF48" w14:textId="77777777" w:rsidR="008144C7" w:rsidRPr="00635D1D" w:rsidRDefault="008144C7" w:rsidP="00C5582D">
            <w:pPr>
              <w:pStyle w:val="Normal6a"/>
            </w:pPr>
            <w:r w:rsidRPr="00635D1D">
              <w:rPr>
                <w:vertAlign w:val="superscript"/>
              </w:rPr>
              <w:t>10</w:t>
            </w:r>
            <w:r w:rsidRPr="00635D1D">
              <w:t xml:space="preserve"> Rozporządzenie Parlamentu Europejskiego i Rady (WE) nr 1107/2009 z dnia 21 października 2009 r. dotyczące wprowadzania do obrotu środków ochrony roślin i uchylające dyrektywy Rady 79/117/EWG i 91/414/EWG (Dz.U. L 309 z 24.11.2009, s. 1, ELI: http://data.europa.eu/eli/reg/2009/1107/oj).</w:t>
            </w:r>
          </w:p>
        </w:tc>
        <w:tc>
          <w:tcPr>
            <w:tcW w:w="4876" w:type="dxa"/>
            <w:tcBorders>
              <w:top w:val="nil"/>
              <w:left w:val="nil"/>
              <w:bottom w:val="nil"/>
              <w:right w:val="nil"/>
            </w:tcBorders>
            <w:hideMark/>
          </w:tcPr>
          <w:p w14:paraId="48E7FA1B" w14:textId="77777777" w:rsidR="008144C7" w:rsidRPr="00635D1D" w:rsidRDefault="008144C7" w:rsidP="00C5582D">
            <w:pPr>
              <w:pStyle w:val="Normal6a"/>
            </w:pPr>
            <w:r w:rsidRPr="00635D1D">
              <w:rPr>
                <w:vertAlign w:val="superscript"/>
              </w:rPr>
              <w:t>10</w:t>
            </w:r>
            <w:r w:rsidRPr="00635D1D">
              <w:t xml:space="preserve"> Rozporządzenie Parlamentu Europejskiego i Rady (WE) nr 1107/2009 z dnia 21 października 2009 r. dotyczące wprowadzania do obrotu środków ochrony roślin i uchylające dyrektywy Rady 79/117/EWG i 91/414/EWG (Dz.U. L 309 z 24.11.2009, s. 1, ELI: http://data.europa.eu/eli/reg/2009/1107/oj).</w:t>
            </w:r>
          </w:p>
        </w:tc>
      </w:tr>
      <w:tr w:rsidR="008144C7" w:rsidRPr="00635D1D" w14:paraId="53E1EA6A" w14:textId="77777777" w:rsidTr="00C5582D">
        <w:trPr>
          <w:jc w:val="center"/>
        </w:trPr>
        <w:tc>
          <w:tcPr>
            <w:tcW w:w="4876" w:type="dxa"/>
            <w:tcBorders>
              <w:top w:val="nil"/>
              <w:left w:val="nil"/>
              <w:bottom w:val="nil"/>
              <w:right w:val="nil"/>
            </w:tcBorders>
            <w:hideMark/>
          </w:tcPr>
          <w:p w14:paraId="7D1E28E4" w14:textId="77777777" w:rsidR="008144C7" w:rsidRPr="00635D1D" w:rsidRDefault="008144C7" w:rsidP="00C5582D">
            <w:pPr>
              <w:pStyle w:val="Normal6a"/>
            </w:pPr>
            <w:r w:rsidRPr="00635D1D">
              <w:rPr>
                <w:vertAlign w:val="superscript"/>
              </w:rPr>
              <w:t>11</w:t>
            </w:r>
            <w:r w:rsidRPr="00635D1D">
              <w:t xml:space="preserve"> Rozporządzenie Parlamentu Europejskiego i Rady (UE) nr 528/2012 z dnia 22 maja 2012 r. w sprawie udostępniania na rynku i stosowania produktów biobójczych (Dz.U. L 167 z </w:t>
            </w:r>
            <w:proofErr w:type="gramStart"/>
            <w:r w:rsidRPr="00635D1D">
              <w:t>27.6.2012</w:t>
            </w:r>
            <w:proofErr w:type="gramEnd"/>
            <w:r w:rsidRPr="00635D1D">
              <w:t>, s. 1, ELI: http://data.europa.eu/eli/reg/2012/528/oj).</w:t>
            </w:r>
          </w:p>
        </w:tc>
        <w:tc>
          <w:tcPr>
            <w:tcW w:w="4876" w:type="dxa"/>
            <w:tcBorders>
              <w:top w:val="nil"/>
              <w:left w:val="nil"/>
              <w:bottom w:val="nil"/>
              <w:right w:val="nil"/>
            </w:tcBorders>
            <w:hideMark/>
          </w:tcPr>
          <w:p w14:paraId="0913B3B5" w14:textId="77777777" w:rsidR="008144C7" w:rsidRPr="00635D1D" w:rsidRDefault="008144C7" w:rsidP="00C5582D">
            <w:pPr>
              <w:pStyle w:val="Normal6a"/>
            </w:pPr>
            <w:r w:rsidRPr="00635D1D">
              <w:rPr>
                <w:vertAlign w:val="superscript"/>
              </w:rPr>
              <w:t>11</w:t>
            </w:r>
            <w:r w:rsidRPr="00635D1D">
              <w:t xml:space="preserve"> Rozporządzenie Parlamentu Europejskiego i Rady (UE) nr 528/2012 z dnia 22 maja 2012 r. w sprawie udostępniania na rynku i stosowania produktów biobójczych (Dz.U. L 167 z </w:t>
            </w:r>
            <w:proofErr w:type="gramStart"/>
            <w:r w:rsidRPr="00635D1D">
              <w:t>27.6.2012</w:t>
            </w:r>
            <w:proofErr w:type="gramEnd"/>
            <w:r w:rsidRPr="00635D1D">
              <w:t>, s. 1, ELI: http://data.europa.eu/eli/reg/2012/528/oj).</w:t>
            </w:r>
          </w:p>
        </w:tc>
      </w:tr>
    </w:tbl>
    <w:p w14:paraId="1CEABF2C"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74B4CC94" w14:textId="77777777" w:rsidR="008144C7" w:rsidRPr="00AD15CF" w:rsidRDefault="008144C7" w:rsidP="008144C7">
      <w:pPr>
        <w:rPr>
          <w:lang w:val="en-GB"/>
        </w:rPr>
      </w:pPr>
      <w:r w:rsidRPr="00AD15CF">
        <w:rPr>
          <w:rStyle w:val="HideTWBExt"/>
          <w:lang w:val="en-GB"/>
        </w:rPr>
        <w:t>&lt;/Amend&gt;</w:t>
      </w:r>
    </w:p>
    <w:p w14:paraId="4829E0BC"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153</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099F71FA"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Aurelijus</w:t>
      </w:r>
      <w:proofErr w:type="spellEnd"/>
      <w:r w:rsidRPr="00AD15CF">
        <w:rPr>
          <w:lang w:val="en-GB"/>
        </w:rPr>
        <w:t xml:space="preserve"> </w:t>
      </w:r>
      <w:proofErr w:type="spellStart"/>
      <w:r w:rsidRPr="00AD15CF">
        <w:rPr>
          <w:lang w:val="en-GB"/>
        </w:rPr>
        <w:t>Veryga</w:t>
      </w:r>
      <w:proofErr w:type="spellEnd"/>
      <w:r w:rsidRPr="00AD15CF">
        <w:rPr>
          <w:rStyle w:val="HideTWBExt"/>
          <w:b w:val="0"/>
          <w:lang w:val="en-GB"/>
        </w:rPr>
        <w:t>&lt;/Members&gt;</w:t>
      </w:r>
    </w:p>
    <w:p w14:paraId="44E449F4" w14:textId="77777777" w:rsidR="008144C7" w:rsidRPr="00635D1D" w:rsidRDefault="008144C7" w:rsidP="008144C7">
      <w:pPr>
        <w:pStyle w:val="NormalBold"/>
      </w:pPr>
      <w:r w:rsidRPr="00635D1D">
        <w:rPr>
          <w:rStyle w:val="HideTWBExt"/>
          <w:b w:val="0"/>
        </w:rPr>
        <w:t>&lt;/RepeatBlock-By&gt;</w:t>
      </w:r>
    </w:p>
    <w:p w14:paraId="04F5F015"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A081252" w14:textId="77777777" w:rsidR="008144C7" w:rsidRPr="00635D1D" w:rsidRDefault="008144C7" w:rsidP="008144C7">
      <w:pPr>
        <w:pStyle w:val="NormalBold"/>
      </w:pPr>
      <w:r w:rsidRPr="00635D1D">
        <w:rPr>
          <w:rStyle w:val="HideTWBExt"/>
          <w:b w:val="0"/>
        </w:rPr>
        <w:t>&lt;Article&gt;</w:t>
      </w:r>
      <w:r w:rsidRPr="00635D1D">
        <w:t>Motyw 10</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2D682A0" w14:textId="77777777" w:rsidTr="00C5582D">
        <w:trPr>
          <w:trHeight w:val="240"/>
          <w:jc w:val="center"/>
        </w:trPr>
        <w:tc>
          <w:tcPr>
            <w:tcW w:w="9752" w:type="dxa"/>
            <w:gridSpan w:val="2"/>
            <w:tcBorders>
              <w:top w:val="nil"/>
              <w:left w:val="nil"/>
              <w:bottom w:val="nil"/>
              <w:right w:val="nil"/>
            </w:tcBorders>
          </w:tcPr>
          <w:p w14:paraId="52B3B293" w14:textId="77777777" w:rsidR="008144C7" w:rsidRPr="00635D1D" w:rsidRDefault="008144C7" w:rsidP="00C5582D"/>
        </w:tc>
      </w:tr>
      <w:tr w:rsidR="008144C7" w:rsidRPr="00635D1D" w14:paraId="41F85C7E" w14:textId="77777777" w:rsidTr="00C5582D">
        <w:trPr>
          <w:trHeight w:val="240"/>
          <w:jc w:val="center"/>
        </w:trPr>
        <w:tc>
          <w:tcPr>
            <w:tcW w:w="4876" w:type="dxa"/>
            <w:tcBorders>
              <w:top w:val="nil"/>
              <w:left w:val="nil"/>
              <w:bottom w:val="nil"/>
              <w:right w:val="nil"/>
            </w:tcBorders>
            <w:hideMark/>
          </w:tcPr>
          <w:p w14:paraId="0A5E0A12"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54B51520" w14:textId="77777777" w:rsidR="008144C7" w:rsidRPr="00635D1D" w:rsidRDefault="008144C7" w:rsidP="00C5582D">
            <w:pPr>
              <w:pStyle w:val="AmColumnHeading"/>
            </w:pPr>
            <w:r w:rsidRPr="00635D1D">
              <w:t>Poprawka</w:t>
            </w:r>
          </w:p>
        </w:tc>
      </w:tr>
      <w:tr w:rsidR="008144C7" w:rsidRPr="00635D1D" w14:paraId="08CCAF9E" w14:textId="77777777" w:rsidTr="00C5582D">
        <w:trPr>
          <w:jc w:val="center"/>
        </w:trPr>
        <w:tc>
          <w:tcPr>
            <w:tcW w:w="4876" w:type="dxa"/>
            <w:tcBorders>
              <w:top w:val="nil"/>
              <w:left w:val="nil"/>
              <w:bottom w:val="nil"/>
              <w:right w:val="nil"/>
            </w:tcBorders>
            <w:hideMark/>
          </w:tcPr>
          <w:p w14:paraId="70012EE1" w14:textId="77777777" w:rsidR="008144C7" w:rsidRPr="00635D1D" w:rsidRDefault="008144C7" w:rsidP="00C5582D">
            <w:pPr>
              <w:pStyle w:val="Normal6a"/>
            </w:pPr>
            <w:r w:rsidRPr="00635D1D">
              <w:t>(10)</w:t>
            </w:r>
            <w:r w:rsidRPr="00635D1D">
              <w:tab/>
              <w:t>Ponieważ rozporządzenie Parlamentu Europejskiego i Rady (WE) nr 1107/2009</w:t>
            </w:r>
            <w:r w:rsidRPr="00635D1D">
              <w:rPr>
                <w:vertAlign w:val="superscript"/>
              </w:rPr>
              <w:t>10</w:t>
            </w:r>
            <w:r w:rsidRPr="00635D1D">
              <w:t xml:space="preserve"> i rozporządzenie Parlamentu Europejskiego i Rady (UE) nr 528/2012</w:t>
            </w:r>
            <w:r w:rsidRPr="00635D1D">
              <w:rPr>
                <w:vertAlign w:val="superscript"/>
              </w:rPr>
              <w:t>11</w:t>
            </w:r>
            <w:r w:rsidRPr="00635D1D">
              <w:t xml:space="preserve"> zawierają wymóg, aby w reklamach dozwolonych środków ochrony roślin i produktów biobójczych stosowano sformułowanie „Przed każdym użyciem należy przeczytać etykietę i informacje dotyczące produktu”, właściwe byłoby </w:t>
            </w:r>
            <w:r w:rsidRPr="00635D1D">
              <w:rPr>
                <w:b/>
                <w:bCs/>
                <w:i/>
                <w:iCs/>
              </w:rPr>
              <w:t>zastosowanie</w:t>
            </w:r>
            <w:r w:rsidRPr="00635D1D">
              <w:t xml:space="preserve"> tego samego wymogu w odniesieniu do reklam substancji i mieszanin stwarzających zagrożenie w celu zapewnienia spójności, zwłaszcza w przypadkach, gdy reklamowane substancje i mieszaniny stwarzające zagrożenie stanowią zarazem dozwolone środki ochrony roślin lub produkty biobójcze.</w:t>
            </w:r>
          </w:p>
        </w:tc>
        <w:tc>
          <w:tcPr>
            <w:tcW w:w="4876" w:type="dxa"/>
            <w:tcBorders>
              <w:top w:val="nil"/>
              <w:left w:val="nil"/>
              <w:bottom w:val="nil"/>
              <w:right w:val="nil"/>
            </w:tcBorders>
            <w:hideMark/>
          </w:tcPr>
          <w:p w14:paraId="78705729" w14:textId="77777777" w:rsidR="008144C7" w:rsidRPr="00635D1D" w:rsidRDefault="008144C7" w:rsidP="00C5582D">
            <w:pPr>
              <w:pStyle w:val="Normal6a"/>
            </w:pPr>
            <w:r w:rsidRPr="00635D1D">
              <w:t>(10)</w:t>
            </w:r>
            <w:r w:rsidRPr="00635D1D">
              <w:tab/>
              <w:t>Ponieważ rozporządzenie Parlamentu Europejskiego i Rady (WE) nr 1107/2009</w:t>
            </w:r>
            <w:r w:rsidRPr="00635D1D">
              <w:rPr>
                <w:vertAlign w:val="superscript"/>
              </w:rPr>
              <w:t>10</w:t>
            </w:r>
            <w:r w:rsidRPr="00635D1D">
              <w:t xml:space="preserve"> i rozporządzenie Parlamentu Europejskiego i Rady (UE) nr 528/2012</w:t>
            </w:r>
            <w:r w:rsidRPr="00635D1D">
              <w:rPr>
                <w:vertAlign w:val="superscript"/>
              </w:rPr>
              <w:t>11</w:t>
            </w:r>
            <w:r w:rsidRPr="00635D1D">
              <w:t xml:space="preserve"> zawierają wymóg, aby w reklamach dozwolonych środków ochrony roślin i produktów biobójczych stosowano sformułowanie „Przed każdym użyciem należy przeczytać etykietę i informacje dotyczące produktu”, właściwe byłoby </w:t>
            </w:r>
            <w:r w:rsidRPr="00635D1D">
              <w:rPr>
                <w:b/>
                <w:i/>
              </w:rPr>
              <w:t>stosowanie się przez reklamodawców do</w:t>
            </w:r>
            <w:r w:rsidRPr="00635D1D">
              <w:t xml:space="preserve"> tego samego wymogu w odniesieniu do reklam substancji i mieszanin stwarzających zagrożenie w celu zapewnienia spójności, zwłaszcza w przypadkach, gdy reklamowane substancje i mieszaniny stwarzające zagrożenie stanowią zarazem dozwolone środki ochrony roślin lub produkty biobójcze.</w:t>
            </w:r>
          </w:p>
        </w:tc>
      </w:tr>
      <w:tr w:rsidR="008144C7" w:rsidRPr="00635D1D" w14:paraId="118D0160" w14:textId="77777777" w:rsidTr="00C5582D">
        <w:trPr>
          <w:jc w:val="center"/>
        </w:trPr>
        <w:tc>
          <w:tcPr>
            <w:tcW w:w="4876" w:type="dxa"/>
            <w:tcBorders>
              <w:top w:val="nil"/>
              <w:left w:val="nil"/>
              <w:bottom w:val="nil"/>
              <w:right w:val="nil"/>
            </w:tcBorders>
            <w:hideMark/>
          </w:tcPr>
          <w:p w14:paraId="2F79ED48"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7390B56D" w14:textId="77777777" w:rsidR="008144C7" w:rsidRPr="00635D1D" w:rsidRDefault="008144C7" w:rsidP="00C5582D">
            <w:pPr>
              <w:pStyle w:val="Normal6a"/>
            </w:pPr>
            <w:r w:rsidRPr="00635D1D">
              <w:rPr>
                <w:b/>
                <w:i/>
              </w:rPr>
              <w:t>_________________</w:t>
            </w:r>
          </w:p>
        </w:tc>
      </w:tr>
      <w:tr w:rsidR="008144C7" w:rsidRPr="00635D1D" w14:paraId="0DBAA582" w14:textId="77777777" w:rsidTr="00C5582D">
        <w:trPr>
          <w:jc w:val="center"/>
        </w:trPr>
        <w:tc>
          <w:tcPr>
            <w:tcW w:w="4876" w:type="dxa"/>
            <w:tcBorders>
              <w:top w:val="nil"/>
              <w:left w:val="nil"/>
              <w:bottom w:val="nil"/>
              <w:right w:val="nil"/>
            </w:tcBorders>
            <w:hideMark/>
          </w:tcPr>
          <w:p w14:paraId="697A6D34" w14:textId="77777777" w:rsidR="008144C7" w:rsidRPr="00635D1D" w:rsidRDefault="008144C7" w:rsidP="00C5582D">
            <w:pPr>
              <w:pStyle w:val="Normal6a"/>
            </w:pPr>
            <w:r w:rsidRPr="00635D1D">
              <w:rPr>
                <w:vertAlign w:val="superscript"/>
              </w:rPr>
              <w:t>10</w:t>
            </w:r>
            <w:r w:rsidRPr="00635D1D">
              <w:t xml:space="preserve"> Rozporządzenie Parlamentu Europejskiego i Rady (WE) nr 1107/2009 z dnia 21 października 2009 r. dotyczące wprowadzania do obrotu środków ochrony roślin i uchylające dyrektywy Rady 79/117/EWG i 91/414/EWG (Dz.U. L 309 z 24.11.2009, s. 1, ELI: http://data.europa.eu/eli/reg/2009/1107/oj).</w:t>
            </w:r>
          </w:p>
        </w:tc>
        <w:tc>
          <w:tcPr>
            <w:tcW w:w="4876" w:type="dxa"/>
            <w:tcBorders>
              <w:top w:val="nil"/>
              <w:left w:val="nil"/>
              <w:bottom w:val="nil"/>
              <w:right w:val="nil"/>
            </w:tcBorders>
            <w:hideMark/>
          </w:tcPr>
          <w:p w14:paraId="18BC5FF9" w14:textId="77777777" w:rsidR="008144C7" w:rsidRPr="00635D1D" w:rsidRDefault="008144C7" w:rsidP="00C5582D">
            <w:pPr>
              <w:pStyle w:val="Normal6a"/>
            </w:pPr>
            <w:r w:rsidRPr="00635D1D">
              <w:rPr>
                <w:vertAlign w:val="superscript"/>
              </w:rPr>
              <w:t>10</w:t>
            </w:r>
            <w:r w:rsidRPr="00635D1D">
              <w:t xml:space="preserve"> Rozporządzenie Parlamentu Europejskiego i Rady (WE) nr 1107/2009 z dnia 21 października 2009 r. dotyczące wprowadzania do obrotu środków ochrony roślin i uchylające dyrektywy Rady 79/117/EWG i 91/414/EWG (Dz.U. L 309 z 24.11.2009, s. 1, ELI: http://data.europa.eu/eli/reg/2009/1107/oj).</w:t>
            </w:r>
          </w:p>
        </w:tc>
      </w:tr>
      <w:tr w:rsidR="008144C7" w:rsidRPr="00635D1D" w14:paraId="00D96900" w14:textId="77777777" w:rsidTr="00C5582D">
        <w:trPr>
          <w:jc w:val="center"/>
        </w:trPr>
        <w:tc>
          <w:tcPr>
            <w:tcW w:w="4876" w:type="dxa"/>
            <w:tcBorders>
              <w:top w:val="nil"/>
              <w:left w:val="nil"/>
              <w:bottom w:val="nil"/>
              <w:right w:val="nil"/>
            </w:tcBorders>
            <w:hideMark/>
          </w:tcPr>
          <w:p w14:paraId="4C6C1BBB" w14:textId="77777777" w:rsidR="008144C7" w:rsidRPr="00635D1D" w:rsidRDefault="008144C7" w:rsidP="00C5582D">
            <w:pPr>
              <w:pStyle w:val="Normal6a"/>
            </w:pPr>
            <w:r w:rsidRPr="00635D1D">
              <w:rPr>
                <w:vertAlign w:val="superscript"/>
              </w:rPr>
              <w:t>11</w:t>
            </w:r>
            <w:r w:rsidRPr="00635D1D">
              <w:t xml:space="preserve"> Rozporządzenie Parlamentu Europejskiego i Rady (UE) nr 528/2012 z dnia 22 maja 2012 r. w sprawie udostępniania na rynku i stosowania produktów biobójczych (Dz.U. L 167 z </w:t>
            </w:r>
            <w:proofErr w:type="gramStart"/>
            <w:r w:rsidRPr="00635D1D">
              <w:t>27.6.2012</w:t>
            </w:r>
            <w:proofErr w:type="gramEnd"/>
            <w:r w:rsidRPr="00635D1D">
              <w:t>, s. 1, ELI: http://data.europa.eu/eli/reg/2012/528/oj).</w:t>
            </w:r>
          </w:p>
        </w:tc>
        <w:tc>
          <w:tcPr>
            <w:tcW w:w="4876" w:type="dxa"/>
            <w:tcBorders>
              <w:top w:val="nil"/>
              <w:left w:val="nil"/>
              <w:bottom w:val="nil"/>
              <w:right w:val="nil"/>
            </w:tcBorders>
            <w:hideMark/>
          </w:tcPr>
          <w:p w14:paraId="6A70B4EA" w14:textId="77777777" w:rsidR="008144C7" w:rsidRPr="00635D1D" w:rsidRDefault="008144C7" w:rsidP="00C5582D">
            <w:pPr>
              <w:pStyle w:val="Normal6a"/>
            </w:pPr>
            <w:r w:rsidRPr="00635D1D">
              <w:rPr>
                <w:vertAlign w:val="superscript"/>
              </w:rPr>
              <w:t>11</w:t>
            </w:r>
            <w:r w:rsidRPr="00635D1D">
              <w:t xml:space="preserve"> Rozporządzenie Parlamentu Europejskiego i Rady (UE) nr 528/2012 z dnia 22 maja 2012 r. w sprawie udostępniania na rynku i stosowania produktów biobójczych (Dz.U. L 167 z </w:t>
            </w:r>
            <w:proofErr w:type="gramStart"/>
            <w:r w:rsidRPr="00635D1D">
              <w:t>27.6.2012</w:t>
            </w:r>
            <w:proofErr w:type="gramEnd"/>
            <w:r w:rsidRPr="00635D1D">
              <w:t>, s. 1, ELI: http://data.europa.eu/eli/reg/2012/528/oj).</w:t>
            </w:r>
          </w:p>
        </w:tc>
      </w:tr>
    </w:tbl>
    <w:p w14:paraId="2F9DDF5F"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568F0618" w14:textId="77777777" w:rsidR="008144C7" w:rsidRPr="00E90719" w:rsidRDefault="008144C7" w:rsidP="008144C7">
      <w:pPr>
        <w:rPr>
          <w:lang w:val="en-GB"/>
        </w:rPr>
      </w:pPr>
      <w:r w:rsidRPr="00E90719">
        <w:rPr>
          <w:rStyle w:val="HideTWBExt"/>
          <w:lang w:val="en-GB"/>
        </w:rPr>
        <w:t>&lt;/Amend&gt;</w:t>
      </w:r>
    </w:p>
    <w:p w14:paraId="21A4A996"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154</w:t>
      </w:r>
      <w:r w:rsidRPr="00E90719">
        <w:rPr>
          <w:rStyle w:val="HideTWBExt"/>
          <w:b w:val="0"/>
          <w:lang w:val="en-GB"/>
        </w:rPr>
        <w:t>&lt;/NumAm&gt;</w:t>
      </w:r>
    </w:p>
    <w:p w14:paraId="450AB0DD"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Elżbieta Katarzyna Łukacijewska, Ewa Kopacz, Hanna Gronkiewicz-Waltz, Adam Jarubas</w:t>
      </w:r>
      <w:r w:rsidRPr="00E90719">
        <w:rPr>
          <w:rStyle w:val="HideTWBExt"/>
          <w:b w:val="0"/>
          <w:lang w:val="en-GB"/>
        </w:rPr>
        <w:t>&lt;/Members&gt;</w:t>
      </w:r>
    </w:p>
    <w:p w14:paraId="462FF22A" w14:textId="77777777" w:rsidR="008144C7" w:rsidRPr="00635D1D" w:rsidRDefault="008144C7" w:rsidP="008144C7">
      <w:pPr>
        <w:pStyle w:val="NormalBold"/>
      </w:pPr>
      <w:r w:rsidRPr="00635D1D">
        <w:rPr>
          <w:rStyle w:val="HideTWBExt"/>
          <w:b w:val="0"/>
        </w:rPr>
        <w:t>&lt;/RepeatBlock-By&gt;</w:t>
      </w:r>
    </w:p>
    <w:p w14:paraId="386A13F8"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88CDB59" w14:textId="77777777" w:rsidR="008144C7" w:rsidRPr="00635D1D" w:rsidRDefault="008144C7" w:rsidP="008144C7">
      <w:pPr>
        <w:pStyle w:val="NormalBold"/>
      </w:pPr>
      <w:r w:rsidRPr="00635D1D">
        <w:rPr>
          <w:rStyle w:val="HideTWBExt"/>
          <w:b w:val="0"/>
        </w:rPr>
        <w:t>&lt;Article&gt;</w:t>
      </w:r>
      <w:r w:rsidRPr="00635D1D">
        <w:t>Motyw 10</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0066C45" w14:textId="77777777" w:rsidTr="00C5582D">
        <w:trPr>
          <w:trHeight w:val="240"/>
          <w:jc w:val="center"/>
        </w:trPr>
        <w:tc>
          <w:tcPr>
            <w:tcW w:w="9752" w:type="dxa"/>
            <w:gridSpan w:val="2"/>
            <w:tcBorders>
              <w:top w:val="nil"/>
              <w:left w:val="nil"/>
              <w:bottom w:val="nil"/>
              <w:right w:val="nil"/>
            </w:tcBorders>
          </w:tcPr>
          <w:p w14:paraId="2EC7BF66" w14:textId="77777777" w:rsidR="008144C7" w:rsidRPr="00635D1D" w:rsidRDefault="008144C7" w:rsidP="00C5582D"/>
        </w:tc>
      </w:tr>
      <w:tr w:rsidR="008144C7" w:rsidRPr="00635D1D" w14:paraId="5EB49BBA" w14:textId="77777777" w:rsidTr="00C5582D">
        <w:trPr>
          <w:trHeight w:val="240"/>
          <w:jc w:val="center"/>
        </w:trPr>
        <w:tc>
          <w:tcPr>
            <w:tcW w:w="4876" w:type="dxa"/>
            <w:tcBorders>
              <w:top w:val="nil"/>
              <w:left w:val="nil"/>
              <w:bottom w:val="nil"/>
              <w:right w:val="nil"/>
            </w:tcBorders>
            <w:hideMark/>
          </w:tcPr>
          <w:p w14:paraId="51746018"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8974811" w14:textId="77777777" w:rsidR="008144C7" w:rsidRPr="00635D1D" w:rsidRDefault="008144C7" w:rsidP="00C5582D">
            <w:pPr>
              <w:pStyle w:val="AmColumnHeading"/>
            </w:pPr>
            <w:r w:rsidRPr="00635D1D">
              <w:t>Poprawka</w:t>
            </w:r>
          </w:p>
        </w:tc>
      </w:tr>
      <w:tr w:rsidR="008144C7" w:rsidRPr="00635D1D" w14:paraId="340D4A91" w14:textId="77777777" w:rsidTr="00C5582D">
        <w:trPr>
          <w:jc w:val="center"/>
        </w:trPr>
        <w:tc>
          <w:tcPr>
            <w:tcW w:w="4876" w:type="dxa"/>
            <w:tcBorders>
              <w:top w:val="nil"/>
              <w:left w:val="nil"/>
              <w:bottom w:val="nil"/>
              <w:right w:val="nil"/>
            </w:tcBorders>
            <w:hideMark/>
          </w:tcPr>
          <w:p w14:paraId="51C7099C" w14:textId="77777777" w:rsidR="008144C7" w:rsidRPr="00635D1D" w:rsidRDefault="008144C7" w:rsidP="00C5582D">
            <w:pPr>
              <w:pStyle w:val="Normal6a"/>
            </w:pPr>
            <w:r w:rsidRPr="00635D1D">
              <w:t>(10)</w:t>
            </w:r>
            <w:r w:rsidRPr="00635D1D">
              <w:tab/>
              <w:t>Ponieważ rozporządzenie Parlamentu Europejskiego i Rady (WE) nr 1107/2009</w:t>
            </w:r>
            <w:r w:rsidRPr="00635D1D">
              <w:rPr>
                <w:vertAlign w:val="superscript"/>
              </w:rPr>
              <w:t>10</w:t>
            </w:r>
            <w:r w:rsidRPr="00635D1D">
              <w:t xml:space="preserve"> i rozporządzenie Parlamentu Europejskiego i Rady (UE) nr 528/2012</w:t>
            </w:r>
            <w:r w:rsidRPr="00635D1D">
              <w:rPr>
                <w:vertAlign w:val="superscript"/>
              </w:rPr>
              <w:t>11</w:t>
            </w:r>
            <w:r w:rsidRPr="00635D1D">
              <w:t xml:space="preserve"> zawierają wymóg, aby w reklamach dozwolonych środków ochrony roślin i produktów biobójczych stosowano sformułowanie „Przed każdym użyciem należy przeczytać etykietę i informacje dotyczące produktu”, właściwe byłoby </w:t>
            </w:r>
            <w:r w:rsidRPr="00635D1D">
              <w:rPr>
                <w:b/>
                <w:bCs/>
                <w:i/>
                <w:iCs/>
              </w:rPr>
              <w:t>zastosowanie</w:t>
            </w:r>
            <w:r w:rsidRPr="00635D1D">
              <w:t xml:space="preserve"> tego samego wymogu w odniesieniu do reklam substancji i mieszanin stwarzających zagrożenie w celu zapewnienia spójności, zwłaszcza w przypadkach, gdy reklamowane substancje i mieszaniny stwarzające zagrożenie stanowią zarazem dozwolone środki ochrony roślin lub produkty biobójcze.</w:t>
            </w:r>
          </w:p>
        </w:tc>
        <w:tc>
          <w:tcPr>
            <w:tcW w:w="4876" w:type="dxa"/>
            <w:tcBorders>
              <w:top w:val="nil"/>
              <w:left w:val="nil"/>
              <w:bottom w:val="nil"/>
              <w:right w:val="nil"/>
            </w:tcBorders>
            <w:hideMark/>
          </w:tcPr>
          <w:p w14:paraId="5BC873BF" w14:textId="77777777" w:rsidR="008144C7" w:rsidRPr="00635D1D" w:rsidRDefault="008144C7" w:rsidP="00C5582D">
            <w:pPr>
              <w:pStyle w:val="Normal6a"/>
            </w:pPr>
            <w:r w:rsidRPr="00635D1D">
              <w:t>(10)</w:t>
            </w:r>
            <w:r w:rsidRPr="00635D1D">
              <w:tab/>
              <w:t>Ponieważ rozporządzenie Parlamentu Europejskiego i Rady (WE) nr 1107/2009</w:t>
            </w:r>
            <w:r w:rsidRPr="00635D1D">
              <w:rPr>
                <w:vertAlign w:val="superscript"/>
              </w:rPr>
              <w:t>10</w:t>
            </w:r>
            <w:r w:rsidRPr="00635D1D">
              <w:t xml:space="preserve"> i rozporządzenie Parlamentu Europejskiego i Rady (UE) nr 528/2012</w:t>
            </w:r>
            <w:r w:rsidRPr="00635D1D">
              <w:rPr>
                <w:vertAlign w:val="superscript"/>
              </w:rPr>
              <w:t>11</w:t>
            </w:r>
            <w:r w:rsidRPr="00635D1D">
              <w:t xml:space="preserve"> zawierają wymóg, aby w reklamach dozwolonych środków ochrony roślin i produktów biobójczych stosowano sformułowanie „Przed każdym użyciem należy przeczytać etykietę i informacje dotyczące produktu”, właściwe byłoby </w:t>
            </w:r>
            <w:r w:rsidRPr="00635D1D">
              <w:rPr>
                <w:b/>
                <w:i/>
              </w:rPr>
              <w:t>stosowanie się przez reklamodawców do</w:t>
            </w:r>
            <w:r w:rsidRPr="00635D1D">
              <w:t xml:space="preserve"> tego samego wymogu w odniesieniu do reklam substancji i mieszanin stwarzających zagrożenie w celu zapewnienia spójności, zwłaszcza w przypadkach, gdy reklamowane substancje i mieszaniny stwarzające zagrożenie stanowią zarazem dozwolone środki ochrony roślin lub produkty biobójcze.</w:t>
            </w:r>
          </w:p>
        </w:tc>
      </w:tr>
      <w:tr w:rsidR="008144C7" w:rsidRPr="00635D1D" w14:paraId="238E08CB" w14:textId="77777777" w:rsidTr="00C5582D">
        <w:trPr>
          <w:jc w:val="center"/>
        </w:trPr>
        <w:tc>
          <w:tcPr>
            <w:tcW w:w="4876" w:type="dxa"/>
            <w:tcBorders>
              <w:top w:val="nil"/>
              <w:left w:val="nil"/>
              <w:bottom w:val="nil"/>
              <w:right w:val="nil"/>
            </w:tcBorders>
            <w:hideMark/>
          </w:tcPr>
          <w:p w14:paraId="7CF270E4"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7BE1E152" w14:textId="77777777" w:rsidR="008144C7" w:rsidRPr="00635D1D" w:rsidRDefault="008144C7" w:rsidP="00C5582D">
            <w:pPr>
              <w:pStyle w:val="Normal6a"/>
            </w:pPr>
            <w:r w:rsidRPr="00635D1D">
              <w:rPr>
                <w:b/>
                <w:i/>
              </w:rPr>
              <w:t>_________________</w:t>
            </w:r>
          </w:p>
        </w:tc>
      </w:tr>
      <w:tr w:rsidR="008144C7" w:rsidRPr="00635D1D" w14:paraId="6631BD51" w14:textId="77777777" w:rsidTr="00C5582D">
        <w:trPr>
          <w:jc w:val="center"/>
        </w:trPr>
        <w:tc>
          <w:tcPr>
            <w:tcW w:w="4876" w:type="dxa"/>
            <w:tcBorders>
              <w:top w:val="nil"/>
              <w:left w:val="nil"/>
              <w:bottom w:val="nil"/>
              <w:right w:val="nil"/>
            </w:tcBorders>
            <w:hideMark/>
          </w:tcPr>
          <w:p w14:paraId="1AF40CEB" w14:textId="77777777" w:rsidR="008144C7" w:rsidRPr="00635D1D" w:rsidRDefault="008144C7" w:rsidP="00C5582D">
            <w:pPr>
              <w:pStyle w:val="Normal6a"/>
            </w:pPr>
            <w:r w:rsidRPr="00635D1D">
              <w:rPr>
                <w:vertAlign w:val="superscript"/>
              </w:rPr>
              <w:t>10</w:t>
            </w:r>
            <w:r w:rsidRPr="00635D1D">
              <w:t xml:space="preserve"> Rozporządzenie Parlamentu Europejskiego i Rady (WE) nr 1107/2009 z dnia 21 października 2009 r. dotyczące wprowadzania do obrotu środków ochrony roślin i uchylające dyrektywy Rady 79/117/EWG i 91/414/EWG (Dz.U. L 309 z 24.11.2009, s. 1, ELI: http://data.europa.eu/eli/reg/2009/1107/oj).</w:t>
            </w:r>
          </w:p>
        </w:tc>
        <w:tc>
          <w:tcPr>
            <w:tcW w:w="4876" w:type="dxa"/>
            <w:tcBorders>
              <w:top w:val="nil"/>
              <w:left w:val="nil"/>
              <w:bottom w:val="nil"/>
              <w:right w:val="nil"/>
            </w:tcBorders>
            <w:hideMark/>
          </w:tcPr>
          <w:p w14:paraId="1FA05D8D" w14:textId="77777777" w:rsidR="008144C7" w:rsidRPr="00635D1D" w:rsidRDefault="008144C7" w:rsidP="00C5582D">
            <w:pPr>
              <w:pStyle w:val="Normal6a"/>
            </w:pPr>
            <w:r w:rsidRPr="00635D1D">
              <w:rPr>
                <w:vertAlign w:val="superscript"/>
              </w:rPr>
              <w:t>10</w:t>
            </w:r>
            <w:r w:rsidRPr="00635D1D">
              <w:t xml:space="preserve"> Rozporządzenie Parlamentu Europejskiego i Rady (WE) nr 1107/2009 z dnia 21 października 2009 r. dotyczące wprowadzania do obrotu środków ochrony roślin i uchylające dyrektywy Rady 79/117/EWG i 91/414/EWG (Dz.U. L 309 z 24.11.2009, s. 1, ELI: http://data.europa.eu/eli/reg/2009/1107/oj).</w:t>
            </w:r>
          </w:p>
        </w:tc>
      </w:tr>
      <w:tr w:rsidR="008144C7" w:rsidRPr="00635D1D" w14:paraId="66AE5DA9" w14:textId="77777777" w:rsidTr="00C5582D">
        <w:trPr>
          <w:jc w:val="center"/>
        </w:trPr>
        <w:tc>
          <w:tcPr>
            <w:tcW w:w="4876" w:type="dxa"/>
            <w:tcBorders>
              <w:top w:val="nil"/>
              <w:left w:val="nil"/>
              <w:bottom w:val="nil"/>
              <w:right w:val="nil"/>
            </w:tcBorders>
            <w:hideMark/>
          </w:tcPr>
          <w:p w14:paraId="1D38B720" w14:textId="77777777" w:rsidR="008144C7" w:rsidRPr="00635D1D" w:rsidRDefault="008144C7" w:rsidP="00C5582D">
            <w:pPr>
              <w:pStyle w:val="Normal6a"/>
            </w:pPr>
            <w:r w:rsidRPr="00635D1D">
              <w:rPr>
                <w:vertAlign w:val="superscript"/>
              </w:rPr>
              <w:t>11</w:t>
            </w:r>
            <w:r w:rsidRPr="00635D1D">
              <w:t xml:space="preserve"> Rozporządzenie Parlamentu Europejskiego i Rady (UE) nr 528/2012 z dnia 22 maja 2012 r. w sprawie udostępniania na rynku i stosowania produktów biobójczych (Dz.U. L 167 z </w:t>
            </w:r>
            <w:proofErr w:type="gramStart"/>
            <w:r w:rsidRPr="00635D1D">
              <w:t>27.6.2012</w:t>
            </w:r>
            <w:proofErr w:type="gramEnd"/>
            <w:r w:rsidRPr="00635D1D">
              <w:t>, s. 1, ELI: http://data.europa.eu/eli/reg/2012/528/oj).</w:t>
            </w:r>
          </w:p>
        </w:tc>
        <w:tc>
          <w:tcPr>
            <w:tcW w:w="4876" w:type="dxa"/>
            <w:tcBorders>
              <w:top w:val="nil"/>
              <w:left w:val="nil"/>
              <w:bottom w:val="nil"/>
              <w:right w:val="nil"/>
            </w:tcBorders>
            <w:hideMark/>
          </w:tcPr>
          <w:p w14:paraId="23D61347" w14:textId="77777777" w:rsidR="008144C7" w:rsidRPr="00635D1D" w:rsidRDefault="008144C7" w:rsidP="00C5582D">
            <w:pPr>
              <w:pStyle w:val="Normal6a"/>
            </w:pPr>
            <w:r w:rsidRPr="00635D1D">
              <w:rPr>
                <w:vertAlign w:val="superscript"/>
              </w:rPr>
              <w:t>11</w:t>
            </w:r>
            <w:r w:rsidRPr="00635D1D">
              <w:t xml:space="preserve"> Rozporządzenie Parlamentu Europejskiego i Rady (UE) nr 528/2012 z dnia 22 maja 2012 r. w sprawie udostępniania na rynku i stosowania produktów biobójczych (Dz.U. L 167 z </w:t>
            </w:r>
            <w:proofErr w:type="gramStart"/>
            <w:r w:rsidRPr="00635D1D">
              <w:t>27.6.2012</w:t>
            </w:r>
            <w:proofErr w:type="gramEnd"/>
            <w:r w:rsidRPr="00635D1D">
              <w:t>, s. 1, ELI: http://data.europa.eu/eli/reg/2012/528/oj).</w:t>
            </w:r>
          </w:p>
        </w:tc>
      </w:tr>
    </w:tbl>
    <w:p w14:paraId="4A4C188D"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6456B23C" w14:textId="77777777" w:rsidR="008144C7" w:rsidRPr="00E90719" w:rsidRDefault="008144C7" w:rsidP="008144C7">
      <w:pPr>
        <w:rPr>
          <w:lang w:val="en-GB"/>
        </w:rPr>
      </w:pPr>
      <w:r w:rsidRPr="00E90719">
        <w:rPr>
          <w:rStyle w:val="HideTWBExt"/>
          <w:lang w:val="en-GB"/>
        </w:rPr>
        <w:t>&lt;/Amend&gt;</w:t>
      </w:r>
    </w:p>
    <w:p w14:paraId="30C32DB3"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155</w:t>
      </w:r>
      <w:r w:rsidRPr="00E90719">
        <w:rPr>
          <w:rStyle w:val="HideTWBExt"/>
          <w:b w:val="0"/>
          <w:lang w:val="en-GB"/>
        </w:rPr>
        <w:t>&lt;/NumAm&gt;</w:t>
      </w:r>
    </w:p>
    <w:p w14:paraId="4ABD009F"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Salvatore De Meo, Flavio Tosi, Massimiliano Salini, Letizia Moratti</w:t>
      </w:r>
      <w:r w:rsidRPr="00E90719">
        <w:rPr>
          <w:rStyle w:val="HideTWBExt"/>
          <w:b w:val="0"/>
          <w:lang w:val="en-GB"/>
        </w:rPr>
        <w:t>&lt;/Members&gt;</w:t>
      </w:r>
    </w:p>
    <w:p w14:paraId="4FCDB05F" w14:textId="77777777" w:rsidR="008144C7" w:rsidRPr="00635D1D" w:rsidRDefault="008144C7" w:rsidP="008144C7">
      <w:pPr>
        <w:pStyle w:val="NormalBold"/>
      </w:pPr>
      <w:r w:rsidRPr="00635D1D">
        <w:rPr>
          <w:rStyle w:val="HideTWBExt"/>
          <w:b w:val="0"/>
        </w:rPr>
        <w:t>&lt;/RepeatBlock-By&gt;</w:t>
      </w:r>
    </w:p>
    <w:p w14:paraId="20F419D6"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F8FDABE" w14:textId="77777777" w:rsidR="008144C7" w:rsidRPr="00635D1D" w:rsidRDefault="008144C7" w:rsidP="008144C7">
      <w:pPr>
        <w:pStyle w:val="NormalBold"/>
      </w:pPr>
      <w:r w:rsidRPr="00635D1D">
        <w:rPr>
          <w:rStyle w:val="HideTWBExt"/>
          <w:b w:val="0"/>
        </w:rPr>
        <w:t>&lt;Article&gt;</w:t>
      </w:r>
      <w:r w:rsidRPr="00635D1D">
        <w:t>Motyw 10</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D972013" w14:textId="77777777" w:rsidTr="00C5582D">
        <w:trPr>
          <w:trHeight w:val="240"/>
          <w:jc w:val="center"/>
        </w:trPr>
        <w:tc>
          <w:tcPr>
            <w:tcW w:w="9752" w:type="dxa"/>
            <w:gridSpan w:val="2"/>
            <w:tcBorders>
              <w:top w:val="nil"/>
              <w:left w:val="nil"/>
              <w:bottom w:val="nil"/>
              <w:right w:val="nil"/>
            </w:tcBorders>
          </w:tcPr>
          <w:p w14:paraId="5CC7871C" w14:textId="77777777" w:rsidR="008144C7" w:rsidRPr="00635D1D" w:rsidRDefault="008144C7" w:rsidP="00C5582D"/>
        </w:tc>
      </w:tr>
      <w:tr w:rsidR="008144C7" w:rsidRPr="00635D1D" w14:paraId="2EA8CF11" w14:textId="77777777" w:rsidTr="00C5582D">
        <w:trPr>
          <w:trHeight w:val="240"/>
          <w:jc w:val="center"/>
        </w:trPr>
        <w:tc>
          <w:tcPr>
            <w:tcW w:w="4876" w:type="dxa"/>
            <w:tcBorders>
              <w:top w:val="nil"/>
              <w:left w:val="nil"/>
              <w:bottom w:val="nil"/>
              <w:right w:val="nil"/>
            </w:tcBorders>
            <w:hideMark/>
          </w:tcPr>
          <w:p w14:paraId="59B6701D"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6F7E213" w14:textId="77777777" w:rsidR="008144C7" w:rsidRPr="00635D1D" w:rsidRDefault="008144C7" w:rsidP="00C5582D">
            <w:pPr>
              <w:pStyle w:val="AmColumnHeading"/>
            </w:pPr>
            <w:r w:rsidRPr="00635D1D">
              <w:t>Poprawka</w:t>
            </w:r>
          </w:p>
        </w:tc>
      </w:tr>
      <w:tr w:rsidR="008144C7" w:rsidRPr="00635D1D" w14:paraId="2E456199" w14:textId="77777777" w:rsidTr="00C5582D">
        <w:trPr>
          <w:jc w:val="center"/>
        </w:trPr>
        <w:tc>
          <w:tcPr>
            <w:tcW w:w="4876" w:type="dxa"/>
            <w:tcBorders>
              <w:top w:val="nil"/>
              <w:left w:val="nil"/>
              <w:bottom w:val="nil"/>
              <w:right w:val="nil"/>
            </w:tcBorders>
            <w:hideMark/>
          </w:tcPr>
          <w:p w14:paraId="1D1C82B0" w14:textId="77777777" w:rsidR="008144C7" w:rsidRPr="00635D1D" w:rsidRDefault="008144C7" w:rsidP="00C5582D">
            <w:pPr>
              <w:pStyle w:val="Normal6a"/>
            </w:pPr>
            <w:r w:rsidRPr="00635D1D">
              <w:t>(10)</w:t>
            </w:r>
            <w:r w:rsidRPr="00635D1D">
              <w:tab/>
              <w:t>Ponieważ rozporządzenie Parlamentu Europejskiego i Rady (WE) nr 1107/2009</w:t>
            </w:r>
            <w:r w:rsidRPr="00635D1D">
              <w:rPr>
                <w:vertAlign w:val="superscript"/>
              </w:rPr>
              <w:t>10</w:t>
            </w:r>
            <w:r w:rsidRPr="00635D1D">
              <w:t xml:space="preserve"> i rozporządzenie Parlamentu Europejskiego i Rady (UE) nr 528/2012</w:t>
            </w:r>
            <w:r w:rsidRPr="00635D1D">
              <w:rPr>
                <w:vertAlign w:val="superscript"/>
              </w:rPr>
              <w:t>11</w:t>
            </w:r>
            <w:r w:rsidRPr="00635D1D">
              <w:t xml:space="preserve"> zawierają wymóg, aby w reklamach dozwolonych środków ochrony roślin i produktów biobójczych stosowano sformułowanie „Przed każdym użyciem należy przeczytać etykietę i informacje dotyczące produktu”, właściwe byłoby </w:t>
            </w:r>
            <w:r w:rsidRPr="00635D1D">
              <w:rPr>
                <w:b/>
                <w:bCs/>
                <w:i/>
                <w:iCs/>
              </w:rPr>
              <w:t>zastosowanie</w:t>
            </w:r>
            <w:r w:rsidRPr="00635D1D">
              <w:t xml:space="preserve"> tego samego wymogu w odniesieniu do reklam substancji i mieszanin stwarzających zagrożenie w celu zapewnienia spójności, zwłaszcza w przypadkach, gdy reklamowane substancje i mieszaniny stwarzające zagrożenie stanowią zarazem dozwolone środki ochrony roślin lub produkty biobójcze.</w:t>
            </w:r>
          </w:p>
        </w:tc>
        <w:tc>
          <w:tcPr>
            <w:tcW w:w="4876" w:type="dxa"/>
            <w:tcBorders>
              <w:top w:val="nil"/>
              <w:left w:val="nil"/>
              <w:bottom w:val="nil"/>
              <w:right w:val="nil"/>
            </w:tcBorders>
            <w:hideMark/>
          </w:tcPr>
          <w:p w14:paraId="69CE66A9" w14:textId="77777777" w:rsidR="008144C7" w:rsidRPr="00635D1D" w:rsidRDefault="008144C7" w:rsidP="00C5582D">
            <w:pPr>
              <w:pStyle w:val="Normal6a"/>
            </w:pPr>
            <w:r w:rsidRPr="00635D1D">
              <w:t>(10)</w:t>
            </w:r>
            <w:r w:rsidRPr="00635D1D">
              <w:tab/>
              <w:t>Ponieważ rozporządzenie Parlamentu Europejskiego i Rady (WE) nr 1107/2009</w:t>
            </w:r>
            <w:r w:rsidRPr="00635D1D">
              <w:rPr>
                <w:vertAlign w:val="superscript"/>
              </w:rPr>
              <w:t>10</w:t>
            </w:r>
            <w:r w:rsidRPr="00635D1D">
              <w:t xml:space="preserve"> i rozporządzenie Parlamentu Europejskiego i Rady (UE) nr 528/2012</w:t>
            </w:r>
            <w:r w:rsidRPr="00635D1D">
              <w:rPr>
                <w:vertAlign w:val="superscript"/>
              </w:rPr>
              <w:t>11</w:t>
            </w:r>
            <w:r w:rsidRPr="00635D1D">
              <w:t xml:space="preserve"> zawierają wymóg, aby w reklamach dozwolonych środków ochrony roślin i produktów biobójczych stosowano sformułowanie „Przed każdym użyciem należy przeczytać etykietę i informacje dotyczące produktu”, właściwe byłoby </w:t>
            </w:r>
            <w:r w:rsidRPr="00635D1D">
              <w:rPr>
                <w:b/>
                <w:i/>
              </w:rPr>
              <w:t>stosowanie się przez reklamodawców do</w:t>
            </w:r>
            <w:r w:rsidRPr="00635D1D">
              <w:t xml:space="preserve"> tego samego wymogu w odniesieniu do reklam substancji i mieszanin stwarzających zagrożenie w celu zapewnienia spójności, zwłaszcza w przypadkach, gdy reklamowane substancje i mieszaniny stwarzające zagrożenie stanowią zarazem dozwolone środki ochrony roślin lub produkty biobójcze.</w:t>
            </w:r>
          </w:p>
        </w:tc>
      </w:tr>
      <w:tr w:rsidR="008144C7" w:rsidRPr="00635D1D" w14:paraId="0EE2AB97" w14:textId="77777777" w:rsidTr="00C5582D">
        <w:trPr>
          <w:jc w:val="center"/>
        </w:trPr>
        <w:tc>
          <w:tcPr>
            <w:tcW w:w="4876" w:type="dxa"/>
            <w:tcBorders>
              <w:top w:val="nil"/>
              <w:left w:val="nil"/>
              <w:bottom w:val="nil"/>
              <w:right w:val="nil"/>
            </w:tcBorders>
            <w:hideMark/>
          </w:tcPr>
          <w:p w14:paraId="36BDFC41"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31832301" w14:textId="77777777" w:rsidR="008144C7" w:rsidRPr="00635D1D" w:rsidRDefault="008144C7" w:rsidP="00C5582D">
            <w:pPr>
              <w:pStyle w:val="Normal6a"/>
            </w:pPr>
            <w:r w:rsidRPr="00635D1D">
              <w:rPr>
                <w:b/>
                <w:i/>
              </w:rPr>
              <w:t>_________________</w:t>
            </w:r>
          </w:p>
        </w:tc>
      </w:tr>
      <w:tr w:rsidR="008144C7" w:rsidRPr="00635D1D" w14:paraId="3062E030" w14:textId="77777777" w:rsidTr="00C5582D">
        <w:trPr>
          <w:jc w:val="center"/>
        </w:trPr>
        <w:tc>
          <w:tcPr>
            <w:tcW w:w="4876" w:type="dxa"/>
            <w:tcBorders>
              <w:top w:val="nil"/>
              <w:left w:val="nil"/>
              <w:bottom w:val="nil"/>
              <w:right w:val="nil"/>
            </w:tcBorders>
            <w:hideMark/>
          </w:tcPr>
          <w:p w14:paraId="28DD8B9C" w14:textId="77777777" w:rsidR="008144C7" w:rsidRPr="00635D1D" w:rsidRDefault="008144C7" w:rsidP="00C5582D">
            <w:pPr>
              <w:pStyle w:val="Normal6a"/>
            </w:pPr>
            <w:r w:rsidRPr="00635D1D">
              <w:rPr>
                <w:vertAlign w:val="superscript"/>
              </w:rPr>
              <w:t>10</w:t>
            </w:r>
            <w:r w:rsidRPr="00635D1D">
              <w:t xml:space="preserve"> Rozporządzenie Parlamentu Europejskiego i Rady (WE) nr 1107/2009 z dnia 21 października 2009 r. dotyczące wprowadzania do obrotu środków ochrony roślin i uchylające dyrektywy Rady 79/117/EWG i 91/414/EWG (Dz.U. L 309 z 24.11.2009, s. 1, ELI: http://data.europa.eu/eli/reg/2009/1107/oj).</w:t>
            </w:r>
          </w:p>
        </w:tc>
        <w:tc>
          <w:tcPr>
            <w:tcW w:w="4876" w:type="dxa"/>
            <w:tcBorders>
              <w:top w:val="nil"/>
              <w:left w:val="nil"/>
              <w:bottom w:val="nil"/>
              <w:right w:val="nil"/>
            </w:tcBorders>
            <w:hideMark/>
          </w:tcPr>
          <w:p w14:paraId="5641ABA6" w14:textId="77777777" w:rsidR="008144C7" w:rsidRPr="00635D1D" w:rsidRDefault="008144C7" w:rsidP="00C5582D">
            <w:pPr>
              <w:pStyle w:val="Normal6a"/>
            </w:pPr>
            <w:r w:rsidRPr="00635D1D">
              <w:rPr>
                <w:vertAlign w:val="superscript"/>
              </w:rPr>
              <w:t>10</w:t>
            </w:r>
            <w:r w:rsidRPr="00635D1D">
              <w:t xml:space="preserve"> Rozporządzenie Parlamentu Europejskiego i Rady (WE) nr 1107/2009 z dnia 21 października 2009 r. dotyczące wprowadzania do obrotu środków ochrony roślin i uchylające dyrektywy Rady 79/117/EWG i 91/414/EWG (Dz.U. L 309 z 24.11.2009, s. 1, ELI: http://data.europa.eu/eli/reg/2009/1107/oj).</w:t>
            </w:r>
          </w:p>
        </w:tc>
      </w:tr>
      <w:tr w:rsidR="008144C7" w:rsidRPr="00635D1D" w14:paraId="6D44D461" w14:textId="77777777" w:rsidTr="00C5582D">
        <w:trPr>
          <w:jc w:val="center"/>
        </w:trPr>
        <w:tc>
          <w:tcPr>
            <w:tcW w:w="4876" w:type="dxa"/>
            <w:tcBorders>
              <w:top w:val="nil"/>
              <w:left w:val="nil"/>
              <w:bottom w:val="nil"/>
              <w:right w:val="nil"/>
            </w:tcBorders>
            <w:hideMark/>
          </w:tcPr>
          <w:p w14:paraId="5C3F65F5" w14:textId="77777777" w:rsidR="008144C7" w:rsidRPr="00635D1D" w:rsidRDefault="008144C7" w:rsidP="00C5582D">
            <w:pPr>
              <w:pStyle w:val="Normal6a"/>
            </w:pPr>
            <w:r w:rsidRPr="00635D1D">
              <w:rPr>
                <w:vertAlign w:val="superscript"/>
              </w:rPr>
              <w:t>11</w:t>
            </w:r>
            <w:r w:rsidRPr="00635D1D">
              <w:t xml:space="preserve"> Rozporządzenie Parlamentu Europejskiego i Rady (UE) nr 528/2012 z dnia 22 maja 2012 r. w sprawie udostępniania na rynku i stosowania produktów biobójczych (Dz.U. L 167 z </w:t>
            </w:r>
            <w:proofErr w:type="gramStart"/>
            <w:r w:rsidRPr="00635D1D">
              <w:t>27.6.2012</w:t>
            </w:r>
            <w:proofErr w:type="gramEnd"/>
            <w:r w:rsidRPr="00635D1D">
              <w:t>, s. 1, ELI: http://data.europa.eu/eli/reg/2012/528/oj).</w:t>
            </w:r>
          </w:p>
        </w:tc>
        <w:tc>
          <w:tcPr>
            <w:tcW w:w="4876" w:type="dxa"/>
            <w:tcBorders>
              <w:top w:val="nil"/>
              <w:left w:val="nil"/>
              <w:bottom w:val="nil"/>
              <w:right w:val="nil"/>
            </w:tcBorders>
            <w:hideMark/>
          </w:tcPr>
          <w:p w14:paraId="07373DA7" w14:textId="77777777" w:rsidR="008144C7" w:rsidRPr="00635D1D" w:rsidRDefault="008144C7" w:rsidP="00C5582D">
            <w:pPr>
              <w:pStyle w:val="Normal6a"/>
            </w:pPr>
            <w:r w:rsidRPr="00635D1D">
              <w:rPr>
                <w:vertAlign w:val="superscript"/>
              </w:rPr>
              <w:t>11</w:t>
            </w:r>
            <w:r w:rsidRPr="00635D1D">
              <w:t xml:space="preserve"> Rozporządzenie Parlamentu Europejskiego i Rady (UE) nr 528/2012 z dnia 22 maja 2012 r. w sprawie udostępniania na rynku i stosowania produktów biobójczych (Dz.U. L 167 z </w:t>
            </w:r>
            <w:proofErr w:type="gramStart"/>
            <w:r w:rsidRPr="00635D1D">
              <w:t>27.6.2012</w:t>
            </w:r>
            <w:proofErr w:type="gramEnd"/>
            <w:r w:rsidRPr="00635D1D">
              <w:t>, s. 1, ELI: http://data.europa.eu/eli/reg/2012/528/oj).</w:t>
            </w:r>
          </w:p>
        </w:tc>
      </w:tr>
    </w:tbl>
    <w:p w14:paraId="04948D98"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5208B98A" w14:textId="77777777" w:rsidR="008144C7" w:rsidRPr="00AD15CF" w:rsidRDefault="008144C7" w:rsidP="008144C7">
      <w:pPr>
        <w:rPr>
          <w:lang w:val="en-GB"/>
        </w:rPr>
      </w:pPr>
      <w:r w:rsidRPr="00AD15CF">
        <w:rPr>
          <w:rStyle w:val="HideTWBExt"/>
          <w:lang w:val="en-GB"/>
        </w:rPr>
        <w:t>&lt;/Amend&gt;</w:t>
      </w:r>
    </w:p>
    <w:p w14:paraId="5082E27F"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156</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4837F5FB"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Pietro Fiocchi, Antonella </w:t>
      </w:r>
      <w:proofErr w:type="spellStart"/>
      <w:r w:rsidRPr="00AD15CF">
        <w:rPr>
          <w:lang w:val="en-GB"/>
        </w:rPr>
        <w:t>Sberna</w:t>
      </w:r>
      <w:proofErr w:type="spellEnd"/>
      <w:r w:rsidRPr="00AD15CF">
        <w:rPr>
          <w:rStyle w:val="HideTWBExt"/>
          <w:b w:val="0"/>
          <w:lang w:val="en-GB"/>
        </w:rPr>
        <w:t>&lt;/Members&gt;</w:t>
      </w:r>
    </w:p>
    <w:p w14:paraId="25E481D7" w14:textId="77777777" w:rsidR="008144C7" w:rsidRPr="00635D1D" w:rsidRDefault="008144C7" w:rsidP="008144C7">
      <w:pPr>
        <w:pStyle w:val="NormalBold"/>
      </w:pPr>
      <w:r w:rsidRPr="00635D1D">
        <w:rPr>
          <w:rStyle w:val="HideTWBExt"/>
          <w:b w:val="0"/>
        </w:rPr>
        <w:t>&lt;/RepeatBlock-By&gt;</w:t>
      </w:r>
    </w:p>
    <w:p w14:paraId="4A55DEE9"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B556743" w14:textId="77777777" w:rsidR="008144C7" w:rsidRPr="00635D1D" w:rsidRDefault="008144C7" w:rsidP="008144C7">
      <w:pPr>
        <w:pStyle w:val="NormalBold"/>
      </w:pPr>
      <w:r w:rsidRPr="00635D1D">
        <w:rPr>
          <w:rStyle w:val="HideTWBExt"/>
          <w:b w:val="0"/>
        </w:rPr>
        <w:t>&lt;Article&gt;</w:t>
      </w:r>
      <w:r w:rsidRPr="00635D1D">
        <w:t>Motyw 10</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432EAEF" w14:textId="77777777" w:rsidTr="00C5582D">
        <w:trPr>
          <w:trHeight w:val="240"/>
          <w:jc w:val="center"/>
        </w:trPr>
        <w:tc>
          <w:tcPr>
            <w:tcW w:w="9752" w:type="dxa"/>
            <w:gridSpan w:val="2"/>
            <w:tcBorders>
              <w:top w:val="nil"/>
              <w:left w:val="nil"/>
              <w:bottom w:val="nil"/>
              <w:right w:val="nil"/>
            </w:tcBorders>
          </w:tcPr>
          <w:p w14:paraId="76674E47" w14:textId="77777777" w:rsidR="008144C7" w:rsidRPr="00635D1D" w:rsidRDefault="008144C7" w:rsidP="00C5582D"/>
        </w:tc>
      </w:tr>
      <w:tr w:rsidR="008144C7" w:rsidRPr="00635D1D" w14:paraId="354D107A" w14:textId="77777777" w:rsidTr="00C5582D">
        <w:trPr>
          <w:trHeight w:val="240"/>
          <w:jc w:val="center"/>
        </w:trPr>
        <w:tc>
          <w:tcPr>
            <w:tcW w:w="4876" w:type="dxa"/>
            <w:tcBorders>
              <w:top w:val="nil"/>
              <w:left w:val="nil"/>
              <w:bottom w:val="nil"/>
              <w:right w:val="nil"/>
            </w:tcBorders>
            <w:hideMark/>
          </w:tcPr>
          <w:p w14:paraId="606BB774"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F69B4E2" w14:textId="77777777" w:rsidR="008144C7" w:rsidRPr="00635D1D" w:rsidRDefault="008144C7" w:rsidP="00C5582D">
            <w:pPr>
              <w:pStyle w:val="AmColumnHeading"/>
            </w:pPr>
            <w:r w:rsidRPr="00635D1D">
              <w:t>Poprawka</w:t>
            </w:r>
          </w:p>
        </w:tc>
      </w:tr>
      <w:tr w:rsidR="008144C7" w:rsidRPr="00635D1D" w14:paraId="798A2048" w14:textId="77777777" w:rsidTr="00C5582D">
        <w:trPr>
          <w:jc w:val="center"/>
        </w:trPr>
        <w:tc>
          <w:tcPr>
            <w:tcW w:w="4876" w:type="dxa"/>
            <w:tcBorders>
              <w:top w:val="nil"/>
              <w:left w:val="nil"/>
              <w:bottom w:val="nil"/>
              <w:right w:val="nil"/>
            </w:tcBorders>
            <w:hideMark/>
          </w:tcPr>
          <w:p w14:paraId="687DF202" w14:textId="77777777" w:rsidR="008144C7" w:rsidRPr="00635D1D" w:rsidRDefault="008144C7" w:rsidP="00C5582D">
            <w:pPr>
              <w:pStyle w:val="Normal6a"/>
            </w:pPr>
            <w:r w:rsidRPr="00635D1D">
              <w:t>(10)</w:t>
            </w:r>
            <w:r w:rsidRPr="00635D1D">
              <w:tab/>
              <w:t>Ponieważ rozporządzenie Parlamentu Europejskiego i Rady (WE) nr 1107/2009</w:t>
            </w:r>
            <w:r w:rsidRPr="00635D1D">
              <w:rPr>
                <w:vertAlign w:val="superscript"/>
              </w:rPr>
              <w:t>10</w:t>
            </w:r>
            <w:r w:rsidRPr="00635D1D">
              <w:t xml:space="preserve"> i rozporządzenie Parlamentu Europejskiego i Rady (UE) nr 528/2012</w:t>
            </w:r>
            <w:r w:rsidRPr="00635D1D">
              <w:rPr>
                <w:vertAlign w:val="superscript"/>
              </w:rPr>
              <w:t>11</w:t>
            </w:r>
            <w:r w:rsidRPr="00635D1D">
              <w:t xml:space="preserve"> zawierają wymóg, aby w reklamach dozwolonych środków ochrony roślin i produktów biobójczych stosowano sformułowanie „Przed każdym użyciem należy przeczytać etykietę i informacje dotyczące produktu”, właściwe byłoby </w:t>
            </w:r>
            <w:r w:rsidRPr="00635D1D">
              <w:rPr>
                <w:b/>
                <w:i/>
              </w:rPr>
              <w:t>zastosowanie tego samego wymogu</w:t>
            </w:r>
            <w:r w:rsidRPr="00635D1D">
              <w:t xml:space="preserve"> w odniesieniu do reklam substancji i mieszanin stwarzających zagrożenie w celu zapewnienia spójności, zwłaszcza w przypadkach, gdy reklamowane substancje i mieszaniny stwarzające zagrożenie stanowią zarazem dozwolone środki ochrony roślin lub produkty biobójcze.</w:t>
            </w:r>
          </w:p>
        </w:tc>
        <w:tc>
          <w:tcPr>
            <w:tcW w:w="4876" w:type="dxa"/>
            <w:tcBorders>
              <w:top w:val="nil"/>
              <w:left w:val="nil"/>
              <w:bottom w:val="nil"/>
              <w:right w:val="nil"/>
            </w:tcBorders>
            <w:hideMark/>
          </w:tcPr>
          <w:p w14:paraId="42BA20D3" w14:textId="77777777" w:rsidR="008144C7" w:rsidRPr="00635D1D" w:rsidRDefault="008144C7" w:rsidP="00C5582D">
            <w:pPr>
              <w:pStyle w:val="Normal6a"/>
            </w:pPr>
            <w:r w:rsidRPr="00635D1D">
              <w:t>(10)</w:t>
            </w:r>
            <w:r w:rsidRPr="00635D1D">
              <w:tab/>
              <w:t>Ponieważ rozporządzenie Parlamentu Europejskiego i Rady (WE) nr 1107/2009</w:t>
            </w:r>
            <w:r w:rsidRPr="00635D1D">
              <w:rPr>
                <w:vertAlign w:val="superscript"/>
              </w:rPr>
              <w:t>10</w:t>
            </w:r>
            <w:r w:rsidRPr="00635D1D">
              <w:t xml:space="preserve"> i rozporządzenie Parlamentu Europejskiego i Rady (UE) nr 528/2012</w:t>
            </w:r>
            <w:r w:rsidRPr="00635D1D">
              <w:rPr>
                <w:vertAlign w:val="superscript"/>
              </w:rPr>
              <w:t>11</w:t>
            </w:r>
            <w:r w:rsidRPr="00635D1D">
              <w:t xml:space="preserve"> zawierają wymóg, aby w reklamach dozwolonych środków ochrony roślin i produktów biobójczych stosowano sformułowanie „Przed każdym użyciem należy przeczytać etykietę i informacje dotyczące produktu”, właściwe byłoby </w:t>
            </w:r>
            <w:r w:rsidRPr="00635D1D">
              <w:rPr>
                <w:b/>
                <w:i/>
              </w:rPr>
              <w:t>stosowanie przez reklamodawców podobnego stwierdzenia</w:t>
            </w:r>
            <w:r w:rsidRPr="00635D1D">
              <w:t xml:space="preserve"> w odniesieniu do reklam substancji i mieszanin stwarzających zagrożenie w celu zapewnienia spójności, zwłaszcza w przypadkach, gdy reklamowane substancje i mieszaniny stwarzające zagrożenie stanowią zarazem dozwolone środki ochrony roślin lub produkty biobójcze.</w:t>
            </w:r>
          </w:p>
        </w:tc>
      </w:tr>
      <w:tr w:rsidR="008144C7" w:rsidRPr="00635D1D" w14:paraId="07E27AE5" w14:textId="77777777" w:rsidTr="00C5582D">
        <w:trPr>
          <w:jc w:val="center"/>
        </w:trPr>
        <w:tc>
          <w:tcPr>
            <w:tcW w:w="4876" w:type="dxa"/>
            <w:tcBorders>
              <w:top w:val="nil"/>
              <w:left w:val="nil"/>
              <w:bottom w:val="nil"/>
              <w:right w:val="nil"/>
            </w:tcBorders>
            <w:hideMark/>
          </w:tcPr>
          <w:p w14:paraId="43055DFF"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3FF3D295" w14:textId="77777777" w:rsidR="008144C7" w:rsidRPr="00635D1D" w:rsidRDefault="008144C7" w:rsidP="00C5582D">
            <w:pPr>
              <w:pStyle w:val="Normal6a"/>
            </w:pPr>
            <w:r w:rsidRPr="00635D1D">
              <w:rPr>
                <w:b/>
                <w:i/>
              </w:rPr>
              <w:t>_________________</w:t>
            </w:r>
          </w:p>
        </w:tc>
      </w:tr>
      <w:tr w:rsidR="008144C7" w:rsidRPr="00635D1D" w14:paraId="6D5B8B59" w14:textId="77777777" w:rsidTr="00C5582D">
        <w:trPr>
          <w:jc w:val="center"/>
        </w:trPr>
        <w:tc>
          <w:tcPr>
            <w:tcW w:w="4876" w:type="dxa"/>
            <w:tcBorders>
              <w:top w:val="nil"/>
              <w:left w:val="nil"/>
              <w:bottom w:val="nil"/>
              <w:right w:val="nil"/>
            </w:tcBorders>
            <w:hideMark/>
          </w:tcPr>
          <w:p w14:paraId="169151BA" w14:textId="77777777" w:rsidR="008144C7" w:rsidRPr="00635D1D" w:rsidRDefault="008144C7" w:rsidP="00C5582D">
            <w:pPr>
              <w:pStyle w:val="Normal6a"/>
            </w:pPr>
            <w:r w:rsidRPr="00635D1D">
              <w:rPr>
                <w:vertAlign w:val="superscript"/>
              </w:rPr>
              <w:t>10</w:t>
            </w:r>
            <w:r w:rsidRPr="00635D1D">
              <w:t xml:space="preserve"> Rozporządzenie Parlamentu Europejskiego i Rady (WE) nr 1107/2009 z dnia 21 października 2009 r. dotyczące wprowadzania do obrotu środków ochrony roślin i uchylające dyrektywy Rady 79/117/EWG i 91/414/EWG (Dz.U. L 309 z 24.11.2009, s. 1, ELI: http://data.europa.eu/eli/reg/2009/1107/oj).</w:t>
            </w:r>
          </w:p>
        </w:tc>
        <w:tc>
          <w:tcPr>
            <w:tcW w:w="4876" w:type="dxa"/>
            <w:tcBorders>
              <w:top w:val="nil"/>
              <w:left w:val="nil"/>
              <w:bottom w:val="nil"/>
              <w:right w:val="nil"/>
            </w:tcBorders>
            <w:hideMark/>
          </w:tcPr>
          <w:p w14:paraId="5FF8F854" w14:textId="77777777" w:rsidR="008144C7" w:rsidRPr="00635D1D" w:rsidRDefault="008144C7" w:rsidP="00C5582D">
            <w:pPr>
              <w:pStyle w:val="Normal6a"/>
            </w:pPr>
            <w:r w:rsidRPr="00635D1D">
              <w:rPr>
                <w:vertAlign w:val="superscript"/>
              </w:rPr>
              <w:t>10</w:t>
            </w:r>
            <w:r w:rsidRPr="00635D1D">
              <w:t xml:space="preserve"> Rozporządzenie Parlamentu Europejskiego i Rady (WE) nr 1107/2009 z dnia 21 października 2009 r. dotyczące wprowadzania do obrotu środków ochrony roślin i uchylające dyrektywy Rady 79/117/EWG i 91/414/EWG (Dz.U. L 309 z 24.11.2009, s. 1, ELI: http://data.europa.eu/eli/reg/2009/1107/oj).</w:t>
            </w:r>
          </w:p>
        </w:tc>
      </w:tr>
      <w:tr w:rsidR="008144C7" w:rsidRPr="00635D1D" w14:paraId="2671454E" w14:textId="77777777" w:rsidTr="00C5582D">
        <w:trPr>
          <w:jc w:val="center"/>
        </w:trPr>
        <w:tc>
          <w:tcPr>
            <w:tcW w:w="4876" w:type="dxa"/>
            <w:tcBorders>
              <w:top w:val="nil"/>
              <w:left w:val="nil"/>
              <w:bottom w:val="nil"/>
              <w:right w:val="nil"/>
            </w:tcBorders>
            <w:hideMark/>
          </w:tcPr>
          <w:p w14:paraId="6BFDD78E" w14:textId="77777777" w:rsidR="008144C7" w:rsidRPr="00635D1D" w:rsidRDefault="008144C7" w:rsidP="00C5582D">
            <w:pPr>
              <w:pStyle w:val="Normal6a"/>
            </w:pPr>
            <w:r w:rsidRPr="00635D1D">
              <w:rPr>
                <w:vertAlign w:val="superscript"/>
              </w:rPr>
              <w:t>11</w:t>
            </w:r>
            <w:r w:rsidRPr="00635D1D">
              <w:t xml:space="preserve"> Rozporządzenie Parlamentu Europejskiego i Rady (UE) nr 528/2012 z dnia 22 maja 2012 r. w sprawie udostępniania na rynku i stosowania produktów biobójczych (Dz.U. L 167 z </w:t>
            </w:r>
            <w:proofErr w:type="gramStart"/>
            <w:r w:rsidRPr="00635D1D">
              <w:t>27.6.2012</w:t>
            </w:r>
            <w:proofErr w:type="gramEnd"/>
            <w:r w:rsidRPr="00635D1D">
              <w:t>, s. 1, ELI: http://data.europa.eu/eli/reg/2012/528/oj).</w:t>
            </w:r>
          </w:p>
        </w:tc>
        <w:tc>
          <w:tcPr>
            <w:tcW w:w="4876" w:type="dxa"/>
            <w:tcBorders>
              <w:top w:val="nil"/>
              <w:left w:val="nil"/>
              <w:bottom w:val="nil"/>
              <w:right w:val="nil"/>
            </w:tcBorders>
            <w:hideMark/>
          </w:tcPr>
          <w:p w14:paraId="0443571A" w14:textId="77777777" w:rsidR="008144C7" w:rsidRPr="00635D1D" w:rsidRDefault="008144C7" w:rsidP="00C5582D">
            <w:pPr>
              <w:pStyle w:val="Normal6a"/>
            </w:pPr>
            <w:r w:rsidRPr="00635D1D">
              <w:rPr>
                <w:vertAlign w:val="superscript"/>
              </w:rPr>
              <w:t>11</w:t>
            </w:r>
            <w:r w:rsidRPr="00635D1D">
              <w:t xml:space="preserve"> Rozporządzenie Parlamentu Europejskiego i Rady (UE) nr 528/2012 z dnia 22 maja 2012 r. w sprawie udostępniania na rynku i stosowania produktów biobójczych (Dz.U. L 167 z </w:t>
            </w:r>
            <w:proofErr w:type="gramStart"/>
            <w:r w:rsidRPr="00635D1D">
              <w:t>27.6.2012</w:t>
            </w:r>
            <w:proofErr w:type="gramEnd"/>
            <w:r w:rsidRPr="00635D1D">
              <w:t>, s. 1, ELI: http://data.europa.eu/eli/reg/2012/528/oj).</w:t>
            </w:r>
          </w:p>
        </w:tc>
      </w:tr>
    </w:tbl>
    <w:p w14:paraId="627C9867"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60EF83CE"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5FA04E40" w14:textId="77777777" w:rsidR="008144C7" w:rsidRPr="00635D1D" w:rsidRDefault="008144C7" w:rsidP="008144C7">
      <w:pPr>
        <w:pStyle w:val="AmJustText"/>
      </w:pPr>
      <w:r w:rsidRPr="00635D1D">
        <w:t>Ogólne oświadczenie, wymagane na mocy rozporządzenia (UE) nr 528/2012, okazało się skuteczne pod względem informowania o zagrożeniach związanych z produktem, w przypadku gdy elementy etykiety nie są dostępne w miejscu zakupu. Sformułowanie „Przed każdym użyciem należy przeczytać etykietę i informacje dotyczące produktu.” powinno zatem być stosowane przez reklamodawców w tej właśnie formie, aby uniknąć różnic oraz uniknąć powielania wymogów rozporządzenia CLP i ustanowionego brzmienia rozporządzenia w sprawie produktów biobójczych.</w:t>
      </w:r>
    </w:p>
    <w:p w14:paraId="23E6D3FB" w14:textId="77777777" w:rsidR="008144C7" w:rsidRPr="00635D1D" w:rsidRDefault="008144C7" w:rsidP="008144C7">
      <w:r w:rsidRPr="00635D1D">
        <w:rPr>
          <w:rStyle w:val="HideTWBExt"/>
        </w:rPr>
        <w:t>&lt;/Amend&gt;</w:t>
      </w:r>
    </w:p>
    <w:p w14:paraId="2FEE3BB8"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157</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6175C487" w14:textId="77777777" w:rsidR="008144C7" w:rsidRPr="00635D1D" w:rsidRDefault="008144C7" w:rsidP="008144C7">
      <w:pPr>
        <w:pStyle w:val="NormalBold"/>
      </w:pPr>
      <w:r w:rsidRPr="00635D1D">
        <w:rPr>
          <w:rStyle w:val="HideTWBExt"/>
          <w:b w:val="0"/>
        </w:rPr>
        <w:t>&lt;RepeatBlock-By&gt;&lt;Members&gt;</w:t>
      </w:r>
      <w:proofErr w:type="spellStart"/>
      <w:r w:rsidRPr="00635D1D">
        <w:t>Idoia</w:t>
      </w:r>
      <w:proofErr w:type="spellEnd"/>
      <w:r w:rsidRPr="00635D1D">
        <w:t xml:space="preserve"> </w:t>
      </w:r>
      <w:proofErr w:type="spellStart"/>
      <w:r w:rsidRPr="00635D1D">
        <w:t>Mendia</w:t>
      </w:r>
      <w:proofErr w:type="spellEnd"/>
      <w:r w:rsidRPr="00635D1D">
        <w:t xml:space="preserve">, Kristian </w:t>
      </w:r>
      <w:proofErr w:type="spellStart"/>
      <w:r w:rsidRPr="00635D1D">
        <w:t>Vigenin</w:t>
      </w:r>
      <w:proofErr w:type="spellEnd"/>
      <w:r w:rsidRPr="00635D1D">
        <w:t xml:space="preserve">, François </w:t>
      </w:r>
      <w:proofErr w:type="spellStart"/>
      <w:r w:rsidRPr="00635D1D">
        <w:t>Kalfon</w:t>
      </w:r>
      <w:proofErr w:type="spellEnd"/>
      <w:r w:rsidRPr="00635D1D">
        <w:t xml:space="preserve">, </w:t>
      </w:r>
      <w:proofErr w:type="spellStart"/>
      <w:r w:rsidRPr="00635D1D">
        <w:t>Elisabeth</w:t>
      </w:r>
      <w:proofErr w:type="spellEnd"/>
      <w:r w:rsidRPr="00635D1D">
        <w:t xml:space="preserve"> Grossmann, </w:t>
      </w:r>
      <w:proofErr w:type="spellStart"/>
      <w:r w:rsidRPr="00635D1D">
        <w:t>Adnan</w:t>
      </w:r>
      <w:proofErr w:type="spellEnd"/>
      <w:r w:rsidRPr="00635D1D">
        <w:t xml:space="preserve"> </w:t>
      </w:r>
      <w:proofErr w:type="spellStart"/>
      <w:r w:rsidRPr="00635D1D">
        <w:t>Dibrani</w:t>
      </w:r>
      <w:proofErr w:type="spellEnd"/>
      <w:r w:rsidRPr="00635D1D">
        <w:t xml:space="preserve">, </w:t>
      </w:r>
      <w:proofErr w:type="spellStart"/>
      <w:r w:rsidRPr="00635D1D">
        <w:t>Sakis</w:t>
      </w:r>
      <w:proofErr w:type="spellEnd"/>
      <w:r w:rsidRPr="00635D1D">
        <w:t xml:space="preserve"> </w:t>
      </w:r>
      <w:proofErr w:type="spellStart"/>
      <w:r w:rsidRPr="00635D1D">
        <w:t>Arnaoutoglou</w:t>
      </w:r>
      <w:proofErr w:type="spellEnd"/>
      <w:r w:rsidRPr="00635D1D">
        <w:t xml:space="preserve">, </w:t>
      </w:r>
      <w:proofErr w:type="spellStart"/>
      <w:r w:rsidRPr="00635D1D">
        <w:t>César</w:t>
      </w:r>
      <w:proofErr w:type="spellEnd"/>
      <w:r w:rsidRPr="00635D1D">
        <w:t xml:space="preserve"> </w:t>
      </w:r>
      <w:proofErr w:type="spellStart"/>
      <w:r w:rsidRPr="00635D1D">
        <w:t>Luena</w:t>
      </w:r>
      <w:proofErr w:type="spellEnd"/>
      <w:r w:rsidRPr="00635D1D">
        <w:t xml:space="preserve">, Christophe </w:t>
      </w:r>
      <w:proofErr w:type="spellStart"/>
      <w:r w:rsidRPr="00635D1D">
        <w:t>Clergeau</w:t>
      </w:r>
      <w:proofErr w:type="spellEnd"/>
      <w:r w:rsidRPr="00635D1D">
        <w:t xml:space="preserve">, </w:t>
      </w:r>
      <w:proofErr w:type="spellStart"/>
      <w:r w:rsidRPr="00635D1D">
        <w:t>Tiemo</w:t>
      </w:r>
      <w:proofErr w:type="spellEnd"/>
      <w:r w:rsidRPr="00635D1D">
        <w:t xml:space="preserve"> </w:t>
      </w:r>
      <w:proofErr w:type="spellStart"/>
      <w:r w:rsidRPr="00635D1D">
        <w:t>Wölken</w:t>
      </w:r>
      <w:proofErr w:type="spellEnd"/>
      <w:r w:rsidRPr="00635D1D">
        <w:t xml:space="preserve">, </w:t>
      </w:r>
      <w:proofErr w:type="spellStart"/>
      <w:r w:rsidRPr="00635D1D">
        <w:t>Annalisa</w:t>
      </w:r>
      <w:proofErr w:type="spellEnd"/>
      <w:r w:rsidRPr="00635D1D">
        <w:t xml:space="preserve"> Corrado, </w:t>
      </w:r>
      <w:proofErr w:type="spellStart"/>
      <w:r w:rsidRPr="00635D1D">
        <w:t>Heléne</w:t>
      </w:r>
      <w:proofErr w:type="spellEnd"/>
      <w:r w:rsidRPr="00635D1D">
        <w:t xml:space="preserve"> </w:t>
      </w:r>
      <w:proofErr w:type="spellStart"/>
      <w:r w:rsidRPr="00635D1D">
        <w:t>Fritzon</w:t>
      </w:r>
      <w:proofErr w:type="spellEnd"/>
      <w:r w:rsidRPr="00635D1D">
        <w:t>, Marta Temido</w:t>
      </w:r>
      <w:r w:rsidRPr="00635D1D">
        <w:rPr>
          <w:rStyle w:val="HideTWBExt"/>
          <w:b w:val="0"/>
        </w:rPr>
        <w:t>&lt;/</w:t>
      </w:r>
      <w:proofErr w:type="spellStart"/>
      <w:r w:rsidRPr="00635D1D">
        <w:rPr>
          <w:rStyle w:val="HideTWBExt"/>
          <w:b w:val="0"/>
        </w:rPr>
        <w:t>Members</w:t>
      </w:r>
      <w:proofErr w:type="spellEnd"/>
      <w:r w:rsidRPr="00635D1D">
        <w:rPr>
          <w:rStyle w:val="HideTWBExt"/>
          <w:b w:val="0"/>
        </w:rPr>
        <w:t>&gt;</w:t>
      </w:r>
    </w:p>
    <w:p w14:paraId="7E016234" w14:textId="77777777" w:rsidR="008144C7" w:rsidRPr="00635D1D" w:rsidRDefault="008144C7" w:rsidP="008144C7">
      <w:pPr>
        <w:pStyle w:val="NormalBold"/>
      </w:pPr>
      <w:r w:rsidRPr="00635D1D">
        <w:rPr>
          <w:rStyle w:val="HideTWBExt"/>
          <w:b w:val="0"/>
        </w:rPr>
        <w:t>&lt;/RepeatBlock-By&gt;</w:t>
      </w:r>
    </w:p>
    <w:p w14:paraId="16216C10"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B3B6F5E" w14:textId="77777777" w:rsidR="008144C7" w:rsidRPr="00635D1D" w:rsidRDefault="008144C7" w:rsidP="008144C7">
      <w:pPr>
        <w:pStyle w:val="NormalBold"/>
      </w:pPr>
      <w:r w:rsidRPr="00635D1D">
        <w:rPr>
          <w:rStyle w:val="HideTWBExt"/>
          <w:b w:val="0"/>
        </w:rPr>
        <w:t>&lt;Article&gt;</w:t>
      </w:r>
      <w:r w:rsidRPr="00635D1D">
        <w:t>Motyw 12</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015017EE" w14:textId="77777777" w:rsidTr="00C5582D">
        <w:trPr>
          <w:trHeight w:val="240"/>
          <w:jc w:val="center"/>
        </w:trPr>
        <w:tc>
          <w:tcPr>
            <w:tcW w:w="9752" w:type="dxa"/>
            <w:gridSpan w:val="2"/>
            <w:tcBorders>
              <w:top w:val="nil"/>
              <w:left w:val="nil"/>
              <w:bottom w:val="nil"/>
              <w:right w:val="nil"/>
            </w:tcBorders>
          </w:tcPr>
          <w:p w14:paraId="522C1C8C" w14:textId="77777777" w:rsidR="008144C7" w:rsidRPr="00635D1D" w:rsidRDefault="008144C7" w:rsidP="00C5582D"/>
        </w:tc>
      </w:tr>
      <w:tr w:rsidR="008144C7" w:rsidRPr="00635D1D" w14:paraId="533B4191" w14:textId="77777777" w:rsidTr="00C5582D">
        <w:trPr>
          <w:trHeight w:val="240"/>
          <w:jc w:val="center"/>
        </w:trPr>
        <w:tc>
          <w:tcPr>
            <w:tcW w:w="4876" w:type="dxa"/>
            <w:tcBorders>
              <w:top w:val="nil"/>
              <w:left w:val="nil"/>
              <w:bottom w:val="nil"/>
              <w:right w:val="nil"/>
            </w:tcBorders>
            <w:hideMark/>
          </w:tcPr>
          <w:p w14:paraId="78B2BC9B"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BFA7A85" w14:textId="77777777" w:rsidR="008144C7" w:rsidRPr="00635D1D" w:rsidRDefault="008144C7" w:rsidP="00C5582D">
            <w:pPr>
              <w:pStyle w:val="AmColumnHeading"/>
            </w:pPr>
            <w:r w:rsidRPr="00635D1D">
              <w:t>Poprawka</w:t>
            </w:r>
          </w:p>
        </w:tc>
      </w:tr>
      <w:tr w:rsidR="008144C7" w:rsidRPr="00635D1D" w14:paraId="46CF32ED" w14:textId="77777777" w:rsidTr="00C5582D">
        <w:trPr>
          <w:jc w:val="center"/>
        </w:trPr>
        <w:tc>
          <w:tcPr>
            <w:tcW w:w="4876" w:type="dxa"/>
            <w:tcBorders>
              <w:top w:val="nil"/>
              <w:left w:val="nil"/>
              <w:bottom w:val="nil"/>
              <w:right w:val="nil"/>
            </w:tcBorders>
            <w:hideMark/>
          </w:tcPr>
          <w:p w14:paraId="234F3E41" w14:textId="77777777" w:rsidR="008144C7" w:rsidRPr="00635D1D" w:rsidRDefault="008144C7" w:rsidP="00C5582D">
            <w:pPr>
              <w:pStyle w:val="Normal6a"/>
            </w:pPr>
            <w:r w:rsidRPr="00635D1D">
              <w:t>(12)</w:t>
            </w:r>
            <w:r w:rsidRPr="00635D1D">
              <w:tab/>
              <w:t>Rozporządzeniem (UE) 2024/2865 wprowadzono możliwość umieszczenia niektórych elementów etykiety wyłącznie na etykiecie cyfrowej. Aby zapewnić szersze wykorzystanie technologii oraz umożliwić prostsze i bardziej elastyczne podejście do etykietowania, dostawcy powinni mieć możliwość umieszczenia danych kontaktowych wszelkich dodatkowych dostawców wyłącznie na etykiecie cyfrowej. Umieszczenie kontaktu elektronicznego będzie również właściwe w przypadku</w:t>
            </w:r>
            <w:r w:rsidRPr="00635D1D">
              <w:rPr>
                <w:b/>
                <w:bCs/>
                <w:i/>
                <w:iCs/>
              </w:rPr>
              <w:t>,</w:t>
            </w:r>
            <w:r w:rsidRPr="00635D1D">
              <w:t xml:space="preserve"> gdy dane kontaktowe dodatkowych dostawców są podane na etykiecie cyfrowej.</w:t>
            </w:r>
          </w:p>
        </w:tc>
        <w:tc>
          <w:tcPr>
            <w:tcW w:w="4876" w:type="dxa"/>
            <w:tcBorders>
              <w:top w:val="nil"/>
              <w:left w:val="nil"/>
              <w:bottom w:val="nil"/>
              <w:right w:val="nil"/>
            </w:tcBorders>
            <w:hideMark/>
          </w:tcPr>
          <w:p w14:paraId="321410A4" w14:textId="77777777" w:rsidR="008144C7" w:rsidRPr="00635D1D" w:rsidRDefault="008144C7" w:rsidP="00C5582D">
            <w:pPr>
              <w:pStyle w:val="Normal6a"/>
            </w:pPr>
            <w:r w:rsidRPr="00635D1D">
              <w:t>(12)</w:t>
            </w:r>
            <w:r w:rsidRPr="00635D1D">
              <w:tab/>
              <w:t>Rozporządzeniem (UE) 2024/2865 wprowadzono możliwość umieszczenia niektórych elementów etykiety wyłącznie na etykiecie cyfrowej. Aby zapewnić szersze wykorzystanie technologii oraz umożliwić prostsze i bardziej elastyczne podejście do etykietowania, dostawcy powinni mieć możliwość umieszczenia danych kontaktowych wszelkich dodatkowych dostawców wyłącznie na etykiecie cyfrowej. Umieszczenie kontaktu elektronicznego będzie również właściwe</w:t>
            </w:r>
            <w:r w:rsidRPr="00635D1D">
              <w:rPr>
                <w:b/>
                <w:bCs/>
                <w:i/>
                <w:iCs/>
              </w:rPr>
              <w:t>,</w:t>
            </w:r>
            <w:r w:rsidRPr="00635D1D">
              <w:t xml:space="preserve"> w przypadku gdy dane kontaktowe dodatkowych dostawców są podane na etykiecie cyfrowej. </w:t>
            </w:r>
            <w:r w:rsidRPr="00635D1D">
              <w:rPr>
                <w:b/>
                <w:i/>
              </w:rPr>
              <w:t>W celu zapewnienia możliwości szybkiego kontaktu, który jest niezbędny w niektórych sytuacjach, takich jak sytuacje nadzwyczajne, obecność kontaktu elektronicznego nie powinna wykluczać podania numeru telefonu.</w:t>
            </w:r>
          </w:p>
        </w:tc>
      </w:tr>
    </w:tbl>
    <w:p w14:paraId="15E195A7"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0A36DC32" w14:textId="77777777" w:rsidR="008144C7" w:rsidRPr="00AD15CF" w:rsidRDefault="008144C7" w:rsidP="008144C7">
      <w:pPr>
        <w:rPr>
          <w:lang w:val="en-GB"/>
        </w:rPr>
      </w:pPr>
      <w:r w:rsidRPr="00AD15CF">
        <w:rPr>
          <w:rStyle w:val="HideTWBExt"/>
          <w:lang w:val="en-GB"/>
        </w:rPr>
        <w:t>&lt;/Amend&gt;</w:t>
      </w:r>
    </w:p>
    <w:p w14:paraId="64B2B479"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158</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36C263C5"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Pietro Fiocchi, Antonella </w:t>
      </w:r>
      <w:proofErr w:type="spellStart"/>
      <w:r w:rsidRPr="00AD15CF">
        <w:rPr>
          <w:lang w:val="en-GB"/>
        </w:rPr>
        <w:t>Sberna</w:t>
      </w:r>
      <w:proofErr w:type="spellEnd"/>
      <w:r w:rsidRPr="00AD15CF">
        <w:rPr>
          <w:rStyle w:val="HideTWBExt"/>
          <w:b w:val="0"/>
          <w:lang w:val="en-GB"/>
        </w:rPr>
        <w:t>&lt;/Members&gt;</w:t>
      </w:r>
    </w:p>
    <w:p w14:paraId="5A7A3FED" w14:textId="77777777" w:rsidR="008144C7" w:rsidRPr="00635D1D" w:rsidRDefault="008144C7" w:rsidP="008144C7">
      <w:pPr>
        <w:pStyle w:val="NormalBold"/>
      </w:pPr>
      <w:r w:rsidRPr="00635D1D">
        <w:rPr>
          <w:rStyle w:val="HideTWBExt"/>
          <w:b w:val="0"/>
        </w:rPr>
        <w:t>&lt;/RepeatBlock-By&gt;</w:t>
      </w:r>
    </w:p>
    <w:p w14:paraId="1EF34C41"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76C11554" w14:textId="77777777" w:rsidR="008144C7" w:rsidRPr="00635D1D" w:rsidRDefault="008144C7" w:rsidP="008144C7">
      <w:pPr>
        <w:pStyle w:val="NormalBold"/>
      </w:pPr>
      <w:r w:rsidRPr="00635D1D">
        <w:rPr>
          <w:rStyle w:val="HideTWBExt"/>
          <w:b w:val="0"/>
        </w:rPr>
        <w:t>&lt;Article&gt;</w:t>
      </w:r>
      <w:r w:rsidRPr="00635D1D">
        <w:t>Motyw 12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37C4EE8" w14:textId="77777777" w:rsidTr="00C5582D">
        <w:trPr>
          <w:trHeight w:val="240"/>
          <w:jc w:val="center"/>
        </w:trPr>
        <w:tc>
          <w:tcPr>
            <w:tcW w:w="9752" w:type="dxa"/>
            <w:gridSpan w:val="2"/>
            <w:tcBorders>
              <w:top w:val="nil"/>
              <w:left w:val="nil"/>
              <w:bottom w:val="nil"/>
              <w:right w:val="nil"/>
            </w:tcBorders>
          </w:tcPr>
          <w:p w14:paraId="685C2ECD" w14:textId="77777777" w:rsidR="008144C7" w:rsidRPr="00635D1D" w:rsidRDefault="008144C7" w:rsidP="00C5582D"/>
        </w:tc>
      </w:tr>
      <w:tr w:rsidR="008144C7" w:rsidRPr="00635D1D" w14:paraId="6C44B701" w14:textId="77777777" w:rsidTr="00C5582D">
        <w:trPr>
          <w:trHeight w:val="240"/>
          <w:jc w:val="center"/>
        </w:trPr>
        <w:tc>
          <w:tcPr>
            <w:tcW w:w="4876" w:type="dxa"/>
            <w:tcBorders>
              <w:top w:val="nil"/>
              <w:left w:val="nil"/>
              <w:bottom w:val="nil"/>
              <w:right w:val="nil"/>
            </w:tcBorders>
            <w:hideMark/>
          </w:tcPr>
          <w:p w14:paraId="42EBEB5B"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FB0CA10" w14:textId="77777777" w:rsidR="008144C7" w:rsidRPr="00635D1D" w:rsidRDefault="008144C7" w:rsidP="00C5582D">
            <w:pPr>
              <w:pStyle w:val="AmColumnHeading"/>
            </w:pPr>
            <w:r w:rsidRPr="00635D1D">
              <w:t>Poprawka</w:t>
            </w:r>
          </w:p>
        </w:tc>
      </w:tr>
      <w:tr w:rsidR="008144C7" w:rsidRPr="00635D1D" w14:paraId="4E6C0585" w14:textId="77777777" w:rsidTr="00C5582D">
        <w:trPr>
          <w:jc w:val="center"/>
        </w:trPr>
        <w:tc>
          <w:tcPr>
            <w:tcW w:w="4876" w:type="dxa"/>
            <w:tcBorders>
              <w:top w:val="nil"/>
              <w:left w:val="nil"/>
              <w:bottom w:val="nil"/>
              <w:right w:val="nil"/>
            </w:tcBorders>
          </w:tcPr>
          <w:p w14:paraId="232D907C" w14:textId="77777777" w:rsidR="008144C7" w:rsidRPr="00635D1D" w:rsidRDefault="008144C7" w:rsidP="00C5582D">
            <w:pPr>
              <w:pStyle w:val="Normal6a"/>
            </w:pPr>
          </w:p>
        </w:tc>
        <w:tc>
          <w:tcPr>
            <w:tcW w:w="4876" w:type="dxa"/>
            <w:tcBorders>
              <w:top w:val="nil"/>
              <w:left w:val="nil"/>
              <w:bottom w:val="nil"/>
              <w:right w:val="nil"/>
            </w:tcBorders>
            <w:hideMark/>
          </w:tcPr>
          <w:p w14:paraId="260CA6E9" w14:textId="77777777" w:rsidR="008144C7" w:rsidRPr="00635D1D" w:rsidRDefault="008144C7" w:rsidP="00C5582D">
            <w:pPr>
              <w:pStyle w:val="Normal6a"/>
            </w:pPr>
            <w:r w:rsidRPr="00635D1D">
              <w:rPr>
                <w:b/>
                <w:i/>
              </w:rPr>
              <w:t>(12a)</w:t>
            </w:r>
            <w:r w:rsidRPr="00635D1D">
              <w:tab/>
            </w:r>
            <w:r w:rsidRPr="00635D1D">
              <w:rPr>
                <w:b/>
                <w:i/>
              </w:rPr>
              <w:t>Niektóre pojemniki techniczne (≤ 150 ml), takie jak wkłady atramentowe (dostarczane w opakowaniu zewnętrznym i przeznaczone do zainstalowania w urządzeniu przez konsumenta lub użytkownika profesjonalnego), są częścią szerszego układu, przez co mają bardzo ograniczoną powierzchnię użytkową do etykietowania i nie można w ich przypadku skorzystać z opcji etykiety rozkładanej umożliwiającej rozwiązania wielojęzyczne. W takich przypadkach dostawcom należy zezwolić na przedstawianie informacji o zagrożeniach na etykiecie zgodnie z sekcją 1.5.2.5a załącznika I.</w:t>
            </w:r>
          </w:p>
        </w:tc>
      </w:tr>
    </w:tbl>
    <w:p w14:paraId="211CA718"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63430D26"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1E5C44F2" w14:textId="77777777" w:rsidR="008144C7" w:rsidRPr="00635D1D" w:rsidRDefault="008144C7" w:rsidP="008144C7">
      <w:pPr>
        <w:pStyle w:val="AmJustText"/>
      </w:pPr>
      <w:r w:rsidRPr="00635D1D">
        <w:t>Proponowane odstępstwo miałoby zastosowanie do małych pojemników technicznych, takich jak wkłady o pojemności poniżej 150 ml do drukarek atramentowych. Pełne informacje dotyczące zagrożeń CLP byłyby umieszczane na opakowaniu zewnętrznym. Ponieważ wkłady i drukarki są zaprojektowane tak, aby działały jako jeden system, istnieje bardzo ograniczona przestrzeń na etykiety na wkładzie, a etykiety rozkładane nie mogą być używane, ponieważ przeszkadzałyby w instalacji i działaniu. W związku z tym wkłady nie mogą być opatrzone wielojęzycznymi etykietami CLP.</w:t>
      </w:r>
    </w:p>
    <w:p w14:paraId="54CDBF18" w14:textId="77777777" w:rsidR="008144C7" w:rsidRPr="00635D1D" w:rsidRDefault="008144C7" w:rsidP="008144C7">
      <w:r w:rsidRPr="00635D1D">
        <w:rPr>
          <w:rStyle w:val="HideTWBExt"/>
        </w:rPr>
        <w:t>&lt;/Amend&gt;</w:t>
      </w:r>
    </w:p>
    <w:p w14:paraId="14759EF8"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159</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7F605327" w14:textId="77777777" w:rsidR="008144C7" w:rsidRPr="00635D1D" w:rsidRDefault="008144C7" w:rsidP="008144C7">
      <w:pPr>
        <w:pStyle w:val="NormalBold"/>
      </w:pPr>
      <w:r w:rsidRPr="00635D1D">
        <w:rPr>
          <w:rStyle w:val="HideTWBExt"/>
          <w:b w:val="0"/>
        </w:rPr>
        <w:t>&lt;RepeatBlock-By&gt;&lt;Members&gt;</w:t>
      </w:r>
      <w:r w:rsidRPr="00635D1D">
        <w:t xml:space="preserve">Nikola </w:t>
      </w:r>
      <w:proofErr w:type="spellStart"/>
      <w:r w:rsidRPr="00635D1D">
        <w:t>Minchev</w:t>
      </w:r>
      <w:proofErr w:type="spellEnd"/>
      <w:r w:rsidRPr="00635D1D">
        <w:t xml:space="preserve">, Jeannette </w:t>
      </w:r>
      <w:proofErr w:type="spellStart"/>
      <w:r w:rsidRPr="00635D1D">
        <w:t>Baljeu</w:t>
      </w:r>
      <w:proofErr w:type="spellEnd"/>
      <w:r w:rsidRPr="00635D1D">
        <w:rPr>
          <w:rStyle w:val="HideTWBExt"/>
          <w:b w:val="0"/>
        </w:rPr>
        <w:t>&lt;/Members&gt;</w:t>
      </w:r>
    </w:p>
    <w:p w14:paraId="2D62EED0" w14:textId="77777777" w:rsidR="008144C7" w:rsidRPr="00635D1D" w:rsidRDefault="008144C7" w:rsidP="008144C7">
      <w:pPr>
        <w:pStyle w:val="NormalBold"/>
      </w:pPr>
      <w:r w:rsidRPr="00635D1D">
        <w:rPr>
          <w:rStyle w:val="HideTWBExt"/>
          <w:b w:val="0"/>
        </w:rPr>
        <w:t>&lt;/RepeatBlock-By&gt;</w:t>
      </w:r>
    </w:p>
    <w:p w14:paraId="47706DEA"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F35875E" w14:textId="77777777" w:rsidR="008144C7" w:rsidRPr="00635D1D" w:rsidRDefault="008144C7" w:rsidP="008144C7">
      <w:pPr>
        <w:pStyle w:val="NormalBold"/>
      </w:pPr>
      <w:r w:rsidRPr="00635D1D">
        <w:rPr>
          <w:rStyle w:val="HideTWBExt"/>
          <w:b w:val="0"/>
        </w:rPr>
        <w:t>&lt;Article&gt;</w:t>
      </w:r>
      <w:r w:rsidRPr="00635D1D">
        <w:t>Motyw 12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404B81D" w14:textId="77777777" w:rsidTr="00C5582D">
        <w:trPr>
          <w:trHeight w:val="240"/>
          <w:jc w:val="center"/>
        </w:trPr>
        <w:tc>
          <w:tcPr>
            <w:tcW w:w="9752" w:type="dxa"/>
            <w:gridSpan w:val="2"/>
            <w:tcBorders>
              <w:top w:val="nil"/>
              <w:left w:val="nil"/>
              <w:bottom w:val="nil"/>
              <w:right w:val="nil"/>
            </w:tcBorders>
          </w:tcPr>
          <w:p w14:paraId="0397076E" w14:textId="77777777" w:rsidR="008144C7" w:rsidRPr="00635D1D" w:rsidRDefault="008144C7" w:rsidP="00C5582D"/>
        </w:tc>
      </w:tr>
      <w:tr w:rsidR="008144C7" w:rsidRPr="00635D1D" w14:paraId="2FFEA981" w14:textId="77777777" w:rsidTr="00C5582D">
        <w:trPr>
          <w:trHeight w:val="240"/>
          <w:jc w:val="center"/>
        </w:trPr>
        <w:tc>
          <w:tcPr>
            <w:tcW w:w="4876" w:type="dxa"/>
            <w:tcBorders>
              <w:top w:val="nil"/>
              <w:left w:val="nil"/>
              <w:bottom w:val="nil"/>
              <w:right w:val="nil"/>
            </w:tcBorders>
            <w:hideMark/>
          </w:tcPr>
          <w:p w14:paraId="5418105E"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A38CC34" w14:textId="77777777" w:rsidR="008144C7" w:rsidRPr="00635D1D" w:rsidRDefault="008144C7" w:rsidP="00C5582D">
            <w:pPr>
              <w:pStyle w:val="AmColumnHeading"/>
            </w:pPr>
            <w:r w:rsidRPr="00635D1D">
              <w:t>Poprawka</w:t>
            </w:r>
          </w:p>
        </w:tc>
      </w:tr>
      <w:tr w:rsidR="008144C7" w:rsidRPr="00635D1D" w14:paraId="6C70F864" w14:textId="77777777" w:rsidTr="00C5582D">
        <w:trPr>
          <w:jc w:val="center"/>
        </w:trPr>
        <w:tc>
          <w:tcPr>
            <w:tcW w:w="4876" w:type="dxa"/>
            <w:tcBorders>
              <w:top w:val="nil"/>
              <w:left w:val="nil"/>
              <w:bottom w:val="nil"/>
              <w:right w:val="nil"/>
            </w:tcBorders>
          </w:tcPr>
          <w:p w14:paraId="57B97FB2" w14:textId="77777777" w:rsidR="008144C7" w:rsidRPr="00635D1D" w:rsidRDefault="008144C7" w:rsidP="00C5582D">
            <w:pPr>
              <w:pStyle w:val="Normal6a"/>
            </w:pPr>
          </w:p>
        </w:tc>
        <w:tc>
          <w:tcPr>
            <w:tcW w:w="4876" w:type="dxa"/>
            <w:tcBorders>
              <w:top w:val="nil"/>
              <w:left w:val="nil"/>
              <w:bottom w:val="nil"/>
              <w:right w:val="nil"/>
            </w:tcBorders>
            <w:hideMark/>
          </w:tcPr>
          <w:p w14:paraId="0264B499" w14:textId="77777777" w:rsidR="008144C7" w:rsidRPr="00635D1D" w:rsidRDefault="008144C7" w:rsidP="00C5582D">
            <w:pPr>
              <w:pStyle w:val="Normal6a"/>
            </w:pPr>
            <w:r w:rsidRPr="00635D1D">
              <w:rPr>
                <w:b/>
                <w:i/>
              </w:rPr>
              <w:t>(12a)</w:t>
            </w:r>
            <w:r w:rsidRPr="00635D1D">
              <w:tab/>
            </w:r>
            <w:r w:rsidRPr="00635D1D">
              <w:rPr>
                <w:b/>
                <w:i/>
              </w:rPr>
              <w:t>Niektóre pojemniki techniczne, takie jak wkłady atramentowe i tonery do drukarek, mają ograniczoną powierzchnię, na której można umieścić etykietę. Stosowanie etykiet rozkładanych nie jest możliwe, a nieprawidłowe etykietowanie może spowodować uszkodzenie wkładu lub sprzętu. W takich przypadkach dostawcom należy zezwolić na przedstawianie informacji o zagrożeniach na etykiecie zgodnie z sekcją 1.5.2.5a załącznika I.</w:t>
            </w:r>
          </w:p>
        </w:tc>
      </w:tr>
    </w:tbl>
    <w:p w14:paraId="44F617FB"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3002C822" w14:textId="77777777" w:rsidR="008144C7" w:rsidRPr="00AD15CF" w:rsidRDefault="008144C7" w:rsidP="008144C7">
      <w:pPr>
        <w:rPr>
          <w:lang w:val="en-GB"/>
        </w:rPr>
      </w:pPr>
      <w:r w:rsidRPr="00AD15CF">
        <w:rPr>
          <w:rStyle w:val="HideTWBExt"/>
          <w:lang w:val="en-GB"/>
        </w:rPr>
        <w:t>&lt;/Amend&gt;</w:t>
      </w:r>
    </w:p>
    <w:p w14:paraId="390AE084"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160</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7153FD5E"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Idoia</w:t>
      </w:r>
      <w:proofErr w:type="spellEnd"/>
      <w:r w:rsidRPr="00AD15CF">
        <w:rPr>
          <w:lang w:val="en-GB"/>
        </w:rPr>
        <w:t xml:space="preserve"> </w:t>
      </w:r>
      <w:proofErr w:type="spellStart"/>
      <w:r w:rsidRPr="00AD15CF">
        <w:rPr>
          <w:lang w:val="en-GB"/>
        </w:rPr>
        <w:t>Mendia</w:t>
      </w:r>
      <w:proofErr w:type="spellEnd"/>
      <w:r w:rsidRPr="00AD15CF">
        <w:rPr>
          <w:lang w:val="en-GB"/>
        </w:rPr>
        <w:t xml:space="preserve">, Kristian </w:t>
      </w:r>
      <w:proofErr w:type="spellStart"/>
      <w:r w:rsidRPr="00AD15CF">
        <w:rPr>
          <w:lang w:val="en-GB"/>
        </w:rPr>
        <w:t>Vigenin</w:t>
      </w:r>
      <w:proofErr w:type="spellEnd"/>
      <w:r w:rsidRPr="00AD15CF">
        <w:rPr>
          <w:lang w:val="en-GB"/>
        </w:rPr>
        <w:t xml:space="preserve">, François </w:t>
      </w:r>
      <w:proofErr w:type="spellStart"/>
      <w:r w:rsidRPr="00AD15CF">
        <w:rPr>
          <w:lang w:val="en-GB"/>
        </w:rPr>
        <w:t>Kalfon</w:t>
      </w:r>
      <w:proofErr w:type="spellEnd"/>
      <w:r w:rsidRPr="00AD15CF">
        <w:rPr>
          <w:lang w:val="en-GB"/>
        </w:rPr>
        <w:t xml:space="preserve">, Elisabeth Grossmann, Adnan </w:t>
      </w:r>
      <w:proofErr w:type="spellStart"/>
      <w:r w:rsidRPr="00AD15CF">
        <w:rPr>
          <w:lang w:val="en-GB"/>
        </w:rPr>
        <w:t>Dibrani</w:t>
      </w:r>
      <w:proofErr w:type="spellEnd"/>
      <w:r w:rsidRPr="00AD15CF">
        <w:rPr>
          <w:lang w:val="en-GB"/>
        </w:rPr>
        <w:t xml:space="preserve">, Sakis </w:t>
      </w:r>
      <w:proofErr w:type="spellStart"/>
      <w:r w:rsidRPr="00AD15CF">
        <w:rPr>
          <w:lang w:val="en-GB"/>
        </w:rPr>
        <w:t>Arnaoutoglou</w:t>
      </w:r>
      <w:proofErr w:type="spellEnd"/>
      <w:r w:rsidRPr="00AD15CF">
        <w:rPr>
          <w:lang w:val="en-GB"/>
        </w:rPr>
        <w:t xml:space="preserve">, César </w:t>
      </w:r>
      <w:proofErr w:type="spellStart"/>
      <w:r w:rsidRPr="00AD15CF">
        <w:rPr>
          <w:lang w:val="en-GB"/>
        </w:rPr>
        <w:t>Luena</w:t>
      </w:r>
      <w:proofErr w:type="spellEnd"/>
      <w:r w:rsidRPr="00AD15CF">
        <w:rPr>
          <w:lang w:val="en-GB"/>
        </w:rPr>
        <w:t xml:space="preserve">, Christophe </w:t>
      </w:r>
      <w:proofErr w:type="spellStart"/>
      <w:r w:rsidRPr="00AD15CF">
        <w:rPr>
          <w:lang w:val="en-GB"/>
        </w:rPr>
        <w:t>Clergeau</w:t>
      </w:r>
      <w:proofErr w:type="spellEnd"/>
      <w:r w:rsidRPr="00AD15CF">
        <w:rPr>
          <w:lang w:val="en-GB"/>
        </w:rPr>
        <w:t xml:space="preserve">, </w:t>
      </w:r>
      <w:proofErr w:type="spellStart"/>
      <w:r w:rsidRPr="00AD15CF">
        <w:rPr>
          <w:lang w:val="en-GB"/>
        </w:rPr>
        <w:t>Tiemo</w:t>
      </w:r>
      <w:proofErr w:type="spellEnd"/>
      <w:r w:rsidRPr="00AD15CF">
        <w:rPr>
          <w:lang w:val="en-GB"/>
        </w:rPr>
        <w:t xml:space="preserve"> </w:t>
      </w:r>
      <w:proofErr w:type="spellStart"/>
      <w:r w:rsidRPr="00AD15CF">
        <w:rPr>
          <w:lang w:val="en-GB"/>
        </w:rPr>
        <w:t>Wölken</w:t>
      </w:r>
      <w:proofErr w:type="spellEnd"/>
      <w:r w:rsidRPr="00AD15CF">
        <w:rPr>
          <w:lang w:val="en-GB"/>
        </w:rPr>
        <w:t xml:space="preserve">, Annalisa Corrado, </w:t>
      </w:r>
      <w:proofErr w:type="spellStart"/>
      <w:r w:rsidRPr="00AD15CF">
        <w:rPr>
          <w:lang w:val="en-GB"/>
        </w:rPr>
        <w:t>Heléne</w:t>
      </w:r>
      <w:proofErr w:type="spellEnd"/>
      <w:r w:rsidRPr="00AD15CF">
        <w:rPr>
          <w:lang w:val="en-GB"/>
        </w:rPr>
        <w:t xml:space="preserve"> </w:t>
      </w:r>
      <w:proofErr w:type="spellStart"/>
      <w:r w:rsidRPr="00AD15CF">
        <w:rPr>
          <w:lang w:val="en-GB"/>
        </w:rPr>
        <w:t>Fritzon</w:t>
      </w:r>
      <w:proofErr w:type="spellEnd"/>
      <w:r w:rsidRPr="00AD15CF">
        <w:rPr>
          <w:lang w:val="en-GB"/>
        </w:rPr>
        <w:t xml:space="preserve">, Marta </w:t>
      </w:r>
      <w:proofErr w:type="spellStart"/>
      <w:r w:rsidRPr="00AD15CF">
        <w:rPr>
          <w:lang w:val="en-GB"/>
        </w:rPr>
        <w:t>Temido</w:t>
      </w:r>
      <w:proofErr w:type="spellEnd"/>
      <w:r w:rsidRPr="00AD15CF">
        <w:rPr>
          <w:rStyle w:val="HideTWBExt"/>
          <w:b w:val="0"/>
          <w:lang w:val="en-GB"/>
        </w:rPr>
        <w:t>&lt;/Members&gt;</w:t>
      </w:r>
    </w:p>
    <w:p w14:paraId="3E2C020C" w14:textId="77777777" w:rsidR="008144C7" w:rsidRPr="00635D1D" w:rsidRDefault="008144C7" w:rsidP="008144C7">
      <w:pPr>
        <w:pStyle w:val="NormalBold"/>
      </w:pPr>
      <w:r w:rsidRPr="00635D1D">
        <w:rPr>
          <w:rStyle w:val="HideTWBExt"/>
          <w:b w:val="0"/>
        </w:rPr>
        <w:t>&lt;/RepeatBlock-By&gt;</w:t>
      </w:r>
    </w:p>
    <w:p w14:paraId="39576CC9"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9F54078" w14:textId="77777777" w:rsidR="008144C7" w:rsidRPr="00635D1D" w:rsidRDefault="008144C7" w:rsidP="008144C7">
      <w:pPr>
        <w:pStyle w:val="NormalBold"/>
      </w:pPr>
      <w:r w:rsidRPr="00635D1D">
        <w:rPr>
          <w:rStyle w:val="HideTWBExt"/>
          <w:b w:val="0"/>
        </w:rPr>
        <w:t>&lt;Article&gt;</w:t>
      </w:r>
      <w:r w:rsidRPr="00635D1D">
        <w:t>Motyw 14</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02796AA" w14:textId="77777777" w:rsidTr="00C5582D">
        <w:trPr>
          <w:trHeight w:val="240"/>
          <w:jc w:val="center"/>
        </w:trPr>
        <w:tc>
          <w:tcPr>
            <w:tcW w:w="9752" w:type="dxa"/>
            <w:gridSpan w:val="2"/>
            <w:tcBorders>
              <w:top w:val="nil"/>
              <w:left w:val="nil"/>
              <w:bottom w:val="nil"/>
              <w:right w:val="nil"/>
            </w:tcBorders>
          </w:tcPr>
          <w:p w14:paraId="00B7398D" w14:textId="77777777" w:rsidR="008144C7" w:rsidRPr="00635D1D" w:rsidRDefault="008144C7" w:rsidP="00C5582D"/>
        </w:tc>
      </w:tr>
      <w:tr w:rsidR="008144C7" w:rsidRPr="00635D1D" w14:paraId="295B334A" w14:textId="77777777" w:rsidTr="00C5582D">
        <w:trPr>
          <w:trHeight w:val="240"/>
          <w:jc w:val="center"/>
        </w:trPr>
        <w:tc>
          <w:tcPr>
            <w:tcW w:w="4876" w:type="dxa"/>
            <w:tcBorders>
              <w:top w:val="nil"/>
              <w:left w:val="nil"/>
              <w:bottom w:val="nil"/>
              <w:right w:val="nil"/>
            </w:tcBorders>
            <w:hideMark/>
          </w:tcPr>
          <w:p w14:paraId="59CBB353"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6AB6C00" w14:textId="77777777" w:rsidR="008144C7" w:rsidRPr="00635D1D" w:rsidRDefault="008144C7" w:rsidP="00C5582D">
            <w:pPr>
              <w:pStyle w:val="AmColumnHeading"/>
            </w:pPr>
            <w:r w:rsidRPr="00635D1D">
              <w:t>Poprawka</w:t>
            </w:r>
          </w:p>
        </w:tc>
      </w:tr>
      <w:tr w:rsidR="008144C7" w:rsidRPr="00635D1D" w14:paraId="7260C07C" w14:textId="77777777" w:rsidTr="00C5582D">
        <w:trPr>
          <w:jc w:val="center"/>
        </w:trPr>
        <w:tc>
          <w:tcPr>
            <w:tcW w:w="4876" w:type="dxa"/>
            <w:tcBorders>
              <w:top w:val="nil"/>
              <w:left w:val="nil"/>
              <w:bottom w:val="nil"/>
              <w:right w:val="nil"/>
            </w:tcBorders>
            <w:hideMark/>
          </w:tcPr>
          <w:p w14:paraId="2ACB57F4" w14:textId="77777777" w:rsidR="008144C7" w:rsidRPr="00635D1D" w:rsidRDefault="008144C7" w:rsidP="00C5582D">
            <w:pPr>
              <w:pStyle w:val="Normal6a"/>
            </w:pPr>
            <w:r w:rsidRPr="00635D1D">
              <w:t>(14)</w:t>
            </w:r>
            <w:r w:rsidRPr="00635D1D">
              <w:tab/>
              <w:t>Zgodnie z przepisami przejściowymi rozporządzenia (WE) nr 1272/2008 dostawcy powinni mieć możliwość stosowania nowych, wprowadzonych w niniejszym rozporządzeniu przepisów dotyczących klasyfikacji, oznakowania i pakowania na zasadzie dobrowolności przed datą odroczonego rozpoczęcia stosowania tych przepisów.</w:t>
            </w:r>
          </w:p>
        </w:tc>
        <w:tc>
          <w:tcPr>
            <w:tcW w:w="4876" w:type="dxa"/>
            <w:tcBorders>
              <w:top w:val="nil"/>
              <w:left w:val="nil"/>
              <w:bottom w:val="nil"/>
              <w:right w:val="nil"/>
            </w:tcBorders>
            <w:hideMark/>
          </w:tcPr>
          <w:p w14:paraId="55F9FCB6" w14:textId="77777777" w:rsidR="008144C7" w:rsidRPr="00635D1D" w:rsidRDefault="008144C7" w:rsidP="00C5582D">
            <w:pPr>
              <w:pStyle w:val="Normal6a"/>
            </w:pPr>
            <w:r w:rsidRPr="00635D1D">
              <w:t>(14)</w:t>
            </w:r>
            <w:r w:rsidRPr="00635D1D">
              <w:tab/>
              <w:t>Zgodnie z przepisami przejściowymi rozporządzenia (WE) nr 1272/2008 dostawcy powinni mieć możliwość stosowania nowych, wprowadzonych w niniejszym rozporządzeniu przepisów dotyczących klasyfikacji, oznakowania i pakowania na zasadzie dobrowolności przed datą odroczonego rozpoczęcia stosowania tych przepisów</w:t>
            </w:r>
            <w:r w:rsidRPr="00635D1D">
              <w:rPr>
                <w:b/>
                <w:i/>
              </w:rPr>
              <w:t>, a organy krajowe powinny ich do tego zachęcać</w:t>
            </w:r>
            <w:r w:rsidRPr="00635D1D">
              <w:t>.</w:t>
            </w:r>
          </w:p>
        </w:tc>
      </w:tr>
    </w:tbl>
    <w:p w14:paraId="04C5443F"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1ED7C748" w14:textId="77777777" w:rsidR="008144C7" w:rsidRPr="00AD15CF" w:rsidRDefault="008144C7" w:rsidP="008144C7">
      <w:pPr>
        <w:rPr>
          <w:lang w:val="en-GB"/>
        </w:rPr>
      </w:pPr>
      <w:r w:rsidRPr="00AD15CF">
        <w:rPr>
          <w:rStyle w:val="HideTWBExt"/>
          <w:lang w:val="en-GB"/>
        </w:rPr>
        <w:t>&lt;/Amend&gt;</w:t>
      </w:r>
    </w:p>
    <w:p w14:paraId="5A1913DB"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161</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0F1BAC8D"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Inese</w:t>
      </w:r>
      <w:proofErr w:type="spellEnd"/>
      <w:r w:rsidRPr="00AD15CF">
        <w:rPr>
          <w:lang w:val="en-GB"/>
        </w:rPr>
        <w:t xml:space="preserve"> </w:t>
      </w:r>
      <w:proofErr w:type="spellStart"/>
      <w:r w:rsidRPr="00AD15CF">
        <w:rPr>
          <w:lang w:val="en-GB"/>
        </w:rPr>
        <w:t>Vaidere</w:t>
      </w:r>
      <w:proofErr w:type="spellEnd"/>
      <w:r w:rsidRPr="00AD15CF">
        <w:rPr>
          <w:rStyle w:val="HideTWBExt"/>
          <w:b w:val="0"/>
          <w:lang w:val="en-GB"/>
        </w:rPr>
        <w:t>&lt;/Members&gt;</w:t>
      </w:r>
    </w:p>
    <w:p w14:paraId="33B75798" w14:textId="77777777" w:rsidR="008144C7" w:rsidRPr="00635D1D" w:rsidRDefault="008144C7" w:rsidP="008144C7">
      <w:pPr>
        <w:pStyle w:val="NormalBold"/>
      </w:pPr>
      <w:r w:rsidRPr="00635D1D">
        <w:rPr>
          <w:rStyle w:val="HideTWBExt"/>
          <w:b w:val="0"/>
        </w:rPr>
        <w:t>&lt;/RepeatBlock-By&gt;</w:t>
      </w:r>
    </w:p>
    <w:p w14:paraId="1BA828CE"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D321E5C" w14:textId="77777777" w:rsidR="008144C7" w:rsidRPr="00635D1D" w:rsidRDefault="008144C7" w:rsidP="008144C7">
      <w:pPr>
        <w:pStyle w:val="NormalBold"/>
      </w:pPr>
      <w:r w:rsidRPr="00635D1D">
        <w:rPr>
          <w:rStyle w:val="HideTWBExt"/>
          <w:b w:val="0"/>
        </w:rPr>
        <w:t>&lt;Article&gt;</w:t>
      </w:r>
      <w:r w:rsidRPr="00635D1D">
        <w:t>Motyw 15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4229BC8" w14:textId="77777777" w:rsidTr="00C5582D">
        <w:trPr>
          <w:trHeight w:val="240"/>
          <w:jc w:val="center"/>
        </w:trPr>
        <w:tc>
          <w:tcPr>
            <w:tcW w:w="9752" w:type="dxa"/>
            <w:gridSpan w:val="2"/>
            <w:tcBorders>
              <w:top w:val="nil"/>
              <w:left w:val="nil"/>
              <w:bottom w:val="nil"/>
              <w:right w:val="nil"/>
            </w:tcBorders>
          </w:tcPr>
          <w:p w14:paraId="26C379C1" w14:textId="77777777" w:rsidR="008144C7" w:rsidRPr="00635D1D" w:rsidRDefault="008144C7" w:rsidP="00C5582D"/>
        </w:tc>
      </w:tr>
      <w:tr w:rsidR="008144C7" w:rsidRPr="00635D1D" w14:paraId="28032E04" w14:textId="77777777" w:rsidTr="00C5582D">
        <w:trPr>
          <w:trHeight w:val="240"/>
          <w:jc w:val="center"/>
        </w:trPr>
        <w:tc>
          <w:tcPr>
            <w:tcW w:w="4876" w:type="dxa"/>
            <w:tcBorders>
              <w:top w:val="nil"/>
              <w:left w:val="nil"/>
              <w:bottom w:val="nil"/>
              <w:right w:val="nil"/>
            </w:tcBorders>
            <w:hideMark/>
          </w:tcPr>
          <w:p w14:paraId="2EBF2A1D"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6BF67EF" w14:textId="77777777" w:rsidR="008144C7" w:rsidRPr="00635D1D" w:rsidRDefault="008144C7" w:rsidP="00C5582D">
            <w:pPr>
              <w:pStyle w:val="AmColumnHeading"/>
            </w:pPr>
            <w:r w:rsidRPr="00635D1D">
              <w:t>Poprawka</w:t>
            </w:r>
          </w:p>
        </w:tc>
      </w:tr>
      <w:tr w:rsidR="008144C7" w:rsidRPr="00635D1D" w14:paraId="0A2949D3" w14:textId="77777777" w:rsidTr="00C5582D">
        <w:trPr>
          <w:jc w:val="center"/>
        </w:trPr>
        <w:tc>
          <w:tcPr>
            <w:tcW w:w="4876" w:type="dxa"/>
            <w:tcBorders>
              <w:top w:val="nil"/>
              <w:left w:val="nil"/>
              <w:bottom w:val="nil"/>
              <w:right w:val="nil"/>
            </w:tcBorders>
          </w:tcPr>
          <w:p w14:paraId="1D092267" w14:textId="77777777" w:rsidR="008144C7" w:rsidRPr="00635D1D" w:rsidRDefault="008144C7" w:rsidP="00C5582D">
            <w:pPr>
              <w:pStyle w:val="Normal6a"/>
            </w:pPr>
          </w:p>
        </w:tc>
        <w:tc>
          <w:tcPr>
            <w:tcW w:w="4876" w:type="dxa"/>
            <w:tcBorders>
              <w:top w:val="nil"/>
              <w:left w:val="nil"/>
              <w:bottom w:val="nil"/>
              <w:right w:val="nil"/>
            </w:tcBorders>
            <w:hideMark/>
          </w:tcPr>
          <w:p w14:paraId="02797FD2" w14:textId="77777777" w:rsidR="008144C7" w:rsidRPr="00635D1D" w:rsidRDefault="008144C7" w:rsidP="00C5582D">
            <w:pPr>
              <w:pStyle w:val="Normal6a"/>
            </w:pPr>
            <w:r w:rsidRPr="00635D1D">
              <w:rPr>
                <w:b/>
                <w:i/>
              </w:rPr>
              <w:t>(15a)</w:t>
            </w:r>
            <w:r w:rsidRPr="00635D1D">
              <w:tab/>
            </w:r>
            <w:r w:rsidRPr="00635D1D">
              <w:rPr>
                <w:b/>
                <w:i/>
              </w:rPr>
              <w:t xml:space="preserve">W rozporządzeniu (WE) nr 1223/2009 nakłada się bardzo rygorystyczne wymogi dotyczące rejestracji produktów, oceny bezpieczeństwa i zapewnienia jakości produkcji. Chociaż wymogi te są ważne dla bezpieczeństwa konsumentów i przejrzystości rynku, często stają się istotną przeszkodą dla drobnych producentów domowych i rzemieślników, którzy chcą produkować i legalnie wprowadzać do obrotu ręcznie wytwarzane, w pełni naturalne ekologiczne produkty kosmetyczne. Takie wymogi znacznie ograniczają możliwości drobnych producentów i rzemieślników w zakresie opracowywania i oferowania produktów konsumentom, co stwarza nie tylko niekorzystne warunki dla przedsiębiorstw, ale także powoduje straty dla lokalnej kultury, </w:t>
            </w:r>
            <w:proofErr w:type="spellStart"/>
            <w:r w:rsidRPr="00635D1D">
              <w:rPr>
                <w:b/>
                <w:i/>
              </w:rPr>
              <w:t>zrównoważoności</w:t>
            </w:r>
            <w:proofErr w:type="spellEnd"/>
            <w:r w:rsidRPr="00635D1D">
              <w:rPr>
                <w:b/>
                <w:i/>
              </w:rPr>
              <w:t xml:space="preserve"> zasobów naturalnych i różnorodności gospodarczej.</w:t>
            </w:r>
          </w:p>
        </w:tc>
      </w:tr>
    </w:tbl>
    <w:p w14:paraId="6D01CF69"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797EE2F9" w14:textId="77777777" w:rsidR="008144C7" w:rsidRPr="00AD15CF" w:rsidRDefault="008144C7" w:rsidP="008144C7">
      <w:pPr>
        <w:rPr>
          <w:lang w:val="en-GB"/>
        </w:rPr>
      </w:pPr>
      <w:r w:rsidRPr="00AD15CF">
        <w:rPr>
          <w:rStyle w:val="HideTWBExt"/>
          <w:lang w:val="en-GB"/>
        </w:rPr>
        <w:t>&lt;/Amend&gt;</w:t>
      </w:r>
    </w:p>
    <w:p w14:paraId="1B19C516"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162</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46AA8D52"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Majdouline</w:t>
      </w:r>
      <w:proofErr w:type="spellEnd"/>
      <w:r w:rsidRPr="00AD15CF">
        <w:rPr>
          <w:lang w:val="en-GB"/>
        </w:rPr>
        <w:t xml:space="preserve"> </w:t>
      </w:r>
      <w:proofErr w:type="spellStart"/>
      <w:r w:rsidRPr="00AD15CF">
        <w:rPr>
          <w:lang w:val="en-GB"/>
        </w:rPr>
        <w:t>Sbai</w:t>
      </w:r>
      <w:proofErr w:type="spellEnd"/>
      <w:r w:rsidRPr="00AD15CF">
        <w:rPr>
          <w:rStyle w:val="HideTWBExt"/>
          <w:b w:val="0"/>
          <w:lang w:val="en-GB"/>
        </w:rPr>
        <w:t>&lt;/Members&gt;</w:t>
      </w:r>
    </w:p>
    <w:p w14:paraId="17FC62B3" w14:textId="77777777" w:rsidR="008144C7" w:rsidRPr="00635D1D" w:rsidRDefault="008144C7" w:rsidP="008144C7">
      <w:pPr>
        <w:pStyle w:val="NormalBold"/>
      </w:pPr>
      <w:r w:rsidRPr="00635D1D">
        <w:rPr>
          <w:rStyle w:val="HideTWBExt"/>
          <w:b w:val="0"/>
        </w:rPr>
        <w:t>&lt;/RepeatBlock-By&gt;</w:t>
      </w:r>
    </w:p>
    <w:p w14:paraId="486333AF"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0C2A56E" w14:textId="77777777" w:rsidR="008144C7" w:rsidRPr="00635D1D" w:rsidRDefault="008144C7" w:rsidP="008144C7">
      <w:pPr>
        <w:pStyle w:val="NormalBold"/>
      </w:pPr>
      <w:r w:rsidRPr="00635D1D">
        <w:rPr>
          <w:rStyle w:val="HideTWBExt"/>
          <w:b w:val="0"/>
        </w:rPr>
        <w:t>&lt;Article&gt;</w:t>
      </w:r>
      <w:r w:rsidRPr="00635D1D">
        <w:t>Motyw 15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424DA07" w14:textId="77777777" w:rsidTr="00C5582D">
        <w:trPr>
          <w:trHeight w:val="240"/>
          <w:jc w:val="center"/>
        </w:trPr>
        <w:tc>
          <w:tcPr>
            <w:tcW w:w="9752" w:type="dxa"/>
            <w:gridSpan w:val="2"/>
            <w:tcBorders>
              <w:top w:val="nil"/>
              <w:left w:val="nil"/>
              <w:bottom w:val="nil"/>
              <w:right w:val="nil"/>
            </w:tcBorders>
          </w:tcPr>
          <w:p w14:paraId="6651332B" w14:textId="77777777" w:rsidR="008144C7" w:rsidRPr="00635D1D" w:rsidRDefault="008144C7" w:rsidP="00C5582D"/>
        </w:tc>
      </w:tr>
      <w:tr w:rsidR="008144C7" w:rsidRPr="00635D1D" w14:paraId="0BAF2C63" w14:textId="77777777" w:rsidTr="00C5582D">
        <w:trPr>
          <w:trHeight w:val="240"/>
          <w:jc w:val="center"/>
        </w:trPr>
        <w:tc>
          <w:tcPr>
            <w:tcW w:w="4876" w:type="dxa"/>
            <w:tcBorders>
              <w:top w:val="nil"/>
              <w:left w:val="nil"/>
              <w:bottom w:val="nil"/>
              <w:right w:val="nil"/>
            </w:tcBorders>
            <w:hideMark/>
          </w:tcPr>
          <w:p w14:paraId="24CD1D7B"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BF0B07A" w14:textId="77777777" w:rsidR="008144C7" w:rsidRPr="00635D1D" w:rsidRDefault="008144C7" w:rsidP="00C5582D">
            <w:pPr>
              <w:pStyle w:val="AmColumnHeading"/>
            </w:pPr>
            <w:r w:rsidRPr="00635D1D">
              <w:t>Poprawka</w:t>
            </w:r>
          </w:p>
        </w:tc>
      </w:tr>
      <w:tr w:rsidR="008144C7" w:rsidRPr="00635D1D" w14:paraId="2B2FAF43" w14:textId="77777777" w:rsidTr="00C5582D">
        <w:trPr>
          <w:jc w:val="center"/>
        </w:trPr>
        <w:tc>
          <w:tcPr>
            <w:tcW w:w="4876" w:type="dxa"/>
            <w:tcBorders>
              <w:top w:val="nil"/>
              <w:left w:val="nil"/>
              <w:bottom w:val="nil"/>
              <w:right w:val="nil"/>
            </w:tcBorders>
          </w:tcPr>
          <w:p w14:paraId="5A469360" w14:textId="77777777" w:rsidR="008144C7" w:rsidRPr="00635D1D" w:rsidRDefault="008144C7" w:rsidP="00C5582D">
            <w:pPr>
              <w:pStyle w:val="Normal6a"/>
            </w:pPr>
          </w:p>
        </w:tc>
        <w:tc>
          <w:tcPr>
            <w:tcW w:w="4876" w:type="dxa"/>
            <w:tcBorders>
              <w:top w:val="nil"/>
              <w:left w:val="nil"/>
              <w:bottom w:val="nil"/>
              <w:right w:val="nil"/>
            </w:tcBorders>
            <w:hideMark/>
          </w:tcPr>
          <w:p w14:paraId="6090B9AB" w14:textId="77777777" w:rsidR="008144C7" w:rsidRPr="00635D1D" w:rsidRDefault="008144C7" w:rsidP="00C5582D">
            <w:pPr>
              <w:pStyle w:val="Normal6a"/>
            </w:pPr>
            <w:r w:rsidRPr="00635D1D">
              <w:rPr>
                <w:b/>
                <w:i/>
              </w:rPr>
              <w:t>(15a)</w:t>
            </w:r>
            <w:r w:rsidRPr="00635D1D">
              <w:tab/>
            </w:r>
            <w:r w:rsidRPr="00635D1D">
              <w:rPr>
                <w:b/>
                <w:i/>
              </w:rPr>
              <w:t>Biorąc pod uwagę zasadniczą rolę układu hormonalnego w rozwoju człowieka, narażenie na działanie substancji zaburzających funkcjonowanie układu hormonalnego w krytycznych okresach rozwoju, takich jak: okres okołoporodowy, dzieciństwo i okres dojrzewania, może prowadzić do niekorzystnych skutków nawet przy bardzo niskich dawkach oraz wpływać na zdrowie na późniejszych etapach życia. Stosowanie produktów kosmetycznych może prowadzić do bezpośredniego i długotrwałego narażenia. Biorąc pod uwagę szczególne ryzyko, jakie substancje zaklasyfikowane jako substancje zaburzające funkcjonowanie układu hormonalnego w odniesieniu do zdrowia ludzi, należące do kategorii 1 zgodnie z częścią 3 załącznika I do rozporządzenia (WE) nr 1272/2008, mogą stwarzać dla zdrowia człowieka, należy zakazać ich stosowania w produktach kosmetycznych.</w:t>
            </w:r>
          </w:p>
        </w:tc>
      </w:tr>
    </w:tbl>
    <w:p w14:paraId="5F636485"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03143197"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38BF1737" w14:textId="77777777" w:rsidR="008144C7" w:rsidRPr="00AD15CF" w:rsidRDefault="008144C7" w:rsidP="008144C7">
      <w:pPr>
        <w:pStyle w:val="AmJustText"/>
        <w:rPr>
          <w:lang w:val="en-GB"/>
        </w:rPr>
      </w:pPr>
      <w:r w:rsidRPr="00AD15CF">
        <w:rPr>
          <w:lang w:val="en-GB"/>
        </w:rPr>
        <w:t xml:space="preserve">Endocrine disrupters for human health pose a special threat to human health. Already in 2012, WHO and UNEP considered them a global threat, see https://wedocs.unep.org/rest/api/core/bitstreams/0561a697-6b8e-4c8f-a724-7bab3e18c953/content They can have serious and irreversible adverse effects during critical periods of development at very low levels of exposure. In the context of REACH, they </w:t>
      </w:r>
      <w:proofErr w:type="gramStart"/>
      <w:r w:rsidRPr="00AD15CF">
        <w:rPr>
          <w:lang w:val="en-GB"/>
        </w:rPr>
        <w:t>are considered to be</w:t>
      </w:r>
      <w:proofErr w:type="gramEnd"/>
      <w:r w:rsidRPr="00AD15CF">
        <w:rPr>
          <w:lang w:val="en-GB"/>
        </w:rPr>
        <w:t xml:space="preserve"> of equivalent concern to CMR substances. CMR substances are prohibited in cosmetics since 2003. It is long overdue that the same prohibition applies to endocrine disruptors. This is further corroborated by the Union </w:t>
      </w:r>
      <w:proofErr w:type="spellStart"/>
      <w:r w:rsidRPr="00AD15CF">
        <w:rPr>
          <w:lang w:val="en-GB"/>
        </w:rPr>
        <w:t>ban</w:t>
      </w:r>
      <w:proofErr w:type="spellEnd"/>
      <w:r w:rsidRPr="00AD15CF">
        <w:rPr>
          <w:lang w:val="en-GB"/>
        </w:rPr>
        <w:t xml:space="preserve"> of endocrine disrupters for human health in toys (adopted last year). The same should be done for cosmetics, given </w:t>
      </w:r>
      <w:proofErr w:type="gramStart"/>
      <w:r w:rsidRPr="00AD15CF">
        <w:rPr>
          <w:lang w:val="en-GB"/>
        </w:rPr>
        <w:t>in particular the</w:t>
      </w:r>
      <w:proofErr w:type="gramEnd"/>
      <w:r w:rsidRPr="00AD15CF">
        <w:rPr>
          <w:lang w:val="en-GB"/>
        </w:rPr>
        <w:t xml:space="preserve"> high exposure that can be created by cosmetic products.</w:t>
      </w:r>
    </w:p>
    <w:p w14:paraId="15EA7D04" w14:textId="77777777" w:rsidR="008144C7" w:rsidRPr="00AD15CF" w:rsidRDefault="008144C7" w:rsidP="008144C7">
      <w:pPr>
        <w:rPr>
          <w:lang w:val="en-GB"/>
        </w:rPr>
      </w:pPr>
      <w:r w:rsidRPr="00AD15CF">
        <w:rPr>
          <w:rStyle w:val="HideTWBExt"/>
          <w:lang w:val="en-GB"/>
        </w:rPr>
        <w:t>&lt;/Amend&gt;</w:t>
      </w:r>
    </w:p>
    <w:p w14:paraId="0D0F5035"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163</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1F84C79D"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Per Clausen, Anja </w:t>
      </w:r>
      <w:proofErr w:type="spellStart"/>
      <w:r w:rsidRPr="00AD15CF">
        <w:rPr>
          <w:lang w:val="en-GB"/>
        </w:rPr>
        <w:t>Hazekamp</w:t>
      </w:r>
      <w:proofErr w:type="spellEnd"/>
      <w:r w:rsidRPr="00AD15CF">
        <w:rPr>
          <w:rStyle w:val="HideTWBExt"/>
          <w:b w:val="0"/>
          <w:lang w:val="en-GB"/>
        </w:rPr>
        <w:t>&lt;/Members&gt;</w:t>
      </w:r>
    </w:p>
    <w:p w14:paraId="43EAA684" w14:textId="77777777" w:rsidR="008144C7" w:rsidRPr="00635D1D" w:rsidRDefault="008144C7" w:rsidP="008144C7">
      <w:pPr>
        <w:pStyle w:val="NormalBold"/>
      </w:pPr>
      <w:r w:rsidRPr="00635D1D">
        <w:rPr>
          <w:rStyle w:val="HideTWBExt"/>
          <w:b w:val="0"/>
        </w:rPr>
        <w:t>&lt;/RepeatBlock-By&gt;</w:t>
      </w:r>
    </w:p>
    <w:p w14:paraId="1C02FB4C"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96F4C9B" w14:textId="77777777" w:rsidR="008144C7" w:rsidRPr="00635D1D" w:rsidRDefault="008144C7" w:rsidP="008144C7">
      <w:pPr>
        <w:pStyle w:val="NormalBold"/>
      </w:pPr>
      <w:r w:rsidRPr="00635D1D">
        <w:rPr>
          <w:rStyle w:val="HideTWBExt"/>
          <w:b w:val="0"/>
        </w:rPr>
        <w:t>&lt;Article&gt;</w:t>
      </w:r>
      <w:r w:rsidRPr="00635D1D">
        <w:t>Motyw 15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748CEA3" w14:textId="77777777" w:rsidTr="00C5582D">
        <w:trPr>
          <w:trHeight w:val="240"/>
          <w:jc w:val="center"/>
        </w:trPr>
        <w:tc>
          <w:tcPr>
            <w:tcW w:w="9752" w:type="dxa"/>
            <w:gridSpan w:val="2"/>
            <w:tcBorders>
              <w:top w:val="nil"/>
              <w:left w:val="nil"/>
              <w:bottom w:val="nil"/>
              <w:right w:val="nil"/>
            </w:tcBorders>
          </w:tcPr>
          <w:p w14:paraId="7DDAA069" w14:textId="77777777" w:rsidR="008144C7" w:rsidRPr="00635D1D" w:rsidRDefault="008144C7" w:rsidP="00C5582D"/>
        </w:tc>
      </w:tr>
      <w:tr w:rsidR="008144C7" w:rsidRPr="00635D1D" w14:paraId="148CBC3C" w14:textId="77777777" w:rsidTr="00C5582D">
        <w:trPr>
          <w:trHeight w:val="240"/>
          <w:jc w:val="center"/>
        </w:trPr>
        <w:tc>
          <w:tcPr>
            <w:tcW w:w="4876" w:type="dxa"/>
            <w:tcBorders>
              <w:top w:val="nil"/>
              <w:left w:val="nil"/>
              <w:bottom w:val="nil"/>
              <w:right w:val="nil"/>
            </w:tcBorders>
            <w:hideMark/>
          </w:tcPr>
          <w:p w14:paraId="4F2C0BAB"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7C891C2" w14:textId="77777777" w:rsidR="008144C7" w:rsidRPr="00635D1D" w:rsidRDefault="008144C7" w:rsidP="00C5582D">
            <w:pPr>
              <w:pStyle w:val="AmColumnHeading"/>
            </w:pPr>
            <w:r w:rsidRPr="00635D1D">
              <w:t>Poprawka</w:t>
            </w:r>
          </w:p>
        </w:tc>
      </w:tr>
      <w:tr w:rsidR="008144C7" w:rsidRPr="00635D1D" w14:paraId="3F6080BF" w14:textId="77777777" w:rsidTr="00C5582D">
        <w:trPr>
          <w:jc w:val="center"/>
        </w:trPr>
        <w:tc>
          <w:tcPr>
            <w:tcW w:w="4876" w:type="dxa"/>
            <w:tcBorders>
              <w:top w:val="nil"/>
              <w:left w:val="nil"/>
              <w:bottom w:val="nil"/>
              <w:right w:val="nil"/>
            </w:tcBorders>
          </w:tcPr>
          <w:p w14:paraId="761E0DD4" w14:textId="77777777" w:rsidR="008144C7" w:rsidRPr="00635D1D" w:rsidRDefault="008144C7" w:rsidP="00C5582D">
            <w:pPr>
              <w:pStyle w:val="Normal6a"/>
            </w:pPr>
          </w:p>
        </w:tc>
        <w:tc>
          <w:tcPr>
            <w:tcW w:w="4876" w:type="dxa"/>
            <w:tcBorders>
              <w:top w:val="nil"/>
              <w:left w:val="nil"/>
              <w:bottom w:val="nil"/>
              <w:right w:val="nil"/>
            </w:tcBorders>
            <w:hideMark/>
          </w:tcPr>
          <w:p w14:paraId="7A057B84" w14:textId="77777777" w:rsidR="008144C7" w:rsidRPr="00635D1D" w:rsidRDefault="008144C7" w:rsidP="00C5582D">
            <w:pPr>
              <w:pStyle w:val="Normal6a"/>
            </w:pPr>
            <w:r w:rsidRPr="00635D1D">
              <w:rPr>
                <w:b/>
                <w:i/>
              </w:rPr>
              <w:t>(15a)</w:t>
            </w:r>
            <w:r w:rsidRPr="00635D1D">
              <w:tab/>
            </w:r>
            <w:r w:rsidRPr="00635D1D">
              <w:rPr>
                <w:b/>
                <w:i/>
              </w:rPr>
              <w:t xml:space="preserve">W strategii w zakresie chemikaliów na rzecz </w:t>
            </w:r>
            <w:proofErr w:type="spellStart"/>
            <w:r w:rsidRPr="00635D1D">
              <w:rPr>
                <w:b/>
                <w:i/>
              </w:rPr>
              <w:t>zrównoważoności</w:t>
            </w:r>
            <w:proofErr w:type="spellEnd"/>
            <w:r w:rsidRPr="00635D1D">
              <w:rPr>
                <w:b/>
                <w:i/>
              </w:rPr>
              <w:t xml:space="preserve"> Komisja zobowiązała się do dopilnowania, aby produkty konsumpcyjne, w tym kosmetyki, nie zawierały substancji chemicznych powodujących nowotwory, mutacje genowe, wpływających na układ rozrodczy lub układ hormonalny lub substancji trwałych i wykazujących zdolność do bioakumulacji.</w:t>
            </w:r>
          </w:p>
        </w:tc>
      </w:tr>
    </w:tbl>
    <w:p w14:paraId="7437FAB9"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229A7528" w14:textId="77777777" w:rsidR="008144C7" w:rsidRPr="00AD15CF" w:rsidRDefault="008144C7" w:rsidP="008144C7">
      <w:pPr>
        <w:rPr>
          <w:lang w:val="en-GB"/>
        </w:rPr>
      </w:pPr>
      <w:r w:rsidRPr="00AD15CF">
        <w:rPr>
          <w:rStyle w:val="HideTWBExt"/>
          <w:lang w:val="en-GB"/>
        </w:rPr>
        <w:t>&lt;/Amend&gt;</w:t>
      </w:r>
    </w:p>
    <w:p w14:paraId="2011FFA9"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164</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6D89A945"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Inese</w:t>
      </w:r>
      <w:proofErr w:type="spellEnd"/>
      <w:r w:rsidRPr="00AD15CF">
        <w:rPr>
          <w:lang w:val="en-GB"/>
        </w:rPr>
        <w:t xml:space="preserve"> </w:t>
      </w:r>
      <w:proofErr w:type="spellStart"/>
      <w:r w:rsidRPr="00AD15CF">
        <w:rPr>
          <w:lang w:val="en-GB"/>
        </w:rPr>
        <w:t>Vaidere</w:t>
      </w:r>
      <w:proofErr w:type="spellEnd"/>
      <w:r w:rsidRPr="00AD15CF">
        <w:rPr>
          <w:rStyle w:val="HideTWBExt"/>
          <w:b w:val="0"/>
          <w:lang w:val="en-GB"/>
        </w:rPr>
        <w:t>&lt;/Members&gt;</w:t>
      </w:r>
    </w:p>
    <w:p w14:paraId="552FA2B8" w14:textId="77777777" w:rsidR="008144C7" w:rsidRPr="00635D1D" w:rsidRDefault="008144C7" w:rsidP="008144C7">
      <w:pPr>
        <w:pStyle w:val="NormalBold"/>
      </w:pPr>
      <w:r w:rsidRPr="00635D1D">
        <w:rPr>
          <w:rStyle w:val="HideTWBExt"/>
          <w:b w:val="0"/>
        </w:rPr>
        <w:t>&lt;/RepeatBlock-By&gt;</w:t>
      </w:r>
    </w:p>
    <w:p w14:paraId="1F8240FE"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3040313" w14:textId="77777777" w:rsidR="008144C7" w:rsidRPr="00635D1D" w:rsidRDefault="008144C7" w:rsidP="008144C7">
      <w:pPr>
        <w:pStyle w:val="NormalBold"/>
      </w:pPr>
      <w:r w:rsidRPr="00635D1D">
        <w:rPr>
          <w:rStyle w:val="HideTWBExt"/>
          <w:b w:val="0"/>
        </w:rPr>
        <w:t>&lt;Article&gt;</w:t>
      </w:r>
      <w:r w:rsidRPr="00635D1D">
        <w:t>Motyw 15 b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686859C" w14:textId="77777777" w:rsidTr="00C5582D">
        <w:trPr>
          <w:trHeight w:val="240"/>
          <w:jc w:val="center"/>
        </w:trPr>
        <w:tc>
          <w:tcPr>
            <w:tcW w:w="9752" w:type="dxa"/>
            <w:gridSpan w:val="2"/>
            <w:tcBorders>
              <w:top w:val="nil"/>
              <w:left w:val="nil"/>
              <w:bottom w:val="nil"/>
              <w:right w:val="nil"/>
            </w:tcBorders>
          </w:tcPr>
          <w:p w14:paraId="2BF6CF96" w14:textId="77777777" w:rsidR="008144C7" w:rsidRPr="00635D1D" w:rsidRDefault="008144C7" w:rsidP="00C5582D"/>
        </w:tc>
      </w:tr>
      <w:tr w:rsidR="008144C7" w:rsidRPr="00635D1D" w14:paraId="3BBC1399" w14:textId="77777777" w:rsidTr="00C5582D">
        <w:trPr>
          <w:trHeight w:val="240"/>
          <w:jc w:val="center"/>
        </w:trPr>
        <w:tc>
          <w:tcPr>
            <w:tcW w:w="4876" w:type="dxa"/>
            <w:tcBorders>
              <w:top w:val="nil"/>
              <w:left w:val="nil"/>
              <w:bottom w:val="nil"/>
              <w:right w:val="nil"/>
            </w:tcBorders>
            <w:hideMark/>
          </w:tcPr>
          <w:p w14:paraId="61C07C86"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0760C21" w14:textId="77777777" w:rsidR="008144C7" w:rsidRPr="00635D1D" w:rsidRDefault="008144C7" w:rsidP="00C5582D">
            <w:pPr>
              <w:pStyle w:val="AmColumnHeading"/>
            </w:pPr>
            <w:r w:rsidRPr="00635D1D">
              <w:t>Poprawka</w:t>
            </w:r>
          </w:p>
        </w:tc>
      </w:tr>
      <w:tr w:rsidR="008144C7" w:rsidRPr="00635D1D" w14:paraId="49370BFE" w14:textId="77777777" w:rsidTr="00C5582D">
        <w:trPr>
          <w:jc w:val="center"/>
        </w:trPr>
        <w:tc>
          <w:tcPr>
            <w:tcW w:w="4876" w:type="dxa"/>
            <w:tcBorders>
              <w:top w:val="nil"/>
              <w:left w:val="nil"/>
              <w:bottom w:val="nil"/>
              <w:right w:val="nil"/>
            </w:tcBorders>
          </w:tcPr>
          <w:p w14:paraId="3948A49B" w14:textId="77777777" w:rsidR="008144C7" w:rsidRPr="00635D1D" w:rsidRDefault="008144C7" w:rsidP="00C5582D">
            <w:pPr>
              <w:pStyle w:val="Normal6a"/>
            </w:pPr>
          </w:p>
        </w:tc>
        <w:tc>
          <w:tcPr>
            <w:tcW w:w="4876" w:type="dxa"/>
            <w:tcBorders>
              <w:top w:val="nil"/>
              <w:left w:val="nil"/>
              <w:bottom w:val="nil"/>
              <w:right w:val="nil"/>
            </w:tcBorders>
            <w:hideMark/>
          </w:tcPr>
          <w:p w14:paraId="32DFA7D9" w14:textId="77777777" w:rsidR="008144C7" w:rsidRPr="00635D1D" w:rsidRDefault="008144C7" w:rsidP="00C5582D">
            <w:pPr>
              <w:pStyle w:val="Normal6a"/>
            </w:pPr>
            <w:r w:rsidRPr="00635D1D">
              <w:rPr>
                <w:b/>
                <w:i/>
              </w:rPr>
              <w:t>(15b)</w:t>
            </w:r>
            <w:r w:rsidRPr="00635D1D">
              <w:tab/>
            </w:r>
            <w:r w:rsidRPr="00635D1D">
              <w:rPr>
                <w:b/>
                <w:i/>
              </w:rPr>
              <w:t>Rozporządzenie (WE) nr 1223/2009 nie przewiduje przypadków, w których indywidualni przedsiębiorcy lub przedsiębiorstwa typu start-</w:t>
            </w:r>
            <w:proofErr w:type="spellStart"/>
            <w:r w:rsidRPr="00635D1D">
              <w:rPr>
                <w:b/>
                <w:i/>
              </w:rPr>
              <w:t>up</w:t>
            </w:r>
            <w:proofErr w:type="spellEnd"/>
            <w:r w:rsidRPr="00635D1D">
              <w:rPr>
                <w:b/>
                <w:i/>
              </w:rPr>
              <w:t xml:space="preserve"> wykorzystują produkty naturalne i przygotowują z nich ekstrakty, maceraty, maści i </w:t>
            </w:r>
            <w:proofErr w:type="spellStart"/>
            <w:r w:rsidRPr="00635D1D">
              <w:rPr>
                <w:b/>
                <w:i/>
              </w:rPr>
              <w:t>hydrolaty</w:t>
            </w:r>
            <w:proofErr w:type="spellEnd"/>
            <w:r w:rsidRPr="00635D1D">
              <w:rPr>
                <w:b/>
                <w:i/>
              </w:rPr>
              <w:t xml:space="preserve"> – produkty, które mają wysoką wartość w kulturze lokalnej i przyczyniają się do zrównoważonego wykorzystania zasobów naturalnych. Obecny system regulacyjny nie pozwala na łatwe stosowanie tych tradycyjnych ekstraktów i produktów rzemieślniczych w produkcji kosmetyków i ich sprzedaży na legalnym rynku, co wymaga dogłębnej, kosztownej i czasochłonnej oceny bezpieczeństwa produktów, w tym badań laboratoryjnych, które często nie są finansowo przystępne dla drobnych producentów; wymaga pełnej rejestracji produktu na portalu zgłaszania produktów kosmetycznych (CPNP) Komisji Europejskiej wraz z całą dokumentacją i badaniami; wymaga spełnienia rygorystycznych wymogów dobrej praktyki wytwarzania (GMP) oraz skorzystania z usług eksperckich, które nie są odpowiednie i praktyczne dla produkcji rzemieślniczej i na małą skalę;</w:t>
            </w:r>
          </w:p>
        </w:tc>
      </w:tr>
    </w:tbl>
    <w:p w14:paraId="5FD3F925"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6209F388" w14:textId="77777777" w:rsidR="008144C7" w:rsidRPr="00AD15CF" w:rsidRDefault="008144C7" w:rsidP="008144C7">
      <w:pPr>
        <w:rPr>
          <w:lang w:val="en-GB"/>
        </w:rPr>
      </w:pPr>
      <w:r w:rsidRPr="00AD15CF">
        <w:rPr>
          <w:rStyle w:val="HideTWBExt"/>
          <w:lang w:val="en-GB"/>
        </w:rPr>
        <w:t>&lt;/Amend&gt;</w:t>
      </w:r>
    </w:p>
    <w:p w14:paraId="49614296"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165</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33445407"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Per Clausen, Anja </w:t>
      </w:r>
      <w:proofErr w:type="spellStart"/>
      <w:r w:rsidRPr="00AD15CF">
        <w:rPr>
          <w:lang w:val="en-GB"/>
        </w:rPr>
        <w:t>Hazekamp</w:t>
      </w:r>
      <w:proofErr w:type="spellEnd"/>
      <w:r w:rsidRPr="00AD15CF">
        <w:rPr>
          <w:rStyle w:val="HideTWBExt"/>
          <w:b w:val="0"/>
          <w:lang w:val="en-GB"/>
        </w:rPr>
        <w:t>&lt;/Members&gt;</w:t>
      </w:r>
    </w:p>
    <w:p w14:paraId="5F585AB8" w14:textId="77777777" w:rsidR="008144C7" w:rsidRPr="00635D1D" w:rsidRDefault="008144C7" w:rsidP="008144C7">
      <w:pPr>
        <w:pStyle w:val="NormalBold"/>
      </w:pPr>
      <w:r w:rsidRPr="00635D1D">
        <w:rPr>
          <w:rStyle w:val="HideTWBExt"/>
          <w:b w:val="0"/>
        </w:rPr>
        <w:t>&lt;/RepeatBlock-By&gt;</w:t>
      </w:r>
    </w:p>
    <w:p w14:paraId="5B9D3E4D"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A6BFAAC" w14:textId="77777777" w:rsidR="008144C7" w:rsidRPr="00635D1D" w:rsidRDefault="008144C7" w:rsidP="008144C7">
      <w:pPr>
        <w:pStyle w:val="NormalBold"/>
      </w:pPr>
      <w:r w:rsidRPr="00635D1D">
        <w:rPr>
          <w:rStyle w:val="HideTWBExt"/>
          <w:b w:val="0"/>
        </w:rPr>
        <w:t>&lt;Article&gt;</w:t>
      </w:r>
      <w:r w:rsidRPr="00635D1D">
        <w:t>Motyw 15 b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E40C296" w14:textId="77777777" w:rsidTr="00C5582D">
        <w:trPr>
          <w:trHeight w:val="240"/>
          <w:jc w:val="center"/>
        </w:trPr>
        <w:tc>
          <w:tcPr>
            <w:tcW w:w="9752" w:type="dxa"/>
            <w:gridSpan w:val="2"/>
            <w:tcBorders>
              <w:top w:val="nil"/>
              <w:left w:val="nil"/>
              <w:bottom w:val="nil"/>
              <w:right w:val="nil"/>
            </w:tcBorders>
          </w:tcPr>
          <w:p w14:paraId="5B7C6522" w14:textId="77777777" w:rsidR="008144C7" w:rsidRPr="00635D1D" w:rsidRDefault="008144C7" w:rsidP="00C5582D"/>
        </w:tc>
      </w:tr>
      <w:tr w:rsidR="008144C7" w:rsidRPr="00635D1D" w14:paraId="1038F885" w14:textId="77777777" w:rsidTr="00C5582D">
        <w:trPr>
          <w:trHeight w:val="240"/>
          <w:jc w:val="center"/>
        </w:trPr>
        <w:tc>
          <w:tcPr>
            <w:tcW w:w="4876" w:type="dxa"/>
            <w:tcBorders>
              <w:top w:val="nil"/>
              <w:left w:val="nil"/>
              <w:bottom w:val="nil"/>
              <w:right w:val="nil"/>
            </w:tcBorders>
            <w:hideMark/>
          </w:tcPr>
          <w:p w14:paraId="2575CA49"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2DE2B89" w14:textId="77777777" w:rsidR="008144C7" w:rsidRPr="00635D1D" w:rsidRDefault="008144C7" w:rsidP="00C5582D">
            <w:pPr>
              <w:pStyle w:val="AmColumnHeading"/>
            </w:pPr>
            <w:r w:rsidRPr="00635D1D">
              <w:t>Poprawka</w:t>
            </w:r>
          </w:p>
        </w:tc>
      </w:tr>
      <w:tr w:rsidR="008144C7" w:rsidRPr="00635D1D" w14:paraId="1C2648D3" w14:textId="77777777" w:rsidTr="00C5582D">
        <w:trPr>
          <w:jc w:val="center"/>
        </w:trPr>
        <w:tc>
          <w:tcPr>
            <w:tcW w:w="4876" w:type="dxa"/>
            <w:tcBorders>
              <w:top w:val="nil"/>
              <w:left w:val="nil"/>
              <w:bottom w:val="nil"/>
              <w:right w:val="nil"/>
            </w:tcBorders>
          </w:tcPr>
          <w:p w14:paraId="74A2C04F" w14:textId="77777777" w:rsidR="008144C7" w:rsidRPr="00635D1D" w:rsidRDefault="008144C7" w:rsidP="00C5582D">
            <w:pPr>
              <w:pStyle w:val="Normal6a"/>
            </w:pPr>
          </w:p>
        </w:tc>
        <w:tc>
          <w:tcPr>
            <w:tcW w:w="4876" w:type="dxa"/>
            <w:tcBorders>
              <w:top w:val="nil"/>
              <w:left w:val="nil"/>
              <w:bottom w:val="nil"/>
              <w:right w:val="nil"/>
            </w:tcBorders>
            <w:hideMark/>
          </w:tcPr>
          <w:p w14:paraId="22B8872B" w14:textId="77777777" w:rsidR="008144C7" w:rsidRPr="00635D1D" w:rsidRDefault="008144C7" w:rsidP="00C5582D">
            <w:pPr>
              <w:pStyle w:val="Normal6a"/>
            </w:pPr>
            <w:r w:rsidRPr="00635D1D">
              <w:rPr>
                <w:b/>
                <w:i/>
              </w:rPr>
              <w:t>(15b)</w:t>
            </w:r>
            <w:r w:rsidRPr="00635D1D">
              <w:tab/>
            </w:r>
            <w:r w:rsidRPr="00635D1D">
              <w:rPr>
                <w:b/>
                <w:i/>
              </w:rPr>
              <w:t>Substancje zaburzające funkcjonowanie układu hormonalnego są w coraz większym stopniu powiązane z chorobami działającymi za pośrednictwem układu hormonalnego. Ich stosowanie stanowi poważne zagrożenie dla zdrowia ludzi, a także generuje koszty gospodarcze dla społeczeństwa. Ponieważ hormony kontrolują rozwój i wzrost mózgu, narażenie na substancje zaburzające funkcjonowanie układu hormonalnego podczas rozwoju płodu i w okresie dojrzewania może prowadzić do nieodwracalnych skutków, przy czym niektóre z nich zostają wykryte dopiero wiele lat później. Zaburzenia związane z układem hormonalnym mają wpływ w szczególności na funkcjonowanie tarczycy, układu odpornościowego, układu rozrodczego i ogólnie metabolizmu człowieka. Kosmetyki nie powinny zawierać substancji chemicznych zaburzających funkcjonowanie układu hormonalnego.</w:t>
            </w:r>
          </w:p>
        </w:tc>
      </w:tr>
    </w:tbl>
    <w:p w14:paraId="03C49615"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27BE456C" w14:textId="77777777" w:rsidR="008144C7" w:rsidRPr="00AD15CF" w:rsidRDefault="008144C7" w:rsidP="008144C7">
      <w:pPr>
        <w:rPr>
          <w:lang w:val="en-GB"/>
        </w:rPr>
      </w:pPr>
      <w:r w:rsidRPr="00AD15CF">
        <w:rPr>
          <w:rStyle w:val="HideTWBExt"/>
          <w:lang w:val="en-GB"/>
        </w:rPr>
        <w:t>&lt;/Amend&gt;</w:t>
      </w:r>
    </w:p>
    <w:p w14:paraId="4C8AFCDD"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166</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0B137538"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Per Clausen, Anja </w:t>
      </w:r>
      <w:proofErr w:type="spellStart"/>
      <w:r w:rsidRPr="00AD15CF">
        <w:rPr>
          <w:lang w:val="en-GB"/>
        </w:rPr>
        <w:t>Hazekamp</w:t>
      </w:r>
      <w:proofErr w:type="spellEnd"/>
      <w:r w:rsidRPr="00AD15CF">
        <w:rPr>
          <w:rStyle w:val="HideTWBExt"/>
          <w:b w:val="0"/>
          <w:lang w:val="en-GB"/>
        </w:rPr>
        <w:t>&lt;/Members&gt;</w:t>
      </w:r>
    </w:p>
    <w:p w14:paraId="04848B09" w14:textId="77777777" w:rsidR="008144C7" w:rsidRPr="00635D1D" w:rsidRDefault="008144C7" w:rsidP="008144C7">
      <w:pPr>
        <w:pStyle w:val="NormalBold"/>
      </w:pPr>
      <w:r w:rsidRPr="00635D1D">
        <w:rPr>
          <w:rStyle w:val="HideTWBExt"/>
          <w:b w:val="0"/>
        </w:rPr>
        <w:t>&lt;/RepeatBlock-By&gt;</w:t>
      </w:r>
    </w:p>
    <w:p w14:paraId="6BD699C1"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2D577E0" w14:textId="77777777" w:rsidR="008144C7" w:rsidRPr="00635D1D" w:rsidRDefault="008144C7" w:rsidP="008144C7">
      <w:pPr>
        <w:pStyle w:val="NormalBold"/>
      </w:pPr>
      <w:r w:rsidRPr="00635D1D">
        <w:rPr>
          <w:rStyle w:val="HideTWBExt"/>
          <w:b w:val="0"/>
        </w:rPr>
        <w:t>&lt;Article&gt;</w:t>
      </w:r>
      <w:r w:rsidRPr="00635D1D">
        <w:t>Motyw 15 c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9B9A41F" w14:textId="77777777" w:rsidTr="00C5582D">
        <w:trPr>
          <w:trHeight w:val="240"/>
          <w:jc w:val="center"/>
        </w:trPr>
        <w:tc>
          <w:tcPr>
            <w:tcW w:w="9752" w:type="dxa"/>
            <w:gridSpan w:val="2"/>
            <w:tcBorders>
              <w:top w:val="nil"/>
              <w:left w:val="nil"/>
              <w:bottom w:val="nil"/>
              <w:right w:val="nil"/>
            </w:tcBorders>
          </w:tcPr>
          <w:p w14:paraId="7264A277" w14:textId="77777777" w:rsidR="008144C7" w:rsidRPr="00635D1D" w:rsidRDefault="008144C7" w:rsidP="00C5582D"/>
        </w:tc>
      </w:tr>
      <w:tr w:rsidR="008144C7" w:rsidRPr="00635D1D" w14:paraId="42561227" w14:textId="77777777" w:rsidTr="00C5582D">
        <w:trPr>
          <w:trHeight w:val="240"/>
          <w:jc w:val="center"/>
        </w:trPr>
        <w:tc>
          <w:tcPr>
            <w:tcW w:w="4876" w:type="dxa"/>
            <w:tcBorders>
              <w:top w:val="nil"/>
              <w:left w:val="nil"/>
              <w:bottom w:val="nil"/>
              <w:right w:val="nil"/>
            </w:tcBorders>
            <w:hideMark/>
          </w:tcPr>
          <w:p w14:paraId="01D9FA87"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26CC88A" w14:textId="77777777" w:rsidR="008144C7" w:rsidRPr="00635D1D" w:rsidRDefault="008144C7" w:rsidP="00C5582D">
            <w:pPr>
              <w:pStyle w:val="AmColumnHeading"/>
            </w:pPr>
            <w:r w:rsidRPr="00635D1D">
              <w:t>Poprawka</w:t>
            </w:r>
          </w:p>
        </w:tc>
      </w:tr>
      <w:tr w:rsidR="008144C7" w:rsidRPr="00635D1D" w14:paraId="4B5DFF58" w14:textId="77777777" w:rsidTr="00C5582D">
        <w:trPr>
          <w:jc w:val="center"/>
        </w:trPr>
        <w:tc>
          <w:tcPr>
            <w:tcW w:w="4876" w:type="dxa"/>
            <w:tcBorders>
              <w:top w:val="nil"/>
              <w:left w:val="nil"/>
              <w:bottom w:val="nil"/>
              <w:right w:val="nil"/>
            </w:tcBorders>
          </w:tcPr>
          <w:p w14:paraId="7B033F9A" w14:textId="77777777" w:rsidR="008144C7" w:rsidRPr="00635D1D" w:rsidRDefault="008144C7" w:rsidP="00C5582D">
            <w:pPr>
              <w:pStyle w:val="Normal6a"/>
            </w:pPr>
          </w:p>
        </w:tc>
        <w:tc>
          <w:tcPr>
            <w:tcW w:w="4876" w:type="dxa"/>
            <w:tcBorders>
              <w:top w:val="nil"/>
              <w:left w:val="nil"/>
              <w:bottom w:val="nil"/>
              <w:right w:val="nil"/>
            </w:tcBorders>
            <w:hideMark/>
          </w:tcPr>
          <w:p w14:paraId="46ABE431" w14:textId="77777777" w:rsidR="008144C7" w:rsidRPr="00635D1D" w:rsidRDefault="008144C7" w:rsidP="00C5582D">
            <w:pPr>
              <w:pStyle w:val="Normal6a"/>
            </w:pPr>
            <w:r w:rsidRPr="00635D1D">
              <w:rPr>
                <w:b/>
                <w:i/>
              </w:rPr>
              <w:t>(15c)</w:t>
            </w:r>
            <w:r w:rsidRPr="00635D1D">
              <w:tab/>
            </w:r>
            <w:r w:rsidRPr="00635D1D">
              <w:rPr>
                <w:b/>
                <w:i/>
              </w:rPr>
              <w:t>Substancje per- i </w:t>
            </w:r>
            <w:proofErr w:type="spellStart"/>
            <w:r w:rsidRPr="00635D1D">
              <w:rPr>
                <w:b/>
                <w:i/>
              </w:rPr>
              <w:t>polifluoroalkilowe</w:t>
            </w:r>
            <w:proofErr w:type="spellEnd"/>
            <w:r w:rsidRPr="00635D1D">
              <w:rPr>
                <w:b/>
                <w:i/>
              </w:rPr>
              <w:t xml:space="preserve"> (PFAS) to duża grupa ponad 10 000 syntetycznych substancji chemicznych. Od czasu wprowadzenia PFAS pod koniec lat 40. XX wieku są one coraz częściej stosowane w wielu różnych produktach konsumpcyjnych. Narażenie na najlepiej przebadane substancje PFAS jest powiązane z licznymi negatywnymi skutkami dla zdrowia, w tym chorobami tarczycy, uszkodzeniem wątroby, otyłością, cukrzycą, zmniejszoną skutecznością rutynowych szczepień, a także zwiększonym ryzykiem zachorowania na raka sutka, nerek i jąder. Kosmetyki nie powinny zawierać substancji per- lub </w:t>
            </w:r>
            <w:proofErr w:type="spellStart"/>
            <w:r w:rsidRPr="00635D1D">
              <w:rPr>
                <w:b/>
                <w:i/>
              </w:rPr>
              <w:t>polifluoroalkilowych</w:t>
            </w:r>
            <w:proofErr w:type="spellEnd"/>
            <w:r w:rsidRPr="00635D1D">
              <w:rPr>
                <w:b/>
                <w:i/>
              </w:rPr>
              <w:t xml:space="preserve"> (PFAS).</w:t>
            </w:r>
          </w:p>
        </w:tc>
      </w:tr>
    </w:tbl>
    <w:p w14:paraId="7019C11C"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27124FD3" w14:textId="77777777" w:rsidR="008144C7" w:rsidRPr="00635D1D" w:rsidRDefault="008144C7" w:rsidP="008144C7">
      <w:r w:rsidRPr="00635D1D">
        <w:rPr>
          <w:rStyle w:val="HideTWBExt"/>
        </w:rPr>
        <w:t>&lt;/Amend&gt;</w:t>
      </w:r>
    </w:p>
    <w:p w14:paraId="72434FA1"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167</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1B52BA11"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Majdouline</w:t>
      </w:r>
      <w:proofErr w:type="spellEnd"/>
      <w:r w:rsidRPr="00AD15CF">
        <w:rPr>
          <w:lang w:val="en-GB"/>
        </w:rPr>
        <w:t xml:space="preserve"> </w:t>
      </w:r>
      <w:proofErr w:type="spellStart"/>
      <w:r w:rsidRPr="00AD15CF">
        <w:rPr>
          <w:lang w:val="en-GB"/>
        </w:rPr>
        <w:t>Sbai</w:t>
      </w:r>
      <w:proofErr w:type="spellEnd"/>
      <w:r w:rsidRPr="00AD15CF">
        <w:rPr>
          <w:rStyle w:val="HideTWBExt"/>
          <w:b w:val="0"/>
          <w:lang w:val="en-GB"/>
        </w:rPr>
        <w:t>&lt;/Members&gt;</w:t>
      </w:r>
    </w:p>
    <w:p w14:paraId="4FB8EB47" w14:textId="77777777" w:rsidR="008144C7" w:rsidRPr="00635D1D" w:rsidRDefault="008144C7" w:rsidP="008144C7">
      <w:pPr>
        <w:pStyle w:val="NormalBold"/>
      </w:pPr>
      <w:r w:rsidRPr="00635D1D">
        <w:rPr>
          <w:rStyle w:val="HideTWBExt"/>
          <w:b w:val="0"/>
        </w:rPr>
        <w:t>&lt;/RepeatBlock-By&gt;</w:t>
      </w:r>
    </w:p>
    <w:p w14:paraId="0426D91D"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163EA9A" w14:textId="77777777" w:rsidR="008144C7" w:rsidRPr="00635D1D" w:rsidRDefault="008144C7" w:rsidP="008144C7">
      <w:pPr>
        <w:pStyle w:val="NormalBold"/>
      </w:pPr>
      <w:r w:rsidRPr="00635D1D">
        <w:rPr>
          <w:rStyle w:val="HideTWBExt"/>
          <w:b w:val="0"/>
        </w:rPr>
        <w:t>&lt;Article&gt;</w:t>
      </w:r>
      <w:r w:rsidRPr="00635D1D">
        <w:t>Motyw 16</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DD1613D" w14:textId="77777777" w:rsidTr="00C5582D">
        <w:trPr>
          <w:trHeight w:val="240"/>
          <w:jc w:val="center"/>
        </w:trPr>
        <w:tc>
          <w:tcPr>
            <w:tcW w:w="9752" w:type="dxa"/>
            <w:gridSpan w:val="2"/>
            <w:tcBorders>
              <w:top w:val="nil"/>
              <w:left w:val="nil"/>
              <w:bottom w:val="nil"/>
              <w:right w:val="nil"/>
            </w:tcBorders>
          </w:tcPr>
          <w:p w14:paraId="512BF135" w14:textId="77777777" w:rsidR="008144C7" w:rsidRPr="00635D1D" w:rsidRDefault="008144C7" w:rsidP="00C5582D"/>
        </w:tc>
      </w:tr>
      <w:tr w:rsidR="008144C7" w:rsidRPr="00635D1D" w14:paraId="463CECCE" w14:textId="77777777" w:rsidTr="00C5582D">
        <w:trPr>
          <w:trHeight w:val="240"/>
          <w:jc w:val="center"/>
        </w:trPr>
        <w:tc>
          <w:tcPr>
            <w:tcW w:w="4876" w:type="dxa"/>
            <w:tcBorders>
              <w:top w:val="nil"/>
              <w:left w:val="nil"/>
              <w:bottom w:val="nil"/>
              <w:right w:val="nil"/>
            </w:tcBorders>
            <w:hideMark/>
          </w:tcPr>
          <w:p w14:paraId="048C129E"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0CB2E662" w14:textId="77777777" w:rsidR="008144C7" w:rsidRPr="00635D1D" w:rsidRDefault="008144C7" w:rsidP="00C5582D">
            <w:pPr>
              <w:pStyle w:val="AmColumnHeading"/>
            </w:pPr>
            <w:r w:rsidRPr="00635D1D">
              <w:t>Poprawka</w:t>
            </w:r>
          </w:p>
        </w:tc>
      </w:tr>
      <w:tr w:rsidR="008144C7" w:rsidRPr="00635D1D" w14:paraId="3933B56F" w14:textId="77777777" w:rsidTr="00C5582D">
        <w:trPr>
          <w:jc w:val="center"/>
        </w:trPr>
        <w:tc>
          <w:tcPr>
            <w:tcW w:w="4876" w:type="dxa"/>
            <w:tcBorders>
              <w:top w:val="nil"/>
              <w:left w:val="nil"/>
              <w:bottom w:val="nil"/>
              <w:right w:val="nil"/>
            </w:tcBorders>
            <w:hideMark/>
          </w:tcPr>
          <w:p w14:paraId="2A558550" w14:textId="77777777" w:rsidR="008144C7" w:rsidRPr="00635D1D" w:rsidRDefault="008144C7" w:rsidP="00C5582D">
            <w:pPr>
              <w:pStyle w:val="Normal6a"/>
            </w:pPr>
            <w:r w:rsidRPr="00635D1D">
              <w:t>(16)</w:t>
            </w:r>
            <w:r w:rsidRPr="00635D1D">
              <w:tab/>
              <w:t xml:space="preserve">W rozporządzeniu (WE) nr 1223/2009 przewidziano – pod pewnymi warunkami – możliwość stosowania w produktach kosmetycznych substancji sklasyfikowanych jako substancje CMR, należących do kategorii 1A lub 1B w rozumieniu części 3 załącznika VI do rozporządzenia (WE) nr 1272/2008. Wniosek o przyznanie odstępstwa należy przedłożyć Komisji najpóźniej </w:t>
            </w:r>
            <w:r w:rsidRPr="00635D1D">
              <w:rPr>
                <w:b/>
                <w:i/>
              </w:rPr>
              <w:t>trzy miesiące</w:t>
            </w:r>
            <w:r w:rsidRPr="00635D1D">
              <w:t xml:space="preserve"> po wejściu w życie odpowiednich zmian w części 3 załącznika VI do rozporządzenia (WE) nr 1272/2008. Termin ten jest wystarczający, ponieważ odpowiednia opinia Komitetu ds. Oceny Ryzyka, w której proponuje się substancje do celów zharmonizowanej klasyfikacji, jest podawana do wiadomości publicznej na kilka miesięcy przed zastosowaniem środka regulacyjnego przez Komisję.</w:t>
            </w:r>
          </w:p>
        </w:tc>
        <w:tc>
          <w:tcPr>
            <w:tcW w:w="4876" w:type="dxa"/>
            <w:tcBorders>
              <w:top w:val="nil"/>
              <w:left w:val="nil"/>
              <w:bottom w:val="nil"/>
              <w:right w:val="nil"/>
            </w:tcBorders>
            <w:hideMark/>
          </w:tcPr>
          <w:p w14:paraId="2DE805D0" w14:textId="77777777" w:rsidR="008144C7" w:rsidRPr="00635D1D" w:rsidRDefault="008144C7" w:rsidP="00C5582D">
            <w:pPr>
              <w:pStyle w:val="Normal6a"/>
            </w:pPr>
            <w:r w:rsidRPr="00635D1D">
              <w:t>(16)</w:t>
            </w:r>
            <w:r w:rsidRPr="00635D1D">
              <w:tab/>
              <w:t xml:space="preserve">W rozporządzeniu (WE) nr 1223/2009 przewidziano – pod pewnymi warunkami – możliwość stosowania w produktach kosmetycznych substancji sklasyfikowanych jako substancje CMR, należących do kategorii 1A lub 1B w rozumieniu części 3 załącznika VI do rozporządzenia (WE) nr 1272/2008. Wniosek o przyznanie odstępstwa należy przedłożyć Komisji najpóźniej </w:t>
            </w:r>
            <w:r w:rsidRPr="00635D1D">
              <w:rPr>
                <w:b/>
                <w:i/>
              </w:rPr>
              <w:t>miesiąc</w:t>
            </w:r>
            <w:r w:rsidRPr="00635D1D">
              <w:t xml:space="preserve"> po wejściu w życie odpowiednich zmian w części 3 załącznika VI do rozporządzenia (WE) nr 1272/2008. Termin ten jest wystarczający, ponieważ odpowiednia opinia Komitetu ds. Oceny Ryzyka, w której proponuje się substancje do celów zharmonizowanej klasyfikacji, jest podawana do wiadomości publicznej na kilka miesięcy przed zastosowaniem środka regulacyjnego przez Komisję.</w:t>
            </w:r>
          </w:p>
        </w:tc>
      </w:tr>
    </w:tbl>
    <w:p w14:paraId="0FC437FF"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75A4EEDA"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536C0A65" w14:textId="77777777" w:rsidR="008144C7" w:rsidRPr="00AD15CF" w:rsidRDefault="008144C7" w:rsidP="008144C7">
      <w:pPr>
        <w:pStyle w:val="AmJustText"/>
        <w:rPr>
          <w:lang w:val="en-GB"/>
        </w:rPr>
      </w:pPr>
      <w:r w:rsidRPr="00AD15CF">
        <w:rPr>
          <w:lang w:val="en-GB"/>
        </w:rPr>
        <w:t xml:space="preserve">The Commission makes annual updates of CLP based on the latest RAC opinions </w:t>
      </w:r>
      <w:proofErr w:type="gramStart"/>
      <w:r w:rsidRPr="00AD15CF">
        <w:rPr>
          <w:lang w:val="en-GB"/>
        </w:rPr>
        <w:t>with regard to</w:t>
      </w:r>
      <w:proofErr w:type="gramEnd"/>
      <w:r w:rsidRPr="00AD15CF">
        <w:rPr>
          <w:lang w:val="en-GB"/>
        </w:rPr>
        <w:t xml:space="preserve"> CLP classifications. The updates take on average 18 months until they enter into force, and another 18 months until they are applicable. The Commission normally follows the RAC opinions, which are publicly available. It makes sense to link the deadline to the date of entry into force of the classification. However, given the current working methods, companies already had on average at least 18 months to prepare a derogation from the date of adoption of the RAC opinion. </w:t>
      </w:r>
      <w:proofErr w:type="gramStart"/>
      <w:r w:rsidRPr="00AD15CF">
        <w:rPr>
          <w:lang w:val="en-GB"/>
        </w:rPr>
        <w:t>Thus</w:t>
      </w:r>
      <w:proofErr w:type="gramEnd"/>
      <w:r w:rsidRPr="00AD15CF">
        <w:rPr>
          <w:lang w:val="en-GB"/>
        </w:rPr>
        <w:t xml:space="preserve"> derogations can be submitted very quickly after the entry into force of the classification.</w:t>
      </w:r>
    </w:p>
    <w:p w14:paraId="72D79F6D" w14:textId="77777777" w:rsidR="008144C7" w:rsidRPr="00AD15CF" w:rsidRDefault="008144C7" w:rsidP="008144C7">
      <w:pPr>
        <w:rPr>
          <w:lang w:val="en-GB"/>
        </w:rPr>
      </w:pPr>
      <w:r w:rsidRPr="00AD15CF">
        <w:rPr>
          <w:rStyle w:val="HideTWBExt"/>
          <w:lang w:val="en-GB"/>
        </w:rPr>
        <w:t>&lt;/Amend&gt;</w:t>
      </w:r>
    </w:p>
    <w:p w14:paraId="5CE296A7"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168</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7BBA65B2"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Per Clausen, Anja </w:t>
      </w:r>
      <w:proofErr w:type="spellStart"/>
      <w:r w:rsidRPr="00AD15CF">
        <w:rPr>
          <w:lang w:val="en-GB"/>
        </w:rPr>
        <w:t>Hazekamp</w:t>
      </w:r>
      <w:proofErr w:type="spellEnd"/>
      <w:r w:rsidRPr="00AD15CF">
        <w:rPr>
          <w:rStyle w:val="HideTWBExt"/>
          <w:b w:val="0"/>
          <w:lang w:val="en-GB"/>
        </w:rPr>
        <w:t>&lt;/Members&gt;</w:t>
      </w:r>
    </w:p>
    <w:p w14:paraId="38DC667C" w14:textId="77777777" w:rsidR="008144C7" w:rsidRPr="00635D1D" w:rsidRDefault="008144C7" w:rsidP="008144C7">
      <w:pPr>
        <w:pStyle w:val="NormalBold"/>
      </w:pPr>
      <w:r w:rsidRPr="00635D1D">
        <w:rPr>
          <w:rStyle w:val="HideTWBExt"/>
          <w:b w:val="0"/>
        </w:rPr>
        <w:t>&lt;/RepeatBlock-By&gt;</w:t>
      </w:r>
    </w:p>
    <w:p w14:paraId="7A547098"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4707759" w14:textId="77777777" w:rsidR="008144C7" w:rsidRPr="00635D1D" w:rsidRDefault="008144C7" w:rsidP="008144C7">
      <w:pPr>
        <w:pStyle w:val="NormalBold"/>
      </w:pPr>
      <w:r w:rsidRPr="00635D1D">
        <w:rPr>
          <w:rStyle w:val="HideTWBExt"/>
          <w:b w:val="0"/>
        </w:rPr>
        <w:t>&lt;Article&gt;</w:t>
      </w:r>
      <w:r w:rsidRPr="00635D1D">
        <w:t>Motyw 16</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1A06286" w14:textId="77777777" w:rsidTr="00C5582D">
        <w:trPr>
          <w:trHeight w:val="240"/>
          <w:jc w:val="center"/>
        </w:trPr>
        <w:tc>
          <w:tcPr>
            <w:tcW w:w="9752" w:type="dxa"/>
            <w:gridSpan w:val="2"/>
            <w:tcBorders>
              <w:top w:val="nil"/>
              <w:left w:val="nil"/>
              <w:bottom w:val="nil"/>
              <w:right w:val="nil"/>
            </w:tcBorders>
          </w:tcPr>
          <w:p w14:paraId="399F5C30" w14:textId="77777777" w:rsidR="008144C7" w:rsidRPr="00635D1D" w:rsidRDefault="008144C7" w:rsidP="00C5582D"/>
        </w:tc>
      </w:tr>
      <w:tr w:rsidR="008144C7" w:rsidRPr="00635D1D" w14:paraId="3D713FD2" w14:textId="77777777" w:rsidTr="00C5582D">
        <w:trPr>
          <w:trHeight w:val="240"/>
          <w:jc w:val="center"/>
        </w:trPr>
        <w:tc>
          <w:tcPr>
            <w:tcW w:w="4876" w:type="dxa"/>
            <w:tcBorders>
              <w:top w:val="nil"/>
              <w:left w:val="nil"/>
              <w:bottom w:val="nil"/>
              <w:right w:val="nil"/>
            </w:tcBorders>
            <w:hideMark/>
          </w:tcPr>
          <w:p w14:paraId="70F07449"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53AA0AE8" w14:textId="77777777" w:rsidR="008144C7" w:rsidRPr="00635D1D" w:rsidRDefault="008144C7" w:rsidP="00C5582D">
            <w:pPr>
              <w:pStyle w:val="AmColumnHeading"/>
            </w:pPr>
            <w:r w:rsidRPr="00635D1D">
              <w:t>Poprawka</w:t>
            </w:r>
          </w:p>
        </w:tc>
      </w:tr>
      <w:tr w:rsidR="008144C7" w:rsidRPr="00635D1D" w14:paraId="43D77365" w14:textId="77777777" w:rsidTr="00C5582D">
        <w:trPr>
          <w:jc w:val="center"/>
        </w:trPr>
        <w:tc>
          <w:tcPr>
            <w:tcW w:w="4876" w:type="dxa"/>
            <w:tcBorders>
              <w:top w:val="nil"/>
              <w:left w:val="nil"/>
              <w:bottom w:val="nil"/>
              <w:right w:val="nil"/>
            </w:tcBorders>
            <w:hideMark/>
          </w:tcPr>
          <w:p w14:paraId="3CAA3774" w14:textId="77777777" w:rsidR="008144C7" w:rsidRPr="00635D1D" w:rsidRDefault="008144C7" w:rsidP="00C5582D">
            <w:pPr>
              <w:pStyle w:val="Normal6a"/>
            </w:pPr>
            <w:r w:rsidRPr="00635D1D">
              <w:t>(16)</w:t>
            </w:r>
            <w:r w:rsidRPr="00635D1D">
              <w:tab/>
              <w:t xml:space="preserve">W rozporządzeniu (WE) nr 1223/2009 przewidziano – pod pewnymi warunkami – możliwość stosowania w produktach kosmetycznych substancji sklasyfikowanych jako substancje CMR, należących do kategorii 1A lub 1B w rozumieniu części 3 załącznika VI do rozporządzenia (WE) nr 1272/2008. Wniosek o przyznanie odstępstwa należy przedłożyć Komisji najpóźniej </w:t>
            </w:r>
            <w:r w:rsidRPr="00635D1D">
              <w:rPr>
                <w:b/>
                <w:i/>
              </w:rPr>
              <w:t>trzy miesiące</w:t>
            </w:r>
            <w:r w:rsidRPr="00635D1D">
              <w:t xml:space="preserve"> po wejściu w życie odpowiednich zmian w części 3 załącznika VI do rozporządzenia (WE) nr 1272/2008. Termin ten jest wystarczający, ponieważ odpowiednia opinia Komitetu ds. Oceny Ryzyka, w której proponuje się substancje do celów zharmonizowanej klasyfikacji, jest podawana do wiadomości publicznej na kilka miesięcy przed zastosowaniem środka regulacyjnego przez Komisję.</w:t>
            </w:r>
          </w:p>
        </w:tc>
        <w:tc>
          <w:tcPr>
            <w:tcW w:w="4876" w:type="dxa"/>
            <w:tcBorders>
              <w:top w:val="nil"/>
              <w:left w:val="nil"/>
              <w:bottom w:val="nil"/>
              <w:right w:val="nil"/>
            </w:tcBorders>
            <w:hideMark/>
          </w:tcPr>
          <w:p w14:paraId="691E20A6" w14:textId="77777777" w:rsidR="008144C7" w:rsidRPr="00635D1D" w:rsidRDefault="008144C7" w:rsidP="00C5582D">
            <w:pPr>
              <w:pStyle w:val="Normal6a"/>
            </w:pPr>
            <w:r w:rsidRPr="00635D1D">
              <w:t>(16)</w:t>
            </w:r>
            <w:r w:rsidRPr="00635D1D">
              <w:tab/>
              <w:t xml:space="preserve">W rozporządzeniu (WE) nr 1223/2009 przewidziano – pod pewnymi warunkami – możliwość stosowania w produktach kosmetycznych substancji sklasyfikowanych jako substancje CMR, należących do kategorii 1A lub 1B w rozumieniu części 3 załącznika VI do rozporządzenia (WE) nr 1272/2008. Wniosek o przyznanie odstępstwa należy przedłożyć Komisji najpóźniej </w:t>
            </w:r>
            <w:r w:rsidRPr="00635D1D">
              <w:rPr>
                <w:b/>
                <w:i/>
              </w:rPr>
              <w:t>miesiąc</w:t>
            </w:r>
            <w:r w:rsidRPr="00635D1D">
              <w:t xml:space="preserve"> po wejściu w życie odpowiednich zmian w części 3 załącznika VI do rozporządzenia (WE) nr 1272/2008. Termin ten jest wystarczający, ponieważ odpowiednia opinia Komitetu ds. Oceny Ryzyka, w której proponuje się substancje do celów zharmonizowanej klasyfikacji, jest podawana do wiadomości publicznej na kilka miesięcy przed zastosowaniem środka regulacyjnego przez Komisję.</w:t>
            </w:r>
          </w:p>
        </w:tc>
      </w:tr>
    </w:tbl>
    <w:p w14:paraId="3B72C388"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3CC40A14" w14:textId="77777777" w:rsidR="008144C7" w:rsidRPr="00AD15CF" w:rsidRDefault="008144C7" w:rsidP="008144C7">
      <w:pPr>
        <w:rPr>
          <w:lang w:val="en-GB"/>
        </w:rPr>
      </w:pPr>
      <w:r w:rsidRPr="00AD15CF">
        <w:rPr>
          <w:rStyle w:val="HideTWBExt"/>
          <w:lang w:val="en-GB"/>
        </w:rPr>
        <w:t>&lt;/Amend&gt;</w:t>
      </w:r>
    </w:p>
    <w:p w14:paraId="13908FC1"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169</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2BE791B1"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Pietro Fiocchi, Antonella </w:t>
      </w:r>
      <w:proofErr w:type="spellStart"/>
      <w:r w:rsidRPr="00AD15CF">
        <w:rPr>
          <w:lang w:val="en-GB"/>
        </w:rPr>
        <w:t>Sberna</w:t>
      </w:r>
      <w:proofErr w:type="spellEnd"/>
      <w:r w:rsidRPr="00AD15CF">
        <w:rPr>
          <w:rStyle w:val="HideTWBExt"/>
          <w:b w:val="0"/>
          <w:lang w:val="en-GB"/>
        </w:rPr>
        <w:t>&lt;/Members&gt;</w:t>
      </w:r>
    </w:p>
    <w:p w14:paraId="6DCCFE14" w14:textId="77777777" w:rsidR="008144C7" w:rsidRPr="00635D1D" w:rsidRDefault="008144C7" w:rsidP="008144C7">
      <w:pPr>
        <w:pStyle w:val="NormalBold"/>
      </w:pPr>
      <w:r w:rsidRPr="00635D1D">
        <w:rPr>
          <w:rStyle w:val="HideTWBExt"/>
          <w:b w:val="0"/>
        </w:rPr>
        <w:t>&lt;/RepeatBlock-By&gt;</w:t>
      </w:r>
    </w:p>
    <w:p w14:paraId="6C3C29BE"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B1A4E31" w14:textId="77777777" w:rsidR="008144C7" w:rsidRPr="00635D1D" w:rsidRDefault="008144C7" w:rsidP="008144C7">
      <w:pPr>
        <w:pStyle w:val="NormalBold"/>
      </w:pPr>
      <w:r w:rsidRPr="00635D1D">
        <w:rPr>
          <w:rStyle w:val="HideTWBExt"/>
          <w:b w:val="0"/>
        </w:rPr>
        <w:t>&lt;Article&gt;</w:t>
      </w:r>
      <w:r w:rsidRPr="00635D1D">
        <w:t>Motyw 16</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585B5AF" w14:textId="77777777" w:rsidTr="00C5582D">
        <w:trPr>
          <w:trHeight w:val="240"/>
          <w:jc w:val="center"/>
        </w:trPr>
        <w:tc>
          <w:tcPr>
            <w:tcW w:w="9752" w:type="dxa"/>
            <w:gridSpan w:val="2"/>
            <w:tcBorders>
              <w:top w:val="nil"/>
              <w:left w:val="nil"/>
              <w:bottom w:val="nil"/>
              <w:right w:val="nil"/>
            </w:tcBorders>
          </w:tcPr>
          <w:p w14:paraId="1B36847F" w14:textId="77777777" w:rsidR="008144C7" w:rsidRPr="00635D1D" w:rsidRDefault="008144C7" w:rsidP="00C5582D"/>
        </w:tc>
      </w:tr>
      <w:tr w:rsidR="008144C7" w:rsidRPr="00635D1D" w14:paraId="5888B217" w14:textId="77777777" w:rsidTr="00C5582D">
        <w:trPr>
          <w:trHeight w:val="240"/>
          <w:jc w:val="center"/>
        </w:trPr>
        <w:tc>
          <w:tcPr>
            <w:tcW w:w="4876" w:type="dxa"/>
            <w:tcBorders>
              <w:top w:val="nil"/>
              <w:left w:val="nil"/>
              <w:bottom w:val="nil"/>
              <w:right w:val="nil"/>
            </w:tcBorders>
            <w:hideMark/>
          </w:tcPr>
          <w:p w14:paraId="4597C13B"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9DCD949" w14:textId="77777777" w:rsidR="008144C7" w:rsidRPr="00635D1D" w:rsidRDefault="008144C7" w:rsidP="00C5582D">
            <w:pPr>
              <w:pStyle w:val="AmColumnHeading"/>
            </w:pPr>
            <w:r w:rsidRPr="00635D1D">
              <w:t>Poprawka</w:t>
            </w:r>
          </w:p>
        </w:tc>
      </w:tr>
      <w:tr w:rsidR="008144C7" w:rsidRPr="00635D1D" w14:paraId="2EB28B17" w14:textId="77777777" w:rsidTr="00C5582D">
        <w:trPr>
          <w:jc w:val="center"/>
        </w:trPr>
        <w:tc>
          <w:tcPr>
            <w:tcW w:w="4876" w:type="dxa"/>
            <w:tcBorders>
              <w:top w:val="nil"/>
              <w:left w:val="nil"/>
              <w:bottom w:val="nil"/>
              <w:right w:val="nil"/>
            </w:tcBorders>
            <w:hideMark/>
          </w:tcPr>
          <w:p w14:paraId="0F24FDC4" w14:textId="77777777" w:rsidR="008144C7" w:rsidRPr="00635D1D" w:rsidRDefault="008144C7" w:rsidP="00C5582D">
            <w:pPr>
              <w:pStyle w:val="Normal6a"/>
            </w:pPr>
            <w:r w:rsidRPr="00635D1D">
              <w:t>(16)</w:t>
            </w:r>
            <w:r w:rsidRPr="00635D1D">
              <w:tab/>
              <w:t xml:space="preserve">W rozporządzeniu (WE) nr 1223/2009 przewidziano – pod pewnymi warunkami – możliwość stosowania w produktach kosmetycznych substancji sklasyfikowanych jako substancje CMR, należących do kategorii 1A lub 1B w rozumieniu części 3 załącznika VI do rozporządzenia (WE) nr 1272/2008. Wniosek o przyznanie odstępstwa należy przedłożyć Komisji najpóźniej </w:t>
            </w:r>
            <w:r w:rsidRPr="00635D1D">
              <w:rPr>
                <w:b/>
                <w:i/>
              </w:rPr>
              <w:t>trzy miesiące</w:t>
            </w:r>
            <w:r w:rsidRPr="00635D1D">
              <w:t xml:space="preserve"> po wejściu w życie odpowiednich zmian w części 3 załącznika VI do rozporządzenia (WE) nr 1272/2008. Termin ten jest wystarczający, ponieważ odpowiednia opinia Komitetu ds. Oceny Ryzyka, w której proponuje się substancje do celów zharmonizowanej klasyfikacji, jest podawana do wiadomości publicznej na kilka miesięcy przed zastosowaniem środka regulacyjnego przez Komisję.</w:t>
            </w:r>
          </w:p>
        </w:tc>
        <w:tc>
          <w:tcPr>
            <w:tcW w:w="4876" w:type="dxa"/>
            <w:tcBorders>
              <w:top w:val="nil"/>
              <w:left w:val="nil"/>
              <w:bottom w:val="nil"/>
              <w:right w:val="nil"/>
            </w:tcBorders>
            <w:hideMark/>
          </w:tcPr>
          <w:p w14:paraId="192800C7" w14:textId="77777777" w:rsidR="008144C7" w:rsidRPr="00635D1D" w:rsidRDefault="008144C7" w:rsidP="00C5582D">
            <w:pPr>
              <w:pStyle w:val="Normal6a"/>
            </w:pPr>
            <w:r w:rsidRPr="00635D1D">
              <w:t>(16)</w:t>
            </w:r>
            <w:r w:rsidRPr="00635D1D">
              <w:tab/>
              <w:t xml:space="preserve">W rozporządzeniu (WE) nr 1223/2009 przewidziano – pod pewnymi warunkami – możliwość stosowania w produktach kosmetycznych substancji sklasyfikowanych jako substancje CMR, należących do kategorii 1A lub 1B w rozumieniu części 3 załącznika VI do rozporządzenia (WE) nr 1272/2008. Wniosek o przyznanie odstępstwa należy przedłożyć Komisji najpóźniej </w:t>
            </w:r>
            <w:r w:rsidRPr="00635D1D">
              <w:rPr>
                <w:b/>
                <w:i/>
              </w:rPr>
              <w:t>sześć miesięcy</w:t>
            </w:r>
            <w:r w:rsidRPr="00635D1D">
              <w:t xml:space="preserve"> po wejściu w życie odpowiednich zmian w części 3 załącznika VI do rozporządzenia (WE) nr 1272/2008. Termin ten jest wystarczający, ponieważ odpowiednia opinia Komitetu ds. Oceny Ryzyka, w której proponuje się substancje do celów zharmonizowanej klasyfikacji, jest podawana do wiadomości publicznej na kilka miesięcy przed zastosowaniem środka regulacyjnego przez Komisję.</w:t>
            </w:r>
          </w:p>
        </w:tc>
      </w:tr>
    </w:tbl>
    <w:p w14:paraId="128EBF0F"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094463CA"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1FB4FED9" w14:textId="77777777" w:rsidR="008144C7" w:rsidRPr="00AD15CF" w:rsidRDefault="008144C7" w:rsidP="008144C7">
      <w:pPr>
        <w:pStyle w:val="AmJustText"/>
        <w:rPr>
          <w:lang w:val="en-GB"/>
        </w:rPr>
      </w:pPr>
      <w:r w:rsidRPr="00AD15CF">
        <w:rPr>
          <w:lang w:val="en-GB"/>
        </w:rPr>
        <w:t>Under the CPR, the classification of a substance as CMR under the CLP leads to a rapid prohibition in cosmetic products, leaving insufficient time for industry to prepare a defence dossier. The Commission proposal allows continued use where a derogation request is submitted within a defined timeframe. Extending this period to six months is therefore essential to enable companies, including SMEs, to assess the classification, gather relevant data, define the uses to be defended and prepare robust, evidence-based dossiers, thereby ensuring a more proportionate and predictable regulatory framework.</w:t>
      </w:r>
    </w:p>
    <w:p w14:paraId="7DA182BA" w14:textId="77777777" w:rsidR="008144C7" w:rsidRPr="00AD15CF" w:rsidRDefault="008144C7" w:rsidP="008144C7">
      <w:pPr>
        <w:rPr>
          <w:lang w:val="en-GB"/>
        </w:rPr>
      </w:pPr>
      <w:r w:rsidRPr="00AD15CF">
        <w:rPr>
          <w:rStyle w:val="HideTWBExt"/>
          <w:lang w:val="en-GB"/>
        </w:rPr>
        <w:t>&lt;/Amend&gt;</w:t>
      </w:r>
    </w:p>
    <w:p w14:paraId="167A3FAB"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170</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6AE94475"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Majdouline</w:t>
      </w:r>
      <w:proofErr w:type="spellEnd"/>
      <w:r w:rsidRPr="00AD15CF">
        <w:rPr>
          <w:lang w:val="en-GB"/>
        </w:rPr>
        <w:t xml:space="preserve"> </w:t>
      </w:r>
      <w:proofErr w:type="spellStart"/>
      <w:r w:rsidRPr="00AD15CF">
        <w:rPr>
          <w:lang w:val="en-GB"/>
        </w:rPr>
        <w:t>Sbai</w:t>
      </w:r>
      <w:proofErr w:type="spellEnd"/>
      <w:r w:rsidRPr="00AD15CF">
        <w:rPr>
          <w:rStyle w:val="HideTWBExt"/>
          <w:b w:val="0"/>
          <w:lang w:val="en-GB"/>
        </w:rPr>
        <w:t>&lt;/Members&gt;</w:t>
      </w:r>
    </w:p>
    <w:p w14:paraId="11F42555" w14:textId="77777777" w:rsidR="008144C7" w:rsidRPr="00635D1D" w:rsidRDefault="008144C7" w:rsidP="008144C7">
      <w:pPr>
        <w:pStyle w:val="NormalBold"/>
      </w:pPr>
      <w:r w:rsidRPr="00635D1D">
        <w:rPr>
          <w:rStyle w:val="HideTWBExt"/>
          <w:b w:val="0"/>
        </w:rPr>
        <w:t>&lt;/RepeatBlock-By&gt;</w:t>
      </w:r>
    </w:p>
    <w:p w14:paraId="5E48E5D9"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DA6A9F9" w14:textId="77777777" w:rsidR="008144C7" w:rsidRPr="00635D1D" w:rsidRDefault="008144C7" w:rsidP="008144C7">
      <w:pPr>
        <w:pStyle w:val="NormalBold"/>
      </w:pPr>
      <w:r w:rsidRPr="00635D1D">
        <w:rPr>
          <w:rStyle w:val="HideTWBExt"/>
          <w:b w:val="0"/>
        </w:rPr>
        <w:t>&lt;Article&gt;</w:t>
      </w:r>
      <w:r w:rsidRPr="00635D1D">
        <w:t>Motyw 16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58C868B" w14:textId="77777777" w:rsidTr="00C5582D">
        <w:trPr>
          <w:trHeight w:val="240"/>
          <w:jc w:val="center"/>
        </w:trPr>
        <w:tc>
          <w:tcPr>
            <w:tcW w:w="9752" w:type="dxa"/>
            <w:gridSpan w:val="2"/>
            <w:tcBorders>
              <w:top w:val="nil"/>
              <w:left w:val="nil"/>
              <w:bottom w:val="nil"/>
              <w:right w:val="nil"/>
            </w:tcBorders>
          </w:tcPr>
          <w:p w14:paraId="6DD37DC3" w14:textId="77777777" w:rsidR="008144C7" w:rsidRPr="00635D1D" w:rsidRDefault="008144C7" w:rsidP="00C5582D"/>
        </w:tc>
      </w:tr>
      <w:tr w:rsidR="008144C7" w:rsidRPr="00635D1D" w14:paraId="092F0367" w14:textId="77777777" w:rsidTr="00C5582D">
        <w:trPr>
          <w:trHeight w:val="240"/>
          <w:jc w:val="center"/>
        </w:trPr>
        <w:tc>
          <w:tcPr>
            <w:tcW w:w="4876" w:type="dxa"/>
            <w:tcBorders>
              <w:top w:val="nil"/>
              <w:left w:val="nil"/>
              <w:bottom w:val="nil"/>
              <w:right w:val="nil"/>
            </w:tcBorders>
            <w:hideMark/>
          </w:tcPr>
          <w:p w14:paraId="5B126121"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B2518A3" w14:textId="77777777" w:rsidR="008144C7" w:rsidRPr="00635D1D" w:rsidRDefault="008144C7" w:rsidP="00C5582D">
            <w:pPr>
              <w:pStyle w:val="AmColumnHeading"/>
            </w:pPr>
            <w:r w:rsidRPr="00635D1D">
              <w:t>Poprawka</w:t>
            </w:r>
          </w:p>
        </w:tc>
      </w:tr>
      <w:tr w:rsidR="008144C7" w:rsidRPr="00635D1D" w14:paraId="4975BC86" w14:textId="77777777" w:rsidTr="00C5582D">
        <w:trPr>
          <w:jc w:val="center"/>
        </w:trPr>
        <w:tc>
          <w:tcPr>
            <w:tcW w:w="4876" w:type="dxa"/>
            <w:tcBorders>
              <w:top w:val="nil"/>
              <w:left w:val="nil"/>
              <w:bottom w:val="nil"/>
              <w:right w:val="nil"/>
            </w:tcBorders>
          </w:tcPr>
          <w:p w14:paraId="6BA24654" w14:textId="77777777" w:rsidR="008144C7" w:rsidRPr="00635D1D" w:rsidRDefault="008144C7" w:rsidP="00C5582D">
            <w:pPr>
              <w:pStyle w:val="Normal6a"/>
            </w:pPr>
          </w:p>
        </w:tc>
        <w:tc>
          <w:tcPr>
            <w:tcW w:w="4876" w:type="dxa"/>
            <w:tcBorders>
              <w:top w:val="nil"/>
              <w:left w:val="nil"/>
              <w:bottom w:val="nil"/>
              <w:right w:val="nil"/>
            </w:tcBorders>
            <w:hideMark/>
          </w:tcPr>
          <w:p w14:paraId="4B710265" w14:textId="77777777" w:rsidR="008144C7" w:rsidRPr="00635D1D" w:rsidRDefault="008144C7" w:rsidP="00C5582D">
            <w:pPr>
              <w:pStyle w:val="Normal6a"/>
            </w:pPr>
            <w:r w:rsidRPr="00635D1D">
              <w:rPr>
                <w:b/>
                <w:i/>
              </w:rPr>
              <w:t>(16a)</w:t>
            </w:r>
            <w:r w:rsidRPr="00635D1D">
              <w:tab/>
            </w:r>
            <w:r w:rsidRPr="00635D1D">
              <w:rPr>
                <w:b/>
                <w:i/>
              </w:rPr>
              <w:t>Należy jak najszybciej wprowadzić zakaz stosowania substancji CMR w produktach kosmetycznych. Jednocześnie należy zapewnić wystarczająco dużo czasu na ocenę, czy spełnione są kryteria odstępstwa. Ocena spełnienia kryteriów odstępstwa wymaga wielu konsultacji i dyskusji. Na ocenę bezpieczeństwa substancji dla zdrowia ludzkiego przeprowadzaną przez Komitet Naukowy ds. Bezpieczeństwa Konsumentów (SCCS) potrzeba dziewięciu miesięcy, ocena zgodności z innymi kryteriami odstępstwa wymaga konsultacji z ekspertami oraz dyskusji z zainteresowanymi państwami członkowskimi i przedstawicielami przemysłu. Po przygotowaniu projektu środka przez Komisję podlega on zgłoszeniu w ramach procedury WTO dotyczącej barier technicznych w handlu (TBT) przez okres co najmniej dwóch miesięcy. Projekt środka Komisji podlega obowiązkowej kontroli Parlamentu Europejskiego i Rady, która trwa trzy miesiące, przed jego ostatecznym przyjęciem i publikacją w Dzienniku Urzędowym. Analiza spełnienia kryteriów odstępstwa i obowiązkowe kolejne kroki, których Komisja musi przestrzegać przy przyjmowaniu środka regulacyjnego, wymagają przyznania Komisji wystarczającego czasu na przyjęcie środka od momentu złożenia wniosku o odstępstwo, bez powodowania jakichkolwiek nieuzasadnionych opóźnień.</w:t>
            </w:r>
          </w:p>
        </w:tc>
      </w:tr>
      <w:tr w:rsidR="008144C7" w:rsidRPr="00635D1D" w14:paraId="16051C7B" w14:textId="77777777" w:rsidTr="00C5582D">
        <w:trPr>
          <w:jc w:val="center"/>
        </w:trPr>
        <w:tc>
          <w:tcPr>
            <w:tcW w:w="4876" w:type="dxa"/>
            <w:tcBorders>
              <w:top w:val="nil"/>
              <w:left w:val="nil"/>
              <w:bottom w:val="nil"/>
              <w:right w:val="nil"/>
            </w:tcBorders>
          </w:tcPr>
          <w:p w14:paraId="44CE46BB" w14:textId="77777777" w:rsidR="008144C7" w:rsidRPr="00635D1D" w:rsidRDefault="008144C7" w:rsidP="00C5582D"/>
        </w:tc>
        <w:tc>
          <w:tcPr>
            <w:tcW w:w="4876" w:type="dxa"/>
            <w:tcBorders>
              <w:top w:val="nil"/>
              <w:left w:val="nil"/>
              <w:bottom w:val="nil"/>
              <w:right w:val="nil"/>
            </w:tcBorders>
            <w:hideMark/>
          </w:tcPr>
          <w:p w14:paraId="387C5CE9" w14:textId="77777777" w:rsidR="008144C7" w:rsidRPr="00635D1D" w:rsidRDefault="008144C7" w:rsidP="00C5582D">
            <w:pPr>
              <w:pStyle w:val="Normal6a"/>
            </w:pPr>
            <w:r w:rsidRPr="00635D1D">
              <w:rPr>
                <w:i/>
              </w:rPr>
              <w:t>(Tekst zgodny z mandatem Rady, ze zmianą jedynie harmonogramu wydawania opinii przez SCCS.)</w:t>
            </w:r>
          </w:p>
        </w:tc>
      </w:tr>
    </w:tbl>
    <w:p w14:paraId="5D22593F"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09C6B96E"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27C467E3" w14:textId="77777777" w:rsidR="008144C7" w:rsidRPr="00AD15CF" w:rsidRDefault="008144C7" w:rsidP="008144C7">
      <w:pPr>
        <w:pStyle w:val="AmJustText"/>
        <w:rPr>
          <w:lang w:val="en-GB"/>
        </w:rPr>
      </w:pPr>
      <w:r w:rsidRPr="00AD15CF">
        <w:rPr>
          <w:lang w:val="en-GB"/>
        </w:rPr>
        <w:t xml:space="preserve">The top priority is that cosmetic products are safe. As such, the prohibition of CMR substances needs to be applied as fast as possible. Nine months are enough for the work of the SCCS. When it comes to the safety of nanomaterials, it </w:t>
      </w:r>
      <w:proofErr w:type="gramStart"/>
      <w:r w:rsidRPr="00AD15CF">
        <w:rPr>
          <w:lang w:val="en-GB"/>
        </w:rPr>
        <w:t>has to</w:t>
      </w:r>
      <w:proofErr w:type="gramEnd"/>
      <w:r w:rsidRPr="00AD15CF">
        <w:rPr>
          <w:lang w:val="en-GB"/>
        </w:rPr>
        <w:t xml:space="preserve"> give an opinion in six months in current legislation. The SCCS will be shifted to ECHA in the context of the ECHA Basic Regulation. At ECHA, work that is comparable to that of the SCCS is done by the Risk Assessment Committee (RAC). RAC has nine months to prepare opinions on restrictions of chemicals. Such restrictions can have very broad scope. A scientific opinion on the safety of a specific CMR substance in cosmetics is rather limited in comparison. It is therefore difficult to see why the SCCS should have more time for such opinions as compared to RAC for chemical restrictions. It is appropriate to align the timeline for the SCCS to that for RAC. The Commission should enact the restrictions as swiftly as possible without undue delays.</w:t>
      </w:r>
    </w:p>
    <w:p w14:paraId="34D22869" w14:textId="77777777" w:rsidR="008144C7" w:rsidRPr="00AD15CF" w:rsidRDefault="008144C7" w:rsidP="008144C7">
      <w:pPr>
        <w:rPr>
          <w:lang w:val="en-GB"/>
        </w:rPr>
      </w:pPr>
      <w:r w:rsidRPr="00AD15CF">
        <w:rPr>
          <w:rStyle w:val="HideTWBExt"/>
          <w:lang w:val="en-GB"/>
        </w:rPr>
        <w:t>&lt;/Amend&gt;</w:t>
      </w:r>
    </w:p>
    <w:p w14:paraId="7F20963D"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171</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20309FE4"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Pietro Fiocchi, Antonella </w:t>
      </w:r>
      <w:proofErr w:type="spellStart"/>
      <w:r w:rsidRPr="00AD15CF">
        <w:rPr>
          <w:lang w:val="en-GB"/>
        </w:rPr>
        <w:t>Sberna</w:t>
      </w:r>
      <w:proofErr w:type="spellEnd"/>
      <w:r w:rsidRPr="00AD15CF">
        <w:rPr>
          <w:rStyle w:val="HideTWBExt"/>
          <w:b w:val="0"/>
          <w:lang w:val="en-GB"/>
        </w:rPr>
        <w:t>&lt;/Members&gt;</w:t>
      </w:r>
    </w:p>
    <w:p w14:paraId="0472BFE1" w14:textId="77777777" w:rsidR="008144C7" w:rsidRPr="00AD15CF" w:rsidRDefault="008144C7" w:rsidP="008144C7">
      <w:pPr>
        <w:pStyle w:val="NormalBold"/>
        <w:rPr>
          <w:lang w:val="en-GB"/>
        </w:rPr>
      </w:pPr>
      <w:r w:rsidRPr="00AD15CF">
        <w:rPr>
          <w:rStyle w:val="HideTWBExt"/>
          <w:b w:val="0"/>
          <w:lang w:val="en-GB"/>
        </w:rPr>
        <w:t>&lt;/RepeatBlock-By&gt;</w:t>
      </w:r>
    </w:p>
    <w:p w14:paraId="4137CA3E"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4568C82" w14:textId="77777777" w:rsidR="008144C7" w:rsidRPr="00635D1D" w:rsidRDefault="008144C7" w:rsidP="008144C7">
      <w:pPr>
        <w:pStyle w:val="NormalBold"/>
      </w:pPr>
      <w:r w:rsidRPr="00635D1D">
        <w:rPr>
          <w:rStyle w:val="HideTWBExt"/>
          <w:b w:val="0"/>
        </w:rPr>
        <w:t>&lt;Article&gt;</w:t>
      </w:r>
      <w:r w:rsidRPr="00635D1D">
        <w:t>Motyw 16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1E79FEE" w14:textId="77777777" w:rsidTr="00C5582D">
        <w:trPr>
          <w:trHeight w:val="240"/>
          <w:jc w:val="center"/>
        </w:trPr>
        <w:tc>
          <w:tcPr>
            <w:tcW w:w="9752" w:type="dxa"/>
            <w:gridSpan w:val="2"/>
            <w:tcBorders>
              <w:top w:val="nil"/>
              <w:left w:val="nil"/>
              <w:bottom w:val="nil"/>
              <w:right w:val="nil"/>
            </w:tcBorders>
          </w:tcPr>
          <w:p w14:paraId="575924DA" w14:textId="77777777" w:rsidR="008144C7" w:rsidRPr="00635D1D" w:rsidRDefault="008144C7" w:rsidP="00C5582D"/>
        </w:tc>
      </w:tr>
      <w:tr w:rsidR="008144C7" w:rsidRPr="00635D1D" w14:paraId="5D1A1381" w14:textId="77777777" w:rsidTr="00C5582D">
        <w:trPr>
          <w:trHeight w:val="240"/>
          <w:jc w:val="center"/>
        </w:trPr>
        <w:tc>
          <w:tcPr>
            <w:tcW w:w="4876" w:type="dxa"/>
            <w:tcBorders>
              <w:top w:val="nil"/>
              <w:left w:val="nil"/>
              <w:bottom w:val="nil"/>
              <w:right w:val="nil"/>
            </w:tcBorders>
            <w:hideMark/>
          </w:tcPr>
          <w:p w14:paraId="7DEF340A"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5CAC67E1" w14:textId="77777777" w:rsidR="008144C7" w:rsidRPr="00635D1D" w:rsidRDefault="008144C7" w:rsidP="00C5582D">
            <w:pPr>
              <w:pStyle w:val="AmColumnHeading"/>
            </w:pPr>
            <w:r w:rsidRPr="00635D1D">
              <w:t>Poprawka</w:t>
            </w:r>
          </w:p>
        </w:tc>
      </w:tr>
      <w:tr w:rsidR="008144C7" w:rsidRPr="00635D1D" w14:paraId="0436A88B" w14:textId="77777777" w:rsidTr="00C5582D">
        <w:trPr>
          <w:jc w:val="center"/>
        </w:trPr>
        <w:tc>
          <w:tcPr>
            <w:tcW w:w="4876" w:type="dxa"/>
            <w:tcBorders>
              <w:top w:val="nil"/>
              <w:left w:val="nil"/>
              <w:bottom w:val="nil"/>
              <w:right w:val="nil"/>
            </w:tcBorders>
          </w:tcPr>
          <w:p w14:paraId="4C6B23DD" w14:textId="77777777" w:rsidR="008144C7" w:rsidRPr="00635D1D" w:rsidRDefault="008144C7" w:rsidP="00C5582D">
            <w:pPr>
              <w:pStyle w:val="Normal6a"/>
            </w:pPr>
          </w:p>
        </w:tc>
        <w:tc>
          <w:tcPr>
            <w:tcW w:w="4876" w:type="dxa"/>
            <w:tcBorders>
              <w:top w:val="nil"/>
              <w:left w:val="nil"/>
              <w:bottom w:val="nil"/>
              <w:right w:val="nil"/>
            </w:tcBorders>
            <w:hideMark/>
          </w:tcPr>
          <w:p w14:paraId="454BB39F" w14:textId="77777777" w:rsidR="008144C7" w:rsidRPr="00635D1D" w:rsidRDefault="008144C7" w:rsidP="00C5582D">
            <w:pPr>
              <w:pStyle w:val="Normal6a"/>
            </w:pPr>
            <w:r w:rsidRPr="00635D1D">
              <w:rPr>
                <w:b/>
                <w:i/>
              </w:rPr>
              <w:t>(16a)</w:t>
            </w:r>
            <w:r w:rsidRPr="00635D1D">
              <w:tab/>
            </w:r>
            <w:r w:rsidRPr="00635D1D">
              <w:rPr>
                <w:b/>
                <w:i/>
              </w:rPr>
              <w:t>Ocena spełnienia kryteriów odstępstwa wymaga wielu konsultacji i dyskusji. Na ocenę bezpieczeństwa substancji dla zdrowia ludzkiego przeprowadzaną przez Komitet Naukowy ds. Bezpieczeństwa Konsumentów (SCCS) potrzeba co najmniej dwunastu miesięcy, ocena zgodności z innymi kryteriami odstępstwa wymaga konsultacji z ekspertami oraz dyskusji z państwami członkowskimi i przedstawicielami przemysłu. Po przygotowaniu projektu środka przez Komisję podlega on zgłoszeniu w ramach procedury WTO dotyczącej barier technicznych w handlu (TBT) przez okres co najmniej dwóch miesięcy. Projekt środka Komisji podlega obowiązkowej kontroli Parlamentu Europejskiego i Rady, która trwa trzy miesiące, przed jego ostatecznym przyjęciem i publikacją w Dzienniku Urzędowym. Analiza spełnienia kryteriów odstępstwa i obowiązkowe kolejne kroki, których Komisja musi przestrzegać przy przyjmowaniu środka regulacyjnego, wymagają przyznania Komisji wystarczającego czasu na przyjęcie środka od momentu złożenia wniosku o odstępstwo.</w:t>
            </w:r>
          </w:p>
        </w:tc>
      </w:tr>
    </w:tbl>
    <w:p w14:paraId="3FEC7E70"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6EBB7363" w14:textId="77777777" w:rsidR="008144C7" w:rsidRPr="00AD15CF" w:rsidRDefault="008144C7" w:rsidP="008144C7">
      <w:pPr>
        <w:rPr>
          <w:lang w:val="en-GB"/>
        </w:rPr>
      </w:pPr>
      <w:r w:rsidRPr="00AD15CF">
        <w:rPr>
          <w:rStyle w:val="HideTWBExt"/>
          <w:lang w:val="en-GB"/>
        </w:rPr>
        <w:t>&lt;/Amend&gt;</w:t>
      </w:r>
    </w:p>
    <w:p w14:paraId="3F7CA14A"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172</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2B446C4D"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Idoia</w:t>
      </w:r>
      <w:proofErr w:type="spellEnd"/>
      <w:r w:rsidRPr="00AD15CF">
        <w:rPr>
          <w:lang w:val="en-GB"/>
        </w:rPr>
        <w:t xml:space="preserve"> </w:t>
      </w:r>
      <w:proofErr w:type="spellStart"/>
      <w:r w:rsidRPr="00AD15CF">
        <w:rPr>
          <w:lang w:val="en-GB"/>
        </w:rPr>
        <w:t>Mendia</w:t>
      </w:r>
      <w:proofErr w:type="spellEnd"/>
      <w:r w:rsidRPr="00AD15CF">
        <w:rPr>
          <w:lang w:val="en-GB"/>
        </w:rPr>
        <w:t xml:space="preserve">, Kristian </w:t>
      </w:r>
      <w:proofErr w:type="spellStart"/>
      <w:r w:rsidRPr="00AD15CF">
        <w:rPr>
          <w:lang w:val="en-GB"/>
        </w:rPr>
        <w:t>Vigenin</w:t>
      </w:r>
      <w:proofErr w:type="spellEnd"/>
      <w:r w:rsidRPr="00AD15CF">
        <w:rPr>
          <w:lang w:val="en-GB"/>
        </w:rPr>
        <w:t xml:space="preserve">, François </w:t>
      </w:r>
      <w:proofErr w:type="spellStart"/>
      <w:r w:rsidRPr="00AD15CF">
        <w:rPr>
          <w:lang w:val="en-GB"/>
        </w:rPr>
        <w:t>Kalfon</w:t>
      </w:r>
      <w:proofErr w:type="spellEnd"/>
      <w:r w:rsidRPr="00AD15CF">
        <w:rPr>
          <w:lang w:val="en-GB"/>
        </w:rPr>
        <w:t xml:space="preserve">, Elisabeth Grossmann, Adnan </w:t>
      </w:r>
      <w:proofErr w:type="spellStart"/>
      <w:r w:rsidRPr="00AD15CF">
        <w:rPr>
          <w:lang w:val="en-GB"/>
        </w:rPr>
        <w:t>Dibrani</w:t>
      </w:r>
      <w:proofErr w:type="spellEnd"/>
      <w:r w:rsidRPr="00AD15CF">
        <w:rPr>
          <w:lang w:val="en-GB"/>
        </w:rPr>
        <w:t xml:space="preserve">, Sakis </w:t>
      </w:r>
      <w:proofErr w:type="spellStart"/>
      <w:r w:rsidRPr="00AD15CF">
        <w:rPr>
          <w:lang w:val="en-GB"/>
        </w:rPr>
        <w:t>Arnaoutoglou</w:t>
      </w:r>
      <w:proofErr w:type="spellEnd"/>
      <w:r w:rsidRPr="00AD15CF">
        <w:rPr>
          <w:lang w:val="en-GB"/>
        </w:rPr>
        <w:t xml:space="preserve">, César </w:t>
      </w:r>
      <w:proofErr w:type="spellStart"/>
      <w:r w:rsidRPr="00AD15CF">
        <w:rPr>
          <w:lang w:val="en-GB"/>
        </w:rPr>
        <w:t>Luena</w:t>
      </w:r>
      <w:proofErr w:type="spellEnd"/>
      <w:r w:rsidRPr="00AD15CF">
        <w:rPr>
          <w:lang w:val="en-GB"/>
        </w:rPr>
        <w:t xml:space="preserve">, Christophe </w:t>
      </w:r>
      <w:proofErr w:type="spellStart"/>
      <w:r w:rsidRPr="00AD15CF">
        <w:rPr>
          <w:lang w:val="en-GB"/>
        </w:rPr>
        <w:t>Clergeau</w:t>
      </w:r>
      <w:proofErr w:type="spellEnd"/>
      <w:r w:rsidRPr="00AD15CF">
        <w:rPr>
          <w:lang w:val="en-GB"/>
        </w:rPr>
        <w:t xml:space="preserve">, </w:t>
      </w:r>
      <w:proofErr w:type="spellStart"/>
      <w:r w:rsidRPr="00AD15CF">
        <w:rPr>
          <w:lang w:val="en-GB"/>
        </w:rPr>
        <w:t>Tiemo</w:t>
      </w:r>
      <w:proofErr w:type="spellEnd"/>
      <w:r w:rsidRPr="00AD15CF">
        <w:rPr>
          <w:lang w:val="en-GB"/>
        </w:rPr>
        <w:t xml:space="preserve"> </w:t>
      </w:r>
      <w:proofErr w:type="spellStart"/>
      <w:r w:rsidRPr="00AD15CF">
        <w:rPr>
          <w:lang w:val="en-GB"/>
        </w:rPr>
        <w:t>Wölken</w:t>
      </w:r>
      <w:proofErr w:type="spellEnd"/>
      <w:r w:rsidRPr="00AD15CF">
        <w:rPr>
          <w:lang w:val="en-GB"/>
        </w:rPr>
        <w:t xml:space="preserve">, Annalisa Corrado, </w:t>
      </w:r>
      <w:proofErr w:type="spellStart"/>
      <w:r w:rsidRPr="00AD15CF">
        <w:rPr>
          <w:lang w:val="en-GB"/>
        </w:rPr>
        <w:t>Heléne</w:t>
      </w:r>
      <w:proofErr w:type="spellEnd"/>
      <w:r w:rsidRPr="00AD15CF">
        <w:rPr>
          <w:lang w:val="en-GB"/>
        </w:rPr>
        <w:t xml:space="preserve"> </w:t>
      </w:r>
      <w:proofErr w:type="spellStart"/>
      <w:r w:rsidRPr="00AD15CF">
        <w:rPr>
          <w:lang w:val="en-GB"/>
        </w:rPr>
        <w:t>Fritzon</w:t>
      </w:r>
      <w:proofErr w:type="spellEnd"/>
      <w:r w:rsidRPr="00AD15CF">
        <w:rPr>
          <w:lang w:val="en-GB"/>
        </w:rPr>
        <w:t xml:space="preserve">, Marta </w:t>
      </w:r>
      <w:proofErr w:type="spellStart"/>
      <w:r w:rsidRPr="00AD15CF">
        <w:rPr>
          <w:lang w:val="en-GB"/>
        </w:rPr>
        <w:t>Temido</w:t>
      </w:r>
      <w:proofErr w:type="spellEnd"/>
      <w:r w:rsidRPr="00AD15CF">
        <w:rPr>
          <w:lang w:val="en-GB"/>
        </w:rPr>
        <w:t xml:space="preserve">, Christel </w:t>
      </w:r>
      <w:proofErr w:type="spellStart"/>
      <w:r w:rsidRPr="00AD15CF">
        <w:rPr>
          <w:lang w:val="en-GB"/>
        </w:rPr>
        <w:t>Schaldemose</w:t>
      </w:r>
      <w:proofErr w:type="spellEnd"/>
      <w:r w:rsidRPr="00AD15CF">
        <w:rPr>
          <w:rStyle w:val="HideTWBExt"/>
          <w:b w:val="0"/>
          <w:lang w:val="en-GB"/>
        </w:rPr>
        <w:t>&lt;/Members&gt;</w:t>
      </w:r>
    </w:p>
    <w:p w14:paraId="7AFB8655" w14:textId="77777777" w:rsidR="008144C7" w:rsidRPr="00635D1D" w:rsidRDefault="008144C7" w:rsidP="008144C7">
      <w:pPr>
        <w:pStyle w:val="NormalBold"/>
      </w:pPr>
      <w:r w:rsidRPr="00635D1D">
        <w:rPr>
          <w:rStyle w:val="HideTWBExt"/>
          <w:b w:val="0"/>
        </w:rPr>
        <w:t>&lt;/RepeatBlock-By&gt;</w:t>
      </w:r>
    </w:p>
    <w:p w14:paraId="1E5D6C35"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10CF484" w14:textId="77777777" w:rsidR="008144C7" w:rsidRPr="00635D1D" w:rsidRDefault="008144C7" w:rsidP="008144C7">
      <w:pPr>
        <w:pStyle w:val="NormalBold"/>
      </w:pPr>
      <w:r w:rsidRPr="00635D1D">
        <w:rPr>
          <w:rStyle w:val="HideTWBExt"/>
          <w:b w:val="0"/>
        </w:rPr>
        <w:t>&lt;Article&gt;</w:t>
      </w:r>
      <w:r w:rsidRPr="00635D1D">
        <w:t>Motyw 17</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5FD41D6" w14:textId="77777777" w:rsidTr="00C5582D">
        <w:trPr>
          <w:trHeight w:val="240"/>
          <w:jc w:val="center"/>
        </w:trPr>
        <w:tc>
          <w:tcPr>
            <w:tcW w:w="9752" w:type="dxa"/>
            <w:gridSpan w:val="2"/>
            <w:tcBorders>
              <w:top w:val="nil"/>
              <w:left w:val="nil"/>
              <w:bottom w:val="nil"/>
              <w:right w:val="nil"/>
            </w:tcBorders>
          </w:tcPr>
          <w:p w14:paraId="690D1576" w14:textId="77777777" w:rsidR="008144C7" w:rsidRPr="00635D1D" w:rsidRDefault="008144C7" w:rsidP="00C5582D"/>
        </w:tc>
      </w:tr>
      <w:tr w:rsidR="008144C7" w:rsidRPr="00635D1D" w14:paraId="16F59EB3" w14:textId="77777777" w:rsidTr="00C5582D">
        <w:trPr>
          <w:trHeight w:val="240"/>
          <w:jc w:val="center"/>
        </w:trPr>
        <w:tc>
          <w:tcPr>
            <w:tcW w:w="4876" w:type="dxa"/>
            <w:tcBorders>
              <w:top w:val="nil"/>
              <w:left w:val="nil"/>
              <w:bottom w:val="nil"/>
              <w:right w:val="nil"/>
            </w:tcBorders>
            <w:hideMark/>
          </w:tcPr>
          <w:p w14:paraId="4FD3783F"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EB8E9FE" w14:textId="77777777" w:rsidR="008144C7" w:rsidRPr="00635D1D" w:rsidRDefault="008144C7" w:rsidP="00C5582D">
            <w:pPr>
              <w:pStyle w:val="AmColumnHeading"/>
            </w:pPr>
            <w:r w:rsidRPr="00635D1D">
              <w:t>Poprawka</w:t>
            </w:r>
          </w:p>
        </w:tc>
      </w:tr>
      <w:tr w:rsidR="008144C7" w:rsidRPr="00635D1D" w14:paraId="0DF6433C" w14:textId="77777777" w:rsidTr="00C5582D">
        <w:trPr>
          <w:jc w:val="center"/>
        </w:trPr>
        <w:tc>
          <w:tcPr>
            <w:tcW w:w="4876" w:type="dxa"/>
            <w:tcBorders>
              <w:top w:val="nil"/>
              <w:left w:val="nil"/>
              <w:bottom w:val="nil"/>
              <w:right w:val="nil"/>
            </w:tcBorders>
            <w:hideMark/>
          </w:tcPr>
          <w:p w14:paraId="67D60261" w14:textId="77777777" w:rsidR="008144C7" w:rsidRPr="00635D1D" w:rsidRDefault="008144C7" w:rsidP="00C5582D">
            <w:pPr>
              <w:pStyle w:val="Normal6a"/>
            </w:pPr>
            <w:r w:rsidRPr="00635D1D">
              <w:t>(17)</w:t>
            </w:r>
            <w:r w:rsidRPr="00635D1D">
              <w:tab/>
              <w:t xml:space="preserve">Warunki umożliwiające zwolnienie z zakazu stosowania takich substancji w produktach kosmetycznych należy uprościć, a ich zakres należy określić w sposób bardziej szczegółowy. Ponadto obowiązek spełnienia wymogów dotyczących bezpieczeństwa żywności </w:t>
            </w:r>
            <w:r w:rsidRPr="00635D1D">
              <w:rPr>
                <w:b/>
                <w:i/>
              </w:rPr>
              <w:t>nie odpowiada osiągnięciom postępu naukowo-technicznego</w:t>
            </w:r>
            <w:r w:rsidRPr="00635D1D">
              <w:t xml:space="preserve">, umożliwiającym opracowywanie nowych substancji do stosowania w produktach kosmetycznych, których nie stosuje się w żywności lub które w niej nie występują. Zgodność z wymogami dotyczącymi bezpieczeństwa żywności </w:t>
            </w:r>
            <w:r w:rsidRPr="00635D1D">
              <w:rPr>
                <w:b/>
                <w:bCs/>
                <w:i/>
                <w:iCs/>
              </w:rPr>
              <w:t>nie</w:t>
            </w:r>
            <w:r w:rsidRPr="00635D1D">
              <w:t xml:space="preserve"> zwiększa </w:t>
            </w:r>
            <w:r w:rsidRPr="00635D1D">
              <w:rPr>
                <w:b/>
                <w:bCs/>
                <w:i/>
                <w:iCs/>
              </w:rPr>
              <w:t>bezpieczeństwa</w:t>
            </w:r>
            <w:r w:rsidRPr="00635D1D">
              <w:t xml:space="preserve"> produktów kosmetycznych, ponieważ te kategorie produktów są z natury różne. Należy zatem znieść ten warunek.</w:t>
            </w:r>
          </w:p>
        </w:tc>
        <w:tc>
          <w:tcPr>
            <w:tcW w:w="4876" w:type="dxa"/>
            <w:tcBorders>
              <w:top w:val="nil"/>
              <w:left w:val="nil"/>
              <w:bottom w:val="nil"/>
              <w:right w:val="nil"/>
            </w:tcBorders>
            <w:hideMark/>
          </w:tcPr>
          <w:p w14:paraId="18263CC6" w14:textId="77777777" w:rsidR="008144C7" w:rsidRPr="00635D1D" w:rsidRDefault="008144C7" w:rsidP="00C5582D">
            <w:pPr>
              <w:pStyle w:val="Normal6a"/>
            </w:pPr>
            <w:r w:rsidRPr="00635D1D">
              <w:t>(17)</w:t>
            </w:r>
            <w:r w:rsidRPr="00635D1D">
              <w:tab/>
              <w:t xml:space="preserve">Warunki umożliwiające zwolnienie z zakazu stosowania takich substancji w produktach kosmetycznych należy uprościć </w:t>
            </w:r>
            <w:r w:rsidRPr="00635D1D">
              <w:rPr>
                <w:b/>
                <w:i/>
              </w:rPr>
              <w:t>bez obniżania wysokiego poziomu zdrowia i bezpieczeństwa ludzi oraz ochrony konsumentów</w:t>
            </w:r>
            <w:r w:rsidRPr="00635D1D">
              <w:t xml:space="preserve">, a ich zakres należy określić w sposób bardziej szczegółowy. Ponadto obowiązek spełnienia wymogów dotyczących bezpieczeństwa żywności </w:t>
            </w:r>
            <w:r w:rsidRPr="00635D1D">
              <w:rPr>
                <w:b/>
                <w:i/>
              </w:rPr>
              <w:t>stoi w sprzeczności z postępem naukowo-technicznym</w:t>
            </w:r>
            <w:r w:rsidRPr="00635D1D">
              <w:t xml:space="preserve">, umożliwiającym opracowywanie nowych substancji do stosowania w produktach kosmetycznych, których </w:t>
            </w:r>
            <w:r w:rsidRPr="00635D1D">
              <w:rPr>
                <w:b/>
                <w:bCs/>
                <w:i/>
                <w:iCs/>
              </w:rPr>
              <w:t>to substancji</w:t>
            </w:r>
            <w:r w:rsidRPr="00635D1D">
              <w:t xml:space="preserve"> nie stosuje się w żywności lub które w niej nie występują. </w:t>
            </w:r>
            <w:r w:rsidRPr="00635D1D">
              <w:rPr>
                <w:b/>
                <w:i/>
              </w:rPr>
              <w:t>Warunek ten wprowadzono wówczas jako kryterium kontroli dostępu, aby zmniejszyć liczbę substancji CMR w produktach kosmetycznych i przyczynić się do zapewnienia Komitetowi Naukowemu ds. Bezpieczeństwa Konsumentów (SCCS) zdolności do wykonywania jego obowiązków.</w:t>
            </w:r>
            <w:r w:rsidRPr="00635D1D">
              <w:t xml:space="preserve"> Zgodność z wymogami dotyczącymi bezpieczeństwa żywności </w:t>
            </w:r>
            <w:r w:rsidRPr="00635D1D">
              <w:rPr>
                <w:b/>
                <w:i/>
              </w:rPr>
              <w:t>niekoniecznie</w:t>
            </w:r>
            <w:r w:rsidRPr="00635D1D">
              <w:t xml:space="preserve"> zwiększa </w:t>
            </w:r>
            <w:r w:rsidRPr="00635D1D">
              <w:rPr>
                <w:b/>
                <w:bCs/>
                <w:i/>
                <w:iCs/>
              </w:rPr>
              <w:t>bezpieczeństwa</w:t>
            </w:r>
            <w:r w:rsidRPr="00635D1D">
              <w:t xml:space="preserve"> produktów kosmetycznych, ponieważ te kategorie produktów są z natury różne. Należy zatem znieść ten warunek.</w:t>
            </w:r>
          </w:p>
        </w:tc>
      </w:tr>
    </w:tbl>
    <w:p w14:paraId="3B7E1D54"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7037F2C2" w14:textId="77777777" w:rsidR="008144C7" w:rsidRPr="00635D1D" w:rsidRDefault="008144C7" w:rsidP="008144C7">
      <w:r w:rsidRPr="00635D1D">
        <w:rPr>
          <w:rStyle w:val="HideTWBExt"/>
        </w:rPr>
        <w:t>&lt;/Amend&gt;</w:t>
      </w:r>
    </w:p>
    <w:p w14:paraId="12B7A8C4"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173</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2AD2253F" w14:textId="77777777" w:rsidR="008144C7" w:rsidRPr="00635D1D" w:rsidRDefault="008144C7" w:rsidP="008144C7">
      <w:pPr>
        <w:pStyle w:val="NormalBold"/>
      </w:pPr>
      <w:r w:rsidRPr="00635D1D">
        <w:rPr>
          <w:rStyle w:val="HideTWBExt"/>
          <w:b w:val="0"/>
        </w:rPr>
        <w:t>&lt;RepeatBlock-By&gt;&lt;Members&gt;</w:t>
      </w:r>
      <w:r w:rsidRPr="00635D1D">
        <w:t xml:space="preserve">Martin </w:t>
      </w:r>
      <w:proofErr w:type="spellStart"/>
      <w:r w:rsidRPr="00635D1D">
        <w:t>Hojsík</w:t>
      </w:r>
      <w:proofErr w:type="spellEnd"/>
      <w:r w:rsidRPr="00635D1D">
        <w:t xml:space="preserve">, Sigrid </w:t>
      </w:r>
      <w:proofErr w:type="spellStart"/>
      <w:r w:rsidRPr="00635D1D">
        <w:t>Friis</w:t>
      </w:r>
      <w:proofErr w:type="spellEnd"/>
      <w:r w:rsidRPr="00635D1D">
        <w:t xml:space="preserve">, Michal </w:t>
      </w:r>
      <w:proofErr w:type="spellStart"/>
      <w:r w:rsidRPr="00635D1D">
        <w:t>Wiezik</w:t>
      </w:r>
      <w:proofErr w:type="spellEnd"/>
      <w:r w:rsidRPr="00635D1D">
        <w:t xml:space="preserve">, Pascal </w:t>
      </w:r>
      <w:proofErr w:type="spellStart"/>
      <w:r w:rsidRPr="00635D1D">
        <w:t>Canfin</w:t>
      </w:r>
      <w:proofErr w:type="spellEnd"/>
      <w:r w:rsidRPr="00635D1D">
        <w:t xml:space="preserve">, </w:t>
      </w:r>
      <w:proofErr w:type="spellStart"/>
      <w:r w:rsidRPr="00635D1D">
        <w:t>Grégory</w:t>
      </w:r>
      <w:proofErr w:type="spellEnd"/>
      <w:r w:rsidRPr="00635D1D">
        <w:t xml:space="preserve"> </w:t>
      </w:r>
      <w:proofErr w:type="spellStart"/>
      <w:r w:rsidRPr="00635D1D">
        <w:t>Allione</w:t>
      </w:r>
      <w:proofErr w:type="spellEnd"/>
      <w:r w:rsidRPr="00635D1D">
        <w:t xml:space="preserve">, </w:t>
      </w:r>
      <w:proofErr w:type="spellStart"/>
      <w:r w:rsidRPr="00635D1D">
        <w:t>Gerben</w:t>
      </w:r>
      <w:proofErr w:type="spellEnd"/>
      <w:r w:rsidRPr="00635D1D">
        <w:t xml:space="preserve">-Jan </w:t>
      </w:r>
      <w:proofErr w:type="spellStart"/>
      <w:r w:rsidRPr="00635D1D">
        <w:t>Gerbrandy</w:t>
      </w:r>
      <w:proofErr w:type="spellEnd"/>
      <w:r w:rsidRPr="00635D1D">
        <w:t xml:space="preserve">, </w:t>
      </w:r>
      <w:proofErr w:type="spellStart"/>
      <w:r w:rsidRPr="00635D1D">
        <w:t>Yvan</w:t>
      </w:r>
      <w:proofErr w:type="spellEnd"/>
      <w:r w:rsidRPr="00635D1D">
        <w:t xml:space="preserve"> </w:t>
      </w:r>
      <w:proofErr w:type="spellStart"/>
      <w:r w:rsidRPr="00635D1D">
        <w:t>Verougstraete</w:t>
      </w:r>
      <w:proofErr w:type="spellEnd"/>
      <w:r w:rsidRPr="00635D1D">
        <w:rPr>
          <w:rStyle w:val="HideTWBExt"/>
          <w:b w:val="0"/>
        </w:rPr>
        <w:t>&lt;/Members&gt;</w:t>
      </w:r>
    </w:p>
    <w:p w14:paraId="5AEBA4A6" w14:textId="77777777" w:rsidR="008144C7" w:rsidRPr="00635D1D" w:rsidRDefault="008144C7" w:rsidP="008144C7">
      <w:pPr>
        <w:pStyle w:val="NormalBold"/>
      </w:pPr>
      <w:r w:rsidRPr="00635D1D">
        <w:rPr>
          <w:rStyle w:val="HideTWBExt"/>
          <w:b w:val="0"/>
        </w:rPr>
        <w:t>&lt;/RepeatBlock-By&gt;</w:t>
      </w:r>
    </w:p>
    <w:p w14:paraId="1D184814"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791DD97" w14:textId="77777777" w:rsidR="008144C7" w:rsidRPr="00635D1D" w:rsidRDefault="008144C7" w:rsidP="008144C7">
      <w:pPr>
        <w:pStyle w:val="NormalBold"/>
      </w:pPr>
      <w:r w:rsidRPr="00635D1D">
        <w:rPr>
          <w:rStyle w:val="HideTWBExt"/>
          <w:b w:val="0"/>
        </w:rPr>
        <w:t>&lt;Article&gt;</w:t>
      </w:r>
      <w:r w:rsidRPr="00635D1D">
        <w:t>Motyw 17</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E0D49E5" w14:textId="77777777" w:rsidTr="00C5582D">
        <w:trPr>
          <w:trHeight w:val="240"/>
          <w:jc w:val="center"/>
        </w:trPr>
        <w:tc>
          <w:tcPr>
            <w:tcW w:w="9752" w:type="dxa"/>
            <w:gridSpan w:val="2"/>
            <w:tcBorders>
              <w:top w:val="nil"/>
              <w:left w:val="nil"/>
              <w:bottom w:val="nil"/>
              <w:right w:val="nil"/>
            </w:tcBorders>
          </w:tcPr>
          <w:p w14:paraId="41EEB7C8" w14:textId="77777777" w:rsidR="008144C7" w:rsidRPr="00635D1D" w:rsidRDefault="008144C7" w:rsidP="00C5582D"/>
        </w:tc>
      </w:tr>
      <w:tr w:rsidR="008144C7" w:rsidRPr="00635D1D" w14:paraId="665EAD16" w14:textId="77777777" w:rsidTr="00C5582D">
        <w:trPr>
          <w:trHeight w:val="240"/>
          <w:jc w:val="center"/>
        </w:trPr>
        <w:tc>
          <w:tcPr>
            <w:tcW w:w="4876" w:type="dxa"/>
            <w:tcBorders>
              <w:top w:val="nil"/>
              <w:left w:val="nil"/>
              <w:bottom w:val="nil"/>
              <w:right w:val="nil"/>
            </w:tcBorders>
            <w:hideMark/>
          </w:tcPr>
          <w:p w14:paraId="5ED8D904"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00A4DFD" w14:textId="77777777" w:rsidR="008144C7" w:rsidRPr="00635D1D" w:rsidRDefault="008144C7" w:rsidP="00C5582D">
            <w:pPr>
              <w:pStyle w:val="AmColumnHeading"/>
            </w:pPr>
            <w:r w:rsidRPr="00635D1D">
              <w:t>Poprawka</w:t>
            </w:r>
          </w:p>
        </w:tc>
      </w:tr>
      <w:tr w:rsidR="008144C7" w:rsidRPr="00635D1D" w14:paraId="3A6F70F9" w14:textId="77777777" w:rsidTr="00C5582D">
        <w:trPr>
          <w:jc w:val="center"/>
        </w:trPr>
        <w:tc>
          <w:tcPr>
            <w:tcW w:w="4876" w:type="dxa"/>
            <w:tcBorders>
              <w:top w:val="nil"/>
              <w:left w:val="nil"/>
              <w:bottom w:val="nil"/>
              <w:right w:val="nil"/>
            </w:tcBorders>
            <w:hideMark/>
          </w:tcPr>
          <w:p w14:paraId="59231E73" w14:textId="77777777" w:rsidR="008144C7" w:rsidRPr="00635D1D" w:rsidRDefault="008144C7" w:rsidP="00C5582D">
            <w:pPr>
              <w:pStyle w:val="Normal6a"/>
            </w:pPr>
            <w:r w:rsidRPr="00635D1D">
              <w:t>(17)</w:t>
            </w:r>
            <w:r w:rsidRPr="00635D1D">
              <w:tab/>
              <w:t xml:space="preserve">Warunki umożliwiające zwolnienie z zakazu stosowania takich substancji w produktach kosmetycznych należy uprościć, a ich zakres należy określić w sposób bardziej szczegółowy. Ponadto obowiązek spełnienia wymogów dotyczących bezpieczeństwa żywności nie </w:t>
            </w:r>
            <w:r w:rsidRPr="00635D1D">
              <w:rPr>
                <w:b/>
                <w:i/>
              </w:rPr>
              <w:t>odpowiada</w:t>
            </w:r>
            <w:r w:rsidRPr="00635D1D">
              <w:t xml:space="preserve"> osiągnięciom postępu naukowo-technicznego, umożliwiającym opracowywanie nowych substancji do stosowania w produktach kosmetycznych, których nie stosuje się w żywności lub które w niej nie występują. Zgodność z wymogami dotyczącymi bezpieczeństwa żywności nie </w:t>
            </w:r>
            <w:r w:rsidRPr="00635D1D">
              <w:rPr>
                <w:b/>
                <w:i/>
              </w:rPr>
              <w:t>zwiększa bezpieczeństwa</w:t>
            </w:r>
            <w:r w:rsidRPr="00635D1D">
              <w:t xml:space="preserve"> produktów kosmetycznych, ponieważ te kategorie produktów są z natury różne. Należy zatem </w:t>
            </w:r>
            <w:r w:rsidRPr="00635D1D">
              <w:rPr>
                <w:b/>
                <w:i/>
              </w:rPr>
              <w:t>znieść ten warunek</w:t>
            </w:r>
            <w:r w:rsidRPr="00635D1D">
              <w:t>.</w:t>
            </w:r>
          </w:p>
        </w:tc>
        <w:tc>
          <w:tcPr>
            <w:tcW w:w="4876" w:type="dxa"/>
            <w:tcBorders>
              <w:top w:val="nil"/>
              <w:left w:val="nil"/>
              <w:bottom w:val="nil"/>
              <w:right w:val="nil"/>
            </w:tcBorders>
            <w:hideMark/>
          </w:tcPr>
          <w:p w14:paraId="33540C7A" w14:textId="77777777" w:rsidR="008144C7" w:rsidRPr="00635D1D" w:rsidRDefault="008144C7" w:rsidP="00C5582D">
            <w:pPr>
              <w:pStyle w:val="Normal6a"/>
            </w:pPr>
            <w:r w:rsidRPr="00635D1D">
              <w:t>(17)</w:t>
            </w:r>
            <w:r w:rsidRPr="00635D1D">
              <w:tab/>
              <w:t xml:space="preserve">Warunki umożliwiające zwolnienie z zakazu stosowania takich substancji w produktach kosmetycznych należy uprościć, a ich zakres należy określić w sposób bardziej szczegółowy. Ponadto obowiązek spełnienia wymogów dotyczących bezpieczeństwa żywności </w:t>
            </w:r>
            <w:r w:rsidRPr="00635D1D">
              <w:rPr>
                <w:b/>
                <w:i/>
              </w:rPr>
              <w:t>może</w:t>
            </w:r>
            <w:r w:rsidRPr="00635D1D">
              <w:t xml:space="preserve"> nie </w:t>
            </w:r>
            <w:r w:rsidRPr="00635D1D">
              <w:rPr>
                <w:b/>
                <w:bCs/>
                <w:i/>
                <w:iCs/>
              </w:rPr>
              <w:t>odpowiadać</w:t>
            </w:r>
            <w:r w:rsidRPr="00635D1D">
              <w:t xml:space="preserve"> osiągnięciom postępu naukowo-technicznego, umożliwiającym opracowywanie nowych substancji do stosowania w produktach kosmetycznych, których nie stosuje się w żywności lub które w niej nie występują. Zgodność z wymogami dotyczącymi bezpieczeństwa żywności nie </w:t>
            </w:r>
            <w:r w:rsidRPr="00635D1D">
              <w:rPr>
                <w:b/>
                <w:i/>
              </w:rPr>
              <w:t>zawsze może zwiększać bezpieczeństwo</w:t>
            </w:r>
            <w:r w:rsidRPr="00635D1D">
              <w:t xml:space="preserve"> produktów kosmetycznych, ponieważ te kategorie produktów są z natury różne. Należy zatem </w:t>
            </w:r>
            <w:r w:rsidRPr="00635D1D">
              <w:rPr>
                <w:b/>
                <w:i/>
              </w:rPr>
              <w:t>ponownie rozważyć stosowanie tego warunku, a jednocześnie dążyć do maksymalnego możliwego bezpieczeństwa konsumentów w odniesieniu do produktów kosmetycznych zawierających substancje CMR lub substancje wpływające na ich układ hormonalny</w:t>
            </w:r>
            <w:r w:rsidRPr="00635D1D">
              <w:t>.</w:t>
            </w:r>
          </w:p>
        </w:tc>
      </w:tr>
    </w:tbl>
    <w:p w14:paraId="604DD353"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24B1134F" w14:textId="77777777" w:rsidR="008144C7" w:rsidRPr="00AD15CF" w:rsidRDefault="008144C7" w:rsidP="008144C7">
      <w:pPr>
        <w:rPr>
          <w:lang w:val="en-GB"/>
        </w:rPr>
      </w:pPr>
      <w:r w:rsidRPr="00AD15CF">
        <w:rPr>
          <w:rStyle w:val="HideTWBExt"/>
          <w:lang w:val="en-GB"/>
        </w:rPr>
        <w:t>&lt;/Amend&gt;</w:t>
      </w:r>
    </w:p>
    <w:p w14:paraId="36E2766D"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174</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28E5F1F1"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Per Clausen, Anja </w:t>
      </w:r>
      <w:proofErr w:type="spellStart"/>
      <w:r w:rsidRPr="00AD15CF">
        <w:rPr>
          <w:lang w:val="en-GB"/>
        </w:rPr>
        <w:t>Hazekamp</w:t>
      </w:r>
      <w:proofErr w:type="spellEnd"/>
      <w:r w:rsidRPr="00AD15CF">
        <w:rPr>
          <w:rStyle w:val="HideTWBExt"/>
          <w:b w:val="0"/>
          <w:lang w:val="en-GB"/>
        </w:rPr>
        <w:t>&lt;/Members&gt;</w:t>
      </w:r>
    </w:p>
    <w:p w14:paraId="187F62D3" w14:textId="77777777" w:rsidR="008144C7" w:rsidRPr="00635D1D" w:rsidRDefault="008144C7" w:rsidP="008144C7">
      <w:pPr>
        <w:pStyle w:val="NormalBold"/>
      </w:pPr>
      <w:r w:rsidRPr="00635D1D">
        <w:rPr>
          <w:rStyle w:val="HideTWBExt"/>
          <w:b w:val="0"/>
        </w:rPr>
        <w:t>&lt;/RepeatBlock-By&gt;</w:t>
      </w:r>
    </w:p>
    <w:p w14:paraId="69FEFBF0"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7614045F" w14:textId="77777777" w:rsidR="008144C7" w:rsidRPr="00635D1D" w:rsidRDefault="008144C7" w:rsidP="008144C7">
      <w:pPr>
        <w:pStyle w:val="NormalBold"/>
      </w:pPr>
      <w:r w:rsidRPr="00635D1D">
        <w:rPr>
          <w:rStyle w:val="HideTWBExt"/>
          <w:b w:val="0"/>
        </w:rPr>
        <w:t>&lt;Article&gt;</w:t>
      </w:r>
      <w:r w:rsidRPr="00635D1D">
        <w:t>Motyw 17</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3BABB07" w14:textId="77777777" w:rsidTr="00C5582D">
        <w:trPr>
          <w:trHeight w:val="240"/>
          <w:jc w:val="center"/>
        </w:trPr>
        <w:tc>
          <w:tcPr>
            <w:tcW w:w="9752" w:type="dxa"/>
            <w:gridSpan w:val="2"/>
            <w:tcBorders>
              <w:top w:val="nil"/>
              <w:left w:val="nil"/>
              <w:bottom w:val="nil"/>
              <w:right w:val="nil"/>
            </w:tcBorders>
          </w:tcPr>
          <w:p w14:paraId="78F896B6" w14:textId="77777777" w:rsidR="008144C7" w:rsidRPr="00635D1D" w:rsidRDefault="008144C7" w:rsidP="00C5582D"/>
        </w:tc>
      </w:tr>
      <w:tr w:rsidR="008144C7" w:rsidRPr="00635D1D" w14:paraId="7F1B91D1" w14:textId="77777777" w:rsidTr="00C5582D">
        <w:trPr>
          <w:trHeight w:val="240"/>
          <w:jc w:val="center"/>
        </w:trPr>
        <w:tc>
          <w:tcPr>
            <w:tcW w:w="4876" w:type="dxa"/>
            <w:tcBorders>
              <w:top w:val="nil"/>
              <w:left w:val="nil"/>
              <w:bottom w:val="nil"/>
              <w:right w:val="nil"/>
            </w:tcBorders>
            <w:hideMark/>
          </w:tcPr>
          <w:p w14:paraId="5DA5DF92"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F7ED0C3" w14:textId="77777777" w:rsidR="008144C7" w:rsidRPr="00635D1D" w:rsidRDefault="008144C7" w:rsidP="00C5582D">
            <w:pPr>
              <w:pStyle w:val="AmColumnHeading"/>
            </w:pPr>
            <w:r w:rsidRPr="00635D1D">
              <w:t>Poprawka</w:t>
            </w:r>
          </w:p>
        </w:tc>
      </w:tr>
      <w:tr w:rsidR="008144C7" w:rsidRPr="00635D1D" w14:paraId="4029BB3F" w14:textId="77777777" w:rsidTr="00C5582D">
        <w:trPr>
          <w:jc w:val="center"/>
        </w:trPr>
        <w:tc>
          <w:tcPr>
            <w:tcW w:w="4876" w:type="dxa"/>
            <w:tcBorders>
              <w:top w:val="nil"/>
              <w:left w:val="nil"/>
              <w:bottom w:val="nil"/>
              <w:right w:val="nil"/>
            </w:tcBorders>
            <w:hideMark/>
          </w:tcPr>
          <w:p w14:paraId="5FB5FBFB" w14:textId="77777777" w:rsidR="008144C7" w:rsidRPr="00635D1D" w:rsidRDefault="008144C7" w:rsidP="00C5582D">
            <w:pPr>
              <w:pStyle w:val="Normal6a"/>
            </w:pPr>
            <w:r w:rsidRPr="00635D1D">
              <w:t>(17)</w:t>
            </w:r>
            <w:r w:rsidRPr="00635D1D">
              <w:tab/>
              <w:t xml:space="preserve">Warunki umożliwiające zwolnienie z zakazu stosowania </w:t>
            </w:r>
            <w:r w:rsidRPr="00635D1D">
              <w:rPr>
                <w:b/>
                <w:i/>
              </w:rPr>
              <w:t>takich</w:t>
            </w:r>
            <w:r w:rsidRPr="00635D1D">
              <w:t xml:space="preserve"> substancji w produktach kosmetycznych </w:t>
            </w:r>
            <w:r w:rsidRPr="00635D1D">
              <w:rPr>
                <w:b/>
                <w:i/>
              </w:rPr>
              <w:t>należy uprościć, a ich</w:t>
            </w:r>
            <w:r w:rsidRPr="00635D1D">
              <w:t xml:space="preserve"> zakres należy określić w sposób bardziej szczegółowy. Ponadto obowiązek spełnienia wymogów dotyczących bezpieczeństwa żywności nie odpowiada osiągnięciom postępu naukowo-technicznego, umożliwiającym opracowywanie nowych substancji do stosowania w produktach kosmetycznych, których nie stosuje się w żywności lub które w niej nie występują. Zgodność z wymogami dotyczącymi bezpieczeństwa żywności nie zwiększa bezpieczeństwa produktów kosmetycznych, ponieważ te kategorie produktów są z natury różne. Należy zatem znieść ten warunek.</w:t>
            </w:r>
          </w:p>
        </w:tc>
        <w:tc>
          <w:tcPr>
            <w:tcW w:w="4876" w:type="dxa"/>
            <w:tcBorders>
              <w:top w:val="nil"/>
              <w:left w:val="nil"/>
              <w:bottom w:val="nil"/>
              <w:right w:val="nil"/>
            </w:tcBorders>
            <w:hideMark/>
          </w:tcPr>
          <w:p w14:paraId="6390AC2A" w14:textId="77777777" w:rsidR="008144C7" w:rsidRPr="00635D1D" w:rsidRDefault="008144C7" w:rsidP="00C5582D">
            <w:pPr>
              <w:pStyle w:val="Normal6a"/>
            </w:pPr>
            <w:r w:rsidRPr="00635D1D">
              <w:t>(17)</w:t>
            </w:r>
            <w:r w:rsidRPr="00635D1D">
              <w:tab/>
              <w:t xml:space="preserve">Warunki umożliwiające zwolnienie z zakazu stosowania substancji </w:t>
            </w:r>
            <w:r w:rsidRPr="00635D1D">
              <w:rPr>
                <w:b/>
                <w:i/>
              </w:rPr>
              <w:t>CMR i substancji zaburzających funkcjonowanie układu hormonalnego</w:t>
            </w:r>
            <w:r w:rsidRPr="00635D1D">
              <w:t xml:space="preserve"> w produktach kosmetycznych </w:t>
            </w:r>
            <w:r w:rsidRPr="00635D1D">
              <w:rPr>
                <w:b/>
                <w:i/>
              </w:rPr>
              <w:t>oraz</w:t>
            </w:r>
            <w:r w:rsidRPr="00635D1D">
              <w:t xml:space="preserve"> zakres </w:t>
            </w:r>
            <w:r w:rsidRPr="00635D1D">
              <w:rPr>
                <w:b/>
                <w:bCs/>
                <w:i/>
                <w:iCs/>
              </w:rPr>
              <w:t>tych warunków</w:t>
            </w:r>
            <w:r w:rsidRPr="00635D1D">
              <w:t xml:space="preserve"> należy określić w sposób bardziej szczegółowy. Ponadto obowiązek spełnienia wymogów dotyczących bezpieczeństwa żywności nie odpowiada osiągnięciom postępu naukowo-technicznego, umożliwiającym opracowywanie nowych substancji do stosowania w produktach kosmetycznych, których nie stosuje się w żywności lub które w niej nie występują. Zgodność z wymogami dotyczącymi bezpieczeństwa żywności nie zwiększa bezpieczeństwa produktów kosmetycznych, ponieważ te kategorie produktów są z natury różne. Należy zatem znieść ten warunek.</w:t>
            </w:r>
          </w:p>
        </w:tc>
      </w:tr>
    </w:tbl>
    <w:p w14:paraId="1C01409F"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7718DA57" w14:textId="77777777" w:rsidR="008144C7" w:rsidRPr="00635D1D" w:rsidRDefault="008144C7" w:rsidP="008144C7">
      <w:r w:rsidRPr="00635D1D">
        <w:rPr>
          <w:rStyle w:val="HideTWBExt"/>
        </w:rPr>
        <w:t>&lt;/Amend&gt;</w:t>
      </w:r>
    </w:p>
    <w:p w14:paraId="4F4D7936"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175</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6A2FE328" w14:textId="77777777" w:rsidR="008144C7" w:rsidRPr="00AD15CF" w:rsidRDefault="008144C7" w:rsidP="008144C7">
      <w:pPr>
        <w:pStyle w:val="NormalBold"/>
        <w:rPr>
          <w:lang w:val="it-IT"/>
        </w:rPr>
      </w:pPr>
      <w:r w:rsidRPr="00AD15CF">
        <w:rPr>
          <w:rStyle w:val="HideTWBExt"/>
          <w:b w:val="0"/>
          <w:lang w:val="it-IT"/>
        </w:rPr>
        <w:t>&lt;RepeatBlock-By&gt;&lt;Members&gt;</w:t>
      </w:r>
      <w:r w:rsidRPr="00AD15CF">
        <w:rPr>
          <w:lang w:val="it-IT"/>
        </w:rPr>
        <w:t>Salvatore De Meo, Flavio Tosi, Massimiliano Salini, Letizia Moratti</w:t>
      </w:r>
      <w:r w:rsidRPr="00AD15CF">
        <w:rPr>
          <w:rStyle w:val="HideTWBExt"/>
          <w:b w:val="0"/>
          <w:lang w:val="it-IT"/>
        </w:rPr>
        <w:t>&lt;/</w:t>
      </w:r>
      <w:proofErr w:type="spellStart"/>
      <w:r w:rsidRPr="00AD15CF">
        <w:rPr>
          <w:rStyle w:val="HideTWBExt"/>
          <w:b w:val="0"/>
          <w:lang w:val="it-IT"/>
        </w:rPr>
        <w:t>Members</w:t>
      </w:r>
      <w:proofErr w:type="spellEnd"/>
      <w:r w:rsidRPr="00AD15CF">
        <w:rPr>
          <w:rStyle w:val="HideTWBExt"/>
          <w:b w:val="0"/>
          <w:lang w:val="it-IT"/>
        </w:rPr>
        <w:t>&gt;</w:t>
      </w:r>
    </w:p>
    <w:p w14:paraId="4A2A6DDE" w14:textId="77777777" w:rsidR="008144C7" w:rsidRPr="00635D1D" w:rsidRDefault="008144C7" w:rsidP="008144C7">
      <w:pPr>
        <w:pStyle w:val="NormalBold"/>
      </w:pPr>
      <w:r w:rsidRPr="00635D1D">
        <w:rPr>
          <w:rStyle w:val="HideTWBExt"/>
          <w:b w:val="0"/>
        </w:rPr>
        <w:t>&lt;/RepeatBlock-By&gt;</w:t>
      </w:r>
    </w:p>
    <w:p w14:paraId="58C5AC8C"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2795AF7" w14:textId="77777777" w:rsidR="008144C7" w:rsidRPr="00635D1D" w:rsidRDefault="008144C7" w:rsidP="008144C7">
      <w:pPr>
        <w:pStyle w:val="NormalBold"/>
      </w:pPr>
      <w:r w:rsidRPr="00635D1D">
        <w:rPr>
          <w:rStyle w:val="HideTWBExt"/>
          <w:b w:val="0"/>
        </w:rPr>
        <w:t>&lt;Article&gt;</w:t>
      </w:r>
      <w:r w:rsidRPr="00635D1D">
        <w:t>Motyw 18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FE4BB70" w14:textId="77777777" w:rsidTr="00C5582D">
        <w:trPr>
          <w:trHeight w:val="240"/>
          <w:jc w:val="center"/>
        </w:trPr>
        <w:tc>
          <w:tcPr>
            <w:tcW w:w="9752" w:type="dxa"/>
            <w:gridSpan w:val="2"/>
            <w:tcBorders>
              <w:top w:val="nil"/>
              <w:left w:val="nil"/>
              <w:bottom w:val="nil"/>
              <w:right w:val="nil"/>
            </w:tcBorders>
          </w:tcPr>
          <w:p w14:paraId="74A382FB" w14:textId="77777777" w:rsidR="008144C7" w:rsidRPr="00635D1D" w:rsidRDefault="008144C7" w:rsidP="00C5582D"/>
        </w:tc>
      </w:tr>
      <w:tr w:rsidR="008144C7" w:rsidRPr="00635D1D" w14:paraId="16DFC0B0" w14:textId="77777777" w:rsidTr="00C5582D">
        <w:trPr>
          <w:trHeight w:val="240"/>
          <w:jc w:val="center"/>
        </w:trPr>
        <w:tc>
          <w:tcPr>
            <w:tcW w:w="4876" w:type="dxa"/>
            <w:tcBorders>
              <w:top w:val="nil"/>
              <w:left w:val="nil"/>
              <w:bottom w:val="nil"/>
              <w:right w:val="nil"/>
            </w:tcBorders>
            <w:hideMark/>
          </w:tcPr>
          <w:p w14:paraId="44F79306"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8D03720" w14:textId="77777777" w:rsidR="008144C7" w:rsidRPr="00635D1D" w:rsidRDefault="008144C7" w:rsidP="00C5582D">
            <w:pPr>
              <w:pStyle w:val="AmColumnHeading"/>
            </w:pPr>
            <w:r w:rsidRPr="00635D1D">
              <w:t>Poprawka</w:t>
            </w:r>
          </w:p>
        </w:tc>
      </w:tr>
      <w:tr w:rsidR="008144C7" w:rsidRPr="00635D1D" w14:paraId="5E2C0D1D" w14:textId="77777777" w:rsidTr="00C5582D">
        <w:trPr>
          <w:jc w:val="center"/>
        </w:trPr>
        <w:tc>
          <w:tcPr>
            <w:tcW w:w="4876" w:type="dxa"/>
            <w:tcBorders>
              <w:top w:val="nil"/>
              <w:left w:val="nil"/>
              <w:bottom w:val="nil"/>
              <w:right w:val="nil"/>
            </w:tcBorders>
            <w:hideMark/>
          </w:tcPr>
          <w:p w14:paraId="20EFCF4B" w14:textId="77777777" w:rsidR="008144C7" w:rsidRPr="00635D1D" w:rsidRDefault="008144C7" w:rsidP="00C5582D">
            <w:pPr>
              <w:pStyle w:val="Normal6a"/>
            </w:pPr>
            <w:r w:rsidRPr="00635D1D">
              <w:t>(18)</w:t>
            </w:r>
            <w:r w:rsidRPr="00635D1D">
              <w:tab/>
              <w:t xml:space="preserve">Ponadto należy </w:t>
            </w:r>
            <w:r w:rsidRPr="00635D1D">
              <w:rPr>
                <w:b/>
                <w:i/>
              </w:rPr>
              <w:t>określić</w:t>
            </w:r>
            <w:r w:rsidRPr="00635D1D">
              <w:t xml:space="preserve"> elementy uwzględniane przy ocenie dostępności odpowiednich substancji alternatywnych. Należy wskazać </w:t>
            </w:r>
            <w:r w:rsidRPr="00635D1D">
              <w:rPr>
                <w:b/>
                <w:i/>
              </w:rPr>
              <w:t>w szczególności</w:t>
            </w:r>
            <w:r w:rsidRPr="00635D1D">
              <w:t xml:space="preserve">, że </w:t>
            </w:r>
            <w:r w:rsidRPr="00635D1D">
              <w:rPr>
                <w:b/>
                <w:bCs/>
                <w:i/>
                <w:iCs/>
              </w:rPr>
              <w:t>stosowanie</w:t>
            </w:r>
            <w:r w:rsidRPr="00635D1D">
              <w:t xml:space="preserve"> substancji </w:t>
            </w:r>
            <w:r w:rsidRPr="00635D1D">
              <w:rPr>
                <w:b/>
                <w:i/>
              </w:rPr>
              <w:t>alternatywnych powinno skutkować zmniejszeniem ogólnego ryzyka</w:t>
            </w:r>
            <w:r w:rsidRPr="00635D1D">
              <w:t xml:space="preserve"> dla zdrowia ludzkiego i środowiska</w:t>
            </w:r>
            <w:r w:rsidRPr="00635D1D">
              <w:rPr>
                <w:b/>
                <w:i/>
              </w:rPr>
              <w:t>, a</w:t>
            </w:r>
            <w:r w:rsidRPr="00635D1D">
              <w:t xml:space="preserve"> substancja powinna pełnić </w:t>
            </w:r>
            <w:r w:rsidRPr="00635D1D">
              <w:rPr>
                <w:b/>
                <w:i/>
              </w:rPr>
              <w:t>równoważną lub podobną</w:t>
            </w:r>
            <w:r w:rsidRPr="00635D1D">
              <w:t xml:space="preserve"> funkcję </w:t>
            </w:r>
            <w:r w:rsidRPr="00635D1D">
              <w:rPr>
                <w:b/>
                <w:i/>
              </w:rPr>
              <w:t>w produkcie kosmetycznym</w:t>
            </w:r>
            <w:r w:rsidRPr="00635D1D">
              <w:t xml:space="preserve"> i być dostępna na rynku w wystarczających ilościach, aby jej wykorzystywanie było technicznie wykonalne i ekonomicznie opłacalne dla przedsiębiorstw, a zwłaszcza dla MŚP. Ponadto dostęp do takiej substancji nie powinien być utrudniony w związku z istnieniem patentów lub ograniczeń dotyczących surowców. Należy </w:t>
            </w:r>
            <w:r w:rsidRPr="00635D1D">
              <w:rPr>
                <w:b/>
                <w:i/>
              </w:rPr>
              <w:t>również przewidzieć możliwość uwzględnienia aspektów ekonomicznych</w:t>
            </w:r>
            <w:r w:rsidRPr="00635D1D">
              <w:t xml:space="preserve">, </w:t>
            </w:r>
            <w:r w:rsidRPr="00635D1D">
              <w:rPr>
                <w:b/>
                <w:bCs/>
                <w:i/>
                <w:iCs/>
              </w:rPr>
              <w:t>takich</w:t>
            </w:r>
            <w:r w:rsidRPr="00635D1D">
              <w:t xml:space="preserve"> jak koszt sporządzenia nowych receptur i porównawczy udział w ogólnych kosztach produkcji, jako </w:t>
            </w:r>
            <w:r w:rsidRPr="00635D1D">
              <w:rPr>
                <w:b/>
                <w:bCs/>
                <w:i/>
                <w:iCs/>
              </w:rPr>
              <w:t>istotnych czynników</w:t>
            </w:r>
            <w:r w:rsidRPr="00635D1D">
              <w:t xml:space="preserve"> w analizie przydatności substancji alternatywnych.</w:t>
            </w:r>
          </w:p>
        </w:tc>
        <w:tc>
          <w:tcPr>
            <w:tcW w:w="4876" w:type="dxa"/>
            <w:tcBorders>
              <w:top w:val="nil"/>
              <w:left w:val="nil"/>
              <w:bottom w:val="nil"/>
              <w:right w:val="nil"/>
            </w:tcBorders>
            <w:hideMark/>
          </w:tcPr>
          <w:p w14:paraId="2AF0424B" w14:textId="77777777" w:rsidR="008144C7" w:rsidRPr="00635D1D" w:rsidRDefault="008144C7" w:rsidP="00C5582D">
            <w:pPr>
              <w:pStyle w:val="Normal6a"/>
            </w:pPr>
            <w:r w:rsidRPr="00635D1D">
              <w:t>(18)</w:t>
            </w:r>
            <w:r w:rsidRPr="00635D1D">
              <w:tab/>
              <w:t xml:space="preserve">Ponadto należy </w:t>
            </w:r>
            <w:r w:rsidRPr="00635D1D">
              <w:rPr>
                <w:b/>
                <w:i/>
              </w:rPr>
              <w:t>podkreślić</w:t>
            </w:r>
            <w:r w:rsidRPr="00635D1D">
              <w:t xml:space="preserve"> elementy uwzględniane przy ocenie dostępności odpowiednich substancji alternatywnych. </w:t>
            </w:r>
            <w:r w:rsidRPr="00635D1D">
              <w:rPr>
                <w:b/>
                <w:i/>
              </w:rPr>
              <w:t>W szczególności kluczowym kryterium potwierdzającym bezpieczne stosowanie substancji w kosmetykach jest ocena Komitetu Naukowego ds. Bezpieczeństwa Konsumentów (SCCS) – pełna ocena toksykologiczna uwzględniająca wszystkie drogi narażenia. Zapewnia to dodatkową solidną wiedzę naukową, z której wynika, że dana substancja jest bezpieczną i preferowaną opcją dla konsumenta. Ponadto</w:t>
            </w:r>
            <w:r w:rsidRPr="00635D1D">
              <w:t xml:space="preserve"> należy wskazać, że </w:t>
            </w:r>
            <w:r w:rsidRPr="00635D1D">
              <w:rPr>
                <w:b/>
                <w:i/>
              </w:rPr>
              <w:t>każda substancja alternatywna uważana za zastępującą potrzebę stosowania</w:t>
            </w:r>
            <w:r w:rsidRPr="00635D1D">
              <w:t xml:space="preserve"> substancji </w:t>
            </w:r>
            <w:r w:rsidRPr="00635D1D">
              <w:rPr>
                <w:b/>
                <w:i/>
              </w:rPr>
              <w:t>sklasyfikowanej wiąże się z wyraźnie zmniejszonym ryzykiem</w:t>
            </w:r>
            <w:r w:rsidRPr="00635D1D">
              <w:t xml:space="preserve"> dla zdrowia ludzkiego i środowiska</w:t>
            </w:r>
            <w:r w:rsidRPr="00635D1D">
              <w:rPr>
                <w:b/>
                <w:i/>
              </w:rPr>
              <w:t xml:space="preserve">. </w:t>
            </w:r>
            <w:r w:rsidRPr="00635D1D">
              <w:t xml:space="preserve">Substancja </w:t>
            </w:r>
            <w:r w:rsidRPr="00635D1D">
              <w:rPr>
                <w:b/>
                <w:i/>
              </w:rPr>
              <w:t>alternatywna</w:t>
            </w:r>
            <w:r w:rsidRPr="00635D1D">
              <w:t xml:space="preserve"> powinna pełnić </w:t>
            </w:r>
            <w:r w:rsidRPr="00635D1D">
              <w:rPr>
                <w:b/>
                <w:i/>
              </w:rPr>
              <w:t>taką samą</w:t>
            </w:r>
            <w:r w:rsidRPr="00635D1D">
              <w:t xml:space="preserve"> funkcję</w:t>
            </w:r>
            <w:r w:rsidRPr="00635D1D">
              <w:rPr>
                <w:b/>
                <w:i/>
              </w:rPr>
              <w:t>, zapewniać taki sam poziom skuteczności</w:t>
            </w:r>
            <w:r w:rsidRPr="00635D1D">
              <w:t xml:space="preserve"> i </w:t>
            </w:r>
            <w:r w:rsidRPr="00635D1D">
              <w:rPr>
                <w:b/>
                <w:bCs/>
                <w:i/>
                <w:iCs/>
              </w:rPr>
              <w:t>wydajności oraz</w:t>
            </w:r>
            <w:r w:rsidRPr="00635D1D">
              <w:t xml:space="preserve"> być dostępna na rynku w wystarczających ilościach, aby jej wykorzystywanie było technicznie wykonalne i ekonomicznie opłacalne dla przedsiębiorstw, a zwłaszcza dla MŚP</w:t>
            </w:r>
            <w:r w:rsidRPr="00635D1D">
              <w:rPr>
                <w:b/>
                <w:i/>
              </w:rPr>
              <w:t>, pod kątem umożliwienia stałej produkcji</w:t>
            </w:r>
            <w:r w:rsidRPr="00635D1D">
              <w:t xml:space="preserve">. Ponadto dostęp do takiej substancji nie powinien być utrudniony w związku z istnieniem patentów lub ograniczeń dotyczących surowców. </w:t>
            </w:r>
            <w:r w:rsidRPr="00635D1D">
              <w:rPr>
                <w:b/>
                <w:i/>
              </w:rPr>
              <w:t>W szczególności, aby ocenić wykonalność ekonomiczną,</w:t>
            </w:r>
            <w:r w:rsidRPr="00635D1D">
              <w:t xml:space="preserve"> należy </w:t>
            </w:r>
            <w:r w:rsidRPr="00635D1D">
              <w:rPr>
                <w:b/>
                <w:i/>
              </w:rPr>
              <w:t>uwzględnić aspekty ekonomiczne</w:t>
            </w:r>
            <w:r w:rsidRPr="00635D1D">
              <w:t xml:space="preserve">, </w:t>
            </w:r>
            <w:r w:rsidRPr="00635D1D">
              <w:rPr>
                <w:b/>
                <w:bCs/>
                <w:i/>
                <w:iCs/>
              </w:rPr>
              <w:t>takie</w:t>
            </w:r>
            <w:r w:rsidRPr="00635D1D">
              <w:t xml:space="preserve"> jak koszt sporządzenia nowych receptur i porównawczy udział w ogólnych kosztach produkcji, jako </w:t>
            </w:r>
            <w:r w:rsidRPr="00635D1D">
              <w:rPr>
                <w:b/>
                <w:bCs/>
                <w:i/>
                <w:iCs/>
              </w:rPr>
              <w:t>istotne czynniki</w:t>
            </w:r>
            <w:r w:rsidRPr="00635D1D">
              <w:t xml:space="preserve"> w analizie przydatności substancji alternatywnych.</w:t>
            </w:r>
          </w:p>
        </w:tc>
      </w:tr>
    </w:tbl>
    <w:p w14:paraId="5AFFF184"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27E148F2" w14:textId="77777777" w:rsidR="008144C7" w:rsidRPr="00AD15CF" w:rsidRDefault="008144C7" w:rsidP="008144C7">
      <w:pPr>
        <w:rPr>
          <w:lang w:val="en-GB"/>
        </w:rPr>
      </w:pPr>
      <w:r w:rsidRPr="00AD15CF">
        <w:rPr>
          <w:rStyle w:val="HideTWBExt"/>
          <w:lang w:val="en-GB"/>
        </w:rPr>
        <w:t>&lt;/Amend&gt;</w:t>
      </w:r>
    </w:p>
    <w:p w14:paraId="64701546"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176</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3AED1DA9"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Elżbieta</w:t>
      </w:r>
      <w:proofErr w:type="spellEnd"/>
      <w:r w:rsidRPr="00AD15CF">
        <w:rPr>
          <w:lang w:val="en-GB"/>
        </w:rPr>
        <w:t xml:space="preserve"> Katarzyna </w:t>
      </w:r>
      <w:proofErr w:type="spellStart"/>
      <w:r w:rsidRPr="00AD15CF">
        <w:rPr>
          <w:lang w:val="en-GB"/>
        </w:rPr>
        <w:t>Łukacijewska</w:t>
      </w:r>
      <w:proofErr w:type="spellEnd"/>
      <w:r w:rsidRPr="00AD15CF">
        <w:rPr>
          <w:lang w:val="en-GB"/>
        </w:rPr>
        <w:t xml:space="preserve">, Ewa Kopacz, Hanna Gronkiewicz-Waltz, Adam </w:t>
      </w:r>
      <w:proofErr w:type="spellStart"/>
      <w:r w:rsidRPr="00AD15CF">
        <w:rPr>
          <w:lang w:val="en-GB"/>
        </w:rPr>
        <w:t>Jarubas</w:t>
      </w:r>
      <w:proofErr w:type="spellEnd"/>
      <w:r w:rsidRPr="00AD15CF">
        <w:rPr>
          <w:rStyle w:val="HideTWBExt"/>
          <w:b w:val="0"/>
          <w:lang w:val="en-GB"/>
        </w:rPr>
        <w:t>&lt;/Members&gt;</w:t>
      </w:r>
    </w:p>
    <w:p w14:paraId="3597A035" w14:textId="77777777" w:rsidR="008144C7" w:rsidRPr="00635D1D" w:rsidRDefault="008144C7" w:rsidP="008144C7">
      <w:pPr>
        <w:pStyle w:val="NormalBold"/>
      </w:pPr>
      <w:r w:rsidRPr="00635D1D">
        <w:rPr>
          <w:rStyle w:val="HideTWBExt"/>
          <w:b w:val="0"/>
        </w:rPr>
        <w:t>&lt;/RepeatBlock-By&gt;</w:t>
      </w:r>
    </w:p>
    <w:p w14:paraId="14E9D37E"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9635220" w14:textId="77777777" w:rsidR="008144C7" w:rsidRPr="00635D1D" w:rsidRDefault="008144C7" w:rsidP="008144C7">
      <w:pPr>
        <w:pStyle w:val="NormalBold"/>
      </w:pPr>
      <w:r w:rsidRPr="00635D1D">
        <w:rPr>
          <w:rStyle w:val="HideTWBExt"/>
          <w:b w:val="0"/>
        </w:rPr>
        <w:t>&lt;Article&gt;</w:t>
      </w:r>
      <w:r w:rsidRPr="00635D1D">
        <w:t>Motyw 18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44AE332" w14:textId="77777777" w:rsidTr="00C5582D">
        <w:trPr>
          <w:trHeight w:val="240"/>
          <w:jc w:val="center"/>
        </w:trPr>
        <w:tc>
          <w:tcPr>
            <w:tcW w:w="9752" w:type="dxa"/>
            <w:gridSpan w:val="2"/>
            <w:tcBorders>
              <w:top w:val="nil"/>
              <w:left w:val="nil"/>
              <w:bottom w:val="nil"/>
              <w:right w:val="nil"/>
            </w:tcBorders>
          </w:tcPr>
          <w:p w14:paraId="22528F29" w14:textId="77777777" w:rsidR="008144C7" w:rsidRPr="00635D1D" w:rsidRDefault="008144C7" w:rsidP="00C5582D"/>
        </w:tc>
      </w:tr>
      <w:tr w:rsidR="008144C7" w:rsidRPr="00635D1D" w14:paraId="169E0CF0" w14:textId="77777777" w:rsidTr="00C5582D">
        <w:trPr>
          <w:trHeight w:val="240"/>
          <w:jc w:val="center"/>
        </w:trPr>
        <w:tc>
          <w:tcPr>
            <w:tcW w:w="4876" w:type="dxa"/>
            <w:tcBorders>
              <w:top w:val="nil"/>
              <w:left w:val="nil"/>
              <w:bottom w:val="nil"/>
              <w:right w:val="nil"/>
            </w:tcBorders>
            <w:hideMark/>
          </w:tcPr>
          <w:p w14:paraId="57FAE40F"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F0BE6B2" w14:textId="77777777" w:rsidR="008144C7" w:rsidRPr="00635D1D" w:rsidRDefault="008144C7" w:rsidP="00C5582D">
            <w:pPr>
              <w:pStyle w:val="AmColumnHeading"/>
            </w:pPr>
            <w:r w:rsidRPr="00635D1D">
              <w:t>Poprawka</w:t>
            </w:r>
          </w:p>
        </w:tc>
      </w:tr>
      <w:tr w:rsidR="008144C7" w:rsidRPr="00635D1D" w14:paraId="6C7FC5A3" w14:textId="77777777" w:rsidTr="00C5582D">
        <w:trPr>
          <w:jc w:val="center"/>
        </w:trPr>
        <w:tc>
          <w:tcPr>
            <w:tcW w:w="4876" w:type="dxa"/>
            <w:tcBorders>
              <w:top w:val="nil"/>
              <w:left w:val="nil"/>
              <w:bottom w:val="nil"/>
              <w:right w:val="nil"/>
            </w:tcBorders>
            <w:hideMark/>
          </w:tcPr>
          <w:p w14:paraId="48631799" w14:textId="77777777" w:rsidR="008144C7" w:rsidRPr="00635D1D" w:rsidRDefault="008144C7" w:rsidP="00C5582D">
            <w:pPr>
              <w:pStyle w:val="Normal6a"/>
            </w:pPr>
            <w:r w:rsidRPr="00635D1D">
              <w:t>(18)</w:t>
            </w:r>
            <w:r w:rsidRPr="00635D1D">
              <w:tab/>
              <w:t xml:space="preserve">Ponadto należy </w:t>
            </w:r>
            <w:r w:rsidRPr="00635D1D">
              <w:rPr>
                <w:b/>
                <w:i/>
              </w:rPr>
              <w:t>określić</w:t>
            </w:r>
            <w:r w:rsidRPr="00635D1D">
              <w:t xml:space="preserve"> elementy uwzględniane przy ocenie dostępności odpowiednich substancji alternatywnych. Należy wskazać </w:t>
            </w:r>
            <w:r w:rsidRPr="00635D1D">
              <w:rPr>
                <w:b/>
                <w:i/>
              </w:rPr>
              <w:t>w szczególności</w:t>
            </w:r>
            <w:r w:rsidRPr="00635D1D">
              <w:t xml:space="preserve">, że </w:t>
            </w:r>
            <w:r w:rsidRPr="00635D1D">
              <w:rPr>
                <w:b/>
                <w:i/>
              </w:rPr>
              <w:t>stosowanie substancji alternatywnych powinno skutkować zmniejszeniem ogólnego ryzyka</w:t>
            </w:r>
            <w:r w:rsidRPr="00635D1D">
              <w:t xml:space="preserve"> dla zdrowia ludzkiego i środowiska</w:t>
            </w:r>
            <w:r w:rsidRPr="00635D1D">
              <w:rPr>
                <w:b/>
                <w:i/>
              </w:rPr>
              <w:t>, a</w:t>
            </w:r>
            <w:r w:rsidRPr="00635D1D">
              <w:t xml:space="preserve"> substancja powinna pełnić </w:t>
            </w:r>
            <w:r w:rsidRPr="00635D1D">
              <w:rPr>
                <w:b/>
                <w:i/>
              </w:rPr>
              <w:t>równoważną lub podobną</w:t>
            </w:r>
            <w:r w:rsidRPr="00635D1D">
              <w:t xml:space="preserve"> funkcję </w:t>
            </w:r>
            <w:r w:rsidRPr="00635D1D">
              <w:rPr>
                <w:b/>
                <w:i/>
              </w:rPr>
              <w:t>w produkcie kosmetycznym</w:t>
            </w:r>
            <w:r w:rsidRPr="00635D1D">
              <w:t xml:space="preserve"> i być dostępna na rynku w wystarczających ilościach, aby jej wykorzystywanie było technicznie wykonalne i ekonomicznie opłacalne dla przedsiębiorstw, a zwłaszcza dla MŚP. Ponadto dostęp do takiej substancji nie powinien być utrudniony w związku z istnieniem patentów lub ograniczeń dotyczących surowców. Należy </w:t>
            </w:r>
            <w:r w:rsidRPr="00635D1D">
              <w:rPr>
                <w:b/>
                <w:i/>
              </w:rPr>
              <w:t>również przewidzieć możliwość uwzględnienia aspektów ekonomicznych</w:t>
            </w:r>
            <w:r w:rsidRPr="00635D1D">
              <w:t xml:space="preserve">, </w:t>
            </w:r>
            <w:r w:rsidRPr="00635D1D">
              <w:rPr>
                <w:b/>
                <w:bCs/>
                <w:i/>
                <w:iCs/>
              </w:rPr>
              <w:t>takich</w:t>
            </w:r>
            <w:r w:rsidRPr="00635D1D">
              <w:t xml:space="preserve"> jak koszt sporządzenia nowych receptur i porównawczy udział w ogólnych kosztach produkcji, jako </w:t>
            </w:r>
            <w:r w:rsidRPr="00635D1D">
              <w:rPr>
                <w:b/>
                <w:bCs/>
                <w:i/>
                <w:iCs/>
              </w:rPr>
              <w:t>istotnych czynników</w:t>
            </w:r>
            <w:r w:rsidRPr="00635D1D">
              <w:t xml:space="preserve"> w analizie przydatności substancji alternatywnych.</w:t>
            </w:r>
          </w:p>
        </w:tc>
        <w:tc>
          <w:tcPr>
            <w:tcW w:w="4876" w:type="dxa"/>
            <w:tcBorders>
              <w:top w:val="nil"/>
              <w:left w:val="nil"/>
              <w:bottom w:val="nil"/>
              <w:right w:val="nil"/>
            </w:tcBorders>
            <w:hideMark/>
          </w:tcPr>
          <w:p w14:paraId="1C8D1C34" w14:textId="77777777" w:rsidR="008144C7" w:rsidRPr="00635D1D" w:rsidRDefault="008144C7" w:rsidP="00C5582D">
            <w:pPr>
              <w:pStyle w:val="Normal6a"/>
            </w:pPr>
            <w:r w:rsidRPr="00635D1D">
              <w:t>(18)</w:t>
            </w:r>
            <w:r w:rsidRPr="00635D1D">
              <w:tab/>
              <w:t xml:space="preserve">Ponadto należy </w:t>
            </w:r>
            <w:r w:rsidRPr="00635D1D">
              <w:rPr>
                <w:b/>
                <w:i/>
              </w:rPr>
              <w:t>podkreślić</w:t>
            </w:r>
            <w:r w:rsidRPr="00635D1D">
              <w:t xml:space="preserve"> elementy uwzględniane przy ocenie dostępności odpowiednich substancji alternatywnych. </w:t>
            </w:r>
            <w:r w:rsidRPr="00635D1D">
              <w:rPr>
                <w:b/>
                <w:i/>
              </w:rPr>
              <w:t>W szczególności kluczowym kryterium potwierdzającym bezpieczne stosowanie substancji w kosmetykach jest ocena Komitetu Naukowego ds. Bezpieczeństwa Konsumentów (SCCS) – pełna ocena toksykologiczna uwzględniająca wszystkie drogi narażenia. Zapewnia to dodatkową solidną wiedzę naukową, z której wynika, że dana substancja jest bezpieczną i preferowaną opcją dla konsumenta. Ponadto</w:t>
            </w:r>
            <w:r w:rsidRPr="00635D1D">
              <w:t xml:space="preserve"> należy wskazać, że </w:t>
            </w:r>
            <w:r w:rsidRPr="00635D1D">
              <w:rPr>
                <w:b/>
                <w:i/>
              </w:rPr>
              <w:t>każda substancja alternatywna uważana za zastępującą potrzebę stosowania substancji sklasyfikowanej wiąże się z wyraźnie zmniejszonym ryzykiem</w:t>
            </w:r>
            <w:r w:rsidRPr="00635D1D">
              <w:t xml:space="preserve"> dla zdrowia ludzkiego i środowiska</w:t>
            </w:r>
            <w:r w:rsidRPr="00635D1D">
              <w:rPr>
                <w:b/>
                <w:i/>
              </w:rPr>
              <w:t xml:space="preserve">. </w:t>
            </w:r>
            <w:r w:rsidRPr="00635D1D">
              <w:t xml:space="preserve">Substancja </w:t>
            </w:r>
            <w:r w:rsidRPr="00635D1D">
              <w:rPr>
                <w:b/>
                <w:i/>
              </w:rPr>
              <w:t>alternatywna</w:t>
            </w:r>
            <w:r w:rsidRPr="00635D1D">
              <w:t xml:space="preserve"> powinna pełnić </w:t>
            </w:r>
            <w:r w:rsidRPr="00635D1D">
              <w:rPr>
                <w:b/>
                <w:i/>
              </w:rPr>
              <w:t>taką samą</w:t>
            </w:r>
            <w:r w:rsidRPr="00635D1D">
              <w:t xml:space="preserve"> funkcję</w:t>
            </w:r>
            <w:r w:rsidRPr="00635D1D">
              <w:rPr>
                <w:b/>
                <w:i/>
              </w:rPr>
              <w:t>, zapewniać taki sam poziom skuteczności</w:t>
            </w:r>
            <w:r w:rsidRPr="00635D1D">
              <w:t xml:space="preserve"> i </w:t>
            </w:r>
            <w:r w:rsidRPr="00635D1D">
              <w:rPr>
                <w:b/>
                <w:bCs/>
                <w:i/>
                <w:iCs/>
              </w:rPr>
              <w:t>wydajności oraz</w:t>
            </w:r>
            <w:r w:rsidRPr="00635D1D">
              <w:t xml:space="preserve"> być dostępna na rynku w wystarczających ilościach, aby jej wykorzystywanie było technicznie wykonalne i ekonomicznie opłacalne dla przedsiębiorstw, a zwłaszcza dla MŚP</w:t>
            </w:r>
            <w:r w:rsidRPr="00635D1D">
              <w:rPr>
                <w:b/>
                <w:i/>
              </w:rPr>
              <w:t>, pod kątem umożliwienia stałej produkcji</w:t>
            </w:r>
            <w:r w:rsidRPr="00635D1D">
              <w:t xml:space="preserve">. Ponadto dostęp do takiej substancji nie powinien być utrudniony w związku z istnieniem patentów lub ograniczeń dotyczących surowców. </w:t>
            </w:r>
            <w:r w:rsidRPr="00635D1D">
              <w:rPr>
                <w:b/>
                <w:i/>
              </w:rPr>
              <w:t>W szczególności, aby ocenić wykonalność ekonomiczną,</w:t>
            </w:r>
            <w:r w:rsidRPr="00635D1D">
              <w:t xml:space="preserve"> należy </w:t>
            </w:r>
            <w:r w:rsidRPr="00635D1D">
              <w:rPr>
                <w:b/>
                <w:i/>
              </w:rPr>
              <w:t>uwzględnić aspekty ekonomiczne</w:t>
            </w:r>
            <w:r w:rsidRPr="00635D1D">
              <w:t xml:space="preserve">, </w:t>
            </w:r>
            <w:r w:rsidRPr="00635D1D">
              <w:rPr>
                <w:b/>
                <w:bCs/>
                <w:i/>
                <w:iCs/>
              </w:rPr>
              <w:t>takie</w:t>
            </w:r>
            <w:r w:rsidRPr="00635D1D">
              <w:t xml:space="preserve"> jak koszt sporządzenia nowych receptur i porównawczy udział w ogólnych kosztach produkcji, jako </w:t>
            </w:r>
            <w:r w:rsidRPr="00635D1D">
              <w:rPr>
                <w:b/>
                <w:bCs/>
                <w:i/>
                <w:iCs/>
              </w:rPr>
              <w:t>istotne czynniki</w:t>
            </w:r>
            <w:r w:rsidRPr="00635D1D">
              <w:t xml:space="preserve"> w analizie przydatności substancji alternatywnych.</w:t>
            </w:r>
          </w:p>
        </w:tc>
      </w:tr>
    </w:tbl>
    <w:p w14:paraId="7CCDFABE"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05194709" w14:textId="77777777" w:rsidR="008144C7" w:rsidRPr="00AD15CF" w:rsidRDefault="008144C7" w:rsidP="008144C7">
      <w:pPr>
        <w:rPr>
          <w:lang w:val="en-GB"/>
        </w:rPr>
      </w:pPr>
      <w:r w:rsidRPr="00AD15CF">
        <w:rPr>
          <w:rStyle w:val="HideTWBExt"/>
          <w:lang w:val="en-GB"/>
        </w:rPr>
        <w:t>&lt;/Amend&gt;</w:t>
      </w:r>
    </w:p>
    <w:p w14:paraId="3B6EF0F8"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177</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2A1F1FB4"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Beatrice </w:t>
      </w:r>
      <w:proofErr w:type="spellStart"/>
      <w:r w:rsidRPr="00AD15CF">
        <w:rPr>
          <w:lang w:val="en-GB"/>
        </w:rPr>
        <w:t>Timgren</w:t>
      </w:r>
      <w:proofErr w:type="spellEnd"/>
      <w:r w:rsidRPr="00AD15CF">
        <w:rPr>
          <w:rStyle w:val="HideTWBExt"/>
          <w:b w:val="0"/>
          <w:lang w:val="en-GB"/>
        </w:rPr>
        <w:t>&lt;/Members&gt;</w:t>
      </w:r>
    </w:p>
    <w:p w14:paraId="07100C6B" w14:textId="77777777" w:rsidR="008144C7" w:rsidRPr="00635D1D" w:rsidRDefault="008144C7" w:rsidP="008144C7">
      <w:pPr>
        <w:pStyle w:val="NormalBold"/>
      </w:pPr>
      <w:r w:rsidRPr="00635D1D">
        <w:rPr>
          <w:rStyle w:val="HideTWBExt"/>
          <w:b w:val="0"/>
        </w:rPr>
        <w:t>&lt;/RepeatBlock-By&gt;</w:t>
      </w:r>
    </w:p>
    <w:p w14:paraId="0DB9180D"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0DC6086" w14:textId="77777777" w:rsidR="008144C7" w:rsidRPr="00635D1D" w:rsidRDefault="008144C7" w:rsidP="008144C7">
      <w:pPr>
        <w:pStyle w:val="NormalBold"/>
      </w:pPr>
      <w:r w:rsidRPr="00635D1D">
        <w:rPr>
          <w:rStyle w:val="HideTWBExt"/>
          <w:b w:val="0"/>
        </w:rPr>
        <w:t>&lt;Article&gt;</w:t>
      </w:r>
      <w:r w:rsidRPr="00635D1D">
        <w:t>Motyw 18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5F9FC86" w14:textId="77777777" w:rsidTr="00C5582D">
        <w:trPr>
          <w:trHeight w:val="240"/>
          <w:jc w:val="center"/>
        </w:trPr>
        <w:tc>
          <w:tcPr>
            <w:tcW w:w="9752" w:type="dxa"/>
            <w:gridSpan w:val="2"/>
            <w:tcBorders>
              <w:top w:val="nil"/>
              <w:left w:val="nil"/>
              <w:bottom w:val="nil"/>
              <w:right w:val="nil"/>
            </w:tcBorders>
          </w:tcPr>
          <w:p w14:paraId="716FB830" w14:textId="77777777" w:rsidR="008144C7" w:rsidRPr="00635D1D" w:rsidRDefault="008144C7" w:rsidP="00C5582D"/>
        </w:tc>
      </w:tr>
      <w:tr w:rsidR="008144C7" w:rsidRPr="00635D1D" w14:paraId="0C98B853" w14:textId="77777777" w:rsidTr="00C5582D">
        <w:trPr>
          <w:trHeight w:val="240"/>
          <w:jc w:val="center"/>
        </w:trPr>
        <w:tc>
          <w:tcPr>
            <w:tcW w:w="4876" w:type="dxa"/>
            <w:tcBorders>
              <w:top w:val="nil"/>
              <w:left w:val="nil"/>
              <w:bottom w:val="nil"/>
              <w:right w:val="nil"/>
            </w:tcBorders>
            <w:hideMark/>
          </w:tcPr>
          <w:p w14:paraId="4259A0E2"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037DCFC7" w14:textId="77777777" w:rsidR="008144C7" w:rsidRPr="00635D1D" w:rsidRDefault="008144C7" w:rsidP="00C5582D">
            <w:pPr>
              <w:pStyle w:val="AmColumnHeading"/>
            </w:pPr>
            <w:r w:rsidRPr="00635D1D">
              <w:t>Poprawka</w:t>
            </w:r>
          </w:p>
        </w:tc>
      </w:tr>
      <w:tr w:rsidR="008144C7" w:rsidRPr="00635D1D" w14:paraId="5817DE3B" w14:textId="77777777" w:rsidTr="00C5582D">
        <w:trPr>
          <w:jc w:val="center"/>
        </w:trPr>
        <w:tc>
          <w:tcPr>
            <w:tcW w:w="4876" w:type="dxa"/>
            <w:tcBorders>
              <w:top w:val="nil"/>
              <w:left w:val="nil"/>
              <w:bottom w:val="nil"/>
              <w:right w:val="nil"/>
            </w:tcBorders>
            <w:hideMark/>
          </w:tcPr>
          <w:p w14:paraId="59E3F003" w14:textId="77777777" w:rsidR="008144C7" w:rsidRPr="00635D1D" w:rsidRDefault="008144C7" w:rsidP="00C5582D">
            <w:pPr>
              <w:pStyle w:val="Normal6a"/>
            </w:pPr>
            <w:r w:rsidRPr="00635D1D">
              <w:t>(18)</w:t>
            </w:r>
            <w:r w:rsidRPr="00635D1D">
              <w:tab/>
              <w:t xml:space="preserve">Ponadto należy </w:t>
            </w:r>
            <w:r w:rsidRPr="00635D1D">
              <w:rPr>
                <w:b/>
                <w:i/>
              </w:rPr>
              <w:t>określić</w:t>
            </w:r>
            <w:r w:rsidRPr="00635D1D">
              <w:t xml:space="preserve"> elementy uwzględniane przy ocenie dostępności odpowiednich substancji alternatywnych. Należy wskazać </w:t>
            </w:r>
            <w:r w:rsidRPr="00635D1D">
              <w:rPr>
                <w:b/>
                <w:i/>
              </w:rPr>
              <w:t>w szczególności</w:t>
            </w:r>
            <w:r w:rsidRPr="00635D1D">
              <w:t xml:space="preserve">, że </w:t>
            </w:r>
            <w:r w:rsidRPr="00635D1D">
              <w:rPr>
                <w:b/>
                <w:i/>
              </w:rPr>
              <w:t>stosowanie substancji alternatywnych powinno skutkować zmniejszeniem ogólnego ryzyka</w:t>
            </w:r>
            <w:r w:rsidRPr="00635D1D">
              <w:t xml:space="preserve"> dla zdrowia ludzkiego i środowiska</w:t>
            </w:r>
            <w:r w:rsidRPr="00635D1D">
              <w:rPr>
                <w:b/>
                <w:i/>
              </w:rPr>
              <w:t>, a</w:t>
            </w:r>
            <w:r w:rsidRPr="00635D1D">
              <w:t xml:space="preserve"> substancja powinna pełnić </w:t>
            </w:r>
            <w:r w:rsidRPr="00635D1D">
              <w:rPr>
                <w:b/>
                <w:i/>
              </w:rPr>
              <w:t>równoważną lub podobną</w:t>
            </w:r>
            <w:r w:rsidRPr="00635D1D">
              <w:t xml:space="preserve"> funkcję </w:t>
            </w:r>
            <w:r w:rsidRPr="00635D1D">
              <w:rPr>
                <w:b/>
                <w:i/>
              </w:rPr>
              <w:t>w produkcie kosmetycznym</w:t>
            </w:r>
            <w:r w:rsidRPr="00635D1D">
              <w:t xml:space="preserve"> i być dostępna na rynku w wystarczających ilościach, aby jej wykorzystywanie było technicznie wykonalne i ekonomicznie opłacalne dla przedsiębiorstw, a zwłaszcza dla MŚP. Ponadto dostęp do takiej substancji nie powinien być utrudniony w związku z istnieniem patentów lub ograniczeń dotyczących surowców. Należy </w:t>
            </w:r>
            <w:r w:rsidRPr="00635D1D">
              <w:rPr>
                <w:b/>
                <w:i/>
              </w:rPr>
              <w:t>również przewidzieć możliwość uwzględnienia aspektów ekonomicznych</w:t>
            </w:r>
            <w:r w:rsidRPr="00635D1D">
              <w:t xml:space="preserve">, </w:t>
            </w:r>
            <w:r w:rsidRPr="00635D1D">
              <w:rPr>
                <w:b/>
                <w:bCs/>
                <w:i/>
                <w:iCs/>
              </w:rPr>
              <w:t>takich</w:t>
            </w:r>
            <w:r w:rsidRPr="00635D1D">
              <w:t xml:space="preserve"> jak koszt sporządzenia nowych receptur i porównawczy udział w ogólnych kosztach produkcji, jako </w:t>
            </w:r>
            <w:r w:rsidRPr="00635D1D">
              <w:rPr>
                <w:b/>
                <w:bCs/>
                <w:i/>
                <w:iCs/>
              </w:rPr>
              <w:t>istotnych czynników</w:t>
            </w:r>
            <w:r w:rsidRPr="00635D1D">
              <w:t xml:space="preserve"> w analizie przydatności substancji alternatywnych.</w:t>
            </w:r>
          </w:p>
        </w:tc>
        <w:tc>
          <w:tcPr>
            <w:tcW w:w="4876" w:type="dxa"/>
            <w:tcBorders>
              <w:top w:val="nil"/>
              <w:left w:val="nil"/>
              <w:bottom w:val="nil"/>
              <w:right w:val="nil"/>
            </w:tcBorders>
            <w:hideMark/>
          </w:tcPr>
          <w:p w14:paraId="187B9535" w14:textId="77777777" w:rsidR="008144C7" w:rsidRPr="00635D1D" w:rsidRDefault="008144C7" w:rsidP="00C5582D">
            <w:pPr>
              <w:pStyle w:val="Normal6a"/>
            </w:pPr>
            <w:r w:rsidRPr="00635D1D">
              <w:t>(18)</w:t>
            </w:r>
            <w:r w:rsidRPr="00635D1D">
              <w:tab/>
              <w:t xml:space="preserve">Ponadto należy </w:t>
            </w:r>
            <w:r w:rsidRPr="00635D1D">
              <w:rPr>
                <w:b/>
                <w:i/>
              </w:rPr>
              <w:t>podkreślić</w:t>
            </w:r>
            <w:r w:rsidRPr="00635D1D">
              <w:t xml:space="preserve"> elementy uwzględniane przy ocenie dostępności odpowiednich substancji alternatywnych. </w:t>
            </w:r>
            <w:r w:rsidRPr="00635D1D">
              <w:rPr>
                <w:b/>
                <w:i/>
              </w:rPr>
              <w:t>W szczególności kluczowym kryterium potwierdzającym bezpieczne stosowanie substancji w kosmetykach jest ocena Komitetu Naukowego ds. Bezpieczeństwa Konsumentów (SCCS) – pełna ocena toksykologiczna uwzględniająca wszystkie drogi narażenia. Zapewnia to dodatkową solidną wiedzę naukową, z której wynika, że dana substancja jest bezpieczną i preferowaną opcją dla konsumenta. Ponadto</w:t>
            </w:r>
            <w:r w:rsidRPr="00635D1D">
              <w:t xml:space="preserve"> należy wskazać, że </w:t>
            </w:r>
            <w:r w:rsidRPr="00635D1D">
              <w:rPr>
                <w:b/>
                <w:i/>
              </w:rPr>
              <w:t>każda substancja alternatywna uważana za zastępującą potrzebę stosowania substancji sklasyfikowanej wiąże się z wyraźnie zmniejszonym ryzykiem</w:t>
            </w:r>
            <w:r w:rsidRPr="00635D1D">
              <w:t xml:space="preserve"> dla zdrowia ludzkiego i środowiska</w:t>
            </w:r>
            <w:r w:rsidRPr="00635D1D">
              <w:rPr>
                <w:b/>
                <w:i/>
              </w:rPr>
              <w:t xml:space="preserve">. </w:t>
            </w:r>
            <w:r w:rsidRPr="00635D1D">
              <w:t xml:space="preserve">Substancja </w:t>
            </w:r>
            <w:r w:rsidRPr="00635D1D">
              <w:rPr>
                <w:b/>
                <w:i/>
              </w:rPr>
              <w:t>alternatywna</w:t>
            </w:r>
            <w:r w:rsidRPr="00635D1D">
              <w:t xml:space="preserve"> powinna pełnić </w:t>
            </w:r>
            <w:r w:rsidRPr="00635D1D">
              <w:rPr>
                <w:b/>
                <w:i/>
              </w:rPr>
              <w:t>taką samą</w:t>
            </w:r>
            <w:r w:rsidRPr="00635D1D">
              <w:t xml:space="preserve"> funkcję</w:t>
            </w:r>
            <w:r w:rsidRPr="00635D1D">
              <w:rPr>
                <w:b/>
                <w:i/>
              </w:rPr>
              <w:t>, zapewniać taki sam poziom skuteczności</w:t>
            </w:r>
            <w:r w:rsidRPr="00635D1D">
              <w:t xml:space="preserve"> i </w:t>
            </w:r>
            <w:r w:rsidRPr="00635D1D">
              <w:rPr>
                <w:b/>
                <w:bCs/>
                <w:i/>
                <w:iCs/>
              </w:rPr>
              <w:t>wydajności oraz</w:t>
            </w:r>
            <w:r w:rsidRPr="00635D1D">
              <w:t xml:space="preserve"> być dostępna na rynku w wystarczających ilościach, aby jej wykorzystywanie było technicznie wykonalne i ekonomicznie opłacalne dla przedsiębiorstw, a zwłaszcza dla MŚP</w:t>
            </w:r>
            <w:r w:rsidRPr="00635D1D">
              <w:rPr>
                <w:b/>
                <w:i/>
              </w:rPr>
              <w:t>, pod kątem umożliwienia stałej produkcji</w:t>
            </w:r>
            <w:r w:rsidRPr="00635D1D">
              <w:t xml:space="preserve">. Ponadto dostęp do takiej substancji nie powinien być utrudniony w związku z istnieniem patentów lub ograniczeń dotyczących surowców. </w:t>
            </w:r>
            <w:r w:rsidRPr="00635D1D">
              <w:rPr>
                <w:b/>
                <w:i/>
              </w:rPr>
              <w:t>W szczególności, aby ocenić wykonalność ekonomiczną,</w:t>
            </w:r>
            <w:r w:rsidRPr="00635D1D">
              <w:t xml:space="preserve"> należy </w:t>
            </w:r>
            <w:r w:rsidRPr="00635D1D">
              <w:rPr>
                <w:b/>
                <w:i/>
              </w:rPr>
              <w:t>uwzględnić aspekty ekonomiczne</w:t>
            </w:r>
            <w:r w:rsidRPr="00635D1D">
              <w:t xml:space="preserve">, </w:t>
            </w:r>
            <w:r w:rsidRPr="00635D1D">
              <w:rPr>
                <w:b/>
                <w:bCs/>
                <w:i/>
                <w:iCs/>
              </w:rPr>
              <w:t>takie</w:t>
            </w:r>
            <w:r w:rsidRPr="00635D1D">
              <w:t xml:space="preserve"> jak koszt sporządzenia nowych receptur i porównawczy udział w ogólnych kosztach produkcji, jako </w:t>
            </w:r>
            <w:r w:rsidRPr="00635D1D">
              <w:rPr>
                <w:b/>
                <w:bCs/>
                <w:i/>
                <w:iCs/>
              </w:rPr>
              <w:t>istotne czynniki</w:t>
            </w:r>
            <w:r w:rsidRPr="00635D1D">
              <w:t xml:space="preserve"> w analizie przydatności substancji alternatywnych.</w:t>
            </w:r>
          </w:p>
        </w:tc>
      </w:tr>
    </w:tbl>
    <w:p w14:paraId="26B55E51"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16F01DF3" w14:textId="77777777" w:rsidR="008144C7" w:rsidRPr="00AD15CF" w:rsidRDefault="008144C7" w:rsidP="008144C7">
      <w:pPr>
        <w:rPr>
          <w:lang w:val="en-GB"/>
        </w:rPr>
      </w:pPr>
      <w:r w:rsidRPr="00AD15CF">
        <w:rPr>
          <w:rStyle w:val="HideTWBExt"/>
          <w:lang w:val="en-GB"/>
        </w:rPr>
        <w:t>&lt;/Amend&gt;</w:t>
      </w:r>
    </w:p>
    <w:p w14:paraId="713C69EB"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178</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35B84F9D"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Raúl de la </w:t>
      </w:r>
      <w:proofErr w:type="spellStart"/>
      <w:r w:rsidRPr="00AD15CF">
        <w:rPr>
          <w:lang w:val="en-GB"/>
        </w:rPr>
        <w:t>Hoz</w:t>
      </w:r>
      <w:proofErr w:type="spellEnd"/>
      <w:r w:rsidRPr="00AD15CF">
        <w:rPr>
          <w:lang w:val="en-GB"/>
        </w:rPr>
        <w:t xml:space="preserve"> </w:t>
      </w:r>
      <w:proofErr w:type="spellStart"/>
      <w:r w:rsidRPr="00AD15CF">
        <w:rPr>
          <w:lang w:val="en-GB"/>
        </w:rPr>
        <w:t>Quintano</w:t>
      </w:r>
      <w:proofErr w:type="spellEnd"/>
      <w:r w:rsidRPr="00AD15CF">
        <w:rPr>
          <w:lang w:val="en-GB"/>
        </w:rPr>
        <w:t xml:space="preserve">, </w:t>
      </w:r>
      <w:proofErr w:type="spellStart"/>
      <w:r w:rsidRPr="00AD15CF">
        <w:rPr>
          <w:lang w:val="en-GB"/>
        </w:rPr>
        <w:t>Dolors</w:t>
      </w:r>
      <w:proofErr w:type="spellEnd"/>
      <w:r w:rsidRPr="00AD15CF">
        <w:rPr>
          <w:lang w:val="en-GB"/>
        </w:rPr>
        <w:t xml:space="preserve"> Montserrat, Esther </w:t>
      </w:r>
      <w:proofErr w:type="spellStart"/>
      <w:r w:rsidRPr="00AD15CF">
        <w:rPr>
          <w:lang w:val="en-GB"/>
        </w:rPr>
        <w:t>Herranz</w:t>
      </w:r>
      <w:proofErr w:type="spellEnd"/>
      <w:r w:rsidRPr="00AD15CF">
        <w:rPr>
          <w:lang w:val="en-GB"/>
        </w:rPr>
        <w:t xml:space="preserve"> García, Susana Solís Pérez, Pablo Arias </w:t>
      </w:r>
      <w:proofErr w:type="spellStart"/>
      <w:r w:rsidRPr="00AD15CF">
        <w:rPr>
          <w:lang w:val="en-GB"/>
        </w:rPr>
        <w:t>Echeverría</w:t>
      </w:r>
      <w:proofErr w:type="spellEnd"/>
      <w:r w:rsidRPr="00AD15CF">
        <w:rPr>
          <w:rStyle w:val="HideTWBExt"/>
          <w:b w:val="0"/>
          <w:lang w:val="en-GB"/>
        </w:rPr>
        <w:t>&lt;/Members&gt;</w:t>
      </w:r>
    </w:p>
    <w:p w14:paraId="7AD2FB98" w14:textId="77777777" w:rsidR="008144C7" w:rsidRPr="00635D1D" w:rsidRDefault="008144C7" w:rsidP="008144C7">
      <w:pPr>
        <w:pStyle w:val="NormalBold"/>
      </w:pPr>
      <w:r w:rsidRPr="00635D1D">
        <w:rPr>
          <w:rStyle w:val="HideTWBExt"/>
          <w:b w:val="0"/>
        </w:rPr>
        <w:t>&lt;/RepeatBlock-By&gt;</w:t>
      </w:r>
    </w:p>
    <w:p w14:paraId="0B0AF3F4"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E3D8353" w14:textId="77777777" w:rsidR="008144C7" w:rsidRPr="00635D1D" w:rsidRDefault="008144C7" w:rsidP="008144C7">
      <w:pPr>
        <w:pStyle w:val="NormalBold"/>
      </w:pPr>
      <w:r w:rsidRPr="00635D1D">
        <w:rPr>
          <w:rStyle w:val="HideTWBExt"/>
          <w:b w:val="0"/>
        </w:rPr>
        <w:t>&lt;Article&gt;</w:t>
      </w:r>
      <w:r w:rsidRPr="00635D1D">
        <w:t>Motyw 18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8A2E8CD" w14:textId="77777777" w:rsidTr="00C5582D">
        <w:trPr>
          <w:trHeight w:val="240"/>
          <w:jc w:val="center"/>
        </w:trPr>
        <w:tc>
          <w:tcPr>
            <w:tcW w:w="9752" w:type="dxa"/>
            <w:gridSpan w:val="2"/>
            <w:tcBorders>
              <w:top w:val="nil"/>
              <w:left w:val="nil"/>
              <w:bottom w:val="nil"/>
              <w:right w:val="nil"/>
            </w:tcBorders>
          </w:tcPr>
          <w:p w14:paraId="58E3DD05" w14:textId="77777777" w:rsidR="008144C7" w:rsidRPr="00635D1D" w:rsidRDefault="008144C7" w:rsidP="00C5582D"/>
        </w:tc>
      </w:tr>
      <w:tr w:rsidR="008144C7" w:rsidRPr="00635D1D" w14:paraId="71589981" w14:textId="77777777" w:rsidTr="00C5582D">
        <w:trPr>
          <w:trHeight w:val="240"/>
          <w:jc w:val="center"/>
        </w:trPr>
        <w:tc>
          <w:tcPr>
            <w:tcW w:w="4876" w:type="dxa"/>
            <w:tcBorders>
              <w:top w:val="nil"/>
              <w:left w:val="nil"/>
              <w:bottom w:val="nil"/>
              <w:right w:val="nil"/>
            </w:tcBorders>
            <w:hideMark/>
          </w:tcPr>
          <w:p w14:paraId="5CC9CE19"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4F475D1" w14:textId="77777777" w:rsidR="008144C7" w:rsidRPr="00635D1D" w:rsidRDefault="008144C7" w:rsidP="00C5582D">
            <w:pPr>
              <w:pStyle w:val="AmColumnHeading"/>
            </w:pPr>
            <w:r w:rsidRPr="00635D1D">
              <w:t>Poprawka</w:t>
            </w:r>
          </w:p>
        </w:tc>
      </w:tr>
      <w:tr w:rsidR="008144C7" w:rsidRPr="00635D1D" w14:paraId="19D41744" w14:textId="77777777" w:rsidTr="00C5582D">
        <w:trPr>
          <w:jc w:val="center"/>
        </w:trPr>
        <w:tc>
          <w:tcPr>
            <w:tcW w:w="4876" w:type="dxa"/>
            <w:tcBorders>
              <w:top w:val="nil"/>
              <w:left w:val="nil"/>
              <w:bottom w:val="nil"/>
              <w:right w:val="nil"/>
            </w:tcBorders>
            <w:hideMark/>
          </w:tcPr>
          <w:p w14:paraId="6F05EE1C"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Należy wskazać w szczególności, że stosowanie substancji </w:t>
            </w:r>
            <w:r w:rsidRPr="00635D1D">
              <w:rPr>
                <w:b/>
                <w:bCs/>
                <w:i/>
                <w:iCs/>
              </w:rPr>
              <w:t>alternatywnych</w:t>
            </w:r>
            <w:r w:rsidRPr="00635D1D">
              <w:t xml:space="preserve"> powinno skutkować zmniejszeniem </w:t>
            </w:r>
            <w:r w:rsidRPr="00635D1D">
              <w:rPr>
                <w:b/>
                <w:i/>
              </w:rPr>
              <w:t>ogólnego</w:t>
            </w:r>
            <w:r w:rsidRPr="00635D1D">
              <w:t xml:space="preserve"> ryzyka dla zdrowia ludzkiego i środowiska, a substancja powinna pełnić równoważną lub podobną funkcję w produkcie kosmetycznym i być dostępna na rynku w wystarczających ilościach, aby jej wykorzystywanie było technicznie wykonalne i ekonomicznie opłacalne dla przedsiębiorstw, a zwłaszcza dla MŚP. Ponadto dostęp do takiej substancji nie powinien być utrudniony w związku z istnieniem patentów lub ograniczeń dotyczących surowców. Należy również przewidzieć możliwość uwzględnienia aspektów ekonomicznych, takich jak koszt sporządzenia nowych receptur i porównawczy udział w ogólnych kosztach produkcji, jako istotnych czynników w analizie przydatności substancji alternatywnych.</w:t>
            </w:r>
          </w:p>
        </w:tc>
        <w:tc>
          <w:tcPr>
            <w:tcW w:w="4876" w:type="dxa"/>
            <w:tcBorders>
              <w:top w:val="nil"/>
              <w:left w:val="nil"/>
              <w:bottom w:val="nil"/>
              <w:right w:val="nil"/>
            </w:tcBorders>
            <w:hideMark/>
          </w:tcPr>
          <w:p w14:paraId="518C98F0"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w:t>
            </w:r>
            <w:r w:rsidRPr="00635D1D">
              <w:rPr>
                <w:b/>
                <w:i/>
              </w:rPr>
              <w:t>W szczególności główną podstawą ustalenia bezpiecznego stosowania substancji w produktach kosmetycznych powinna być naukowa ocena ryzyka przeprowadzona przez Komitet Naukowy ds. Bezpieczeństwa Konsumentów (SCCS) z uwzględnieniem pełnej oceny toksykologicznej obejmującej wszystkie istotne drogi narażenia. Ocena ta stanowi solidną podstawę naukową do uznania danej substancji za bezpieczną i odpowiednią dla konsumentów.</w:t>
            </w:r>
            <w:r w:rsidRPr="00635D1D">
              <w:t xml:space="preserve"> Należy wskazać w szczególności, że stosowanie substancji </w:t>
            </w:r>
            <w:r w:rsidRPr="00635D1D">
              <w:rPr>
                <w:b/>
                <w:bCs/>
                <w:i/>
                <w:iCs/>
              </w:rPr>
              <w:t>alternatywnej</w:t>
            </w:r>
            <w:r w:rsidRPr="00635D1D">
              <w:t xml:space="preserve"> powinno skutkować </w:t>
            </w:r>
            <w:r w:rsidRPr="00635D1D">
              <w:rPr>
                <w:b/>
                <w:i/>
              </w:rPr>
              <w:t>wyraźnym</w:t>
            </w:r>
            <w:r w:rsidRPr="00635D1D">
              <w:t xml:space="preserve"> zmniejszeniem ryzyka dla zdrowia ludzkiego i środowiska, a substancja powinna pełnić równoważną lub podobną funkcję w produkcie kosmetycznym i być dostępna na rynku w wystarczających ilościach, aby jej wykorzystywanie było technicznie wykonalne i ekonomicznie opłacalne dla przedsiębiorstw, a zwłaszcza dla MŚP. Ponadto dostęp do takiej substancji nie powinien być utrudniony w związku z istnieniem patentów lub ograniczeń dotyczących surowców. Należy również przewidzieć możliwość uwzględnienia aspektów ekonomicznych, takich jak koszt sporządzenia nowych receptur i porównawczy udział w ogólnych kosztach produkcji, jako istotnych czynników w analizie przydatności substancji alternatywnych.</w:t>
            </w:r>
          </w:p>
        </w:tc>
      </w:tr>
    </w:tbl>
    <w:p w14:paraId="788D4AA4"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5F756598" w14:textId="77777777" w:rsidR="008144C7" w:rsidRPr="00AD15CF" w:rsidRDefault="008144C7" w:rsidP="008144C7">
      <w:pPr>
        <w:rPr>
          <w:lang w:val="en-GB"/>
        </w:rPr>
      </w:pPr>
      <w:r w:rsidRPr="00AD15CF">
        <w:rPr>
          <w:rStyle w:val="HideTWBExt"/>
          <w:lang w:val="en-GB"/>
        </w:rPr>
        <w:t>&lt;/Amend&gt;</w:t>
      </w:r>
    </w:p>
    <w:p w14:paraId="18E7F1E6"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179</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1537B33D"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Per Clausen, Anja </w:t>
      </w:r>
      <w:proofErr w:type="spellStart"/>
      <w:r w:rsidRPr="00AD15CF">
        <w:rPr>
          <w:lang w:val="en-GB"/>
        </w:rPr>
        <w:t>Hazekamp</w:t>
      </w:r>
      <w:proofErr w:type="spellEnd"/>
      <w:r w:rsidRPr="00AD15CF">
        <w:rPr>
          <w:rStyle w:val="HideTWBExt"/>
          <w:b w:val="0"/>
          <w:lang w:val="en-GB"/>
        </w:rPr>
        <w:t>&lt;/Members&gt;</w:t>
      </w:r>
    </w:p>
    <w:p w14:paraId="14E3E4DC" w14:textId="77777777" w:rsidR="008144C7" w:rsidRPr="00635D1D" w:rsidRDefault="008144C7" w:rsidP="008144C7">
      <w:pPr>
        <w:pStyle w:val="NormalBold"/>
      </w:pPr>
      <w:r w:rsidRPr="00635D1D">
        <w:rPr>
          <w:rStyle w:val="HideTWBExt"/>
          <w:b w:val="0"/>
        </w:rPr>
        <w:t>&lt;/RepeatBlock-By&gt;</w:t>
      </w:r>
    </w:p>
    <w:p w14:paraId="05CF7A28"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38E06C9" w14:textId="77777777" w:rsidR="008144C7" w:rsidRPr="00635D1D" w:rsidRDefault="008144C7" w:rsidP="008144C7">
      <w:pPr>
        <w:pStyle w:val="NormalBold"/>
      </w:pPr>
      <w:r w:rsidRPr="00635D1D">
        <w:rPr>
          <w:rStyle w:val="HideTWBExt"/>
          <w:b w:val="0"/>
        </w:rPr>
        <w:t>&lt;Article&gt;</w:t>
      </w:r>
      <w:r w:rsidRPr="00635D1D">
        <w:t>Motyw 18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0F67A65" w14:textId="77777777" w:rsidTr="00C5582D">
        <w:trPr>
          <w:trHeight w:val="240"/>
          <w:jc w:val="center"/>
        </w:trPr>
        <w:tc>
          <w:tcPr>
            <w:tcW w:w="9752" w:type="dxa"/>
            <w:gridSpan w:val="2"/>
            <w:tcBorders>
              <w:top w:val="nil"/>
              <w:left w:val="nil"/>
              <w:bottom w:val="nil"/>
              <w:right w:val="nil"/>
            </w:tcBorders>
          </w:tcPr>
          <w:p w14:paraId="7AA6ED9C" w14:textId="77777777" w:rsidR="008144C7" w:rsidRPr="00635D1D" w:rsidRDefault="008144C7" w:rsidP="00C5582D"/>
        </w:tc>
      </w:tr>
      <w:tr w:rsidR="008144C7" w:rsidRPr="00635D1D" w14:paraId="017A820D" w14:textId="77777777" w:rsidTr="00C5582D">
        <w:trPr>
          <w:trHeight w:val="240"/>
          <w:jc w:val="center"/>
        </w:trPr>
        <w:tc>
          <w:tcPr>
            <w:tcW w:w="4876" w:type="dxa"/>
            <w:tcBorders>
              <w:top w:val="nil"/>
              <w:left w:val="nil"/>
              <w:bottom w:val="nil"/>
              <w:right w:val="nil"/>
            </w:tcBorders>
            <w:hideMark/>
          </w:tcPr>
          <w:p w14:paraId="3AC2774B"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516742CD" w14:textId="77777777" w:rsidR="008144C7" w:rsidRPr="00635D1D" w:rsidRDefault="008144C7" w:rsidP="00C5582D">
            <w:pPr>
              <w:pStyle w:val="AmColumnHeading"/>
            </w:pPr>
            <w:r w:rsidRPr="00635D1D">
              <w:t>Poprawka</w:t>
            </w:r>
          </w:p>
        </w:tc>
      </w:tr>
      <w:tr w:rsidR="008144C7" w:rsidRPr="00635D1D" w14:paraId="3D4998D9" w14:textId="77777777" w:rsidTr="00C5582D">
        <w:trPr>
          <w:jc w:val="center"/>
        </w:trPr>
        <w:tc>
          <w:tcPr>
            <w:tcW w:w="4876" w:type="dxa"/>
            <w:tcBorders>
              <w:top w:val="nil"/>
              <w:left w:val="nil"/>
              <w:bottom w:val="nil"/>
              <w:right w:val="nil"/>
            </w:tcBorders>
            <w:hideMark/>
          </w:tcPr>
          <w:p w14:paraId="53DBDC73"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Należy wskazać w szczególności, że stosowanie substancji </w:t>
            </w:r>
            <w:r w:rsidRPr="00635D1D">
              <w:rPr>
                <w:b/>
                <w:i/>
              </w:rPr>
              <w:t>alternatywnych powinno skutkować zmniejszeniem ogólnego ryzyka</w:t>
            </w:r>
            <w:r w:rsidRPr="00635D1D">
              <w:t xml:space="preserve"> dla zdrowia ludzkiego i środowiska</w:t>
            </w:r>
            <w:r w:rsidRPr="00635D1D">
              <w:rPr>
                <w:b/>
                <w:i/>
              </w:rPr>
              <w:t>, a substancja powinna pełnić równoważną lub podobną funkcję w produkcie kosmetycznym i być dostępna na rynku w wystarczających ilościach, aby jej wykorzystywanie było technicznie wykonalne i ekonomicznie opłacalne dla przedsiębiorstw, a zwłaszcza dla MŚP</w:t>
            </w:r>
            <w:r w:rsidRPr="00635D1D">
              <w:t>.</w:t>
            </w:r>
            <w:r w:rsidRPr="00635D1D">
              <w:rPr>
                <w:b/>
                <w:i/>
              </w:rPr>
              <w:t xml:space="preserve"> Ponadto dostęp do takiej substancji nie powinien być utrudniony w związku z istnieniem patentów lub ograniczeń dotyczących surowców. </w:t>
            </w:r>
            <w:r w:rsidRPr="00635D1D">
              <w:t xml:space="preserve">Należy również </w:t>
            </w:r>
            <w:r w:rsidRPr="00635D1D">
              <w:rPr>
                <w:b/>
                <w:i/>
              </w:rPr>
              <w:t>przewidzieć możliwość uwzględnienia aspektów ekonomicznych, takich jak koszt sporządzenia nowych receptur i porównawczy udział w ogólnych kosztach produkcji, jako istotnych czynników w analizie przydatności substancji alternatywnych</w:t>
            </w:r>
            <w:r w:rsidRPr="00635D1D">
              <w:t>.</w:t>
            </w:r>
          </w:p>
        </w:tc>
        <w:tc>
          <w:tcPr>
            <w:tcW w:w="4876" w:type="dxa"/>
            <w:tcBorders>
              <w:top w:val="nil"/>
              <w:left w:val="nil"/>
              <w:bottom w:val="nil"/>
              <w:right w:val="nil"/>
            </w:tcBorders>
            <w:hideMark/>
          </w:tcPr>
          <w:p w14:paraId="34A51CAB"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Należy wskazać w szczególności, że stosowanie substancji </w:t>
            </w:r>
            <w:r w:rsidRPr="00635D1D">
              <w:rPr>
                <w:b/>
                <w:i/>
              </w:rPr>
              <w:t>alternatywnej, mieszaniny substancji lub alternatywnych metod i technologii, które zastępują potrzebę stosowania danej substancji, powinno być nieszkodliwe</w:t>
            </w:r>
            <w:r w:rsidRPr="00635D1D">
              <w:t xml:space="preserve"> dla zdrowia ludzkiego i </w:t>
            </w:r>
            <w:r w:rsidRPr="00635D1D">
              <w:rPr>
                <w:b/>
                <w:i/>
              </w:rPr>
              <w:t>nie powinno stwarzać niedopuszczalnego ryzyka dla</w:t>
            </w:r>
            <w:r w:rsidRPr="00635D1D">
              <w:t xml:space="preserve"> środowiska.</w:t>
            </w:r>
            <w:r w:rsidRPr="00635D1D">
              <w:rPr>
                <w:b/>
                <w:i/>
              </w:rPr>
              <w:t xml:space="preserve"> </w:t>
            </w:r>
            <w:r w:rsidRPr="00635D1D">
              <w:t xml:space="preserve">Należy również </w:t>
            </w:r>
            <w:r w:rsidRPr="00635D1D">
              <w:rPr>
                <w:b/>
                <w:i/>
              </w:rPr>
              <w:t>dokładnie uwzględnić bezpieczeństwo i higienę pracy, w tym ocenę scenariuszy narażenia pracowników</w:t>
            </w:r>
            <w:r w:rsidRPr="00635D1D">
              <w:t>.</w:t>
            </w:r>
          </w:p>
        </w:tc>
      </w:tr>
    </w:tbl>
    <w:p w14:paraId="4B7996AC"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12961629" w14:textId="77777777" w:rsidR="008144C7" w:rsidRPr="00AD15CF" w:rsidRDefault="008144C7" w:rsidP="008144C7">
      <w:pPr>
        <w:rPr>
          <w:lang w:val="en-GB"/>
        </w:rPr>
      </w:pPr>
      <w:r w:rsidRPr="00AD15CF">
        <w:rPr>
          <w:rStyle w:val="HideTWBExt"/>
          <w:lang w:val="en-GB"/>
        </w:rPr>
        <w:t>&lt;/Amend&gt;</w:t>
      </w:r>
    </w:p>
    <w:p w14:paraId="4B2CAD5D"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180</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0C03B61C"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Vytenis </w:t>
      </w:r>
      <w:proofErr w:type="spellStart"/>
      <w:r w:rsidRPr="00AD15CF">
        <w:rPr>
          <w:lang w:val="en-GB"/>
        </w:rPr>
        <w:t>Povilas</w:t>
      </w:r>
      <w:proofErr w:type="spellEnd"/>
      <w:r w:rsidRPr="00AD15CF">
        <w:rPr>
          <w:lang w:val="en-GB"/>
        </w:rPr>
        <w:t xml:space="preserve"> Andriukaitis</w:t>
      </w:r>
      <w:r w:rsidRPr="00AD15CF">
        <w:rPr>
          <w:rStyle w:val="HideTWBExt"/>
          <w:b w:val="0"/>
          <w:lang w:val="en-GB"/>
        </w:rPr>
        <w:t>&lt;/Members&gt;</w:t>
      </w:r>
    </w:p>
    <w:p w14:paraId="056E042D" w14:textId="77777777" w:rsidR="008144C7" w:rsidRPr="00635D1D" w:rsidRDefault="008144C7" w:rsidP="008144C7">
      <w:pPr>
        <w:pStyle w:val="NormalBold"/>
      </w:pPr>
      <w:r w:rsidRPr="00635D1D">
        <w:rPr>
          <w:rStyle w:val="HideTWBExt"/>
          <w:b w:val="0"/>
        </w:rPr>
        <w:t>&lt;/RepeatBlock-By&gt;</w:t>
      </w:r>
    </w:p>
    <w:p w14:paraId="68A2E812"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CADDD72" w14:textId="77777777" w:rsidR="008144C7" w:rsidRPr="00635D1D" w:rsidRDefault="008144C7" w:rsidP="008144C7">
      <w:pPr>
        <w:pStyle w:val="NormalBold"/>
      </w:pPr>
      <w:r w:rsidRPr="00635D1D">
        <w:rPr>
          <w:rStyle w:val="HideTWBExt"/>
          <w:b w:val="0"/>
        </w:rPr>
        <w:t>&lt;Article&gt;</w:t>
      </w:r>
      <w:r w:rsidRPr="00635D1D">
        <w:t>Motyw 18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8C2F6CE" w14:textId="77777777" w:rsidTr="00C5582D">
        <w:trPr>
          <w:trHeight w:val="240"/>
          <w:jc w:val="center"/>
        </w:trPr>
        <w:tc>
          <w:tcPr>
            <w:tcW w:w="9752" w:type="dxa"/>
            <w:gridSpan w:val="2"/>
            <w:tcBorders>
              <w:top w:val="nil"/>
              <w:left w:val="nil"/>
              <w:bottom w:val="nil"/>
              <w:right w:val="nil"/>
            </w:tcBorders>
          </w:tcPr>
          <w:p w14:paraId="45152F43" w14:textId="77777777" w:rsidR="008144C7" w:rsidRPr="00635D1D" w:rsidRDefault="008144C7" w:rsidP="00C5582D"/>
        </w:tc>
      </w:tr>
      <w:tr w:rsidR="008144C7" w:rsidRPr="00635D1D" w14:paraId="35846E7C" w14:textId="77777777" w:rsidTr="00C5582D">
        <w:trPr>
          <w:trHeight w:val="240"/>
          <w:jc w:val="center"/>
        </w:trPr>
        <w:tc>
          <w:tcPr>
            <w:tcW w:w="4876" w:type="dxa"/>
            <w:tcBorders>
              <w:top w:val="nil"/>
              <w:left w:val="nil"/>
              <w:bottom w:val="nil"/>
              <w:right w:val="nil"/>
            </w:tcBorders>
            <w:hideMark/>
          </w:tcPr>
          <w:p w14:paraId="4A831207"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157848A" w14:textId="77777777" w:rsidR="008144C7" w:rsidRPr="00635D1D" w:rsidRDefault="008144C7" w:rsidP="00C5582D">
            <w:pPr>
              <w:pStyle w:val="AmColumnHeading"/>
            </w:pPr>
            <w:r w:rsidRPr="00635D1D">
              <w:t>Poprawka</w:t>
            </w:r>
          </w:p>
        </w:tc>
      </w:tr>
      <w:tr w:rsidR="008144C7" w:rsidRPr="00635D1D" w14:paraId="6B30CAF7" w14:textId="77777777" w:rsidTr="00C5582D">
        <w:trPr>
          <w:jc w:val="center"/>
        </w:trPr>
        <w:tc>
          <w:tcPr>
            <w:tcW w:w="4876" w:type="dxa"/>
            <w:tcBorders>
              <w:top w:val="nil"/>
              <w:left w:val="nil"/>
              <w:bottom w:val="nil"/>
              <w:right w:val="nil"/>
            </w:tcBorders>
            <w:hideMark/>
          </w:tcPr>
          <w:p w14:paraId="348F6869"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Należy wskazać </w:t>
            </w:r>
            <w:r w:rsidRPr="00635D1D">
              <w:rPr>
                <w:b/>
                <w:i/>
              </w:rPr>
              <w:t>w szczególności</w:t>
            </w:r>
            <w:r w:rsidRPr="00635D1D">
              <w:t xml:space="preserve">, że </w:t>
            </w:r>
            <w:r w:rsidRPr="00635D1D">
              <w:rPr>
                <w:b/>
                <w:i/>
              </w:rPr>
              <w:t>stosowanie</w:t>
            </w:r>
            <w:r w:rsidRPr="00635D1D">
              <w:t xml:space="preserve"> substancji </w:t>
            </w:r>
            <w:r w:rsidRPr="00635D1D">
              <w:rPr>
                <w:b/>
                <w:i/>
              </w:rPr>
              <w:t>alternatywnych powinno skutkować zmniejszeniem ogólnego ryzyka</w:t>
            </w:r>
            <w:r w:rsidRPr="00635D1D">
              <w:t xml:space="preserve"> dla zdrowia ludzkiego i środowiska</w:t>
            </w:r>
            <w:r w:rsidRPr="00635D1D">
              <w:rPr>
                <w:b/>
                <w:i/>
              </w:rPr>
              <w:t>, a</w:t>
            </w:r>
            <w:r w:rsidRPr="00635D1D">
              <w:t xml:space="preserve"> substancja powinna pełnić równoważną lub podobną funkcję w produkcie kosmetycznym i być dostępna na rynku w wystarczających ilościach, aby jej wykorzystywanie było technicznie wykonalne i ekonomicznie opłacalne dla przedsiębiorstw, a zwłaszcza dla MŚP. Ponadto dostęp do takiej substancji nie powinien być utrudniony w związku z istnieniem patentów lub ograniczeń dotyczących surowców. Należy również przewidzieć możliwość uwzględnienia aspektów ekonomicznych, takich jak koszt sporządzenia nowych receptur i porównawczy udział w ogólnych kosztach produkcji, jako istotnych czynników w analizie przydatności substancji alternatywnych.</w:t>
            </w:r>
          </w:p>
        </w:tc>
        <w:tc>
          <w:tcPr>
            <w:tcW w:w="4876" w:type="dxa"/>
            <w:tcBorders>
              <w:top w:val="nil"/>
              <w:left w:val="nil"/>
              <w:bottom w:val="nil"/>
              <w:right w:val="nil"/>
            </w:tcBorders>
            <w:hideMark/>
          </w:tcPr>
          <w:p w14:paraId="7CA5440E"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w:t>
            </w:r>
            <w:r w:rsidRPr="00635D1D">
              <w:rPr>
                <w:b/>
                <w:i/>
              </w:rPr>
              <w:t>W szczególności kluczowym kryterium potwierdzającym bezpieczne stosowanie substancji w kosmetykach jest ocena Komitetu Naukowego ds. Bezpieczeństwa Konsumentów (SCCS) – pełna ocena toksykologiczna uwzględniająca wszystkie drogi narażenia. Ponadto</w:t>
            </w:r>
            <w:r w:rsidRPr="00635D1D">
              <w:t xml:space="preserve"> należy wskazać, że </w:t>
            </w:r>
            <w:r w:rsidRPr="00635D1D">
              <w:rPr>
                <w:b/>
                <w:i/>
              </w:rPr>
              <w:t>każda substancja alternatywna uważana za zastępującą potrzebę stosowania</w:t>
            </w:r>
            <w:r w:rsidRPr="00635D1D">
              <w:t xml:space="preserve"> substancji </w:t>
            </w:r>
            <w:r w:rsidRPr="00635D1D">
              <w:rPr>
                <w:b/>
                <w:i/>
              </w:rPr>
              <w:t>sklasyfikowanej wiąże się z wyraźnie zmniejszonym ryzykiem</w:t>
            </w:r>
            <w:r w:rsidRPr="00635D1D">
              <w:t xml:space="preserve"> dla zdrowia ludzkiego i środowiska</w:t>
            </w:r>
            <w:r w:rsidRPr="00635D1D">
              <w:rPr>
                <w:b/>
                <w:i/>
              </w:rPr>
              <w:t xml:space="preserve">. </w:t>
            </w:r>
            <w:r w:rsidRPr="00635D1D">
              <w:t xml:space="preserve">Substancja </w:t>
            </w:r>
            <w:r w:rsidRPr="00635D1D">
              <w:rPr>
                <w:b/>
                <w:i/>
              </w:rPr>
              <w:t>alternatywna</w:t>
            </w:r>
            <w:r w:rsidRPr="00635D1D">
              <w:t xml:space="preserve"> powinna pełnić równoważną lub podobną funkcję w produkcie kosmetycznym i być dostępna na rynku w wystarczających ilościach, aby jej wykorzystywanie było technicznie wykonalne i ekonomicznie opłacalne dla przedsiębiorstw, a zwłaszcza dla MŚP. Ponadto dostęp do takiej substancji nie powinien być utrudniony w związku z istnieniem patentów lub ograniczeń dotyczących surowców. Należy również przewidzieć możliwość uwzględnienia aspektów ekonomicznych, takich jak koszt sporządzenia nowych receptur i porównawczy udział w ogólnych kosztach produkcji, jako istotnych czynników w analizie przydatności substancji alternatywnych.</w:t>
            </w:r>
          </w:p>
        </w:tc>
      </w:tr>
    </w:tbl>
    <w:p w14:paraId="49E74590"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48648B71" w14:textId="77777777" w:rsidR="008144C7" w:rsidRPr="00AD15CF" w:rsidRDefault="008144C7" w:rsidP="008144C7">
      <w:pPr>
        <w:rPr>
          <w:lang w:val="en-GB"/>
        </w:rPr>
      </w:pPr>
      <w:r w:rsidRPr="00AD15CF">
        <w:rPr>
          <w:rStyle w:val="HideTWBExt"/>
          <w:lang w:val="en-GB"/>
        </w:rPr>
        <w:t>&lt;/Amend&gt;</w:t>
      </w:r>
    </w:p>
    <w:p w14:paraId="1593992D"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181</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5A681C1A"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Heléne</w:t>
      </w:r>
      <w:proofErr w:type="spellEnd"/>
      <w:r w:rsidRPr="00AD15CF">
        <w:rPr>
          <w:lang w:val="en-GB"/>
        </w:rPr>
        <w:t xml:space="preserve"> </w:t>
      </w:r>
      <w:proofErr w:type="spellStart"/>
      <w:r w:rsidRPr="00AD15CF">
        <w:rPr>
          <w:lang w:val="en-GB"/>
        </w:rPr>
        <w:t>Fritzon</w:t>
      </w:r>
      <w:proofErr w:type="spellEnd"/>
      <w:r w:rsidRPr="00AD15CF">
        <w:rPr>
          <w:lang w:val="en-GB"/>
        </w:rPr>
        <w:t xml:space="preserve">, Christophe </w:t>
      </w:r>
      <w:proofErr w:type="spellStart"/>
      <w:r w:rsidRPr="00AD15CF">
        <w:rPr>
          <w:lang w:val="en-GB"/>
        </w:rPr>
        <w:t>Clergeau</w:t>
      </w:r>
      <w:proofErr w:type="spellEnd"/>
      <w:r w:rsidRPr="00AD15CF">
        <w:rPr>
          <w:lang w:val="en-GB"/>
        </w:rPr>
        <w:t xml:space="preserve">, Adnan </w:t>
      </w:r>
      <w:proofErr w:type="spellStart"/>
      <w:r w:rsidRPr="00AD15CF">
        <w:rPr>
          <w:lang w:val="en-GB"/>
        </w:rPr>
        <w:t>Dibrani</w:t>
      </w:r>
      <w:proofErr w:type="spellEnd"/>
      <w:r w:rsidRPr="00AD15CF">
        <w:rPr>
          <w:lang w:val="en-GB"/>
        </w:rPr>
        <w:t>, Annalisa Corrado</w:t>
      </w:r>
      <w:r w:rsidRPr="00AD15CF">
        <w:rPr>
          <w:rStyle w:val="HideTWBExt"/>
          <w:b w:val="0"/>
          <w:lang w:val="en-GB"/>
        </w:rPr>
        <w:t>&lt;/Members&gt;</w:t>
      </w:r>
    </w:p>
    <w:p w14:paraId="670AF998" w14:textId="77777777" w:rsidR="008144C7" w:rsidRPr="00635D1D" w:rsidRDefault="008144C7" w:rsidP="008144C7">
      <w:pPr>
        <w:pStyle w:val="NormalBold"/>
      </w:pPr>
      <w:r w:rsidRPr="00635D1D">
        <w:rPr>
          <w:rStyle w:val="HideTWBExt"/>
          <w:b w:val="0"/>
        </w:rPr>
        <w:t>&lt;/RepeatBlock-By&gt;</w:t>
      </w:r>
    </w:p>
    <w:p w14:paraId="2B16287E"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C1C2F4F" w14:textId="77777777" w:rsidR="008144C7" w:rsidRPr="00635D1D" w:rsidRDefault="008144C7" w:rsidP="008144C7">
      <w:pPr>
        <w:pStyle w:val="NormalBold"/>
      </w:pPr>
      <w:r w:rsidRPr="00635D1D">
        <w:rPr>
          <w:rStyle w:val="HideTWBExt"/>
          <w:b w:val="0"/>
        </w:rPr>
        <w:t>&lt;Article&gt;</w:t>
      </w:r>
      <w:r w:rsidRPr="00635D1D">
        <w:t>Motyw 18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C8973C5" w14:textId="77777777" w:rsidTr="00C5582D">
        <w:trPr>
          <w:trHeight w:val="240"/>
          <w:jc w:val="center"/>
        </w:trPr>
        <w:tc>
          <w:tcPr>
            <w:tcW w:w="9752" w:type="dxa"/>
            <w:gridSpan w:val="2"/>
            <w:tcBorders>
              <w:top w:val="nil"/>
              <w:left w:val="nil"/>
              <w:bottom w:val="nil"/>
              <w:right w:val="nil"/>
            </w:tcBorders>
          </w:tcPr>
          <w:p w14:paraId="304FB2C1" w14:textId="77777777" w:rsidR="008144C7" w:rsidRPr="00635D1D" w:rsidRDefault="008144C7" w:rsidP="00C5582D"/>
        </w:tc>
      </w:tr>
      <w:tr w:rsidR="008144C7" w:rsidRPr="00635D1D" w14:paraId="02A5E595" w14:textId="77777777" w:rsidTr="00C5582D">
        <w:trPr>
          <w:trHeight w:val="240"/>
          <w:jc w:val="center"/>
        </w:trPr>
        <w:tc>
          <w:tcPr>
            <w:tcW w:w="4876" w:type="dxa"/>
            <w:tcBorders>
              <w:top w:val="nil"/>
              <w:left w:val="nil"/>
              <w:bottom w:val="nil"/>
              <w:right w:val="nil"/>
            </w:tcBorders>
            <w:hideMark/>
          </w:tcPr>
          <w:p w14:paraId="402B4EB8"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5877AFF3" w14:textId="77777777" w:rsidR="008144C7" w:rsidRPr="00635D1D" w:rsidRDefault="008144C7" w:rsidP="00C5582D">
            <w:pPr>
              <w:pStyle w:val="AmColumnHeading"/>
            </w:pPr>
            <w:r w:rsidRPr="00635D1D">
              <w:t>Poprawka</w:t>
            </w:r>
          </w:p>
        </w:tc>
      </w:tr>
      <w:tr w:rsidR="008144C7" w:rsidRPr="00635D1D" w14:paraId="25BC6D53" w14:textId="77777777" w:rsidTr="00C5582D">
        <w:trPr>
          <w:jc w:val="center"/>
        </w:trPr>
        <w:tc>
          <w:tcPr>
            <w:tcW w:w="4876" w:type="dxa"/>
            <w:tcBorders>
              <w:top w:val="nil"/>
              <w:left w:val="nil"/>
              <w:bottom w:val="nil"/>
              <w:right w:val="nil"/>
            </w:tcBorders>
            <w:hideMark/>
          </w:tcPr>
          <w:p w14:paraId="3165329D"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Należy wskazać w szczególności, że stosowanie substancji </w:t>
            </w:r>
            <w:r w:rsidRPr="00635D1D">
              <w:rPr>
                <w:b/>
                <w:i/>
              </w:rPr>
              <w:t>alternatywnych</w:t>
            </w:r>
            <w:r w:rsidRPr="00635D1D">
              <w:t xml:space="preserve"> powinno </w:t>
            </w:r>
            <w:r w:rsidRPr="00635D1D">
              <w:rPr>
                <w:b/>
                <w:i/>
              </w:rPr>
              <w:t>skutkować zmniejszeniem ogólnego ryzyka</w:t>
            </w:r>
            <w:r w:rsidRPr="00635D1D">
              <w:t xml:space="preserve"> dla zdrowia ludzkiego </w:t>
            </w:r>
            <w:r w:rsidRPr="00635D1D">
              <w:rPr>
                <w:b/>
                <w:i/>
              </w:rPr>
              <w:t>i środowiska</w:t>
            </w:r>
            <w:r w:rsidRPr="00635D1D">
              <w:t xml:space="preserve">, a substancja powinna pełnić </w:t>
            </w:r>
            <w:r w:rsidRPr="00635D1D">
              <w:rPr>
                <w:b/>
                <w:i/>
              </w:rPr>
              <w:t>równoważną lub</w:t>
            </w:r>
            <w:r w:rsidRPr="00635D1D">
              <w:t xml:space="preserve"> podobną funkcję w produkcie kosmetycznym i być dostępna na rynku w wystarczających ilościach, aby jej wykorzystywanie było technicznie </w:t>
            </w:r>
            <w:r w:rsidRPr="00635D1D">
              <w:rPr>
                <w:b/>
                <w:i/>
              </w:rPr>
              <w:t>wykonalne</w:t>
            </w:r>
            <w:r w:rsidRPr="00635D1D">
              <w:t xml:space="preserve"> i ekonomicznie </w:t>
            </w:r>
            <w:r w:rsidRPr="00635D1D">
              <w:rPr>
                <w:b/>
                <w:i/>
              </w:rPr>
              <w:t>opłacalne</w:t>
            </w:r>
            <w:r w:rsidRPr="00635D1D">
              <w:t xml:space="preserve"> dla przedsiębiorstw, a zwłaszcza dla MŚP. </w:t>
            </w:r>
            <w:r w:rsidRPr="00635D1D">
              <w:rPr>
                <w:b/>
                <w:i/>
              </w:rPr>
              <w:t>Ponadto dostęp do takiej</w:t>
            </w:r>
            <w:r w:rsidRPr="00635D1D">
              <w:t xml:space="preserve"> substancji nie </w:t>
            </w:r>
            <w:r w:rsidRPr="00635D1D">
              <w:rPr>
                <w:b/>
                <w:i/>
              </w:rPr>
              <w:t>powinien być utrudniony w związku z istnieniem patentów lub ograniczeń dotyczących surowców</w:t>
            </w:r>
            <w:r w:rsidRPr="00635D1D">
              <w:t>.</w:t>
            </w:r>
            <w:r w:rsidRPr="00635D1D">
              <w:rPr>
                <w:b/>
                <w:i/>
              </w:rPr>
              <w:t xml:space="preserve"> </w:t>
            </w:r>
            <w:r w:rsidRPr="00635D1D">
              <w:rPr>
                <w:b/>
                <w:bCs/>
                <w:i/>
                <w:iCs/>
              </w:rPr>
              <w:t>Należy</w:t>
            </w:r>
            <w:r w:rsidRPr="00635D1D">
              <w:t xml:space="preserve"> również </w:t>
            </w:r>
            <w:r w:rsidRPr="00635D1D">
              <w:rPr>
                <w:b/>
                <w:i/>
              </w:rPr>
              <w:t>przewidzieć możliwość uwzględnienia aspektów ekonomicznych</w:t>
            </w:r>
            <w:r w:rsidRPr="00635D1D">
              <w:t xml:space="preserve">, </w:t>
            </w:r>
            <w:r w:rsidRPr="00635D1D">
              <w:rPr>
                <w:b/>
                <w:bCs/>
                <w:i/>
                <w:iCs/>
              </w:rPr>
              <w:t>takich</w:t>
            </w:r>
            <w:r w:rsidRPr="00635D1D">
              <w:t xml:space="preserve"> jak koszt sporządzenia nowych receptur i porównawczy udział w ogólnych kosztach produkcji, jako </w:t>
            </w:r>
            <w:r w:rsidRPr="00635D1D">
              <w:rPr>
                <w:b/>
                <w:bCs/>
                <w:i/>
                <w:iCs/>
              </w:rPr>
              <w:t>istotnych czynników</w:t>
            </w:r>
            <w:r w:rsidRPr="00635D1D">
              <w:t xml:space="preserve"> w analizie przydatności substancji alternatywnych.</w:t>
            </w:r>
          </w:p>
        </w:tc>
        <w:tc>
          <w:tcPr>
            <w:tcW w:w="4876" w:type="dxa"/>
            <w:tcBorders>
              <w:top w:val="nil"/>
              <w:left w:val="nil"/>
              <w:bottom w:val="nil"/>
              <w:right w:val="nil"/>
            </w:tcBorders>
            <w:hideMark/>
          </w:tcPr>
          <w:p w14:paraId="12536E55"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Należy wskazać w szczególności, że stosowanie substancji </w:t>
            </w:r>
            <w:r w:rsidRPr="00635D1D">
              <w:rPr>
                <w:b/>
                <w:i/>
              </w:rPr>
              <w:t>alternatywnej, mieszaniny substancji lub, w stosownych przypadkach, alternatywnej technologii, która zastępuje potrzebę stosowania danej substancji,</w:t>
            </w:r>
            <w:r w:rsidRPr="00635D1D">
              <w:t xml:space="preserve"> powinno </w:t>
            </w:r>
            <w:r w:rsidRPr="00635D1D">
              <w:rPr>
                <w:b/>
                <w:i/>
              </w:rPr>
              <w:t>być bezpieczne</w:t>
            </w:r>
            <w:r w:rsidRPr="00635D1D">
              <w:t xml:space="preserve"> dla zdrowia ludzkiego, a substancja </w:t>
            </w:r>
            <w:r w:rsidRPr="00635D1D">
              <w:rPr>
                <w:b/>
                <w:i/>
              </w:rPr>
              <w:t>lub mieszanina</w:t>
            </w:r>
            <w:r w:rsidRPr="00635D1D">
              <w:t xml:space="preserve"> powinna pełnić podobną funkcję </w:t>
            </w:r>
            <w:r w:rsidRPr="00635D1D">
              <w:rPr>
                <w:b/>
                <w:i/>
              </w:rPr>
              <w:t>i zapewniać podobny poziom skuteczności</w:t>
            </w:r>
            <w:r w:rsidRPr="00635D1D">
              <w:t xml:space="preserve"> w produkcie kosmetycznym </w:t>
            </w:r>
            <w:r w:rsidRPr="00635D1D">
              <w:rPr>
                <w:b/>
                <w:i/>
              </w:rPr>
              <w:t>jak substancja sklasyfikowana</w:t>
            </w:r>
            <w:r w:rsidRPr="00635D1D">
              <w:t xml:space="preserve"> i być dostępna na rynku w wystarczających ilościach </w:t>
            </w:r>
            <w:r w:rsidRPr="00635D1D">
              <w:rPr>
                <w:b/>
                <w:i/>
              </w:rPr>
              <w:t>lub najprawdopodobniej być dostępna w rozsądnych ramach czasowych</w:t>
            </w:r>
            <w:r w:rsidRPr="00635D1D">
              <w:t xml:space="preserve">, aby jej wykorzystywanie było technicznie i ekonomicznie </w:t>
            </w:r>
            <w:r w:rsidRPr="00635D1D">
              <w:rPr>
                <w:b/>
                <w:i/>
              </w:rPr>
              <w:t>wykonalne</w:t>
            </w:r>
            <w:r w:rsidRPr="00635D1D">
              <w:t xml:space="preserve"> dla przedsiębiorstw, a zwłaszcza dla MŚP. </w:t>
            </w:r>
            <w:r w:rsidRPr="00635D1D">
              <w:rPr>
                <w:b/>
                <w:i/>
              </w:rPr>
              <w:t>Rozważenie odpowiednich</w:t>
            </w:r>
            <w:r w:rsidRPr="00635D1D">
              <w:t xml:space="preserve"> substancji </w:t>
            </w:r>
            <w:r w:rsidRPr="00635D1D">
              <w:rPr>
                <w:b/>
                <w:i/>
              </w:rPr>
              <w:t>alternatywnych</w:t>
            </w:r>
            <w:r w:rsidRPr="00635D1D">
              <w:t xml:space="preserve"> nie </w:t>
            </w:r>
            <w:r w:rsidRPr="00635D1D">
              <w:rPr>
                <w:b/>
                <w:i/>
              </w:rPr>
              <w:t>powinno ograniczać się do tych, które zapewniają zastąpienie 1:1</w:t>
            </w:r>
            <w:r w:rsidRPr="00635D1D">
              <w:t xml:space="preserve">. </w:t>
            </w:r>
            <w:r w:rsidRPr="00635D1D">
              <w:rPr>
                <w:b/>
                <w:bCs/>
                <w:i/>
                <w:iCs/>
              </w:rPr>
              <w:t>Można</w:t>
            </w:r>
            <w:r w:rsidRPr="00635D1D">
              <w:t xml:space="preserve"> również </w:t>
            </w:r>
            <w:r w:rsidRPr="00635D1D">
              <w:rPr>
                <w:b/>
                <w:i/>
              </w:rPr>
              <w:t>uwzględnić aspekty ekonomiczne</w:t>
            </w:r>
            <w:r w:rsidRPr="00635D1D">
              <w:t xml:space="preserve">, </w:t>
            </w:r>
            <w:r w:rsidRPr="00635D1D">
              <w:rPr>
                <w:b/>
                <w:bCs/>
                <w:i/>
                <w:iCs/>
              </w:rPr>
              <w:t>takie</w:t>
            </w:r>
            <w:r w:rsidRPr="00635D1D">
              <w:t xml:space="preserve"> jak koszt sporządzenia nowych receptur i porównawczy udział w ogólnych kosztach produkcji, jako </w:t>
            </w:r>
            <w:r w:rsidRPr="00635D1D">
              <w:rPr>
                <w:b/>
                <w:bCs/>
                <w:i/>
                <w:iCs/>
              </w:rPr>
              <w:t>istotne czynniki</w:t>
            </w:r>
            <w:r w:rsidRPr="00635D1D">
              <w:t xml:space="preserve"> w analizie przydatności substancji alternatywnych.</w:t>
            </w:r>
          </w:p>
        </w:tc>
      </w:tr>
    </w:tbl>
    <w:p w14:paraId="48BAD6B4"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42CB9128" w14:textId="77777777" w:rsidR="008144C7" w:rsidRPr="00AD15CF" w:rsidRDefault="008144C7" w:rsidP="008144C7">
      <w:pPr>
        <w:rPr>
          <w:lang w:val="en-GB"/>
        </w:rPr>
      </w:pPr>
      <w:r w:rsidRPr="00AD15CF">
        <w:rPr>
          <w:rStyle w:val="HideTWBExt"/>
          <w:lang w:val="en-GB"/>
        </w:rPr>
        <w:t>&lt;/Amend&gt;</w:t>
      </w:r>
    </w:p>
    <w:p w14:paraId="1D5584C9"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182</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74D3DA93"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Martin </w:t>
      </w:r>
      <w:proofErr w:type="spellStart"/>
      <w:r w:rsidRPr="00AD15CF">
        <w:rPr>
          <w:lang w:val="en-GB"/>
        </w:rPr>
        <w:t>Hojsík</w:t>
      </w:r>
      <w:proofErr w:type="spellEnd"/>
      <w:r w:rsidRPr="00AD15CF">
        <w:rPr>
          <w:lang w:val="en-GB"/>
        </w:rPr>
        <w:t xml:space="preserve">, Michal </w:t>
      </w:r>
      <w:proofErr w:type="spellStart"/>
      <w:r w:rsidRPr="00AD15CF">
        <w:rPr>
          <w:lang w:val="en-GB"/>
        </w:rPr>
        <w:t>Wiezik</w:t>
      </w:r>
      <w:proofErr w:type="spellEnd"/>
      <w:r w:rsidRPr="00AD15CF">
        <w:rPr>
          <w:lang w:val="en-GB"/>
        </w:rPr>
        <w:t xml:space="preserve">, Pascal </w:t>
      </w:r>
      <w:proofErr w:type="spellStart"/>
      <w:r w:rsidRPr="00AD15CF">
        <w:rPr>
          <w:lang w:val="en-GB"/>
        </w:rPr>
        <w:t>Canfin</w:t>
      </w:r>
      <w:proofErr w:type="spellEnd"/>
      <w:r w:rsidRPr="00AD15CF">
        <w:rPr>
          <w:lang w:val="en-GB"/>
        </w:rPr>
        <w:t xml:space="preserve">, </w:t>
      </w:r>
      <w:proofErr w:type="spellStart"/>
      <w:r w:rsidRPr="00AD15CF">
        <w:rPr>
          <w:lang w:val="en-GB"/>
        </w:rPr>
        <w:t>Grégory</w:t>
      </w:r>
      <w:proofErr w:type="spellEnd"/>
      <w:r w:rsidRPr="00AD15CF">
        <w:rPr>
          <w:lang w:val="en-GB"/>
        </w:rPr>
        <w:t xml:space="preserve"> </w:t>
      </w:r>
      <w:proofErr w:type="spellStart"/>
      <w:r w:rsidRPr="00AD15CF">
        <w:rPr>
          <w:lang w:val="en-GB"/>
        </w:rPr>
        <w:t>Allione</w:t>
      </w:r>
      <w:proofErr w:type="spellEnd"/>
      <w:r w:rsidRPr="00AD15CF">
        <w:rPr>
          <w:lang w:val="en-GB"/>
        </w:rPr>
        <w:t xml:space="preserve">, </w:t>
      </w:r>
      <w:proofErr w:type="spellStart"/>
      <w:r w:rsidRPr="00AD15CF">
        <w:rPr>
          <w:lang w:val="en-GB"/>
        </w:rPr>
        <w:t>Gerben</w:t>
      </w:r>
      <w:proofErr w:type="spellEnd"/>
      <w:r w:rsidRPr="00AD15CF">
        <w:rPr>
          <w:lang w:val="en-GB"/>
        </w:rPr>
        <w:t xml:space="preserve">-Jan </w:t>
      </w:r>
      <w:proofErr w:type="spellStart"/>
      <w:r w:rsidRPr="00AD15CF">
        <w:rPr>
          <w:lang w:val="en-GB"/>
        </w:rPr>
        <w:t>Gerbrandy</w:t>
      </w:r>
      <w:proofErr w:type="spellEnd"/>
      <w:r w:rsidRPr="00AD15CF">
        <w:rPr>
          <w:rStyle w:val="HideTWBExt"/>
          <w:b w:val="0"/>
          <w:lang w:val="en-GB"/>
        </w:rPr>
        <w:t>&lt;/Members&gt;</w:t>
      </w:r>
    </w:p>
    <w:p w14:paraId="7E752525" w14:textId="77777777" w:rsidR="008144C7" w:rsidRPr="00635D1D" w:rsidRDefault="008144C7" w:rsidP="008144C7">
      <w:pPr>
        <w:pStyle w:val="NormalBold"/>
      </w:pPr>
      <w:r w:rsidRPr="00635D1D">
        <w:rPr>
          <w:rStyle w:val="HideTWBExt"/>
          <w:b w:val="0"/>
        </w:rPr>
        <w:t>&lt;/RepeatBlock-By&gt;</w:t>
      </w:r>
    </w:p>
    <w:p w14:paraId="6F1F046F"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3FA0A3E" w14:textId="77777777" w:rsidR="008144C7" w:rsidRPr="00635D1D" w:rsidRDefault="008144C7" w:rsidP="008144C7">
      <w:pPr>
        <w:pStyle w:val="NormalBold"/>
      </w:pPr>
      <w:r w:rsidRPr="00635D1D">
        <w:rPr>
          <w:rStyle w:val="HideTWBExt"/>
          <w:b w:val="0"/>
        </w:rPr>
        <w:t>&lt;Article&gt;</w:t>
      </w:r>
      <w:r w:rsidRPr="00635D1D">
        <w:t>Motyw 18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471F1AB" w14:textId="77777777" w:rsidTr="00C5582D">
        <w:trPr>
          <w:trHeight w:val="240"/>
          <w:jc w:val="center"/>
        </w:trPr>
        <w:tc>
          <w:tcPr>
            <w:tcW w:w="9752" w:type="dxa"/>
            <w:gridSpan w:val="2"/>
            <w:tcBorders>
              <w:top w:val="nil"/>
              <w:left w:val="nil"/>
              <w:bottom w:val="nil"/>
              <w:right w:val="nil"/>
            </w:tcBorders>
          </w:tcPr>
          <w:p w14:paraId="7A679FFF" w14:textId="77777777" w:rsidR="008144C7" w:rsidRPr="00635D1D" w:rsidRDefault="008144C7" w:rsidP="00C5582D"/>
        </w:tc>
      </w:tr>
      <w:tr w:rsidR="008144C7" w:rsidRPr="00635D1D" w14:paraId="1CDDA25A" w14:textId="77777777" w:rsidTr="00C5582D">
        <w:trPr>
          <w:trHeight w:val="240"/>
          <w:jc w:val="center"/>
        </w:trPr>
        <w:tc>
          <w:tcPr>
            <w:tcW w:w="4876" w:type="dxa"/>
            <w:tcBorders>
              <w:top w:val="nil"/>
              <w:left w:val="nil"/>
              <w:bottom w:val="nil"/>
              <w:right w:val="nil"/>
            </w:tcBorders>
            <w:hideMark/>
          </w:tcPr>
          <w:p w14:paraId="52512D06"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0F391B6B" w14:textId="77777777" w:rsidR="008144C7" w:rsidRPr="00635D1D" w:rsidRDefault="008144C7" w:rsidP="00C5582D">
            <w:pPr>
              <w:pStyle w:val="AmColumnHeading"/>
            </w:pPr>
            <w:r w:rsidRPr="00635D1D">
              <w:t>Poprawka</w:t>
            </w:r>
          </w:p>
        </w:tc>
      </w:tr>
      <w:tr w:rsidR="008144C7" w:rsidRPr="00635D1D" w14:paraId="763DAA96" w14:textId="77777777" w:rsidTr="00C5582D">
        <w:trPr>
          <w:jc w:val="center"/>
        </w:trPr>
        <w:tc>
          <w:tcPr>
            <w:tcW w:w="4876" w:type="dxa"/>
            <w:tcBorders>
              <w:top w:val="nil"/>
              <w:left w:val="nil"/>
              <w:bottom w:val="nil"/>
              <w:right w:val="nil"/>
            </w:tcBorders>
            <w:hideMark/>
          </w:tcPr>
          <w:p w14:paraId="7DAA1F4C"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Należy wskazać w szczególności, że stosowanie substancji </w:t>
            </w:r>
            <w:r w:rsidRPr="00635D1D">
              <w:rPr>
                <w:b/>
                <w:bCs/>
                <w:i/>
                <w:iCs/>
              </w:rPr>
              <w:t>alternatywnych</w:t>
            </w:r>
            <w:r w:rsidRPr="00635D1D">
              <w:t xml:space="preserve"> powinno </w:t>
            </w:r>
            <w:r w:rsidRPr="00635D1D">
              <w:rPr>
                <w:b/>
                <w:i/>
              </w:rPr>
              <w:t>skutkować zmniejszeniem ogólnego ryzyka</w:t>
            </w:r>
            <w:r w:rsidRPr="00635D1D">
              <w:t xml:space="preserve"> dla zdrowia ludzkiego </w:t>
            </w:r>
            <w:r w:rsidRPr="00635D1D">
              <w:rPr>
                <w:b/>
                <w:i/>
              </w:rPr>
              <w:t>i środowiska</w:t>
            </w:r>
            <w:r w:rsidRPr="00635D1D">
              <w:t xml:space="preserve">, a substancja powinna pełnić </w:t>
            </w:r>
            <w:r w:rsidRPr="00635D1D">
              <w:rPr>
                <w:b/>
                <w:i/>
              </w:rPr>
              <w:t>równoważną</w:t>
            </w:r>
            <w:r w:rsidRPr="00635D1D">
              <w:t xml:space="preserve"> lub podobną funkcję w produkcie kosmetycznym i być dostępna na rynku w wystarczających ilościach, aby jej wykorzystywanie było technicznie wykonalne i ekonomicznie opłacalne dla przedsiębiorstw, a zwłaszcza dla MŚP</w:t>
            </w:r>
            <w:r w:rsidRPr="00635D1D">
              <w:rPr>
                <w:b/>
                <w:i/>
              </w:rPr>
              <w:t>. Ponadto dostęp do takiej substancji nie powinien być utrudniony w związku z istnieniem patentów lub ograniczeń dotyczących surowców</w:t>
            </w:r>
            <w:r w:rsidRPr="00635D1D">
              <w:t>. Należy również przewidzieć możliwość uwzględnienia aspektów ekonomicznych, takich jak koszt sporządzenia nowych receptur i porównawczy udział w ogólnych kosztach produkcji, jako istotnych czynników w analizie przydatności substancji alternatywnych.</w:t>
            </w:r>
          </w:p>
        </w:tc>
        <w:tc>
          <w:tcPr>
            <w:tcW w:w="4876" w:type="dxa"/>
            <w:tcBorders>
              <w:top w:val="nil"/>
              <w:left w:val="nil"/>
              <w:bottom w:val="nil"/>
              <w:right w:val="nil"/>
            </w:tcBorders>
            <w:hideMark/>
          </w:tcPr>
          <w:p w14:paraId="027FA731"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Należy wskazać w szczególności, że stosowanie substancji </w:t>
            </w:r>
            <w:r w:rsidRPr="00635D1D">
              <w:rPr>
                <w:b/>
                <w:i/>
              </w:rPr>
              <w:t>alternatywnej lub mieszaniny substancji</w:t>
            </w:r>
            <w:r w:rsidRPr="00635D1D">
              <w:t xml:space="preserve"> powinno </w:t>
            </w:r>
            <w:r w:rsidRPr="00635D1D">
              <w:rPr>
                <w:b/>
                <w:i/>
              </w:rPr>
              <w:t>być bezpieczne</w:t>
            </w:r>
            <w:r w:rsidRPr="00635D1D">
              <w:t xml:space="preserve"> dla zdrowia ludzkiego, a substancja </w:t>
            </w:r>
            <w:r w:rsidRPr="00635D1D">
              <w:rPr>
                <w:b/>
                <w:i/>
              </w:rPr>
              <w:t>lub mieszanina</w:t>
            </w:r>
            <w:r w:rsidRPr="00635D1D">
              <w:t xml:space="preserve"> powinna pełnić </w:t>
            </w:r>
            <w:r w:rsidRPr="00635D1D">
              <w:rPr>
                <w:b/>
                <w:bCs/>
                <w:i/>
                <w:iCs/>
              </w:rPr>
              <w:t>porównywalną</w:t>
            </w:r>
            <w:r w:rsidRPr="00635D1D">
              <w:t xml:space="preserve"> lub podobną funkcję w produkcie kosmetycznym i być dostępna na rynku w wystarczających ilościach, aby jej wykorzystywanie było technicznie wykonalne i ekonomicznie opłacalne dla przedsiębiorstw, a zwłaszcza dla MŚP. Należy również przewidzieć możliwość uwzględnienia aspektów ekonomicznych, takich jak koszt sporządzenia nowych receptur i porównawczy udział w ogólnych kosztach produkcji, jako istotnych czynników w analizie przydatności substancji alternatywnych.</w:t>
            </w:r>
          </w:p>
        </w:tc>
      </w:tr>
    </w:tbl>
    <w:p w14:paraId="36C627A5"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6AEBA5C1" w14:textId="77777777" w:rsidR="008144C7" w:rsidRPr="00AD15CF" w:rsidRDefault="008144C7" w:rsidP="008144C7">
      <w:pPr>
        <w:rPr>
          <w:lang w:val="en-GB"/>
        </w:rPr>
      </w:pPr>
      <w:r w:rsidRPr="00AD15CF">
        <w:rPr>
          <w:rStyle w:val="HideTWBExt"/>
          <w:lang w:val="en-GB"/>
        </w:rPr>
        <w:t>&lt;/Amend&gt;</w:t>
      </w:r>
    </w:p>
    <w:p w14:paraId="27149DC3"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183</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5CF5153C"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Idoia</w:t>
      </w:r>
      <w:proofErr w:type="spellEnd"/>
      <w:r w:rsidRPr="00AD15CF">
        <w:rPr>
          <w:lang w:val="en-GB"/>
        </w:rPr>
        <w:t xml:space="preserve"> </w:t>
      </w:r>
      <w:proofErr w:type="spellStart"/>
      <w:r w:rsidRPr="00AD15CF">
        <w:rPr>
          <w:lang w:val="en-GB"/>
        </w:rPr>
        <w:t>Mendia</w:t>
      </w:r>
      <w:proofErr w:type="spellEnd"/>
      <w:r w:rsidRPr="00AD15CF">
        <w:rPr>
          <w:lang w:val="en-GB"/>
        </w:rPr>
        <w:t xml:space="preserve">, Kristian </w:t>
      </w:r>
      <w:proofErr w:type="spellStart"/>
      <w:r w:rsidRPr="00AD15CF">
        <w:rPr>
          <w:lang w:val="en-GB"/>
        </w:rPr>
        <w:t>Vigenin</w:t>
      </w:r>
      <w:proofErr w:type="spellEnd"/>
      <w:r w:rsidRPr="00AD15CF">
        <w:rPr>
          <w:lang w:val="en-GB"/>
        </w:rPr>
        <w:t xml:space="preserve">, Elisabeth Grossmann, Sakis </w:t>
      </w:r>
      <w:proofErr w:type="spellStart"/>
      <w:r w:rsidRPr="00AD15CF">
        <w:rPr>
          <w:lang w:val="en-GB"/>
        </w:rPr>
        <w:t>Arnaoutoglou</w:t>
      </w:r>
      <w:proofErr w:type="spellEnd"/>
      <w:r w:rsidRPr="00AD15CF">
        <w:rPr>
          <w:lang w:val="en-GB"/>
        </w:rPr>
        <w:t xml:space="preserve">, César </w:t>
      </w:r>
      <w:proofErr w:type="spellStart"/>
      <w:r w:rsidRPr="00AD15CF">
        <w:rPr>
          <w:lang w:val="en-GB"/>
        </w:rPr>
        <w:t>Luena</w:t>
      </w:r>
      <w:proofErr w:type="spellEnd"/>
      <w:r w:rsidRPr="00AD15CF">
        <w:rPr>
          <w:lang w:val="en-GB"/>
        </w:rPr>
        <w:t xml:space="preserve">, Christophe </w:t>
      </w:r>
      <w:proofErr w:type="spellStart"/>
      <w:r w:rsidRPr="00AD15CF">
        <w:rPr>
          <w:lang w:val="en-GB"/>
        </w:rPr>
        <w:t>Clergeau</w:t>
      </w:r>
      <w:proofErr w:type="spellEnd"/>
      <w:r w:rsidRPr="00AD15CF">
        <w:rPr>
          <w:lang w:val="en-GB"/>
        </w:rPr>
        <w:t xml:space="preserve">, </w:t>
      </w:r>
      <w:proofErr w:type="spellStart"/>
      <w:r w:rsidRPr="00AD15CF">
        <w:rPr>
          <w:lang w:val="en-GB"/>
        </w:rPr>
        <w:t>Tiemo</w:t>
      </w:r>
      <w:proofErr w:type="spellEnd"/>
      <w:r w:rsidRPr="00AD15CF">
        <w:rPr>
          <w:lang w:val="en-GB"/>
        </w:rPr>
        <w:t xml:space="preserve"> </w:t>
      </w:r>
      <w:proofErr w:type="spellStart"/>
      <w:r w:rsidRPr="00AD15CF">
        <w:rPr>
          <w:lang w:val="en-GB"/>
        </w:rPr>
        <w:t>Wölken</w:t>
      </w:r>
      <w:proofErr w:type="spellEnd"/>
      <w:r w:rsidRPr="00AD15CF">
        <w:rPr>
          <w:lang w:val="en-GB"/>
        </w:rPr>
        <w:t xml:space="preserve">, Annalisa Corrado, Marta </w:t>
      </w:r>
      <w:proofErr w:type="spellStart"/>
      <w:r w:rsidRPr="00AD15CF">
        <w:rPr>
          <w:lang w:val="en-GB"/>
        </w:rPr>
        <w:t>Temido</w:t>
      </w:r>
      <w:proofErr w:type="spellEnd"/>
      <w:r w:rsidRPr="00AD15CF">
        <w:rPr>
          <w:rStyle w:val="HideTWBExt"/>
          <w:b w:val="0"/>
          <w:lang w:val="en-GB"/>
        </w:rPr>
        <w:t>&lt;/Members&gt;</w:t>
      </w:r>
    </w:p>
    <w:p w14:paraId="413C7F01" w14:textId="77777777" w:rsidR="008144C7" w:rsidRPr="00635D1D" w:rsidRDefault="008144C7" w:rsidP="008144C7">
      <w:pPr>
        <w:pStyle w:val="NormalBold"/>
      </w:pPr>
      <w:r w:rsidRPr="00635D1D">
        <w:rPr>
          <w:rStyle w:val="HideTWBExt"/>
          <w:b w:val="0"/>
        </w:rPr>
        <w:t>&lt;/RepeatBlock-By&gt;</w:t>
      </w:r>
    </w:p>
    <w:p w14:paraId="48E12BE5"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15DC491" w14:textId="77777777" w:rsidR="008144C7" w:rsidRPr="00635D1D" w:rsidRDefault="008144C7" w:rsidP="008144C7">
      <w:pPr>
        <w:pStyle w:val="NormalBold"/>
      </w:pPr>
      <w:r w:rsidRPr="00635D1D">
        <w:rPr>
          <w:rStyle w:val="HideTWBExt"/>
          <w:b w:val="0"/>
        </w:rPr>
        <w:t>&lt;Article&gt;</w:t>
      </w:r>
      <w:r w:rsidRPr="00635D1D">
        <w:t>Motyw 18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883E324" w14:textId="77777777" w:rsidTr="00C5582D">
        <w:trPr>
          <w:trHeight w:val="240"/>
          <w:jc w:val="center"/>
        </w:trPr>
        <w:tc>
          <w:tcPr>
            <w:tcW w:w="9752" w:type="dxa"/>
            <w:gridSpan w:val="2"/>
            <w:tcBorders>
              <w:top w:val="nil"/>
              <w:left w:val="nil"/>
              <w:bottom w:val="nil"/>
              <w:right w:val="nil"/>
            </w:tcBorders>
          </w:tcPr>
          <w:p w14:paraId="054A9006" w14:textId="77777777" w:rsidR="008144C7" w:rsidRPr="00635D1D" w:rsidRDefault="008144C7" w:rsidP="00C5582D"/>
        </w:tc>
      </w:tr>
      <w:tr w:rsidR="008144C7" w:rsidRPr="00635D1D" w14:paraId="4E290FD5" w14:textId="77777777" w:rsidTr="00C5582D">
        <w:trPr>
          <w:trHeight w:val="240"/>
          <w:jc w:val="center"/>
        </w:trPr>
        <w:tc>
          <w:tcPr>
            <w:tcW w:w="4876" w:type="dxa"/>
            <w:tcBorders>
              <w:top w:val="nil"/>
              <w:left w:val="nil"/>
              <w:bottom w:val="nil"/>
              <w:right w:val="nil"/>
            </w:tcBorders>
            <w:hideMark/>
          </w:tcPr>
          <w:p w14:paraId="16AD9A74"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D0B1B75" w14:textId="77777777" w:rsidR="008144C7" w:rsidRPr="00635D1D" w:rsidRDefault="008144C7" w:rsidP="00C5582D">
            <w:pPr>
              <w:pStyle w:val="AmColumnHeading"/>
            </w:pPr>
            <w:r w:rsidRPr="00635D1D">
              <w:t>Poprawka</w:t>
            </w:r>
          </w:p>
        </w:tc>
      </w:tr>
      <w:tr w:rsidR="008144C7" w:rsidRPr="00635D1D" w14:paraId="0F8E6E1C" w14:textId="77777777" w:rsidTr="00C5582D">
        <w:trPr>
          <w:jc w:val="center"/>
        </w:trPr>
        <w:tc>
          <w:tcPr>
            <w:tcW w:w="4876" w:type="dxa"/>
            <w:tcBorders>
              <w:top w:val="nil"/>
              <w:left w:val="nil"/>
              <w:bottom w:val="nil"/>
              <w:right w:val="nil"/>
            </w:tcBorders>
            <w:hideMark/>
          </w:tcPr>
          <w:p w14:paraId="18513081"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Należy wskazać w szczególności, że stosowanie substancji </w:t>
            </w:r>
            <w:r w:rsidRPr="00635D1D">
              <w:rPr>
                <w:b/>
                <w:bCs/>
                <w:i/>
                <w:iCs/>
              </w:rPr>
              <w:t>alternatywnych</w:t>
            </w:r>
            <w:r w:rsidRPr="00635D1D">
              <w:t xml:space="preserve"> powinno </w:t>
            </w:r>
            <w:r w:rsidRPr="00635D1D">
              <w:rPr>
                <w:b/>
                <w:i/>
              </w:rPr>
              <w:t>skutkować zmniejszeniem ogólnego ryzyka</w:t>
            </w:r>
            <w:r w:rsidRPr="00635D1D">
              <w:t xml:space="preserve"> dla zdrowia ludzkiego </w:t>
            </w:r>
            <w:r w:rsidRPr="00635D1D">
              <w:rPr>
                <w:b/>
                <w:i/>
              </w:rPr>
              <w:t>i środowiska</w:t>
            </w:r>
            <w:r w:rsidRPr="00635D1D">
              <w:t xml:space="preserve">, a substancja powinna pełnić </w:t>
            </w:r>
            <w:r w:rsidRPr="00635D1D">
              <w:rPr>
                <w:b/>
                <w:i/>
              </w:rPr>
              <w:t>równoważną</w:t>
            </w:r>
            <w:r w:rsidRPr="00635D1D">
              <w:t xml:space="preserve"> lub podobną funkcję w produkcie kosmetycznym i być dostępna na rynku w wystarczających ilościach, aby jej wykorzystywanie było technicznie </w:t>
            </w:r>
            <w:r w:rsidRPr="00635D1D">
              <w:rPr>
                <w:b/>
                <w:i/>
              </w:rPr>
              <w:t>wykonalne</w:t>
            </w:r>
            <w:r w:rsidRPr="00635D1D">
              <w:t xml:space="preserve"> i ekonomicznie </w:t>
            </w:r>
            <w:r w:rsidRPr="00635D1D">
              <w:rPr>
                <w:b/>
                <w:i/>
              </w:rPr>
              <w:t>opłacalne</w:t>
            </w:r>
            <w:r w:rsidRPr="00635D1D">
              <w:t xml:space="preserve"> dla przedsiębiorstw, a zwłaszcza dla MŚP. </w:t>
            </w:r>
            <w:r w:rsidRPr="00635D1D">
              <w:rPr>
                <w:b/>
                <w:i/>
              </w:rPr>
              <w:t xml:space="preserve">Ponadto dostęp do takiej substancji nie powinien być utrudniony w związku z istnieniem patentów lub ograniczeń dotyczących surowców. </w:t>
            </w:r>
            <w:r w:rsidRPr="00635D1D">
              <w:t xml:space="preserve">Należy </w:t>
            </w:r>
            <w:r w:rsidRPr="00635D1D">
              <w:rPr>
                <w:b/>
                <w:i/>
              </w:rPr>
              <w:t>również przewidzieć możliwość uwzględnienia aspektów ekonomicznych</w:t>
            </w:r>
            <w:r w:rsidRPr="00635D1D">
              <w:t xml:space="preserve">, </w:t>
            </w:r>
            <w:r w:rsidRPr="00635D1D">
              <w:rPr>
                <w:b/>
                <w:bCs/>
                <w:i/>
                <w:iCs/>
              </w:rPr>
              <w:t>takich</w:t>
            </w:r>
            <w:r w:rsidRPr="00635D1D">
              <w:t xml:space="preserve"> jak koszt sporządzenia nowych receptur i porównawczy udział w ogólnych kosztach produkcji, jako </w:t>
            </w:r>
            <w:r w:rsidRPr="00635D1D">
              <w:rPr>
                <w:b/>
                <w:bCs/>
                <w:i/>
                <w:iCs/>
              </w:rPr>
              <w:t>istotnych czynników</w:t>
            </w:r>
            <w:r w:rsidRPr="00635D1D">
              <w:t xml:space="preserve"> w analizie przydatności substancji alternatywnych.</w:t>
            </w:r>
          </w:p>
        </w:tc>
        <w:tc>
          <w:tcPr>
            <w:tcW w:w="4876" w:type="dxa"/>
            <w:tcBorders>
              <w:top w:val="nil"/>
              <w:left w:val="nil"/>
              <w:bottom w:val="nil"/>
              <w:right w:val="nil"/>
            </w:tcBorders>
            <w:hideMark/>
          </w:tcPr>
          <w:p w14:paraId="7DBE7B55"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Należy wskazać w szczególności, że stosowanie substancji </w:t>
            </w:r>
            <w:r w:rsidRPr="00635D1D">
              <w:rPr>
                <w:b/>
                <w:i/>
              </w:rPr>
              <w:t>alternatywnej, mieszaniny substancji lub, w stosownych przypadkach, alternatywnego procesu produkcji, który zastępuje potrzebę stosowania danej substancji,</w:t>
            </w:r>
            <w:r w:rsidRPr="00635D1D">
              <w:t xml:space="preserve"> powinno </w:t>
            </w:r>
            <w:r w:rsidRPr="00635D1D">
              <w:rPr>
                <w:b/>
                <w:i/>
              </w:rPr>
              <w:t>być bezpieczne</w:t>
            </w:r>
            <w:r w:rsidRPr="00635D1D">
              <w:t xml:space="preserve"> dla zdrowia ludzkiego, a substancja </w:t>
            </w:r>
            <w:r w:rsidRPr="00635D1D">
              <w:rPr>
                <w:b/>
                <w:i/>
              </w:rPr>
              <w:t>lub mieszanina</w:t>
            </w:r>
            <w:r w:rsidRPr="00635D1D">
              <w:t xml:space="preserve"> powinna pełnić podobną funkcję </w:t>
            </w:r>
            <w:r w:rsidRPr="00635D1D">
              <w:rPr>
                <w:b/>
                <w:i/>
              </w:rPr>
              <w:t>i zapewniać podobny poziom skuteczności</w:t>
            </w:r>
            <w:r w:rsidRPr="00635D1D">
              <w:t xml:space="preserve"> w produkcie kosmetycznym </w:t>
            </w:r>
            <w:r w:rsidRPr="00635D1D">
              <w:rPr>
                <w:b/>
                <w:i/>
              </w:rPr>
              <w:t>jak substancja sklasyfikowana</w:t>
            </w:r>
            <w:r w:rsidRPr="00635D1D">
              <w:t xml:space="preserve"> i być dostępna na rynku w wystarczających ilościach </w:t>
            </w:r>
            <w:r w:rsidRPr="00635D1D">
              <w:rPr>
                <w:b/>
                <w:i/>
              </w:rPr>
              <w:t>lub najprawdopodobniej być dostępna w rozsądnych ramach czasowych</w:t>
            </w:r>
            <w:r w:rsidRPr="00635D1D">
              <w:t xml:space="preserve">, aby jej wykorzystywanie było technicznie i ekonomicznie </w:t>
            </w:r>
            <w:r w:rsidRPr="00635D1D">
              <w:rPr>
                <w:b/>
                <w:i/>
              </w:rPr>
              <w:t>wykonalne również</w:t>
            </w:r>
            <w:r w:rsidRPr="00635D1D">
              <w:t xml:space="preserve"> dla przedsiębiorstw, a zwłaszcza dla MŚP. </w:t>
            </w:r>
            <w:r w:rsidRPr="00635D1D">
              <w:rPr>
                <w:b/>
                <w:bCs/>
                <w:i/>
                <w:iCs/>
              </w:rPr>
              <w:t>Można</w:t>
            </w:r>
            <w:r w:rsidRPr="00635D1D">
              <w:t xml:space="preserve"> również </w:t>
            </w:r>
            <w:r w:rsidRPr="00635D1D">
              <w:rPr>
                <w:b/>
                <w:i/>
              </w:rPr>
              <w:t>uwzględnić aspekty ekonomiczne</w:t>
            </w:r>
            <w:r w:rsidRPr="00635D1D">
              <w:t xml:space="preserve">, </w:t>
            </w:r>
            <w:r w:rsidRPr="00635D1D">
              <w:rPr>
                <w:b/>
                <w:bCs/>
                <w:i/>
                <w:iCs/>
              </w:rPr>
              <w:t>takie</w:t>
            </w:r>
            <w:r w:rsidRPr="00635D1D">
              <w:t xml:space="preserve"> jak koszt sporządzenia nowych receptur i porównawczy udział w ogólnych kosztach produkcji, jako </w:t>
            </w:r>
            <w:r w:rsidRPr="00635D1D">
              <w:rPr>
                <w:b/>
                <w:bCs/>
                <w:i/>
                <w:iCs/>
              </w:rPr>
              <w:t>istotne czynniki</w:t>
            </w:r>
            <w:r w:rsidRPr="00635D1D">
              <w:t xml:space="preserve"> w analizie przydatności substancji alternatywnych.</w:t>
            </w:r>
          </w:p>
        </w:tc>
      </w:tr>
    </w:tbl>
    <w:p w14:paraId="6622CFF5"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6090D526" w14:textId="77777777" w:rsidR="008144C7" w:rsidRPr="00AD15CF" w:rsidRDefault="008144C7" w:rsidP="008144C7">
      <w:pPr>
        <w:rPr>
          <w:lang w:val="en-GB"/>
        </w:rPr>
      </w:pPr>
      <w:r w:rsidRPr="00AD15CF">
        <w:rPr>
          <w:rStyle w:val="HideTWBExt"/>
          <w:lang w:val="en-GB"/>
        </w:rPr>
        <w:t>&lt;/Amend&gt;</w:t>
      </w:r>
    </w:p>
    <w:p w14:paraId="1C215F4C"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184</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4751A27B"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Sirpa</w:t>
      </w:r>
      <w:proofErr w:type="spellEnd"/>
      <w:r w:rsidRPr="00AD15CF">
        <w:rPr>
          <w:lang w:val="en-GB"/>
        </w:rPr>
        <w:t xml:space="preserve"> </w:t>
      </w:r>
      <w:proofErr w:type="spellStart"/>
      <w:r w:rsidRPr="00AD15CF">
        <w:rPr>
          <w:lang w:val="en-GB"/>
        </w:rPr>
        <w:t>Pietikäinen</w:t>
      </w:r>
      <w:proofErr w:type="spellEnd"/>
      <w:r w:rsidRPr="00AD15CF">
        <w:rPr>
          <w:rStyle w:val="HideTWBExt"/>
          <w:b w:val="0"/>
          <w:lang w:val="en-GB"/>
        </w:rPr>
        <w:t>&lt;/Members&gt;</w:t>
      </w:r>
    </w:p>
    <w:p w14:paraId="21D3182F" w14:textId="77777777" w:rsidR="008144C7" w:rsidRPr="00635D1D" w:rsidRDefault="008144C7" w:rsidP="008144C7">
      <w:pPr>
        <w:pStyle w:val="NormalBold"/>
      </w:pPr>
      <w:r w:rsidRPr="00635D1D">
        <w:rPr>
          <w:rStyle w:val="HideTWBExt"/>
          <w:b w:val="0"/>
        </w:rPr>
        <w:t>&lt;/RepeatBlock-By&gt;</w:t>
      </w:r>
    </w:p>
    <w:p w14:paraId="3A539233"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31C812D" w14:textId="77777777" w:rsidR="008144C7" w:rsidRPr="00635D1D" w:rsidRDefault="008144C7" w:rsidP="008144C7">
      <w:pPr>
        <w:pStyle w:val="NormalBold"/>
      </w:pPr>
      <w:r w:rsidRPr="00635D1D">
        <w:rPr>
          <w:rStyle w:val="HideTWBExt"/>
          <w:b w:val="0"/>
        </w:rPr>
        <w:t>&lt;Article&gt;</w:t>
      </w:r>
      <w:r w:rsidRPr="00635D1D">
        <w:t>Motyw 18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1A34F2D" w14:textId="77777777" w:rsidTr="00C5582D">
        <w:trPr>
          <w:trHeight w:val="240"/>
          <w:jc w:val="center"/>
        </w:trPr>
        <w:tc>
          <w:tcPr>
            <w:tcW w:w="9752" w:type="dxa"/>
            <w:gridSpan w:val="2"/>
            <w:tcBorders>
              <w:top w:val="nil"/>
              <w:left w:val="nil"/>
              <w:bottom w:val="nil"/>
              <w:right w:val="nil"/>
            </w:tcBorders>
          </w:tcPr>
          <w:p w14:paraId="67945C3C" w14:textId="77777777" w:rsidR="008144C7" w:rsidRPr="00635D1D" w:rsidRDefault="008144C7" w:rsidP="00C5582D"/>
        </w:tc>
      </w:tr>
      <w:tr w:rsidR="008144C7" w:rsidRPr="00635D1D" w14:paraId="0A762503" w14:textId="77777777" w:rsidTr="00C5582D">
        <w:trPr>
          <w:trHeight w:val="240"/>
          <w:jc w:val="center"/>
        </w:trPr>
        <w:tc>
          <w:tcPr>
            <w:tcW w:w="4876" w:type="dxa"/>
            <w:tcBorders>
              <w:top w:val="nil"/>
              <w:left w:val="nil"/>
              <w:bottom w:val="nil"/>
              <w:right w:val="nil"/>
            </w:tcBorders>
            <w:hideMark/>
          </w:tcPr>
          <w:p w14:paraId="312141F9"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3ECB204" w14:textId="77777777" w:rsidR="008144C7" w:rsidRPr="00635D1D" w:rsidRDefault="008144C7" w:rsidP="00C5582D">
            <w:pPr>
              <w:pStyle w:val="AmColumnHeading"/>
            </w:pPr>
            <w:r w:rsidRPr="00635D1D">
              <w:t>Poprawka</w:t>
            </w:r>
          </w:p>
        </w:tc>
      </w:tr>
      <w:tr w:rsidR="008144C7" w:rsidRPr="00635D1D" w14:paraId="4DE3AAF3" w14:textId="77777777" w:rsidTr="00C5582D">
        <w:trPr>
          <w:jc w:val="center"/>
        </w:trPr>
        <w:tc>
          <w:tcPr>
            <w:tcW w:w="4876" w:type="dxa"/>
            <w:tcBorders>
              <w:top w:val="nil"/>
              <w:left w:val="nil"/>
              <w:bottom w:val="nil"/>
              <w:right w:val="nil"/>
            </w:tcBorders>
            <w:hideMark/>
          </w:tcPr>
          <w:p w14:paraId="7176AA98"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Należy wskazać w szczególności, że stosowanie substancji </w:t>
            </w:r>
            <w:r w:rsidRPr="00635D1D">
              <w:rPr>
                <w:b/>
                <w:bCs/>
                <w:i/>
                <w:iCs/>
              </w:rPr>
              <w:t>alternatywnych</w:t>
            </w:r>
            <w:r w:rsidRPr="00635D1D">
              <w:t xml:space="preserve"> powinno skutkować zmniejszeniem ogólnego ryzyka dla zdrowia ludzkiego i środowiska, a substancja powinna pełnić równoważną lub podobną funkcję w produkcie kosmetycznym i być dostępna na rynku w wystarczających ilościach, aby jej wykorzystywanie było technicznie wykonalne i ekonomicznie opłacalne dla przedsiębiorstw, a zwłaszcza dla MŚP. Ponadto dostęp do takiej substancji nie powinien być utrudniony w związku z istnieniem patentów lub ograniczeń dotyczących surowców. Należy również przewidzieć możliwość uwzględnienia aspektów ekonomicznych, takich jak koszt sporządzenia nowych receptur i porównawczy udział w ogólnych kosztach produkcji, jako istotnych czynników w analizie przydatności substancji alternatywnych.</w:t>
            </w:r>
          </w:p>
        </w:tc>
        <w:tc>
          <w:tcPr>
            <w:tcW w:w="4876" w:type="dxa"/>
            <w:tcBorders>
              <w:top w:val="nil"/>
              <w:left w:val="nil"/>
              <w:bottom w:val="nil"/>
              <w:right w:val="nil"/>
            </w:tcBorders>
            <w:hideMark/>
          </w:tcPr>
          <w:p w14:paraId="707B867F"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Należy wskazać w szczególności, że stosowanie substancji </w:t>
            </w:r>
            <w:r w:rsidRPr="00635D1D">
              <w:rPr>
                <w:b/>
                <w:bCs/>
                <w:i/>
                <w:iCs/>
              </w:rPr>
              <w:t>alternatywnej</w:t>
            </w:r>
            <w:r w:rsidRPr="00635D1D">
              <w:t xml:space="preserve"> powinno skutkować zmniejszeniem ogólnego ryzyka dla zdrowia ludzkiego i środowiska, a substancja powinna pełnić równoważną lub podobną funkcję w produkcie kosmetycznym</w:t>
            </w:r>
            <w:r w:rsidRPr="00635D1D">
              <w:rPr>
                <w:b/>
                <w:i/>
              </w:rPr>
              <w:t>, zaspokajać potrzeby konsumentów</w:t>
            </w:r>
            <w:r w:rsidRPr="00635D1D">
              <w:t xml:space="preserve"> i być dostępna na rynku w wystarczających ilościach, aby jej wykorzystywanie było technicznie wykonalne i ekonomicznie opłacalne dla przedsiębiorstw, a zwłaszcza dla MŚP. Ponadto dostęp do takiej substancji nie powinien być utrudniony w związku z istnieniem patentów lub ograniczeń dotyczących surowców. Należy również przewidzieć możliwość uwzględnienia aspektów ekonomicznych, takich jak koszt sporządzenia nowych receptur i porównawczy udział w ogólnych kosztach produkcji, jako istotnych czynników w analizie przydatności substancji alternatywnych.</w:t>
            </w:r>
          </w:p>
        </w:tc>
      </w:tr>
    </w:tbl>
    <w:p w14:paraId="32220D03"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5F59F2AC" w14:textId="77777777" w:rsidR="008144C7" w:rsidRPr="00AD15CF" w:rsidRDefault="008144C7" w:rsidP="008144C7">
      <w:pPr>
        <w:rPr>
          <w:lang w:val="en-GB"/>
        </w:rPr>
      </w:pPr>
      <w:r w:rsidRPr="00AD15CF">
        <w:rPr>
          <w:rStyle w:val="HideTWBExt"/>
          <w:lang w:val="en-GB"/>
        </w:rPr>
        <w:t>&lt;/Amend&gt;</w:t>
      </w:r>
    </w:p>
    <w:p w14:paraId="1558FECA"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185</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123336C5"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Majdouline</w:t>
      </w:r>
      <w:proofErr w:type="spellEnd"/>
      <w:r w:rsidRPr="00AD15CF">
        <w:rPr>
          <w:lang w:val="en-GB"/>
        </w:rPr>
        <w:t xml:space="preserve"> </w:t>
      </w:r>
      <w:proofErr w:type="spellStart"/>
      <w:r w:rsidRPr="00AD15CF">
        <w:rPr>
          <w:lang w:val="en-GB"/>
        </w:rPr>
        <w:t>Sbai</w:t>
      </w:r>
      <w:proofErr w:type="spellEnd"/>
      <w:r w:rsidRPr="00AD15CF">
        <w:rPr>
          <w:rStyle w:val="HideTWBExt"/>
          <w:b w:val="0"/>
          <w:lang w:val="en-GB"/>
        </w:rPr>
        <w:t>&lt;/Members&gt;</w:t>
      </w:r>
    </w:p>
    <w:p w14:paraId="51C8DD8F" w14:textId="77777777" w:rsidR="008144C7" w:rsidRPr="00635D1D" w:rsidRDefault="008144C7" w:rsidP="008144C7">
      <w:pPr>
        <w:pStyle w:val="NormalBold"/>
      </w:pPr>
      <w:r w:rsidRPr="00635D1D">
        <w:rPr>
          <w:rStyle w:val="HideTWBExt"/>
          <w:b w:val="0"/>
        </w:rPr>
        <w:t>&lt;/RepeatBlock-By&gt;</w:t>
      </w:r>
    </w:p>
    <w:p w14:paraId="21E8A76B"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756B7FFF" w14:textId="77777777" w:rsidR="008144C7" w:rsidRPr="00635D1D" w:rsidRDefault="008144C7" w:rsidP="008144C7">
      <w:pPr>
        <w:pStyle w:val="NormalBold"/>
      </w:pPr>
      <w:r w:rsidRPr="00635D1D">
        <w:rPr>
          <w:rStyle w:val="HideTWBExt"/>
          <w:b w:val="0"/>
        </w:rPr>
        <w:t>&lt;Article&gt;</w:t>
      </w:r>
      <w:r w:rsidRPr="00635D1D">
        <w:t>Motyw 18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35A7CDB" w14:textId="77777777" w:rsidTr="00C5582D">
        <w:trPr>
          <w:trHeight w:val="240"/>
          <w:jc w:val="center"/>
        </w:trPr>
        <w:tc>
          <w:tcPr>
            <w:tcW w:w="9752" w:type="dxa"/>
            <w:gridSpan w:val="2"/>
            <w:tcBorders>
              <w:top w:val="nil"/>
              <w:left w:val="nil"/>
              <w:bottom w:val="nil"/>
              <w:right w:val="nil"/>
            </w:tcBorders>
          </w:tcPr>
          <w:p w14:paraId="381A4875" w14:textId="77777777" w:rsidR="008144C7" w:rsidRPr="00635D1D" w:rsidRDefault="008144C7" w:rsidP="00C5582D"/>
        </w:tc>
      </w:tr>
      <w:tr w:rsidR="008144C7" w:rsidRPr="00635D1D" w14:paraId="57E64AD2" w14:textId="77777777" w:rsidTr="00C5582D">
        <w:trPr>
          <w:trHeight w:val="240"/>
          <w:jc w:val="center"/>
        </w:trPr>
        <w:tc>
          <w:tcPr>
            <w:tcW w:w="4876" w:type="dxa"/>
            <w:tcBorders>
              <w:top w:val="nil"/>
              <w:left w:val="nil"/>
              <w:bottom w:val="nil"/>
              <w:right w:val="nil"/>
            </w:tcBorders>
            <w:hideMark/>
          </w:tcPr>
          <w:p w14:paraId="2174BAEC"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633AFA7" w14:textId="77777777" w:rsidR="008144C7" w:rsidRPr="00635D1D" w:rsidRDefault="008144C7" w:rsidP="00C5582D">
            <w:pPr>
              <w:pStyle w:val="AmColumnHeading"/>
            </w:pPr>
            <w:r w:rsidRPr="00635D1D">
              <w:t>Poprawka</w:t>
            </w:r>
          </w:p>
        </w:tc>
      </w:tr>
      <w:tr w:rsidR="008144C7" w:rsidRPr="00635D1D" w14:paraId="6532EF09" w14:textId="77777777" w:rsidTr="00C5582D">
        <w:trPr>
          <w:jc w:val="center"/>
        </w:trPr>
        <w:tc>
          <w:tcPr>
            <w:tcW w:w="4876" w:type="dxa"/>
            <w:tcBorders>
              <w:top w:val="nil"/>
              <w:left w:val="nil"/>
              <w:bottom w:val="nil"/>
              <w:right w:val="nil"/>
            </w:tcBorders>
            <w:hideMark/>
          </w:tcPr>
          <w:p w14:paraId="38D13A20"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Należy wskazać w szczególności, że stosowanie substancji </w:t>
            </w:r>
            <w:r w:rsidRPr="00635D1D">
              <w:rPr>
                <w:b/>
                <w:bCs/>
                <w:i/>
                <w:iCs/>
              </w:rPr>
              <w:t>alternatywnych</w:t>
            </w:r>
            <w:r w:rsidRPr="00635D1D">
              <w:t xml:space="preserve"> powinno skutkować zmniejszeniem ogólnego ryzyka dla zdrowia ludzkiego </w:t>
            </w:r>
            <w:r w:rsidRPr="00635D1D">
              <w:rPr>
                <w:b/>
                <w:i/>
              </w:rPr>
              <w:t>i środowiska, a</w:t>
            </w:r>
            <w:r w:rsidRPr="00635D1D">
              <w:t xml:space="preserve"> substancja powinna pełnić </w:t>
            </w:r>
            <w:r w:rsidRPr="00635D1D">
              <w:rPr>
                <w:b/>
                <w:i/>
              </w:rPr>
              <w:t>równoważną lub</w:t>
            </w:r>
            <w:r w:rsidRPr="00635D1D">
              <w:t xml:space="preserve"> podobną funkcję w produkcie kosmetycznym i być dostępna na rynku w wystarczających ilościach, aby jej wykorzystywanie było technicznie wykonalne </w:t>
            </w:r>
            <w:r w:rsidRPr="00635D1D">
              <w:rPr>
                <w:b/>
                <w:i/>
              </w:rPr>
              <w:t>i ekonomicznie opłacalne</w:t>
            </w:r>
            <w:r w:rsidRPr="00635D1D">
              <w:t xml:space="preserve"> dla przedsiębiorstw, a zwłaszcza dla MŚP. Ponadto dostęp do takiej substancji nie powinien być utrudniony w związku z istnieniem patentów lub ograniczeń dotyczących surowców. </w:t>
            </w:r>
            <w:r w:rsidRPr="00635D1D">
              <w:rPr>
                <w:b/>
                <w:i/>
              </w:rPr>
              <w:t>Należy również przewidzieć możliwość uwzględnienia aspektów ekonomicznych, takich jak koszt sporządzenia nowych receptur i porównawczy udział w ogólnych kosztach produkcji, jako istotnych czynników w analizie przydatności substancji alternatywnych.</w:t>
            </w:r>
          </w:p>
        </w:tc>
        <w:tc>
          <w:tcPr>
            <w:tcW w:w="4876" w:type="dxa"/>
            <w:tcBorders>
              <w:top w:val="nil"/>
              <w:left w:val="nil"/>
              <w:bottom w:val="nil"/>
              <w:right w:val="nil"/>
            </w:tcBorders>
            <w:hideMark/>
          </w:tcPr>
          <w:p w14:paraId="4DAF9D50"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Należy wskazać w szczególności, że stosowanie substancji </w:t>
            </w:r>
            <w:r w:rsidRPr="00635D1D">
              <w:rPr>
                <w:b/>
                <w:i/>
              </w:rPr>
              <w:t>alternatywnej, mieszaniny substancji lub, w stosownych przypadkach, alternatywnej technologii, która może zastąpić substancję CMR</w:t>
            </w:r>
            <w:r w:rsidRPr="00635D1D">
              <w:t xml:space="preserve"> powinno skutkować zmniejszeniem ogólnego ryzyka dla zdrowia ludzkiego</w:t>
            </w:r>
            <w:r w:rsidRPr="00635D1D">
              <w:rPr>
                <w:b/>
                <w:i/>
              </w:rPr>
              <w:t xml:space="preserve">. </w:t>
            </w:r>
            <w:r w:rsidRPr="00635D1D">
              <w:t xml:space="preserve">Substancja </w:t>
            </w:r>
            <w:r w:rsidRPr="00635D1D">
              <w:rPr>
                <w:b/>
                <w:i/>
              </w:rPr>
              <w:t>alternatywna</w:t>
            </w:r>
            <w:r w:rsidRPr="00635D1D">
              <w:t xml:space="preserve"> powinna pełnić podobną funkcję </w:t>
            </w:r>
            <w:r w:rsidRPr="00635D1D">
              <w:rPr>
                <w:b/>
                <w:i/>
              </w:rPr>
              <w:t>i zapewniać wystarczający poziom skuteczności</w:t>
            </w:r>
            <w:r w:rsidRPr="00635D1D">
              <w:t xml:space="preserve"> w produkcie kosmetycznym i być dostępna na rynku w wystarczających ilościach </w:t>
            </w:r>
            <w:r w:rsidRPr="00635D1D">
              <w:rPr>
                <w:b/>
                <w:i/>
              </w:rPr>
              <w:t>lub najprawdopodobniej być dostępna w wystarczających ilościach w rozsądnych ramach czasowych</w:t>
            </w:r>
            <w:r w:rsidRPr="00635D1D">
              <w:t>, aby jej wykorzystywanie było technicznie wykonalne dla przedsiębiorstw, a zwłaszcza dla MŚP. Ponadto dostęp do takiej substancji nie powinien być utrudniony w związku z istnieniem patentów lub ograniczeń dotyczących surowców.</w:t>
            </w:r>
          </w:p>
        </w:tc>
      </w:tr>
    </w:tbl>
    <w:p w14:paraId="6E091877"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6DFC7228" w14:textId="77777777" w:rsidR="008144C7" w:rsidRPr="00635D1D" w:rsidRDefault="008144C7" w:rsidP="008144C7">
      <w:pPr>
        <w:pStyle w:val="AmCrossRef"/>
      </w:pPr>
      <w:r w:rsidRPr="00635D1D">
        <w:t>(Poprawka ta jest powiązana z kilkoma poprawkami tego samego autora do części normatywnej tekstu.)</w:t>
      </w:r>
    </w:p>
    <w:p w14:paraId="08B45C26"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0A3FDBC6" w14:textId="77777777" w:rsidR="008144C7" w:rsidRPr="00635D1D" w:rsidRDefault="008144C7" w:rsidP="008144C7">
      <w:pPr>
        <w:pStyle w:val="AmJustText"/>
      </w:pPr>
      <w:r w:rsidRPr="00635D1D">
        <w:t>Motyw należy dostosować do proponowanych zmian w części normatywnej. Nie powinien zawierać przepisów, które nie znajdują się w części normatywnej, takich jak dotyczące kosztów sporządzenia nowych receptur i porównawczego udziału w ogólnych kosztach.</w:t>
      </w:r>
    </w:p>
    <w:p w14:paraId="4EDEF6B9" w14:textId="77777777" w:rsidR="008144C7" w:rsidRPr="00AD15CF" w:rsidRDefault="008144C7" w:rsidP="008144C7">
      <w:pPr>
        <w:rPr>
          <w:lang w:val="en-GB"/>
        </w:rPr>
      </w:pPr>
      <w:r w:rsidRPr="00AD15CF">
        <w:rPr>
          <w:rStyle w:val="HideTWBExt"/>
          <w:lang w:val="en-GB"/>
        </w:rPr>
        <w:t>&lt;/Amend&gt;</w:t>
      </w:r>
    </w:p>
    <w:p w14:paraId="5A97D074"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186</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0D24DD24"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Nikola </w:t>
      </w:r>
      <w:proofErr w:type="spellStart"/>
      <w:r w:rsidRPr="00AD15CF">
        <w:rPr>
          <w:lang w:val="en-GB"/>
        </w:rPr>
        <w:t>Minchev</w:t>
      </w:r>
      <w:proofErr w:type="spellEnd"/>
      <w:r w:rsidRPr="00AD15CF">
        <w:rPr>
          <w:rStyle w:val="HideTWBExt"/>
          <w:b w:val="0"/>
          <w:lang w:val="en-GB"/>
        </w:rPr>
        <w:t>&lt;/Members&gt;</w:t>
      </w:r>
    </w:p>
    <w:p w14:paraId="5A44703D" w14:textId="77777777" w:rsidR="008144C7" w:rsidRPr="00635D1D" w:rsidRDefault="008144C7" w:rsidP="008144C7">
      <w:pPr>
        <w:pStyle w:val="NormalBold"/>
      </w:pPr>
      <w:r w:rsidRPr="00635D1D">
        <w:rPr>
          <w:rStyle w:val="HideTWBExt"/>
          <w:b w:val="0"/>
        </w:rPr>
        <w:t>&lt;/RepeatBlock-By&gt;</w:t>
      </w:r>
    </w:p>
    <w:p w14:paraId="0E92BCEA"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E660DF0" w14:textId="77777777" w:rsidR="008144C7" w:rsidRPr="00635D1D" w:rsidRDefault="008144C7" w:rsidP="008144C7">
      <w:pPr>
        <w:pStyle w:val="NormalBold"/>
      </w:pPr>
      <w:r w:rsidRPr="00635D1D">
        <w:rPr>
          <w:rStyle w:val="HideTWBExt"/>
          <w:b w:val="0"/>
        </w:rPr>
        <w:t>&lt;Article&gt;</w:t>
      </w:r>
      <w:r w:rsidRPr="00635D1D">
        <w:t>Motyw 18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14CF9F4" w14:textId="77777777" w:rsidTr="00C5582D">
        <w:trPr>
          <w:trHeight w:val="240"/>
          <w:jc w:val="center"/>
        </w:trPr>
        <w:tc>
          <w:tcPr>
            <w:tcW w:w="9752" w:type="dxa"/>
            <w:gridSpan w:val="2"/>
            <w:tcBorders>
              <w:top w:val="nil"/>
              <w:left w:val="nil"/>
              <w:bottom w:val="nil"/>
              <w:right w:val="nil"/>
            </w:tcBorders>
          </w:tcPr>
          <w:p w14:paraId="1C317B1E" w14:textId="77777777" w:rsidR="008144C7" w:rsidRPr="00635D1D" w:rsidRDefault="008144C7" w:rsidP="00C5582D"/>
        </w:tc>
      </w:tr>
      <w:tr w:rsidR="008144C7" w:rsidRPr="00635D1D" w14:paraId="58A7650E" w14:textId="77777777" w:rsidTr="00C5582D">
        <w:trPr>
          <w:trHeight w:val="240"/>
          <w:jc w:val="center"/>
        </w:trPr>
        <w:tc>
          <w:tcPr>
            <w:tcW w:w="4876" w:type="dxa"/>
            <w:tcBorders>
              <w:top w:val="nil"/>
              <w:left w:val="nil"/>
              <w:bottom w:val="nil"/>
              <w:right w:val="nil"/>
            </w:tcBorders>
            <w:hideMark/>
          </w:tcPr>
          <w:p w14:paraId="711DC720"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E6D0D64" w14:textId="77777777" w:rsidR="008144C7" w:rsidRPr="00635D1D" w:rsidRDefault="008144C7" w:rsidP="00C5582D">
            <w:pPr>
              <w:pStyle w:val="AmColumnHeading"/>
            </w:pPr>
            <w:r w:rsidRPr="00635D1D">
              <w:t>Poprawka</w:t>
            </w:r>
          </w:p>
        </w:tc>
      </w:tr>
      <w:tr w:rsidR="008144C7" w:rsidRPr="00635D1D" w14:paraId="40358D7C" w14:textId="77777777" w:rsidTr="00C5582D">
        <w:trPr>
          <w:jc w:val="center"/>
        </w:trPr>
        <w:tc>
          <w:tcPr>
            <w:tcW w:w="4876" w:type="dxa"/>
            <w:tcBorders>
              <w:top w:val="nil"/>
              <w:left w:val="nil"/>
              <w:bottom w:val="nil"/>
              <w:right w:val="nil"/>
            </w:tcBorders>
            <w:hideMark/>
          </w:tcPr>
          <w:p w14:paraId="28DCBEFA"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Należy wskazać w szczególności, że stosowanie substancji </w:t>
            </w:r>
            <w:r w:rsidRPr="00635D1D">
              <w:rPr>
                <w:b/>
                <w:i/>
              </w:rPr>
              <w:t>alternatywnych</w:t>
            </w:r>
            <w:r w:rsidRPr="00635D1D">
              <w:t xml:space="preserve"> powinno </w:t>
            </w:r>
            <w:r w:rsidRPr="00635D1D">
              <w:rPr>
                <w:b/>
                <w:i/>
              </w:rPr>
              <w:t>skutkować zmniejszeniem ogólnego ryzyka</w:t>
            </w:r>
            <w:r w:rsidRPr="00635D1D">
              <w:t xml:space="preserve"> dla zdrowia ludzkiego i środowiska, a substancja powinna pełnić </w:t>
            </w:r>
            <w:r w:rsidRPr="00635D1D">
              <w:rPr>
                <w:b/>
                <w:i/>
              </w:rPr>
              <w:t>równoważną lub podobną</w:t>
            </w:r>
            <w:r w:rsidRPr="00635D1D">
              <w:t xml:space="preserve"> funkcję w produkcie kosmetycznym i być dostępna na rynku w wystarczających ilościach, aby jej wykorzystywanie było technicznie wykonalne i ekonomicznie opłacalne dla przedsiębiorstw, a zwłaszcza dla MŚP. Ponadto dostęp do takiej substancji nie powinien być utrudniony w związku z istnieniem patentów lub ograniczeń dotyczących surowców. Należy również przewidzieć możliwość uwzględnienia aspektów ekonomicznych, takich jak koszt sporządzenia nowych receptur i porównawczy udział w ogólnych kosztach produkcji, jako istotnych czynników w analizie przydatności substancji alternatywnych.</w:t>
            </w:r>
          </w:p>
        </w:tc>
        <w:tc>
          <w:tcPr>
            <w:tcW w:w="4876" w:type="dxa"/>
            <w:tcBorders>
              <w:top w:val="nil"/>
              <w:left w:val="nil"/>
              <w:bottom w:val="nil"/>
              <w:right w:val="nil"/>
            </w:tcBorders>
            <w:hideMark/>
          </w:tcPr>
          <w:p w14:paraId="37973E15" w14:textId="77777777" w:rsidR="008144C7" w:rsidRPr="00635D1D" w:rsidRDefault="008144C7" w:rsidP="00C5582D">
            <w:pPr>
              <w:pStyle w:val="Normal6a"/>
            </w:pPr>
            <w:r w:rsidRPr="00635D1D">
              <w:t>(18)</w:t>
            </w:r>
            <w:r w:rsidRPr="00635D1D">
              <w:tab/>
              <w:t xml:space="preserve">Ponadto należy określić elementy uwzględniane przy ocenie dostępności odpowiednich substancji alternatywnych. Należy wskazać w szczególności, że stosowanie substancji </w:t>
            </w:r>
            <w:r w:rsidRPr="00635D1D">
              <w:rPr>
                <w:b/>
                <w:i/>
              </w:rPr>
              <w:t>alternatywnej</w:t>
            </w:r>
            <w:r w:rsidRPr="00635D1D">
              <w:t xml:space="preserve"> powinno </w:t>
            </w:r>
            <w:r w:rsidRPr="00635D1D">
              <w:rPr>
                <w:b/>
                <w:i/>
              </w:rPr>
              <w:t>być bezpieczne</w:t>
            </w:r>
            <w:r w:rsidRPr="00635D1D">
              <w:t xml:space="preserve"> dla zdrowia ludzkiego i środowiska, a substancja powinna pełnić </w:t>
            </w:r>
            <w:r w:rsidRPr="00635D1D">
              <w:rPr>
                <w:b/>
                <w:i/>
              </w:rPr>
              <w:t>taką samą</w:t>
            </w:r>
            <w:r w:rsidRPr="00635D1D">
              <w:t xml:space="preserve"> funkcję w produkcie kosmetycznym i być dostępna na rynku w wystarczających ilościach, aby jej wykorzystywanie było technicznie wykonalne i ekonomicznie opłacalne dla przedsiębiorstw, a zwłaszcza dla MŚP. Ponadto dostęp do takiej substancji nie powinien być utrudniony w związku z istnieniem patentów lub ograniczeń dotyczących surowców. Należy również przewidzieć możliwość uwzględnienia aspektów ekonomicznych, takich jak koszt sporządzenia nowych receptur i porównawczy udział w ogólnych kosztach produkcji, jako istotnych czynników w analizie przydatności substancji alternatywnych.</w:t>
            </w:r>
          </w:p>
        </w:tc>
      </w:tr>
    </w:tbl>
    <w:p w14:paraId="6181B06D"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475A3265" w14:textId="77777777" w:rsidR="008144C7" w:rsidRPr="00AD15CF" w:rsidRDefault="008144C7" w:rsidP="008144C7">
      <w:pPr>
        <w:rPr>
          <w:lang w:val="en-GB"/>
        </w:rPr>
      </w:pPr>
      <w:r w:rsidRPr="00AD15CF">
        <w:rPr>
          <w:rStyle w:val="HideTWBExt"/>
          <w:lang w:val="en-GB"/>
        </w:rPr>
        <w:t>&lt;/Amend&gt;</w:t>
      </w:r>
    </w:p>
    <w:p w14:paraId="2AF59ACD"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187</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2B406345"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Pietro Fiocchi, Antonella </w:t>
      </w:r>
      <w:proofErr w:type="spellStart"/>
      <w:r w:rsidRPr="00AD15CF">
        <w:rPr>
          <w:lang w:val="en-GB"/>
        </w:rPr>
        <w:t>Sberna</w:t>
      </w:r>
      <w:proofErr w:type="spellEnd"/>
      <w:r w:rsidRPr="00AD15CF">
        <w:rPr>
          <w:rStyle w:val="HideTWBExt"/>
          <w:b w:val="0"/>
          <w:lang w:val="en-GB"/>
        </w:rPr>
        <w:t>&lt;/Members&gt;</w:t>
      </w:r>
    </w:p>
    <w:p w14:paraId="602D1BC4" w14:textId="77777777" w:rsidR="008144C7" w:rsidRPr="00635D1D" w:rsidRDefault="008144C7" w:rsidP="008144C7">
      <w:pPr>
        <w:pStyle w:val="NormalBold"/>
      </w:pPr>
      <w:r w:rsidRPr="00635D1D">
        <w:rPr>
          <w:rStyle w:val="HideTWBExt"/>
          <w:b w:val="0"/>
        </w:rPr>
        <w:t>&lt;/RepeatBlock-By&gt;</w:t>
      </w:r>
    </w:p>
    <w:p w14:paraId="3D8F15E8"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54827BE" w14:textId="77777777" w:rsidR="008144C7" w:rsidRPr="00635D1D" w:rsidRDefault="008144C7" w:rsidP="008144C7">
      <w:pPr>
        <w:pStyle w:val="NormalBold"/>
      </w:pPr>
      <w:r w:rsidRPr="00635D1D">
        <w:rPr>
          <w:rStyle w:val="HideTWBExt"/>
          <w:b w:val="0"/>
        </w:rPr>
        <w:t>&lt;Article&gt;</w:t>
      </w:r>
      <w:r w:rsidRPr="00635D1D">
        <w:t>Motyw 18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F77F153" w14:textId="77777777" w:rsidTr="00C5582D">
        <w:trPr>
          <w:trHeight w:val="240"/>
          <w:jc w:val="center"/>
        </w:trPr>
        <w:tc>
          <w:tcPr>
            <w:tcW w:w="9752" w:type="dxa"/>
            <w:gridSpan w:val="2"/>
            <w:tcBorders>
              <w:top w:val="nil"/>
              <w:left w:val="nil"/>
              <w:bottom w:val="nil"/>
              <w:right w:val="nil"/>
            </w:tcBorders>
          </w:tcPr>
          <w:p w14:paraId="2C298249" w14:textId="77777777" w:rsidR="008144C7" w:rsidRPr="00635D1D" w:rsidRDefault="008144C7" w:rsidP="00C5582D"/>
        </w:tc>
      </w:tr>
      <w:tr w:rsidR="008144C7" w:rsidRPr="00635D1D" w14:paraId="49099DE5" w14:textId="77777777" w:rsidTr="00C5582D">
        <w:trPr>
          <w:trHeight w:val="240"/>
          <w:jc w:val="center"/>
        </w:trPr>
        <w:tc>
          <w:tcPr>
            <w:tcW w:w="4876" w:type="dxa"/>
            <w:tcBorders>
              <w:top w:val="nil"/>
              <w:left w:val="nil"/>
              <w:bottom w:val="nil"/>
              <w:right w:val="nil"/>
            </w:tcBorders>
            <w:hideMark/>
          </w:tcPr>
          <w:p w14:paraId="4771EFF1"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90ED4E0" w14:textId="77777777" w:rsidR="008144C7" w:rsidRPr="00635D1D" w:rsidRDefault="008144C7" w:rsidP="00C5582D">
            <w:pPr>
              <w:pStyle w:val="AmColumnHeading"/>
            </w:pPr>
            <w:r w:rsidRPr="00635D1D">
              <w:t>Poprawka</w:t>
            </w:r>
          </w:p>
        </w:tc>
      </w:tr>
      <w:tr w:rsidR="008144C7" w:rsidRPr="00635D1D" w14:paraId="43D861C7" w14:textId="77777777" w:rsidTr="00C5582D">
        <w:trPr>
          <w:jc w:val="center"/>
        </w:trPr>
        <w:tc>
          <w:tcPr>
            <w:tcW w:w="4876" w:type="dxa"/>
            <w:tcBorders>
              <w:top w:val="nil"/>
              <w:left w:val="nil"/>
              <w:bottom w:val="nil"/>
              <w:right w:val="nil"/>
            </w:tcBorders>
            <w:hideMark/>
          </w:tcPr>
          <w:p w14:paraId="10FB323C" w14:textId="77777777" w:rsidR="008144C7" w:rsidRPr="00635D1D" w:rsidRDefault="008144C7" w:rsidP="00C5582D">
            <w:pPr>
              <w:pStyle w:val="Normal6a"/>
            </w:pPr>
            <w:r w:rsidRPr="00635D1D">
              <w:t>(18)</w:t>
            </w:r>
            <w:r w:rsidRPr="00635D1D">
              <w:tab/>
              <w:t xml:space="preserve">Ponadto należy </w:t>
            </w:r>
            <w:r w:rsidRPr="00635D1D">
              <w:rPr>
                <w:b/>
                <w:i/>
              </w:rPr>
              <w:t>określić</w:t>
            </w:r>
            <w:r w:rsidRPr="00635D1D">
              <w:t xml:space="preserve"> elementy uwzględniane przy ocenie dostępności odpowiednich substancji alternatywnych. Należy wskazać w szczególności, że stosowanie substancji </w:t>
            </w:r>
            <w:r w:rsidRPr="00635D1D">
              <w:rPr>
                <w:b/>
                <w:i/>
              </w:rPr>
              <w:t>alternatywnych powinno skutkować zmniejszeniem ogólnego ryzyka</w:t>
            </w:r>
            <w:r w:rsidRPr="00635D1D">
              <w:t xml:space="preserve"> dla zdrowia ludzkiego i środowiska</w:t>
            </w:r>
            <w:r w:rsidRPr="00635D1D">
              <w:rPr>
                <w:b/>
                <w:i/>
              </w:rPr>
              <w:t>, a</w:t>
            </w:r>
            <w:r w:rsidRPr="00635D1D">
              <w:t xml:space="preserve"> substancja powinna pełnić </w:t>
            </w:r>
            <w:r w:rsidRPr="00635D1D">
              <w:rPr>
                <w:b/>
                <w:i/>
              </w:rPr>
              <w:t>równoważną lub podobną</w:t>
            </w:r>
            <w:r w:rsidRPr="00635D1D">
              <w:t xml:space="preserve"> funkcję </w:t>
            </w:r>
            <w:r w:rsidRPr="00635D1D">
              <w:rPr>
                <w:b/>
                <w:i/>
              </w:rPr>
              <w:t>w produkcie kosmetycznym</w:t>
            </w:r>
            <w:r w:rsidRPr="00635D1D">
              <w:t xml:space="preserve"> i być dostępna na rynku w wystarczających ilościach, aby jej wykorzystywanie było technicznie wykonalne i ekonomicznie opłacalne dla przedsiębiorstw, a zwłaszcza dla MŚP.</w:t>
            </w:r>
            <w:r w:rsidRPr="00635D1D">
              <w:rPr>
                <w:b/>
                <w:i/>
              </w:rPr>
              <w:t xml:space="preserve"> Ponadto dostęp do takiej substancji nie powinien być utrudniony w związku z istnieniem patentów lub ograniczeń dotyczących surowców. </w:t>
            </w:r>
            <w:r w:rsidRPr="00635D1D">
              <w:t xml:space="preserve">Należy </w:t>
            </w:r>
            <w:r w:rsidRPr="00635D1D">
              <w:rPr>
                <w:b/>
                <w:i/>
              </w:rPr>
              <w:t>również przewidzieć możliwość uwzględnienia aspektów ekonomicznych</w:t>
            </w:r>
            <w:r w:rsidRPr="00635D1D">
              <w:t xml:space="preserve">, </w:t>
            </w:r>
            <w:r w:rsidRPr="00635D1D">
              <w:rPr>
                <w:b/>
                <w:i/>
              </w:rPr>
              <w:t>takich</w:t>
            </w:r>
            <w:r w:rsidRPr="00635D1D">
              <w:t xml:space="preserve"> jak </w:t>
            </w:r>
            <w:r w:rsidRPr="00635D1D">
              <w:rPr>
                <w:b/>
                <w:i/>
              </w:rPr>
              <w:t>koszt</w:t>
            </w:r>
            <w:r w:rsidRPr="00635D1D">
              <w:t xml:space="preserve"> sporządzenia nowych receptur i </w:t>
            </w:r>
            <w:r w:rsidRPr="00635D1D">
              <w:rPr>
                <w:b/>
                <w:i/>
              </w:rPr>
              <w:t>porównawczy</w:t>
            </w:r>
            <w:r w:rsidRPr="00635D1D">
              <w:t xml:space="preserve"> udział w ogólnych kosztach produkcji, </w:t>
            </w:r>
            <w:r w:rsidRPr="00635D1D">
              <w:rPr>
                <w:b/>
                <w:i/>
              </w:rPr>
              <w:t>jako istotnych czynników w analizie</w:t>
            </w:r>
            <w:r w:rsidRPr="00635D1D">
              <w:t xml:space="preserve"> przydatności substancji alternatywnych.</w:t>
            </w:r>
          </w:p>
        </w:tc>
        <w:tc>
          <w:tcPr>
            <w:tcW w:w="4876" w:type="dxa"/>
            <w:tcBorders>
              <w:top w:val="nil"/>
              <w:left w:val="nil"/>
              <w:bottom w:val="nil"/>
              <w:right w:val="nil"/>
            </w:tcBorders>
            <w:hideMark/>
          </w:tcPr>
          <w:p w14:paraId="0FC2EBAF" w14:textId="77777777" w:rsidR="008144C7" w:rsidRPr="00635D1D" w:rsidRDefault="008144C7" w:rsidP="00C5582D">
            <w:pPr>
              <w:pStyle w:val="Normal6a"/>
            </w:pPr>
            <w:r w:rsidRPr="00635D1D">
              <w:t>(18)</w:t>
            </w:r>
            <w:r w:rsidRPr="00635D1D">
              <w:tab/>
              <w:t xml:space="preserve">Ponadto należy </w:t>
            </w:r>
            <w:r w:rsidRPr="00635D1D">
              <w:rPr>
                <w:b/>
                <w:i/>
              </w:rPr>
              <w:t>podkreślić</w:t>
            </w:r>
            <w:r w:rsidRPr="00635D1D">
              <w:t xml:space="preserve"> elementy uwzględniane przy ocenie dostępności odpowiednich substancji alternatywnych. Należy wskazać w szczególności, że stosowanie substancji </w:t>
            </w:r>
            <w:r w:rsidRPr="00635D1D">
              <w:rPr>
                <w:b/>
                <w:i/>
              </w:rPr>
              <w:t>alternatywnej, która zastępuje zapotrzebowanie na daną substancję, jest bezpieczne</w:t>
            </w:r>
            <w:r w:rsidRPr="00635D1D">
              <w:t xml:space="preserve"> dla zdrowia ludzkiego i środowiska</w:t>
            </w:r>
            <w:r w:rsidRPr="00635D1D">
              <w:rPr>
                <w:b/>
                <w:i/>
              </w:rPr>
              <w:t xml:space="preserve">. </w:t>
            </w:r>
            <w:r w:rsidRPr="00635D1D">
              <w:t xml:space="preserve">Substancja </w:t>
            </w:r>
            <w:r w:rsidRPr="00635D1D">
              <w:rPr>
                <w:b/>
                <w:i/>
              </w:rPr>
              <w:t>alternatywna</w:t>
            </w:r>
            <w:r w:rsidRPr="00635D1D">
              <w:t xml:space="preserve"> powinna pełnić </w:t>
            </w:r>
            <w:r w:rsidRPr="00635D1D">
              <w:rPr>
                <w:b/>
                <w:i/>
              </w:rPr>
              <w:t>taką samą</w:t>
            </w:r>
            <w:r w:rsidRPr="00635D1D">
              <w:t xml:space="preserve"> funkcję</w:t>
            </w:r>
            <w:r w:rsidRPr="00635D1D">
              <w:rPr>
                <w:b/>
                <w:i/>
              </w:rPr>
              <w:t>, zapewniać taki sam poziom skuteczności</w:t>
            </w:r>
            <w:r w:rsidRPr="00635D1D">
              <w:t xml:space="preserve"> i </w:t>
            </w:r>
            <w:r w:rsidRPr="00635D1D">
              <w:rPr>
                <w:b/>
                <w:bCs/>
                <w:i/>
                <w:iCs/>
              </w:rPr>
              <w:t>wydajności oraz</w:t>
            </w:r>
            <w:r w:rsidRPr="00635D1D">
              <w:t xml:space="preserve"> być dostępna na rynku w wystarczających ilościach, aby jej wykorzystywanie było technicznie wykonalne i ekonomicznie opłacalne dla przedsiębiorstw, a zwłaszcza dla MŚP</w:t>
            </w:r>
            <w:r w:rsidRPr="00635D1D">
              <w:rPr>
                <w:b/>
                <w:i/>
              </w:rPr>
              <w:t>, pod kątem umożliwienia stałej produkcji</w:t>
            </w:r>
            <w:r w:rsidRPr="00635D1D">
              <w:t>.</w:t>
            </w:r>
            <w:r w:rsidRPr="00635D1D">
              <w:rPr>
                <w:b/>
                <w:i/>
              </w:rPr>
              <w:t xml:space="preserve"> Oceniając wykonalność ekonomiczną,</w:t>
            </w:r>
            <w:r w:rsidRPr="00635D1D">
              <w:t xml:space="preserve"> należy </w:t>
            </w:r>
            <w:r w:rsidRPr="00635D1D">
              <w:rPr>
                <w:b/>
                <w:i/>
              </w:rPr>
              <w:t>uwzględnić istotne czynniki ekonomiczne</w:t>
            </w:r>
            <w:r w:rsidRPr="00635D1D">
              <w:t xml:space="preserve">, </w:t>
            </w:r>
            <w:r w:rsidRPr="00635D1D">
              <w:rPr>
                <w:b/>
                <w:i/>
              </w:rPr>
              <w:t>takie</w:t>
            </w:r>
            <w:r w:rsidRPr="00635D1D">
              <w:t xml:space="preserve"> jak </w:t>
            </w:r>
            <w:r w:rsidRPr="00635D1D">
              <w:rPr>
                <w:b/>
                <w:i/>
              </w:rPr>
              <w:t>koszty sporządzenia nowych receptur</w:t>
            </w:r>
            <w:r w:rsidRPr="00635D1D">
              <w:t xml:space="preserve"> i </w:t>
            </w:r>
            <w:r w:rsidRPr="00635D1D">
              <w:rPr>
                <w:b/>
                <w:i/>
              </w:rPr>
              <w:t>względny</w:t>
            </w:r>
            <w:r w:rsidRPr="00635D1D">
              <w:t xml:space="preserve"> udział </w:t>
            </w:r>
            <w:r w:rsidRPr="00635D1D">
              <w:rPr>
                <w:b/>
                <w:bCs/>
                <w:i/>
                <w:iCs/>
              </w:rPr>
              <w:t>substancji</w:t>
            </w:r>
            <w:r w:rsidRPr="00635D1D">
              <w:t xml:space="preserve"> w ogólnych kosztach produkcji,</w:t>
            </w:r>
            <w:r w:rsidRPr="00635D1D">
              <w:rPr>
                <w:b/>
                <w:bCs/>
                <w:i/>
                <w:iCs/>
              </w:rPr>
              <w:t xml:space="preserve"> przy ocenie</w:t>
            </w:r>
            <w:r w:rsidRPr="00635D1D">
              <w:t xml:space="preserve"> przydatności substancji alternatywnych.</w:t>
            </w:r>
          </w:p>
        </w:tc>
      </w:tr>
    </w:tbl>
    <w:p w14:paraId="5F2BFAE3"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3544D060"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2BFABAA8" w14:textId="77777777" w:rsidR="008144C7" w:rsidRPr="00635D1D" w:rsidRDefault="008144C7" w:rsidP="008144C7">
      <w:pPr>
        <w:pStyle w:val="AmJustText"/>
      </w:pPr>
      <w:r w:rsidRPr="00635D1D">
        <w:t>Wszelkie odstępstwa na mocy art. 15 ust. 2 powinny opierać się przede wszystkim na ocenie Komitetu Naukowego ds. Bezpieczeństwa Konsumentów (SCCS) dotyczącej bezpieczeństwa substancji CMR w określonych zastosowaniach kosmetycznych. Ponadto poprawka służy doprecyzowaniu, że odpowiednie substancje alternatywne muszą wyraźnie zmniejszać ogólne ryzyko, zapewniać tę samą funkcję i skuteczność, być technicznie wykonalne na skalę przemysłową, ekonomicznie opłacalne pod kątem umożliwienia stałej produkcji i nie mogą podlegać istniejącym ani przyszłym ograniczeniom.</w:t>
      </w:r>
    </w:p>
    <w:p w14:paraId="4CD79952" w14:textId="77777777" w:rsidR="008144C7" w:rsidRPr="00AD15CF" w:rsidRDefault="008144C7" w:rsidP="008144C7">
      <w:pPr>
        <w:rPr>
          <w:lang w:val="en-GB"/>
        </w:rPr>
      </w:pPr>
      <w:r w:rsidRPr="00AD15CF">
        <w:rPr>
          <w:rStyle w:val="HideTWBExt"/>
          <w:lang w:val="en-GB"/>
        </w:rPr>
        <w:t>&lt;/Amend&gt;</w:t>
      </w:r>
    </w:p>
    <w:p w14:paraId="1CA33548"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188</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3C3FC8AC"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Majdouline</w:t>
      </w:r>
      <w:proofErr w:type="spellEnd"/>
      <w:r w:rsidRPr="00AD15CF">
        <w:rPr>
          <w:lang w:val="en-GB"/>
        </w:rPr>
        <w:t xml:space="preserve"> </w:t>
      </w:r>
      <w:proofErr w:type="spellStart"/>
      <w:r w:rsidRPr="00AD15CF">
        <w:rPr>
          <w:lang w:val="en-GB"/>
        </w:rPr>
        <w:t>Sbai</w:t>
      </w:r>
      <w:proofErr w:type="spellEnd"/>
      <w:r w:rsidRPr="00AD15CF">
        <w:rPr>
          <w:rStyle w:val="HideTWBExt"/>
          <w:b w:val="0"/>
          <w:lang w:val="en-GB"/>
        </w:rPr>
        <w:t>&lt;/Members&gt;</w:t>
      </w:r>
    </w:p>
    <w:p w14:paraId="76024D31" w14:textId="77777777" w:rsidR="008144C7" w:rsidRPr="00635D1D" w:rsidRDefault="008144C7" w:rsidP="008144C7">
      <w:pPr>
        <w:pStyle w:val="NormalBold"/>
      </w:pPr>
      <w:r w:rsidRPr="00635D1D">
        <w:rPr>
          <w:rStyle w:val="HideTWBExt"/>
          <w:b w:val="0"/>
        </w:rPr>
        <w:t>&lt;/RepeatBlock-By&gt;</w:t>
      </w:r>
    </w:p>
    <w:p w14:paraId="5158416B"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1D28003" w14:textId="77777777" w:rsidR="008144C7" w:rsidRPr="00635D1D" w:rsidRDefault="008144C7" w:rsidP="008144C7">
      <w:pPr>
        <w:pStyle w:val="NormalBold"/>
      </w:pPr>
      <w:r w:rsidRPr="00635D1D">
        <w:rPr>
          <w:rStyle w:val="HideTWBExt"/>
          <w:b w:val="0"/>
        </w:rPr>
        <w:t>&lt;Article&gt;</w:t>
      </w:r>
      <w:r w:rsidRPr="00635D1D">
        <w:t>Motyw 18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C47D855" w14:textId="77777777" w:rsidTr="00C5582D">
        <w:trPr>
          <w:trHeight w:val="240"/>
          <w:jc w:val="center"/>
        </w:trPr>
        <w:tc>
          <w:tcPr>
            <w:tcW w:w="9752" w:type="dxa"/>
            <w:gridSpan w:val="2"/>
            <w:tcBorders>
              <w:top w:val="nil"/>
              <w:left w:val="nil"/>
              <w:bottom w:val="nil"/>
              <w:right w:val="nil"/>
            </w:tcBorders>
          </w:tcPr>
          <w:p w14:paraId="4385BA46" w14:textId="77777777" w:rsidR="008144C7" w:rsidRPr="00635D1D" w:rsidRDefault="008144C7" w:rsidP="00C5582D"/>
        </w:tc>
      </w:tr>
      <w:tr w:rsidR="008144C7" w:rsidRPr="00635D1D" w14:paraId="0852E434" w14:textId="77777777" w:rsidTr="00C5582D">
        <w:trPr>
          <w:trHeight w:val="240"/>
          <w:jc w:val="center"/>
        </w:trPr>
        <w:tc>
          <w:tcPr>
            <w:tcW w:w="4876" w:type="dxa"/>
            <w:tcBorders>
              <w:top w:val="nil"/>
              <w:left w:val="nil"/>
              <w:bottom w:val="nil"/>
              <w:right w:val="nil"/>
            </w:tcBorders>
            <w:hideMark/>
          </w:tcPr>
          <w:p w14:paraId="6B432AF7"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0AD429C3" w14:textId="77777777" w:rsidR="008144C7" w:rsidRPr="00635D1D" w:rsidRDefault="008144C7" w:rsidP="00C5582D">
            <w:pPr>
              <w:pStyle w:val="AmColumnHeading"/>
            </w:pPr>
            <w:r w:rsidRPr="00635D1D">
              <w:t>Poprawka</w:t>
            </w:r>
          </w:p>
        </w:tc>
      </w:tr>
      <w:tr w:rsidR="008144C7" w:rsidRPr="00635D1D" w14:paraId="44348D5B" w14:textId="77777777" w:rsidTr="00C5582D">
        <w:trPr>
          <w:jc w:val="center"/>
        </w:trPr>
        <w:tc>
          <w:tcPr>
            <w:tcW w:w="4876" w:type="dxa"/>
            <w:tcBorders>
              <w:top w:val="nil"/>
              <w:left w:val="nil"/>
              <w:bottom w:val="nil"/>
              <w:right w:val="nil"/>
            </w:tcBorders>
          </w:tcPr>
          <w:p w14:paraId="6F094181" w14:textId="77777777" w:rsidR="008144C7" w:rsidRPr="00635D1D" w:rsidRDefault="008144C7" w:rsidP="00C5582D">
            <w:pPr>
              <w:pStyle w:val="Normal6a"/>
            </w:pPr>
          </w:p>
        </w:tc>
        <w:tc>
          <w:tcPr>
            <w:tcW w:w="4876" w:type="dxa"/>
            <w:tcBorders>
              <w:top w:val="nil"/>
              <w:left w:val="nil"/>
              <w:bottom w:val="nil"/>
              <w:right w:val="nil"/>
            </w:tcBorders>
            <w:hideMark/>
          </w:tcPr>
          <w:p w14:paraId="5122EEEB" w14:textId="77777777" w:rsidR="008144C7" w:rsidRPr="00635D1D" w:rsidRDefault="008144C7" w:rsidP="00C5582D">
            <w:pPr>
              <w:pStyle w:val="Normal6a"/>
            </w:pPr>
            <w:r w:rsidRPr="00635D1D">
              <w:rPr>
                <w:b/>
                <w:i/>
              </w:rPr>
              <w:t>(18a)</w:t>
            </w:r>
            <w:r w:rsidRPr="00635D1D">
              <w:tab/>
            </w:r>
            <w:r w:rsidRPr="00635D1D">
              <w:rPr>
                <w:b/>
                <w:i/>
              </w:rPr>
              <w:t>Jeżeli chodzi o ocenę rozwiązań alternatywnych, słowa „podobne” i „porównywalne” odnoszą się do wszystkich możliwych dostępnych substancji alternatywnych, a nie tylko tych, które zapewniają zastąpienie 1:1. Sformułowanie „technicznie wykonalne” podkreśla, że musi istnieć możliwość zastosowania substancji alternatywnej z wykorzystaniem ogólnie dostępnych technologii i metod.</w:t>
            </w:r>
          </w:p>
        </w:tc>
      </w:tr>
    </w:tbl>
    <w:p w14:paraId="2F1FA9B0"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6CBD7F4E"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3CC9C048" w14:textId="77777777" w:rsidR="008144C7" w:rsidRPr="00635D1D" w:rsidRDefault="008144C7" w:rsidP="008144C7">
      <w:pPr>
        <w:pStyle w:val="AmJustText"/>
      </w:pPr>
      <w:r w:rsidRPr="00635D1D">
        <w:t>Ważne jest, aby stosować szeroką koncepcję substancji alternatywnych, a nie tylko zastąpienie 1:1. Należy lepiej wyjaśnić kilka terminów zawartych w części normatywnej.</w:t>
      </w:r>
    </w:p>
    <w:p w14:paraId="22E26831" w14:textId="77777777" w:rsidR="008144C7" w:rsidRPr="00635D1D" w:rsidRDefault="008144C7" w:rsidP="008144C7">
      <w:r w:rsidRPr="00635D1D">
        <w:rPr>
          <w:rStyle w:val="HideTWBExt"/>
        </w:rPr>
        <w:t>&lt;/Amend&gt;</w:t>
      </w:r>
    </w:p>
    <w:p w14:paraId="7ED92EFF"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189</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6CECEBCA" w14:textId="77777777" w:rsidR="008144C7" w:rsidRPr="00635D1D" w:rsidRDefault="008144C7" w:rsidP="008144C7">
      <w:pPr>
        <w:pStyle w:val="NormalBold"/>
      </w:pPr>
      <w:r w:rsidRPr="00635D1D">
        <w:rPr>
          <w:rStyle w:val="HideTWBExt"/>
          <w:b w:val="0"/>
        </w:rPr>
        <w:t>&lt;RepeatBlock-By&gt;&lt;Members&gt;</w:t>
      </w:r>
      <w:r w:rsidRPr="00635D1D">
        <w:t xml:space="preserve">Pietro </w:t>
      </w:r>
      <w:proofErr w:type="spellStart"/>
      <w:r w:rsidRPr="00635D1D">
        <w:t>Fiocchi</w:t>
      </w:r>
      <w:proofErr w:type="spellEnd"/>
      <w:r w:rsidRPr="00635D1D">
        <w:t xml:space="preserve">, Antonella </w:t>
      </w:r>
      <w:proofErr w:type="spellStart"/>
      <w:r w:rsidRPr="00635D1D">
        <w:t>Sberna</w:t>
      </w:r>
      <w:proofErr w:type="spellEnd"/>
      <w:r w:rsidRPr="00635D1D">
        <w:rPr>
          <w:rStyle w:val="HideTWBExt"/>
          <w:b w:val="0"/>
        </w:rPr>
        <w:t>&lt;/Members&gt;</w:t>
      </w:r>
    </w:p>
    <w:p w14:paraId="581E87A9" w14:textId="77777777" w:rsidR="008144C7" w:rsidRPr="00635D1D" w:rsidRDefault="008144C7" w:rsidP="008144C7">
      <w:pPr>
        <w:pStyle w:val="NormalBold"/>
      </w:pPr>
      <w:r w:rsidRPr="00635D1D">
        <w:rPr>
          <w:rStyle w:val="HideTWBExt"/>
          <w:b w:val="0"/>
        </w:rPr>
        <w:t>&lt;/RepeatBlock-By&gt;</w:t>
      </w:r>
    </w:p>
    <w:p w14:paraId="26475229"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927BABA" w14:textId="77777777" w:rsidR="008144C7" w:rsidRPr="00635D1D" w:rsidRDefault="008144C7" w:rsidP="008144C7">
      <w:pPr>
        <w:pStyle w:val="NormalBold"/>
      </w:pPr>
      <w:r w:rsidRPr="00635D1D">
        <w:rPr>
          <w:rStyle w:val="HideTWBExt"/>
          <w:b w:val="0"/>
        </w:rPr>
        <w:t>&lt;Article&gt;</w:t>
      </w:r>
      <w:r w:rsidRPr="00635D1D">
        <w:t>Motyw 18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8189AEE" w14:textId="77777777" w:rsidTr="00C5582D">
        <w:trPr>
          <w:trHeight w:val="240"/>
          <w:jc w:val="center"/>
        </w:trPr>
        <w:tc>
          <w:tcPr>
            <w:tcW w:w="9752" w:type="dxa"/>
            <w:gridSpan w:val="2"/>
            <w:tcBorders>
              <w:top w:val="nil"/>
              <w:left w:val="nil"/>
              <w:bottom w:val="nil"/>
              <w:right w:val="nil"/>
            </w:tcBorders>
          </w:tcPr>
          <w:p w14:paraId="24331E28" w14:textId="77777777" w:rsidR="008144C7" w:rsidRPr="00635D1D" w:rsidRDefault="008144C7" w:rsidP="00C5582D"/>
        </w:tc>
      </w:tr>
      <w:tr w:rsidR="008144C7" w:rsidRPr="00635D1D" w14:paraId="27AFFB8D" w14:textId="77777777" w:rsidTr="00C5582D">
        <w:trPr>
          <w:trHeight w:val="240"/>
          <w:jc w:val="center"/>
        </w:trPr>
        <w:tc>
          <w:tcPr>
            <w:tcW w:w="4876" w:type="dxa"/>
            <w:tcBorders>
              <w:top w:val="nil"/>
              <w:left w:val="nil"/>
              <w:bottom w:val="nil"/>
              <w:right w:val="nil"/>
            </w:tcBorders>
            <w:hideMark/>
          </w:tcPr>
          <w:p w14:paraId="42FC715B"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995822E" w14:textId="77777777" w:rsidR="008144C7" w:rsidRPr="00635D1D" w:rsidRDefault="008144C7" w:rsidP="00C5582D">
            <w:pPr>
              <w:pStyle w:val="AmColumnHeading"/>
            </w:pPr>
            <w:r w:rsidRPr="00635D1D">
              <w:t>Poprawka</w:t>
            </w:r>
          </w:p>
        </w:tc>
      </w:tr>
      <w:tr w:rsidR="008144C7" w:rsidRPr="00635D1D" w14:paraId="12EEC678" w14:textId="77777777" w:rsidTr="00C5582D">
        <w:trPr>
          <w:jc w:val="center"/>
        </w:trPr>
        <w:tc>
          <w:tcPr>
            <w:tcW w:w="4876" w:type="dxa"/>
            <w:tcBorders>
              <w:top w:val="nil"/>
              <w:left w:val="nil"/>
              <w:bottom w:val="nil"/>
              <w:right w:val="nil"/>
            </w:tcBorders>
          </w:tcPr>
          <w:p w14:paraId="255205B9" w14:textId="77777777" w:rsidR="008144C7" w:rsidRPr="00635D1D" w:rsidRDefault="008144C7" w:rsidP="00C5582D">
            <w:pPr>
              <w:pStyle w:val="Normal6a"/>
            </w:pPr>
          </w:p>
        </w:tc>
        <w:tc>
          <w:tcPr>
            <w:tcW w:w="4876" w:type="dxa"/>
            <w:tcBorders>
              <w:top w:val="nil"/>
              <w:left w:val="nil"/>
              <w:bottom w:val="nil"/>
              <w:right w:val="nil"/>
            </w:tcBorders>
            <w:hideMark/>
          </w:tcPr>
          <w:p w14:paraId="56B25835" w14:textId="77777777" w:rsidR="008144C7" w:rsidRPr="00635D1D" w:rsidRDefault="008144C7" w:rsidP="00C5582D">
            <w:pPr>
              <w:pStyle w:val="Normal6a"/>
            </w:pPr>
            <w:r w:rsidRPr="00635D1D">
              <w:rPr>
                <w:b/>
                <w:i/>
              </w:rPr>
              <w:t>(18a)</w:t>
            </w:r>
            <w:r w:rsidRPr="00635D1D">
              <w:tab/>
            </w:r>
            <w:r w:rsidRPr="00635D1D">
              <w:rPr>
                <w:b/>
                <w:i/>
              </w:rPr>
              <w:t>W odniesieniu do oceny substancji alternatywnych wnioskodawca powinien wykazać, że w odniesieniu do sklasyfikowanego składnika nie jest możliwe zastąpienie 1:1. Ze względu na powszechność i różnorodność nowych receptur, w których trzeba by było zastąpić dany składnik, należy zastosować proporcjonalne podejście do ciężaru dowodu.</w:t>
            </w:r>
          </w:p>
        </w:tc>
      </w:tr>
    </w:tbl>
    <w:p w14:paraId="6D409B92"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629D0FCC"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3E73E458" w14:textId="77777777" w:rsidR="008144C7" w:rsidRPr="00635D1D" w:rsidRDefault="008144C7" w:rsidP="008144C7">
      <w:pPr>
        <w:pStyle w:val="AmJustText"/>
      </w:pPr>
      <w:r w:rsidRPr="00635D1D">
        <w:t>Opracowanie wytycznych w trosce o spójność i przewidywalność w ocenie substancji alternatywnych jest pożądanym krokiem. Konieczne są jednak dalsze doprecyzowanie, ponieważ odniesienie do „tych terminów” jest nieprecyzyjne. Ponadto wytyczne nie powinny ograniczać się do wyjaśnienia kryteriów wykonalności technicznej i opłacalności ekonomicznej, ale powinny wyjaśniać wszystkie mające zastosowanie warunki.</w:t>
      </w:r>
    </w:p>
    <w:p w14:paraId="7F0BD8A2" w14:textId="77777777" w:rsidR="008144C7" w:rsidRPr="00AD15CF" w:rsidRDefault="008144C7" w:rsidP="008144C7">
      <w:pPr>
        <w:rPr>
          <w:lang w:val="en-GB"/>
        </w:rPr>
      </w:pPr>
      <w:r w:rsidRPr="00AD15CF">
        <w:rPr>
          <w:rStyle w:val="HideTWBExt"/>
          <w:lang w:val="en-GB"/>
        </w:rPr>
        <w:t>&lt;/Amend&gt;</w:t>
      </w:r>
    </w:p>
    <w:p w14:paraId="1D15E7DD"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190</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6C6CBEEE"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Beatrice </w:t>
      </w:r>
      <w:proofErr w:type="spellStart"/>
      <w:r w:rsidRPr="00AD15CF">
        <w:rPr>
          <w:lang w:val="en-GB"/>
        </w:rPr>
        <w:t>Timgren</w:t>
      </w:r>
      <w:proofErr w:type="spellEnd"/>
      <w:r w:rsidRPr="00AD15CF">
        <w:rPr>
          <w:rStyle w:val="HideTWBExt"/>
          <w:b w:val="0"/>
          <w:lang w:val="en-GB"/>
        </w:rPr>
        <w:t>&lt;/Members&gt;</w:t>
      </w:r>
    </w:p>
    <w:p w14:paraId="22E5B2C3" w14:textId="77777777" w:rsidR="008144C7" w:rsidRPr="00635D1D" w:rsidRDefault="008144C7" w:rsidP="008144C7">
      <w:pPr>
        <w:pStyle w:val="NormalBold"/>
      </w:pPr>
      <w:r w:rsidRPr="00635D1D">
        <w:rPr>
          <w:rStyle w:val="HideTWBExt"/>
          <w:b w:val="0"/>
        </w:rPr>
        <w:t>&lt;/RepeatBlock-By&gt;</w:t>
      </w:r>
    </w:p>
    <w:p w14:paraId="6107B7E2"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026392A" w14:textId="77777777" w:rsidR="008144C7" w:rsidRPr="00635D1D" w:rsidRDefault="008144C7" w:rsidP="008144C7">
      <w:pPr>
        <w:pStyle w:val="NormalBold"/>
      </w:pPr>
      <w:r w:rsidRPr="00635D1D">
        <w:rPr>
          <w:rStyle w:val="HideTWBExt"/>
          <w:b w:val="0"/>
        </w:rPr>
        <w:t>&lt;Article&gt;</w:t>
      </w:r>
      <w:r w:rsidRPr="00635D1D">
        <w:t>Motyw 19</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F11CE06" w14:textId="77777777" w:rsidTr="00C5582D">
        <w:trPr>
          <w:trHeight w:val="240"/>
          <w:jc w:val="center"/>
        </w:trPr>
        <w:tc>
          <w:tcPr>
            <w:tcW w:w="9752" w:type="dxa"/>
            <w:gridSpan w:val="2"/>
            <w:tcBorders>
              <w:top w:val="nil"/>
              <w:left w:val="nil"/>
              <w:bottom w:val="nil"/>
              <w:right w:val="nil"/>
            </w:tcBorders>
          </w:tcPr>
          <w:p w14:paraId="556BAE7D" w14:textId="77777777" w:rsidR="008144C7" w:rsidRPr="00635D1D" w:rsidRDefault="008144C7" w:rsidP="00C5582D"/>
        </w:tc>
      </w:tr>
      <w:tr w:rsidR="008144C7" w:rsidRPr="00635D1D" w14:paraId="0CE7365D" w14:textId="77777777" w:rsidTr="00C5582D">
        <w:trPr>
          <w:trHeight w:val="240"/>
          <w:jc w:val="center"/>
        </w:trPr>
        <w:tc>
          <w:tcPr>
            <w:tcW w:w="4876" w:type="dxa"/>
            <w:tcBorders>
              <w:top w:val="nil"/>
              <w:left w:val="nil"/>
              <w:bottom w:val="nil"/>
              <w:right w:val="nil"/>
            </w:tcBorders>
            <w:hideMark/>
          </w:tcPr>
          <w:p w14:paraId="09199187"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4F09740" w14:textId="77777777" w:rsidR="008144C7" w:rsidRPr="00635D1D" w:rsidRDefault="008144C7" w:rsidP="00C5582D">
            <w:pPr>
              <w:pStyle w:val="AmColumnHeading"/>
            </w:pPr>
            <w:r w:rsidRPr="00635D1D">
              <w:t>Poprawka</w:t>
            </w:r>
          </w:p>
        </w:tc>
      </w:tr>
      <w:tr w:rsidR="008144C7" w:rsidRPr="00635D1D" w14:paraId="58A5D53F" w14:textId="77777777" w:rsidTr="00C5582D">
        <w:trPr>
          <w:jc w:val="center"/>
        </w:trPr>
        <w:tc>
          <w:tcPr>
            <w:tcW w:w="4876" w:type="dxa"/>
            <w:tcBorders>
              <w:top w:val="nil"/>
              <w:left w:val="nil"/>
              <w:bottom w:val="nil"/>
              <w:right w:val="nil"/>
            </w:tcBorders>
            <w:hideMark/>
          </w:tcPr>
          <w:p w14:paraId="1D1D4589" w14:textId="77777777" w:rsidR="008144C7" w:rsidRPr="00635D1D" w:rsidRDefault="008144C7" w:rsidP="00C5582D">
            <w:pPr>
              <w:pStyle w:val="Normal6a"/>
            </w:pPr>
            <w:r w:rsidRPr="00635D1D">
              <w:t>(19)</w:t>
            </w:r>
            <w:r w:rsidRPr="00635D1D">
              <w:tab/>
              <w:t xml:space="preserve">Ponadto, aby usprawnić procedurę przyznawania odstępstw, warunek złożenia wniosku o odstępstwo dla określonego zastosowania w kategorii produktu o znanym poziomie narażenia należy uwzględnić w ramach kryterium oceny SCCS. Obecnie komitet naukowy ocenia już bezpieczeństwo substancji, biorąc pod uwagę jej właściwości stwarzające zagrożenie i narażenie </w:t>
            </w:r>
            <w:r w:rsidRPr="00635D1D">
              <w:rPr>
                <w:b/>
                <w:i/>
              </w:rPr>
              <w:t>(tj. konkretne zastosowanie w określonej kategorii produktu)</w:t>
            </w:r>
            <w:r w:rsidRPr="00635D1D">
              <w:t>, w związku z czym odrębne kryterium jest zbędne.</w:t>
            </w:r>
          </w:p>
        </w:tc>
        <w:tc>
          <w:tcPr>
            <w:tcW w:w="4876" w:type="dxa"/>
            <w:tcBorders>
              <w:top w:val="nil"/>
              <w:left w:val="nil"/>
              <w:bottom w:val="nil"/>
              <w:right w:val="nil"/>
            </w:tcBorders>
            <w:hideMark/>
          </w:tcPr>
          <w:p w14:paraId="070151A5" w14:textId="77777777" w:rsidR="008144C7" w:rsidRPr="00635D1D" w:rsidRDefault="008144C7" w:rsidP="00C5582D">
            <w:pPr>
              <w:pStyle w:val="Normal6a"/>
            </w:pPr>
            <w:r w:rsidRPr="00635D1D">
              <w:t>(19)</w:t>
            </w:r>
            <w:r w:rsidRPr="00635D1D">
              <w:tab/>
              <w:t>Ponadto, aby usprawnić procedurę przyznawania odstępstw, warunek złożenia wniosku o odstępstwo dla określonego zastosowania w kategorii produktu o znanym poziomie narażenia należy uwzględnić w ramach kryterium oceny SCCS. Obecnie komitet naukowy ocenia już bezpieczeństwo substancji, biorąc pod uwagę jej właściwości stwarzające zagrożenie i narażenie, w związku z czym odrębne kryterium jest zbędne.</w:t>
            </w:r>
          </w:p>
        </w:tc>
      </w:tr>
    </w:tbl>
    <w:p w14:paraId="6CF2B577"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36287F6E" w14:textId="77777777" w:rsidR="008144C7" w:rsidRPr="00AD15CF" w:rsidRDefault="008144C7" w:rsidP="008144C7">
      <w:pPr>
        <w:rPr>
          <w:lang w:val="en-GB"/>
        </w:rPr>
      </w:pPr>
      <w:r w:rsidRPr="00AD15CF">
        <w:rPr>
          <w:rStyle w:val="HideTWBExt"/>
          <w:lang w:val="en-GB"/>
        </w:rPr>
        <w:t>&lt;/Amend&gt;</w:t>
      </w:r>
    </w:p>
    <w:p w14:paraId="5CF20816"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191</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4C2D27E8"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Vytenis </w:t>
      </w:r>
      <w:proofErr w:type="spellStart"/>
      <w:r w:rsidRPr="00AD15CF">
        <w:rPr>
          <w:lang w:val="en-GB"/>
        </w:rPr>
        <w:t>Povilas</w:t>
      </w:r>
      <w:proofErr w:type="spellEnd"/>
      <w:r w:rsidRPr="00AD15CF">
        <w:rPr>
          <w:lang w:val="en-GB"/>
        </w:rPr>
        <w:t xml:space="preserve"> Andriukaitis</w:t>
      </w:r>
      <w:r w:rsidRPr="00AD15CF">
        <w:rPr>
          <w:rStyle w:val="HideTWBExt"/>
          <w:b w:val="0"/>
          <w:lang w:val="en-GB"/>
        </w:rPr>
        <w:t>&lt;/Members&gt;</w:t>
      </w:r>
    </w:p>
    <w:p w14:paraId="7B60C90B" w14:textId="77777777" w:rsidR="008144C7" w:rsidRPr="00635D1D" w:rsidRDefault="008144C7" w:rsidP="008144C7">
      <w:pPr>
        <w:pStyle w:val="NormalBold"/>
      </w:pPr>
      <w:r w:rsidRPr="00635D1D">
        <w:rPr>
          <w:rStyle w:val="HideTWBExt"/>
          <w:b w:val="0"/>
        </w:rPr>
        <w:t>&lt;/RepeatBlock-By&gt;</w:t>
      </w:r>
    </w:p>
    <w:p w14:paraId="4B0D9C10"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428EF65" w14:textId="77777777" w:rsidR="008144C7" w:rsidRPr="00635D1D" w:rsidRDefault="008144C7" w:rsidP="008144C7">
      <w:pPr>
        <w:pStyle w:val="NormalBold"/>
      </w:pPr>
      <w:r w:rsidRPr="00635D1D">
        <w:rPr>
          <w:rStyle w:val="HideTWBExt"/>
          <w:b w:val="0"/>
        </w:rPr>
        <w:t>&lt;Article&gt;</w:t>
      </w:r>
      <w:r w:rsidRPr="00635D1D">
        <w:t>Motyw 19</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E498C87" w14:textId="77777777" w:rsidTr="00C5582D">
        <w:trPr>
          <w:trHeight w:val="240"/>
          <w:jc w:val="center"/>
        </w:trPr>
        <w:tc>
          <w:tcPr>
            <w:tcW w:w="9752" w:type="dxa"/>
            <w:gridSpan w:val="2"/>
            <w:tcBorders>
              <w:top w:val="nil"/>
              <w:left w:val="nil"/>
              <w:bottom w:val="nil"/>
              <w:right w:val="nil"/>
            </w:tcBorders>
          </w:tcPr>
          <w:p w14:paraId="1174F0E0" w14:textId="77777777" w:rsidR="008144C7" w:rsidRPr="00635D1D" w:rsidRDefault="008144C7" w:rsidP="00C5582D"/>
        </w:tc>
      </w:tr>
      <w:tr w:rsidR="008144C7" w:rsidRPr="00635D1D" w14:paraId="5AC7D401" w14:textId="77777777" w:rsidTr="00C5582D">
        <w:trPr>
          <w:trHeight w:val="240"/>
          <w:jc w:val="center"/>
        </w:trPr>
        <w:tc>
          <w:tcPr>
            <w:tcW w:w="4876" w:type="dxa"/>
            <w:tcBorders>
              <w:top w:val="nil"/>
              <w:left w:val="nil"/>
              <w:bottom w:val="nil"/>
              <w:right w:val="nil"/>
            </w:tcBorders>
            <w:hideMark/>
          </w:tcPr>
          <w:p w14:paraId="76A0F7FF"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856F37D" w14:textId="77777777" w:rsidR="008144C7" w:rsidRPr="00635D1D" w:rsidRDefault="008144C7" w:rsidP="00C5582D">
            <w:pPr>
              <w:pStyle w:val="AmColumnHeading"/>
            </w:pPr>
            <w:r w:rsidRPr="00635D1D">
              <w:t>Poprawka</w:t>
            </w:r>
          </w:p>
        </w:tc>
      </w:tr>
      <w:tr w:rsidR="008144C7" w:rsidRPr="00635D1D" w14:paraId="5E1C128B" w14:textId="77777777" w:rsidTr="00C5582D">
        <w:trPr>
          <w:jc w:val="center"/>
        </w:trPr>
        <w:tc>
          <w:tcPr>
            <w:tcW w:w="4876" w:type="dxa"/>
            <w:tcBorders>
              <w:top w:val="nil"/>
              <w:left w:val="nil"/>
              <w:bottom w:val="nil"/>
              <w:right w:val="nil"/>
            </w:tcBorders>
            <w:hideMark/>
          </w:tcPr>
          <w:p w14:paraId="3F1D2326" w14:textId="77777777" w:rsidR="008144C7" w:rsidRPr="00635D1D" w:rsidRDefault="008144C7" w:rsidP="00C5582D">
            <w:pPr>
              <w:pStyle w:val="Normal6a"/>
            </w:pPr>
            <w:r w:rsidRPr="00635D1D">
              <w:t>(19)</w:t>
            </w:r>
            <w:r w:rsidRPr="00635D1D">
              <w:tab/>
              <w:t xml:space="preserve">Ponadto, aby usprawnić procedurę przyznawania odstępstw, warunek złożenia wniosku o odstępstwo dla określonego zastosowania w kategorii produktu o znanym poziomie narażenia należy uwzględnić w ramach kryterium oceny SCCS. Obecnie komitet naukowy ocenia już bezpieczeństwo substancji, biorąc pod uwagę jej właściwości stwarzające zagrożenie i narażenie </w:t>
            </w:r>
            <w:r w:rsidRPr="00635D1D">
              <w:rPr>
                <w:b/>
                <w:i/>
              </w:rPr>
              <w:t>(tj. konkretne zastosowanie w określonej kategorii produktu)</w:t>
            </w:r>
            <w:r w:rsidRPr="00635D1D">
              <w:t>, w związku z czym odrębne kryterium jest zbędne.</w:t>
            </w:r>
          </w:p>
        </w:tc>
        <w:tc>
          <w:tcPr>
            <w:tcW w:w="4876" w:type="dxa"/>
            <w:tcBorders>
              <w:top w:val="nil"/>
              <w:left w:val="nil"/>
              <w:bottom w:val="nil"/>
              <w:right w:val="nil"/>
            </w:tcBorders>
            <w:hideMark/>
          </w:tcPr>
          <w:p w14:paraId="5BDA3B26" w14:textId="77777777" w:rsidR="008144C7" w:rsidRPr="00635D1D" w:rsidRDefault="008144C7" w:rsidP="00C5582D">
            <w:pPr>
              <w:pStyle w:val="Normal6a"/>
            </w:pPr>
            <w:r w:rsidRPr="00635D1D">
              <w:t>(19)</w:t>
            </w:r>
            <w:r w:rsidRPr="00635D1D">
              <w:tab/>
              <w:t>Ponadto, aby usprawnić procedurę przyznawania odstępstw, warunek złożenia wniosku o odstępstwo dla określonego zastosowania w kategorii produktu o znanym poziomie narażenia należy uwzględnić w ramach kryterium oceny SCCS. Obecnie komitet naukowy ocenia już bezpieczeństwo substancji, biorąc pod uwagę jej właściwości stwarzające zagrożenie i narażenie, w związku z czym odrębne kryterium jest zbędne.</w:t>
            </w:r>
          </w:p>
        </w:tc>
      </w:tr>
    </w:tbl>
    <w:p w14:paraId="7600545B"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05B11C8D" w14:textId="77777777" w:rsidR="008144C7" w:rsidRPr="00AD15CF" w:rsidRDefault="008144C7" w:rsidP="008144C7">
      <w:pPr>
        <w:rPr>
          <w:lang w:val="en-GB"/>
        </w:rPr>
      </w:pPr>
      <w:r w:rsidRPr="00AD15CF">
        <w:rPr>
          <w:rStyle w:val="HideTWBExt"/>
          <w:lang w:val="en-GB"/>
        </w:rPr>
        <w:t>&lt;/Amend&gt;</w:t>
      </w:r>
    </w:p>
    <w:p w14:paraId="130312AB"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192</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77EFF412"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Salvatore De </w:t>
      </w:r>
      <w:proofErr w:type="spellStart"/>
      <w:r w:rsidRPr="00AD15CF">
        <w:rPr>
          <w:lang w:val="en-GB"/>
        </w:rPr>
        <w:t>Meo</w:t>
      </w:r>
      <w:proofErr w:type="spellEnd"/>
      <w:r w:rsidRPr="00AD15CF">
        <w:rPr>
          <w:lang w:val="en-GB"/>
        </w:rPr>
        <w:t xml:space="preserve">, Flavio Tosi, Massimiliano Salini, Letizia </w:t>
      </w:r>
      <w:proofErr w:type="spellStart"/>
      <w:r w:rsidRPr="00AD15CF">
        <w:rPr>
          <w:lang w:val="en-GB"/>
        </w:rPr>
        <w:t>Moratti</w:t>
      </w:r>
      <w:proofErr w:type="spellEnd"/>
      <w:r w:rsidRPr="00AD15CF">
        <w:rPr>
          <w:rStyle w:val="HideTWBExt"/>
          <w:b w:val="0"/>
          <w:lang w:val="en-GB"/>
        </w:rPr>
        <w:t>&lt;/Members&gt;</w:t>
      </w:r>
    </w:p>
    <w:p w14:paraId="4B736175" w14:textId="77777777" w:rsidR="008144C7" w:rsidRPr="00635D1D" w:rsidRDefault="008144C7" w:rsidP="008144C7">
      <w:pPr>
        <w:pStyle w:val="NormalBold"/>
      </w:pPr>
      <w:r w:rsidRPr="00635D1D">
        <w:rPr>
          <w:rStyle w:val="HideTWBExt"/>
          <w:b w:val="0"/>
        </w:rPr>
        <w:t>&lt;/RepeatBlock-By&gt;</w:t>
      </w:r>
    </w:p>
    <w:p w14:paraId="246E965B"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18AD429" w14:textId="77777777" w:rsidR="008144C7" w:rsidRPr="00635D1D" w:rsidRDefault="008144C7" w:rsidP="008144C7">
      <w:pPr>
        <w:pStyle w:val="NormalBold"/>
      </w:pPr>
      <w:r w:rsidRPr="00635D1D">
        <w:rPr>
          <w:rStyle w:val="HideTWBExt"/>
          <w:b w:val="0"/>
        </w:rPr>
        <w:t>&lt;Article&gt;</w:t>
      </w:r>
      <w:r w:rsidRPr="00635D1D">
        <w:t>Motyw 19</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2957FFC" w14:textId="77777777" w:rsidTr="00C5582D">
        <w:trPr>
          <w:trHeight w:val="240"/>
          <w:jc w:val="center"/>
        </w:trPr>
        <w:tc>
          <w:tcPr>
            <w:tcW w:w="9752" w:type="dxa"/>
            <w:gridSpan w:val="2"/>
            <w:tcBorders>
              <w:top w:val="nil"/>
              <w:left w:val="nil"/>
              <w:bottom w:val="nil"/>
              <w:right w:val="nil"/>
            </w:tcBorders>
          </w:tcPr>
          <w:p w14:paraId="05F9FE18" w14:textId="77777777" w:rsidR="008144C7" w:rsidRPr="00635D1D" w:rsidRDefault="008144C7" w:rsidP="00C5582D"/>
        </w:tc>
      </w:tr>
      <w:tr w:rsidR="008144C7" w:rsidRPr="00635D1D" w14:paraId="5316054E" w14:textId="77777777" w:rsidTr="00C5582D">
        <w:trPr>
          <w:trHeight w:val="240"/>
          <w:jc w:val="center"/>
        </w:trPr>
        <w:tc>
          <w:tcPr>
            <w:tcW w:w="4876" w:type="dxa"/>
            <w:tcBorders>
              <w:top w:val="nil"/>
              <w:left w:val="nil"/>
              <w:bottom w:val="nil"/>
              <w:right w:val="nil"/>
            </w:tcBorders>
            <w:hideMark/>
          </w:tcPr>
          <w:p w14:paraId="1C5BD944"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0AAABCB4" w14:textId="77777777" w:rsidR="008144C7" w:rsidRPr="00635D1D" w:rsidRDefault="008144C7" w:rsidP="00C5582D">
            <w:pPr>
              <w:pStyle w:val="AmColumnHeading"/>
            </w:pPr>
            <w:r w:rsidRPr="00635D1D">
              <w:t>Poprawka</w:t>
            </w:r>
          </w:p>
        </w:tc>
      </w:tr>
      <w:tr w:rsidR="008144C7" w:rsidRPr="00635D1D" w14:paraId="4A7E8998" w14:textId="77777777" w:rsidTr="00C5582D">
        <w:trPr>
          <w:jc w:val="center"/>
        </w:trPr>
        <w:tc>
          <w:tcPr>
            <w:tcW w:w="4876" w:type="dxa"/>
            <w:tcBorders>
              <w:top w:val="nil"/>
              <w:left w:val="nil"/>
              <w:bottom w:val="nil"/>
              <w:right w:val="nil"/>
            </w:tcBorders>
            <w:hideMark/>
          </w:tcPr>
          <w:p w14:paraId="0ED658DB" w14:textId="77777777" w:rsidR="008144C7" w:rsidRPr="00635D1D" w:rsidRDefault="008144C7" w:rsidP="00C5582D">
            <w:pPr>
              <w:pStyle w:val="Normal6a"/>
            </w:pPr>
            <w:r w:rsidRPr="00635D1D">
              <w:t>(19)</w:t>
            </w:r>
            <w:r w:rsidRPr="00635D1D">
              <w:tab/>
              <w:t xml:space="preserve">Ponadto, aby usprawnić procedurę przyznawania odstępstw, warunek złożenia wniosku o odstępstwo dla określonego zastosowania w kategorii produktu o znanym poziomie narażenia należy uwzględnić w ramach kryterium oceny SCCS. Obecnie komitet naukowy ocenia już bezpieczeństwo substancji, biorąc pod uwagę jej właściwości stwarzające zagrożenie i narażenie </w:t>
            </w:r>
            <w:r w:rsidRPr="00635D1D">
              <w:rPr>
                <w:b/>
                <w:i/>
              </w:rPr>
              <w:t>(tj. konkretne zastosowanie w określonej kategorii produktu)</w:t>
            </w:r>
            <w:r w:rsidRPr="00635D1D">
              <w:t>, w związku z czym odrębne kryterium jest zbędne.</w:t>
            </w:r>
          </w:p>
        </w:tc>
        <w:tc>
          <w:tcPr>
            <w:tcW w:w="4876" w:type="dxa"/>
            <w:tcBorders>
              <w:top w:val="nil"/>
              <w:left w:val="nil"/>
              <w:bottom w:val="nil"/>
              <w:right w:val="nil"/>
            </w:tcBorders>
            <w:hideMark/>
          </w:tcPr>
          <w:p w14:paraId="501B8307" w14:textId="77777777" w:rsidR="008144C7" w:rsidRPr="00635D1D" w:rsidRDefault="008144C7" w:rsidP="00C5582D">
            <w:pPr>
              <w:pStyle w:val="Normal6a"/>
            </w:pPr>
            <w:r w:rsidRPr="00635D1D">
              <w:t>(19)</w:t>
            </w:r>
            <w:r w:rsidRPr="00635D1D">
              <w:tab/>
              <w:t>Ponadto, aby usprawnić procedurę przyznawania odstępstw, warunek złożenia wniosku o odstępstwo dla określonego zastosowania w kategorii produktu o znanym poziomie narażenia należy uwzględnić w ramach kryterium oceny SCCS. Obecnie komitet naukowy ocenia już bezpieczeństwo substancji, biorąc pod uwagę jej właściwości stwarzające zagrożenie i narażenie, w związku z czym odrębne kryterium jest zbędne.</w:t>
            </w:r>
          </w:p>
        </w:tc>
      </w:tr>
    </w:tbl>
    <w:p w14:paraId="73717531"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62A9C4FF" w14:textId="77777777" w:rsidR="008144C7" w:rsidRPr="00AD15CF" w:rsidRDefault="008144C7" w:rsidP="008144C7">
      <w:pPr>
        <w:rPr>
          <w:lang w:val="en-GB"/>
        </w:rPr>
      </w:pPr>
      <w:r w:rsidRPr="00AD15CF">
        <w:rPr>
          <w:rStyle w:val="HideTWBExt"/>
          <w:lang w:val="en-GB"/>
        </w:rPr>
        <w:t>&lt;/Amend&gt;</w:t>
      </w:r>
    </w:p>
    <w:p w14:paraId="4DD0BD19"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193</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5BF348AA"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Pietro Fiocchi, Antonella </w:t>
      </w:r>
      <w:proofErr w:type="spellStart"/>
      <w:r w:rsidRPr="00AD15CF">
        <w:rPr>
          <w:lang w:val="en-GB"/>
        </w:rPr>
        <w:t>Sberna</w:t>
      </w:r>
      <w:proofErr w:type="spellEnd"/>
      <w:r w:rsidRPr="00AD15CF">
        <w:rPr>
          <w:rStyle w:val="HideTWBExt"/>
          <w:b w:val="0"/>
          <w:lang w:val="en-GB"/>
        </w:rPr>
        <w:t>&lt;/Members&gt;</w:t>
      </w:r>
    </w:p>
    <w:p w14:paraId="1F3780C5" w14:textId="77777777" w:rsidR="008144C7" w:rsidRPr="00635D1D" w:rsidRDefault="008144C7" w:rsidP="008144C7">
      <w:pPr>
        <w:pStyle w:val="NormalBold"/>
      </w:pPr>
      <w:r w:rsidRPr="00635D1D">
        <w:rPr>
          <w:rStyle w:val="HideTWBExt"/>
          <w:b w:val="0"/>
        </w:rPr>
        <w:t>&lt;/RepeatBlock-By&gt;</w:t>
      </w:r>
    </w:p>
    <w:p w14:paraId="2F53C555"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BC61776" w14:textId="77777777" w:rsidR="008144C7" w:rsidRPr="00635D1D" w:rsidRDefault="008144C7" w:rsidP="008144C7">
      <w:pPr>
        <w:pStyle w:val="NormalBold"/>
      </w:pPr>
      <w:r w:rsidRPr="00635D1D">
        <w:rPr>
          <w:rStyle w:val="HideTWBExt"/>
          <w:b w:val="0"/>
        </w:rPr>
        <w:t>&lt;Article&gt;</w:t>
      </w:r>
      <w:r w:rsidRPr="00635D1D">
        <w:t>Motyw 19</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054D211" w14:textId="77777777" w:rsidTr="00C5582D">
        <w:trPr>
          <w:trHeight w:val="240"/>
          <w:jc w:val="center"/>
        </w:trPr>
        <w:tc>
          <w:tcPr>
            <w:tcW w:w="9752" w:type="dxa"/>
            <w:gridSpan w:val="2"/>
            <w:tcBorders>
              <w:top w:val="nil"/>
              <w:left w:val="nil"/>
              <w:bottom w:val="nil"/>
              <w:right w:val="nil"/>
            </w:tcBorders>
          </w:tcPr>
          <w:p w14:paraId="397ECB94" w14:textId="77777777" w:rsidR="008144C7" w:rsidRPr="00635D1D" w:rsidRDefault="008144C7" w:rsidP="00C5582D"/>
        </w:tc>
      </w:tr>
      <w:tr w:rsidR="008144C7" w:rsidRPr="00635D1D" w14:paraId="115B23A7" w14:textId="77777777" w:rsidTr="00C5582D">
        <w:trPr>
          <w:trHeight w:val="240"/>
          <w:jc w:val="center"/>
        </w:trPr>
        <w:tc>
          <w:tcPr>
            <w:tcW w:w="4876" w:type="dxa"/>
            <w:tcBorders>
              <w:top w:val="nil"/>
              <w:left w:val="nil"/>
              <w:bottom w:val="nil"/>
              <w:right w:val="nil"/>
            </w:tcBorders>
            <w:hideMark/>
          </w:tcPr>
          <w:p w14:paraId="610BC631"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BBF34D9" w14:textId="77777777" w:rsidR="008144C7" w:rsidRPr="00635D1D" w:rsidRDefault="008144C7" w:rsidP="00C5582D">
            <w:pPr>
              <w:pStyle w:val="AmColumnHeading"/>
            </w:pPr>
            <w:r w:rsidRPr="00635D1D">
              <w:t>Poprawka</w:t>
            </w:r>
          </w:p>
        </w:tc>
      </w:tr>
      <w:tr w:rsidR="008144C7" w:rsidRPr="00635D1D" w14:paraId="27663517" w14:textId="77777777" w:rsidTr="00C5582D">
        <w:trPr>
          <w:jc w:val="center"/>
        </w:trPr>
        <w:tc>
          <w:tcPr>
            <w:tcW w:w="4876" w:type="dxa"/>
            <w:tcBorders>
              <w:top w:val="nil"/>
              <w:left w:val="nil"/>
              <w:bottom w:val="nil"/>
              <w:right w:val="nil"/>
            </w:tcBorders>
            <w:hideMark/>
          </w:tcPr>
          <w:p w14:paraId="707387B2" w14:textId="77777777" w:rsidR="008144C7" w:rsidRPr="00635D1D" w:rsidRDefault="008144C7" w:rsidP="00C5582D">
            <w:pPr>
              <w:pStyle w:val="Normal6a"/>
            </w:pPr>
            <w:r w:rsidRPr="00635D1D">
              <w:t>(19)</w:t>
            </w:r>
            <w:r w:rsidRPr="00635D1D">
              <w:tab/>
              <w:t xml:space="preserve">Ponadto, aby usprawnić procedurę przyznawania odstępstw, warunek złożenia wniosku o odstępstwo dla określonego zastosowania w kategorii produktu o znanym poziomie narażenia należy uwzględnić w ramach kryterium oceny SCCS. Obecnie komitet naukowy ocenia już bezpieczeństwo substancji, biorąc pod uwagę jej właściwości stwarzające zagrożenie i narażenie </w:t>
            </w:r>
            <w:r w:rsidRPr="00635D1D">
              <w:rPr>
                <w:b/>
                <w:i/>
              </w:rPr>
              <w:t>(tj. konkretne zastosowanie w określonej kategorii produktu)</w:t>
            </w:r>
            <w:r w:rsidRPr="00635D1D">
              <w:t>, w związku z czym odrębne kryterium jest zbędne.</w:t>
            </w:r>
          </w:p>
        </w:tc>
        <w:tc>
          <w:tcPr>
            <w:tcW w:w="4876" w:type="dxa"/>
            <w:tcBorders>
              <w:top w:val="nil"/>
              <w:left w:val="nil"/>
              <w:bottom w:val="nil"/>
              <w:right w:val="nil"/>
            </w:tcBorders>
            <w:hideMark/>
          </w:tcPr>
          <w:p w14:paraId="1B29A330" w14:textId="77777777" w:rsidR="008144C7" w:rsidRPr="00635D1D" w:rsidRDefault="008144C7" w:rsidP="00C5582D">
            <w:pPr>
              <w:pStyle w:val="Normal6a"/>
            </w:pPr>
            <w:r w:rsidRPr="00635D1D">
              <w:t>(19)</w:t>
            </w:r>
            <w:r w:rsidRPr="00635D1D">
              <w:tab/>
              <w:t>Ponadto, aby usprawnić procedurę przyznawania odstępstw, warunek złożenia wniosku o odstępstwo dla określonego zastosowania w kategorii produktu o znanym poziomie narażenia należy uwzględnić w ramach kryterium oceny SCCS. Obecnie komitet naukowy ocenia już bezpieczeństwo substancji, biorąc pod uwagę jej właściwości stwarzające zagrożenie i narażenie, w związku z czym odrębne kryterium jest zbędne.</w:t>
            </w:r>
          </w:p>
        </w:tc>
      </w:tr>
    </w:tbl>
    <w:p w14:paraId="170F863B"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499D34DD"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2F01DB4D" w14:textId="77777777" w:rsidR="008144C7" w:rsidRPr="00635D1D" w:rsidRDefault="008144C7" w:rsidP="008144C7">
      <w:pPr>
        <w:pStyle w:val="AmJustText"/>
      </w:pPr>
      <w:r w:rsidRPr="00635D1D">
        <w:t>W motywie 19 skreślenie tekstu w nawiasie wyeliminowałoby powtórzenie wcześniejszego stwierdzenia w tym samym motywie.</w:t>
      </w:r>
    </w:p>
    <w:p w14:paraId="7546EAB7" w14:textId="77777777" w:rsidR="008144C7" w:rsidRPr="00635D1D" w:rsidRDefault="008144C7" w:rsidP="008144C7">
      <w:r w:rsidRPr="00635D1D">
        <w:rPr>
          <w:rStyle w:val="HideTWBExt"/>
        </w:rPr>
        <w:t>&lt;/Amend&gt;</w:t>
      </w:r>
    </w:p>
    <w:p w14:paraId="60B9223E"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194</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39639E82" w14:textId="77777777" w:rsidR="008144C7" w:rsidRPr="00635D1D" w:rsidRDefault="008144C7" w:rsidP="008144C7">
      <w:pPr>
        <w:pStyle w:val="NormalBold"/>
      </w:pPr>
      <w:r w:rsidRPr="00635D1D">
        <w:rPr>
          <w:rStyle w:val="HideTWBExt"/>
          <w:b w:val="0"/>
        </w:rPr>
        <w:t>&lt;RepeatBlock-By&gt;&lt;Members&gt;</w:t>
      </w:r>
      <w:r w:rsidRPr="00635D1D">
        <w:t xml:space="preserve">Elżbieta Katarzyna </w:t>
      </w:r>
      <w:proofErr w:type="spellStart"/>
      <w:r w:rsidRPr="00635D1D">
        <w:t>Łukacijewska</w:t>
      </w:r>
      <w:proofErr w:type="spellEnd"/>
      <w:r w:rsidRPr="00635D1D">
        <w:t xml:space="preserve">, Ewa Kopacz, Hanna Gronkiewicz-Waltz, Adam </w:t>
      </w:r>
      <w:proofErr w:type="spellStart"/>
      <w:r w:rsidRPr="00635D1D">
        <w:t>Jarubas</w:t>
      </w:r>
      <w:proofErr w:type="spellEnd"/>
      <w:r w:rsidRPr="00635D1D">
        <w:rPr>
          <w:rStyle w:val="HideTWBExt"/>
          <w:b w:val="0"/>
        </w:rPr>
        <w:t>&lt;/Members&gt;</w:t>
      </w:r>
    </w:p>
    <w:p w14:paraId="3DC4AFFA" w14:textId="77777777" w:rsidR="008144C7" w:rsidRPr="00635D1D" w:rsidRDefault="008144C7" w:rsidP="008144C7">
      <w:pPr>
        <w:pStyle w:val="NormalBold"/>
      </w:pPr>
      <w:r w:rsidRPr="00635D1D">
        <w:rPr>
          <w:rStyle w:val="HideTWBExt"/>
          <w:b w:val="0"/>
        </w:rPr>
        <w:t>&lt;/RepeatBlock-By&gt;</w:t>
      </w:r>
    </w:p>
    <w:p w14:paraId="3D9FDFFD"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960C267" w14:textId="77777777" w:rsidR="008144C7" w:rsidRPr="00635D1D" w:rsidRDefault="008144C7" w:rsidP="008144C7">
      <w:pPr>
        <w:pStyle w:val="NormalBold"/>
      </w:pPr>
      <w:r w:rsidRPr="00635D1D">
        <w:rPr>
          <w:rStyle w:val="HideTWBExt"/>
          <w:b w:val="0"/>
        </w:rPr>
        <w:t>&lt;Article&gt;</w:t>
      </w:r>
      <w:r w:rsidRPr="00635D1D">
        <w:t>Motyw 19</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2D85BF7" w14:textId="77777777" w:rsidTr="00C5582D">
        <w:trPr>
          <w:trHeight w:val="240"/>
          <w:jc w:val="center"/>
        </w:trPr>
        <w:tc>
          <w:tcPr>
            <w:tcW w:w="9752" w:type="dxa"/>
            <w:gridSpan w:val="2"/>
            <w:tcBorders>
              <w:top w:val="nil"/>
              <w:left w:val="nil"/>
              <w:bottom w:val="nil"/>
              <w:right w:val="nil"/>
            </w:tcBorders>
          </w:tcPr>
          <w:p w14:paraId="500ECCEC" w14:textId="77777777" w:rsidR="008144C7" w:rsidRPr="00635D1D" w:rsidRDefault="008144C7" w:rsidP="00C5582D"/>
        </w:tc>
      </w:tr>
      <w:tr w:rsidR="008144C7" w:rsidRPr="00635D1D" w14:paraId="7D3DCC2D" w14:textId="77777777" w:rsidTr="00C5582D">
        <w:trPr>
          <w:trHeight w:val="240"/>
          <w:jc w:val="center"/>
        </w:trPr>
        <w:tc>
          <w:tcPr>
            <w:tcW w:w="4876" w:type="dxa"/>
            <w:tcBorders>
              <w:top w:val="nil"/>
              <w:left w:val="nil"/>
              <w:bottom w:val="nil"/>
              <w:right w:val="nil"/>
            </w:tcBorders>
            <w:hideMark/>
          </w:tcPr>
          <w:p w14:paraId="214CF198"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FDD060C" w14:textId="77777777" w:rsidR="008144C7" w:rsidRPr="00635D1D" w:rsidRDefault="008144C7" w:rsidP="00C5582D">
            <w:pPr>
              <w:pStyle w:val="AmColumnHeading"/>
            </w:pPr>
            <w:r w:rsidRPr="00635D1D">
              <w:t>Poprawka</w:t>
            </w:r>
          </w:p>
        </w:tc>
      </w:tr>
      <w:tr w:rsidR="008144C7" w:rsidRPr="00635D1D" w14:paraId="7F5092C4" w14:textId="77777777" w:rsidTr="00C5582D">
        <w:trPr>
          <w:jc w:val="center"/>
        </w:trPr>
        <w:tc>
          <w:tcPr>
            <w:tcW w:w="4876" w:type="dxa"/>
            <w:tcBorders>
              <w:top w:val="nil"/>
              <w:left w:val="nil"/>
              <w:bottom w:val="nil"/>
              <w:right w:val="nil"/>
            </w:tcBorders>
            <w:hideMark/>
          </w:tcPr>
          <w:p w14:paraId="46CEE809" w14:textId="77777777" w:rsidR="008144C7" w:rsidRPr="00635D1D" w:rsidRDefault="008144C7" w:rsidP="00C5582D">
            <w:pPr>
              <w:pStyle w:val="Normal6a"/>
            </w:pPr>
            <w:r w:rsidRPr="00635D1D">
              <w:t>(19)</w:t>
            </w:r>
            <w:r w:rsidRPr="00635D1D">
              <w:tab/>
              <w:t xml:space="preserve">Ponadto, aby usprawnić procedurę przyznawania odstępstw, warunek złożenia wniosku o odstępstwo dla określonego zastosowania w kategorii produktu o znanym poziomie narażenia należy uwzględnić w ramach kryterium oceny SCCS. Obecnie komitet naukowy ocenia już bezpieczeństwo substancji, biorąc pod uwagę jej właściwości stwarzające zagrożenie i narażenie </w:t>
            </w:r>
            <w:r w:rsidRPr="00635D1D">
              <w:rPr>
                <w:b/>
                <w:i/>
              </w:rPr>
              <w:t>(tj. konkretne zastosowanie w określonej kategorii produktu)</w:t>
            </w:r>
            <w:r w:rsidRPr="00635D1D">
              <w:t>, w związku z czym odrębne kryterium jest zbędne.</w:t>
            </w:r>
          </w:p>
        </w:tc>
        <w:tc>
          <w:tcPr>
            <w:tcW w:w="4876" w:type="dxa"/>
            <w:tcBorders>
              <w:top w:val="nil"/>
              <w:left w:val="nil"/>
              <w:bottom w:val="nil"/>
              <w:right w:val="nil"/>
            </w:tcBorders>
            <w:hideMark/>
          </w:tcPr>
          <w:p w14:paraId="0AA88DB2" w14:textId="77777777" w:rsidR="008144C7" w:rsidRPr="00635D1D" w:rsidRDefault="008144C7" w:rsidP="00C5582D">
            <w:pPr>
              <w:pStyle w:val="Normal6a"/>
            </w:pPr>
            <w:r w:rsidRPr="00635D1D">
              <w:t>(19)</w:t>
            </w:r>
            <w:r w:rsidRPr="00635D1D">
              <w:tab/>
              <w:t>Ponadto, aby usprawnić procedurę przyznawania odstępstw, warunek złożenia wniosku o odstępstwo dla określonego zastosowania w kategorii produktu o znanym poziomie narażenia należy uwzględnić w ramach kryterium oceny SCCS. Obecnie komitet naukowy ocenia już bezpieczeństwo substancji, biorąc pod uwagę jej właściwości stwarzające zagrożenie i narażenie, w związku z czym odrębne kryterium jest zbędne.</w:t>
            </w:r>
          </w:p>
        </w:tc>
      </w:tr>
    </w:tbl>
    <w:p w14:paraId="511B76BE"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25A73583" w14:textId="77777777" w:rsidR="008144C7" w:rsidRPr="00AD15CF" w:rsidRDefault="008144C7" w:rsidP="008144C7">
      <w:pPr>
        <w:rPr>
          <w:lang w:val="en-GB"/>
        </w:rPr>
      </w:pPr>
      <w:r w:rsidRPr="00AD15CF">
        <w:rPr>
          <w:rStyle w:val="HideTWBExt"/>
          <w:lang w:val="en-GB"/>
        </w:rPr>
        <w:t>&lt;/Amend&gt;</w:t>
      </w:r>
    </w:p>
    <w:p w14:paraId="2EC7F1D8"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195</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4795B63F"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Idoia</w:t>
      </w:r>
      <w:proofErr w:type="spellEnd"/>
      <w:r w:rsidRPr="00AD15CF">
        <w:rPr>
          <w:lang w:val="en-GB"/>
        </w:rPr>
        <w:t xml:space="preserve"> </w:t>
      </w:r>
      <w:proofErr w:type="spellStart"/>
      <w:r w:rsidRPr="00AD15CF">
        <w:rPr>
          <w:lang w:val="en-GB"/>
        </w:rPr>
        <w:t>Mendia</w:t>
      </w:r>
      <w:proofErr w:type="spellEnd"/>
      <w:r w:rsidRPr="00AD15CF">
        <w:rPr>
          <w:lang w:val="en-GB"/>
        </w:rPr>
        <w:t xml:space="preserve">, François </w:t>
      </w:r>
      <w:proofErr w:type="spellStart"/>
      <w:r w:rsidRPr="00AD15CF">
        <w:rPr>
          <w:lang w:val="en-GB"/>
        </w:rPr>
        <w:t>Kalfon</w:t>
      </w:r>
      <w:proofErr w:type="spellEnd"/>
      <w:r w:rsidRPr="00AD15CF">
        <w:rPr>
          <w:lang w:val="en-GB"/>
        </w:rPr>
        <w:t xml:space="preserve">, Elisabeth Grossmann, Adnan </w:t>
      </w:r>
      <w:proofErr w:type="spellStart"/>
      <w:r w:rsidRPr="00AD15CF">
        <w:rPr>
          <w:lang w:val="en-GB"/>
        </w:rPr>
        <w:t>Dibrani</w:t>
      </w:r>
      <w:proofErr w:type="spellEnd"/>
      <w:r w:rsidRPr="00AD15CF">
        <w:rPr>
          <w:lang w:val="en-GB"/>
        </w:rPr>
        <w:t xml:space="preserve">, Sakis </w:t>
      </w:r>
      <w:proofErr w:type="spellStart"/>
      <w:r w:rsidRPr="00AD15CF">
        <w:rPr>
          <w:lang w:val="en-GB"/>
        </w:rPr>
        <w:t>Arnaoutoglou</w:t>
      </w:r>
      <w:proofErr w:type="spellEnd"/>
      <w:r w:rsidRPr="00AD15CF">
        <w:rPr>
          <w:lang w:val="en-GB"/>
        </w:rPr>
        <w:t xml:space="preserve">, César </w:t>
      </w:r>
      <w:proofErr w:type="spellStart"/>
      <w:r w:rsidRPr="00AD15CF">
        <w:rPr>
          <w:lang w:val="en-GB"/>
        </w:rPr>
        <w:t>Luena</w:t>
      </w:r>
      <w:proofErr w:type="spellEnd"/>
      <w:r w:rsidRPr="00AD15CF">
        <w:rPr>
          <w:lang w:val="en-GB"/>
        </w:rPr>
        <w:t xml:space="preserve">, Christophe </w:t>
      </w:r>
      <w:proofErr w:type="spellStart"/>
      <w:r w:rsidRPr="00AD15CF">
        <w:rPr>
          <w:lang w:val="en-GB"/>
        </w:rPr>
        <w:t>Clergeau</w:t>
      </w:r>
      <w:proofErr w:type="spellEnd"/>
      <w:r w:rsidRPr="00AD15CF">
        <w:rPr>
          <w:lang w:val="en-GB"/>
        </w:rPr>
        <w:t xml:space="preserve">, </w:t>
      </w:r>
      <w:proofErr w:type="spellStart"/>
      <w:r w:rsidRPr="00AD15CF">
        <w:rPr>
          <w:lang w:val="en-GB"/>
        </w:rPr>
        <w:t>Tiemo</w:t>
      </w:r>
      <w:proofErr w:type="spellEnd"/>
      <w:r w:rsidRPr="00AD15CF">
        <w:rPr>
          <w:lang w:val="en-GB"/>
        </w:rPr>
        <w:t xml:space="preserve"> </w:t>
      </w:r>
      <w:proofErr w:type="spellStart"/>
      <w:r w:rsidRPr="00AD15CF">
        <w:rPr>
          <w:lang w:val="en-GB"/>
        </w:rPr>
        <w:t>Wölken</w:t>
      </w:r>
      <w:proofErr w:type="spellEnd"/>
      <w:r w:rsidRPr="00AD15CF">
        <w:rPr>
          <w:lang w:val="en-GB"/>
        </w:rPr>
        <w:t xml:space="preserve">, Annalisa Corrado, </w:t>
      </w:r>
      <w:proofErr w:type="spellStart"/>
      <w:r w:rsidRPr="00AD15CF">
        <w:rPr>
          <w:lang w:val="en-GB"/>
        </w:rPr>
        <w:t>Heléne</w:t>
      </w:r>
      <w:proofErr w:type="spellEnd"/>
      <w:r w:rsidRPr="00AD15CF">
        <w:rPr>
          <w:lang w:val="en-GB"/>
        </w:rPr>
        <w:t xml:space="preserve"> </w:t>
      </w:r>
      <w:proofErr w:type="spellStart"/>
      <w:r w:rsidRPr="00AD15CF">
        <w:rPr>
          <w:lang w:val="en-GB"/>
        </w:rPr>
        <w:t>Fritzon</w:t>
      </w:r>
      <w:proofErr w:type="spellEnd"/>
      <w:r w:rsidRPr="00AD15CF">
        <w:rPr>
          <w:lang w:val="en-GB"/>
        </w:rPr>
        <w:t xml:space="preserve">, Marta </w:t>
      </w:r>
      <w:proofErr w:type="spellStart"/>
      <w:r w:rsidRPr="00AD15CF">
        <w:rPr>
          <w:lang w:val="en-GB"/>
        </w:rPr>
        <w:t>Temido</w:t>
      </w:r>
      <w:proofErr w:type="spellEnd"/>
      <w:r w:rsidRPr="00AD15CF">
        <w:rPr>
          <w:rStyle w:val="HideTWBExt"/>
          <w:b w:val="0"/>
          <w:lang w:val="en-GB"/>
        </w:rPr>
        <w:t>&lt;/Members&gt;</w:t>
      </w:r>
    </w:p>
    <w:p w14:paraId="557D735D" w14:textId="77777777" w:rsidR="008144C7" w:rsidRPr="00635D1D" w:rsidRDefault="008144C7" w:rsidP="008144C7">
      <w:pPr>
        <w:pStyle w:val="NormalBold"/>
      </w:pPr>
      <w:r w:rsidRPr="00635D1D">
        <w:rPr>
          <w:rStyle w:val="HideTWBExt"/>
          <w:b w:val="0"/>
        </w:rPr>
        <w:t>&lt;/RepeatBlock-By&gt;</w:t>
      </w:r>
    </w:p>
    <w:p w14:paraId="48BFA6E1"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7B71D562" w14:textId="77777777" w:rsidR="008144C7" w:rsidRPr="00635D1D" w:rsidRDefault="008144C7" w:rsidP="008144C7">
      <w:pPr>
        <w:pStyle w:val="NormalBold"/>
      </w:pPr>
      <w:r w:rsidRPr="00635D1D">
        <w:rPr>
          <w:rStyle w:val="HideTWBExt"/>
          <w:b w:val="0"/>
        </w:rPr>
        <w:t>&lt;Article&gt;</w:t>
      </w:r>
      <w:r w:rsidRPr="00635D1D">
        <w:t>Motyw 19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2511B18" w14:textId="77777777" w:rsidTr="00C5582D">
        <w:trPr>
          <w:trHeight w:val="240"/>
          <w:jc w:val="center"/>
        </w:trPr>
        <w:tc>
          <w:tcPr>
            <w:tcW w:w="9752" w:type="dxa"/>
            <w:gridSpan w:val="2"/>
            <w:tcBorders>
              <w:top w:val="nil"/>
              <w:left w:val="nil"/>
              <w:bottom w:val="nil"/>
              <w:right w:val="nil"/>
            </w:tcBorders>
          </w:tcPr>
          <w:p w14:paraId="59141406" w14:textId="77777777" w:rsidR="008144C7" w:rsidRPr="00635D1D" w:rsidRDefault="008144C7" w:rsidP="00C5582D"/>
        </w:tc>
      </w:tr>
      <w:tr w:rsidR="008144C7" w:rsidRPr="00635D1D" w14:paraId="60DB75E4" w14:textId="77777777" w:rsidTr="00C5582D">
        <w:trPr>
          <w:trHeight w:val="240"/>
          <w:jc w:val="center"/>
        </w:trPr>
        <w:tc>
          <w:tcPr>
            <w:tcW w:w="4876" w:type="dxa"/>
            <w:tcBorders>
              <w:top w:val="nil"/>
              <w:left w:val="nil"/>
              <w:bottom w:val="nil"/>
              <w:right w:val="nil"/>
            </w:tcBorders>
            <w:hideMark/>
          </w:tcPr>
          <w:p w14:paraId="2C895DA8"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CDACC46" w14:textId="77777777" w:rsidR="008144C7" w:rsidRPr="00635D1D" w:rsidRDefault="008144C7" w:rsidP="00C5582D">
            <w:pPr>
              <w:pStyle w:val="AmColumnHeading"/>
            </w:pPr>
            <w:r w:rsidRPr="00635D1D">
              <w:t>Poprawka</w:t>
            </w:r>
          </w:p>
        </w:tc>
      </w:tr>
      <w:tr w:rsidR="008144C7" w:rsidRPr="00635D1D" w14:paraId="5DD25B0B" w14:textId="77777777" w:rsidTr="00C5582D">
        <w:trPr>
          <w:jc w:val="center"/>
        </w:trPr>
        <w:tc>
          <w:tcPr>
            <w:tcW w:w="4876" w:type="dxa"/>
            <w:tcBorders>
              <w:top w:val="nil"/>
              <w:left w:val="nil"/>
              <w:bottom w:val="nil"/>
              <w:right w:val="nil"/>
            </w:tcBorders>
          </w:tcPr>
          <w:p w14:paraId="5E468B36" w14:textId="77777777" w:rsidR="008144C7" w:rsidRPr="00635D1D" w:rsidRDefault="008144C7" w:rsidP="00C5582D">
            <w:pPr>
              <w:pStyle w:val="Normal6a"/>
            </w:pPr>
          </w:p>
        </w:tc>
        <w:tc>
          <w:tcPr>
            <w:tcW w:w="4876" w:type="dxa"/>
            <w:tcBorders>
              <w:top w:val="nil"/>
              <w:left w:val="nil"/>
              <w:bottom w:val="nil"/>
              <w:right w:val="nil"/>
            </w:tcBorders>
            <w:hideMark/>
          </w:tcPr>
          <w:p w14:paraId="53577939" w14:textId="77777777" w:rsidR="008144C7" w:rsidRPr="00635D1D" w:rsidRDefault="008144C7" w:rsidP="00C5582D">
            <w:pPr>
              <w:pStyle w:val="Normal6a"/>
            </w:pPr>
            <w:r w:rsidRPr="00635D1D">
              <w:rPr>
                <w:b/>
                <w:i/>
              </w:rPr>
              <w:t>(19a)</w:t>
            </w:r>
            <w:r w:rsidRPr="00635D1D">
              <w:tab/>
            </w:r>
            <w:r w:rsidRPr="00635D1D">
              <w:rPr>
                <w:b/>
                <w:i/>
              </w:rPr>
              <w:t xml:space="preserve">W komunikacie Komisji z dnia 14 października 2020 r. „Strategia w zakresie chemikaliów na rzecz </w:t>
            </w:r>
            <w:proofErr w:type="spellStart"/>
            <w:r w:rsidRPr="00635D1D">
              <w:rPr>
                <w:b/>
                <w:i/>
              </w:rPr>
              <w:t>zrównoważoności</w:t>
            </w:r>
            <w:proofErr w:type="spellEnd"/>
            <w:r w:rsidRPr="00635D1D">
              <w:rPr>
                <w:b/>
                <w:i/>
              </w:rPr>
              <w:t xml:space="preserve"> na rzecz nietoksycznego środowiska” zaapelowano o uproszczenie i wzmocnienie ram prawnych dotyczących chemikaliów. W komunikacie zobowiązano się w szczególności do wzmocnienia rozporządzenia (WE) nr 1223/2009 w odniesieniu do zagrożeń związanych z substancjami zaburzającymi funkcjonowanie układu hormonalnego. Substancje te mogą zakłócać normalne funkcjonowanie układu hormonalnego i są powiązane, nawet w niskich dawkach, z niekorzystnymi skutkami dla zdrowia, w tym z wpływem na zdrowie reprodukcyjne, zaburzeniami metabolicznymi i wpływem na rozwój. Z uwagi na bezpośredni i powtarzający się charakter narażenia na produkty kosmetyczne należy w szczególności zająć się kwestią obecności w kosmetykach substancji zaburzających funkcjonowanie układu hormonalnego. Ze względu na spójność oraz w celu zapewnienia takiego samego wysokiego poziomu ochrony w odniesieniu do różnych kategorii produktów konieczne jest zatem rozszerzenie zakresu ogólnego zakazu określonego w art. 15 rozporządzenia (WE) nr 1223/2009 na substancje sklasyfikowane jako substancje zaburzające funkcjonowanie układu hormonalnego w odniesieniu do zdrowia ludzi, należące do kategorii 1 i 2, zgodnie z rozporządzeniem (WE) nr 1272/2008.</w:t>
            </w:r>
          </w:p>
        </w:tc>
      </w:tr>
    </w:tbl>
    <w:p w14:paraId="69FB9EF1"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750D7D9B" w14:textId="77777777" w:rsidR="008144C7" w:rsidRPr="00AD15CF" w:rsidRDefault="008144C7" w:rsidP="008144C7">
      <w:pPr>
        <w:rPr>
          <w:lang w:val="en-GB"/>
        </w:rPr>
      </w:pPr>
      <w:r w:rsidRPr="00AD15CF">
        <w:rPr>
          <w:rStyle w:val="HideTWBExt"/>
          <w:lang w:val="en-GB"/>
        </w:rPr>
        <w:t>&lt;/Amend&gt;</w:t>
      </w:r>
    </w:p>
    <w:p w14:paraId="6EB35DCF"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196</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7222CBC7"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Martin </w:t>
      </w:r>
      <w:proofErr w:type="spellStart"/>
      <w:r w:rsidRPr="00AD15CF">
        <w:rPr>
          <w:lang w:val="en-GB"/>
        </w:rPr>
        <w:t>Hojsík</w:t>
      </w:r>
      <w:proofErr w:type="spellEnd"/>
      <w:r w:rsidRPr="00AD15CF">
        <w:rPr>
          <w:lang w:val="en-GB"/>
        </w:rPr>
        <w:t xml:space="preserve">, Sigrid </w:t>
      </w:r>
      <w:proofErr w:type="spellStart"/>
      <w:r w:rsidRPr="00AD15CF">
        <w:rPr>
          <w:lang w:val="en-GB"/>
        </w:rPr>
        <w:t>Friis</w:t>
      </w:r>
      <w:proofErr w:type="spellEnd"/>
      <w:r w:rsidRPr="00AD15CF">
        <w:rPr>
          <w:lang w:val="en-GB"/>
        </w:rPr>
        <w:t xml:space="preserve">, Michal </w:t>
      </w:r>
      <w:proofErr w:type="spellStart"/>
      <w:r w:rsidRPr="00AD15CF">
        <w:rPr>
          <w:lang w:val="en-GB"/>
        </w:rPr>
        <w:t>Wiezik</w:t>
      </w:r>
      <w:proofErr w:type="spellEnd"/>
      <w:r w:rsidRPr="00AD15CF">
        <w:rPr>
          <w:lang w:val="en-GB"/>
        </w:rPr>
        <w:t xml:space="preserve">, Pascal </w:t>
      </w:r>
      <w:proofErr w:type="spellStart"/>
      <w:r w:rsidRPr="00AD15CF">
        <w:rPr>
          <w:lang w:val="en-GB"/>
        </w:rPr>
        <w:t>Canfin</w:t>
      </w:r>
      <w:proofErr w:type="spellEnd"/>
      <w:r w:rsidRPr="00AD15CF">
        <w:rPr>
          <w:lang w:val="en-GB"/>
        </w:rPr>
        <w:t xml:space="preserve">, </w:t>
      </w:r>
      <w:proofErr w:type="spellStart"/>
      <w:r w:rsidRPr="00AD15CF">
        <w:rPr>
          <w:lang w:val="en-GB"/>
        </w:rPr>
        <w:t>Grégory</w:t>
      </w:r>
      <w:proofErr w:type="spellEnd"/>
      <w:r w:rsidRPr="00AD15CF">
        <w:rPr>
          <w:lang w:val="en-GB"/>
        </w:rPr>
        <w:t xml:space="preserve"> </w:t>
      </w:r>
      <w:proofErr w:type="spellStart"/>
      <w:r w:rsidRPr="00AD15CF">
        <w:rPr>
          <w:lang w:val="en-GB"/>
        </w:rPr>
        <w:t>Allione</w:t>
      </w:r>
      <w:proofErr w:type="spellEnd"/>
      <w:r w:rsidRPr="00AD15CF">
        <w:rPr>
          <w:lang w:val="en-GB"/>
        </w:rPr>
        <w:t xml:space="preserve">, </w:t>
      </w:r>
      <w:proofErr w:type="spellStart"/>
      <w:r w:rsidRPr="00AD15CF">
        <w:rPr>
          <w:lang w:val="en-GB"/>
        </w:rPr>
        <w:t>Gerben</w:t>
      </w:r>
      <w:proofErr w:type="spellEnd"/>
      <w:r w:rsidRPr="00AD15CF">
        <w:rPr>
          <w:lang w:val="en-GB"/>
        </w:rPr>
        <w:t xml:space="preserve">-Jan </w:t>
      </w:r>
      <w:proofErr w:type="spellStart"/>
      <w:r w:rsidRPr="00AD15CF">
        <w:rPr>
          <w:lang w:val="en-GB"/>
        </w:rPr>
        <w:t>Gerbrandy</w:t>
      </w:r>
      <w:proofErr w:type="spellEnd"/>
      <w:r w:rsidRPr="00AD15CF">
        <w:rPr>
          <w:lang w:val="en-GB"/>
        </w:rPr>
        <w:t xml:space="preserve">, Yvan </w:t>
      </w:r>
      <w:proofErr w:type="spellStart"/>
      <w:r w:rsidRPr="00AD15CF">
        <w:rPr>
          <w:lang w:val="en-GB"/>
        </w:rPr>
        <w:t>Verougstraete</w:t>
      </w:r>
      <w:proofErr w:type="spellEnd"/>
      <w:r w:rsidRPr="00AD15CF">
        <w:rPr>
          <w:rStyle w:val="HideTWBExt"/>
          <w:b w:val="0"/>
          <w:lang w:val="en-GB"/>
        </w:rPr>
        <w:t>&lt;/Members&gt;</w:t>
      </w:r>
    </w:p>
    <w:p w14:paraId="3BF07B9E" w14:textId="77777777" w:rsidR="008144C7" w:rsidRPr="00635D1D" w:rsidRDefault="008144C7" w:rsidP="008144C7">
      <w:pPr>
        <w:pStyle w:val="NormalBold"/>
      </w:pPr>
      <w:r w:rsidRPr="00635D1D">
        <w:rPr>
          <w:rStyle w:val="HideTWBExt"/>
          <w:b w:val="0"/>
        </w:rPr>
        <w:t>&lt;/RepeatBlock-By&gt;</w:t>
      </w:r>
    </w:p>
    <w:p w14:paraId="13C32CA6"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194A463" w14:textId="77777777" w:rsidR="008144C7" w:rsidRPr="00635D1D" w:rsidRDefault="008144C7" w:rsidP="008144C7">
      <w:pPr>
        <w:pStyle w:val="NormalBold"/>
      </w:pPr>
      <w:r w:rsidRPr="00635D1D">
        <w:rPr>
          <w:rStyle w:val="HideTWBExt"/>
          <w:b w:val="0"/>
        </w:rPr>
        <w:t>&lt;Article&gt;</w:t>
      </w:r>
      <w:r w:rsidRPr="00635D1D">
        <w:t>Motyw 20</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57BD8D7" w14:textId="77777777" w:rsidTr="00C5582D">
        <w:trPr>
          <w:trHeight w:val="240"/>
          <w:jc w:val="center"/>
        </w:trPr>
        <w:tc>
          <w:tcPr>
            <w:tcW w:w="9752" w:type="dxa"/>
            <w:gridSpan w:val="2"/>
            <w:tcBorders>
              <w:top w:val="nil"/>
              <w:left w:val="nil"/>
              <w:bottom w:val="nil"/>
              <w:right w:val="nil"/>
            </w:tcBorders>
          </w:tcPr>
          <w:p w14:paraId="7E7339C3" w14:textId="77777777" w:rsidR="008144C7" w:rsidRPr="00635D1D" w:rsidRDefault="008144C7" w:rsidP="00C5582D"/>
        </w:tc>
      </w:tr>
      <w:tr w:rsidR="008144C7" w:rsidRPr="00635D1D" w14:paraId="7545D06E" w14:textId="77777777" w:rsidTr="00C5582D">
        <w:trPr>
          <w:trHeight w:val="240"/>
          <w:jc w:val="center"/>
        </w:trPr>
        <w:tc>
          <w:tcPr>
            <w:tcW w:w="4876" w:type="dxa"/>
            <w:tcBorders>
              <w:top w:val="nil"/>
              <w:left w:val="nil"/>
              <w:bottom w:val="nil"/>
              <w:right w:val="nil"/>
            </w:tcBorders>
            <w:hideMark/>
          </w:tcPr>
          <w:p w14:paraId="1B3A7245"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C3E8374" w14:textId="77777777" w:rsidR="008144C7" w:rsidRPr="00635D1D" w:rsidRDefault="008144C7" w:rsidP="00C5582D">
            <w:pPr>
              <w:pStyle w:val="AmColumnHeading"/>
            </w:pPr>
            <w:r w:rsidRPr="00635D1D">
              <w:t>Poprawka</w:t>
            </w:r>
          </w:p>
        </w:tc>
      </w:tr>
      <w:tr w:rsidR="008144C7" w:rsidRPr="00635D1D" w14:paraId="661CCB9B" w14:textId="77777777" w:rsidTr="00C5582D">
        <w:trPr>
          <w:jc w:val="center"/>
        </w:trPr>
        <w:tc>
          <w:tcPr>
            <w:tcW w:w="4876" w:type="dxa"/>
            <w:tcBorders>
              <w:top w:val="nil"/>
              <w:left w:val="nil"/>
              <w:bottom w:val="nil"/>
              <w:right w:val="nil"/>
            </w:tcBorders>
            <w:hideMark/>
          </w:tcPr>
          <w:p w14:paraId="1259FD41" w14:textId="77777777" w:rsidR="008144C7" w:rsidRPr="00635D1D" w:rsidRDefault="008144C7" w:rsidP="00C5582D">
            <w:pPr>
              <w:pStyle w:val="Normal6a"/>
            </w:pPr>
            <w:r w:rsidRPr="00635D1D">
              <w:rPr>
                <w:b/>
                <w:i/>
              </w:rPr>
              <w:t>(20)</w:t>
            </w:r>
            <w:r w:rsidRPr="00635D1D">
              <w:tab/>
            </w:r>
            <w:r w:rsidRPr="00635D1D">
              <w:rPr>
                <w:b/>
                <w:i/>
              </w:rPr>
              <w:t>Należy odpowiednio uwzględnić szczególną drogę narażenia na składniki produktów kosmetycznych, które mają głównie kontakt z zewnętrznymi częściami ciała ludzkiego (np. naskórkiem, włosami, paznokciami, zewnętrznymi narządami płciowymi), oraz fakt, że nie są one przeznaczone do spożycia, wdychania, wstrzykiwania lub wszczepiania do ciała ludzkiego. Zakaz wprowadzony na mocy art. 15 rozporządzenia (WE) nr 1223/2009 powinien obejmować substancje ujęte w zharmonizowanej klasyfikacji jako CMR zgodnie z rozporządzeniem (WE) nr 1272/2008, w przypadku gdy zagrożenia CMR nie są przypisane do określonych dróg narażenia lub gdy są one wyraźnie przypisane do narażenia przez skórę. W przypadku gdy klasyfikacja substancji jako CMR wiąże się wyłącznie z narażeniem drogą pokarmową lub przez drogi oddechowe, jej stosowanie w produktach kosmetycznych nie powoduje takiego samego poziomu ryzyka dla użytkowników końcowych, ponieważ narażenie drogą pokarmową lub przez drogi oddechowe ma charakter przypadkowy (na przykład w przypadku produktów kosmetycznych do stosowania na wargach, zębach lub błonach śluzowych jamy ustnej lub produktów kosmetycznych w aerozolu, które nie są przeznaczone do spożycia lub wdychania). W związku z tym substancje takie nie powinny podlegać zakazowi na mocy art. 15 rozporządzenia (WE) nr 1223/2009. Jednakże fakt, że substancja stosowana w produktach kosmetycznych przeznaczonych do jamy ustnej lub rozpylanych jest sklasyfikowana jako CMR ze względu na narażenie drogą pokarmową lub przez drogi oddechowe, może budzić obawy dotyczące zdrowia ludzkiego. W takich przypadkach Komisja powinna upoważnić SCCS do przeprowadzenia oceny bezpieczeństwa takich substancji stosowanych w produktach kosmetycznych i podjąć działania następcze w oparciu o odpowiednie środki regulacyjne zgodnie z art. 31 ust. 1 rozporządzenia (WE) nr 1223/2009.</w:t>
            </w:r>
          </w:p>
        </w:tc>
        <w:tc>
          <w:tcPr>
            <w:tcW w:w="4876" w:type="dxa"/>
            <w:tcBorders>
              <w:top w:val="nil"/>
              <w:left w:val="nil"/>
              <w:bottom w:val="nil"/>
              <w:right w:val="nil"/>
            </w:tcBorders>
            <w:hideMark/>
          </w:tcPr>
          <w:p w14:paraId="215572AB" w14:textId="77777777" w:rsidR="008144C7" w:rsidRPr="00635D1D" w:rsidRDefault="008144C7" w:rsidP="00C5582D">
            <w:pPr>
              <w:pStyle w:val="Normal6a"/>
            </w:pPr>
            <w:r w:rsidRPr="00635D1D">
              <w:rPr>
                <w:b/>
                <w:i/>
              </w:rPr>
              <w:t>skreśla się</w:t>
            </w:r>
          </w:p>
        </w:tc>
      </w:tr>
    </w:tbl>
    <w:p w14:paraId="79BBF011"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39F5B88F"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22B60D82" w14:textId="77777777" w:rsidR="008144C7" w:rsidRPr="00635D1D" w:rsidRDefault="008144C7" w:rsidP="008144C7">
      <w:pPr>
        <w:pStyle w:val="AmJustText"/>
      </w:pPr>
      <w:r w:rsidRPr="00635D1D">
        <w:t>Wniosek jest sprzeczny z wnioskami Komitetu Naukowego ds. Produktów Kosmetycznych (2001 r.) i jego zaleceniem dotyczącym zakazu stosowania wszystkich substancji CMR w produktach kosmetycznych. Ponadto wniosek doprowadziłby do większej złożoności i niepewności dla producentów kosmetyków, co jest sprzeczne z samym charakterem rozporządzenia zbiorczego (mającego na celu uproszczenie) pod względem art. 15 oraz uwzględnienia i określenia dróg narażenia.</w:t>
      </w:r>
    </w:p>
    <w:p w14:paraId="3D30F99C" w14:textId="77777777" w:rsidR="008144C7" w:rsidRPr="00635D1D" w:rsidRDefault="008144C7" w:rsidP="008144C7">
      <w:r w:rsidRPr="00635D1D">
        <w:rPr>
          <w:rStyle w:val="HideTWBExt"/>
        </w:rPr>
        <w:t>&lt;/Amend&gt;</w:t>
      </w:r>
    </w:p>
    <w:p w14:paraId="5B4B7F4B"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197</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7A5F3C41" w14:textId="77777777" w:rsidR="008144C7" w:rsidRPr="00635D1D" w:rsidRDefault="008144C7" w:rsidP="008144C7">
      <w:pPr>
        <w:pStyle w:val="NormalBold"/>
      </w:pPr>
      <w:r w:rsidRPr="00635D1D">
        <w:rPr>
          <w:rStyle w:val="HideTWBExt"/>
          <w:b w:val="0"/>
        </w:rPr>
        <w:t>&lt;RepeatBlock-By&gt;&lt;Members&gt;</w:t>
      </w:r>
      <w:proofErr w:type="spellStart"/>
      <w:r w:rsidRPr="00635D1D">
        <w:t>Idoia</w:t>
      </w:r>
      <w:proofErr w:type="spellEnd"/>
      <w:r w:rsidRPr="00635D1D">
        <w:t xml:space="preserve"> </w:t>
      </w:r>
      <w:proofErr w:type="spellStart"/>
      <w:r w:rsidRPr="00635D1D">
        <w:t>Mendia</w:t>
      </w:r>
      <w:proofErr w:type="spellEnd"/>
      <w:r w:rsidRPr="00635D1D">
        <w:t xml:space="preserve">, Kristian </w:t>
      </w:r>
      <w:proofErr w:type="spellStart"/>
      <w:r w:rsidRPr="00635D1D">
        <w:t>Vigenin</w:t>
      </w:r>
      <w:proofErr w:type="spellEnd"/>
      <w:r w:rsidRPr="00635D1D">
        <w:t xml:space="preserve">, </w:t>
      </w:r>
      <w:proofErr w:type="spellStart"/>
      <w:r w:rsidRPr="00635D1D">
        <w:t>Elisabeth</w:t>
      </w:r>
      <w:proofErr w:type="spellEnd"/>
      <w:r w:rsidRPr="00635D1D">
        <w:t xml:space="preserve"> Grossmann, </w:t>
      </w:r>
      <w:proofErr w:type="spellStart"/>
      <w:r w:rsidRPr="00635D1D">
        <w:t>Adnan</w:t>
      </w:r>
      <w:proofErr w:type="spellEnd"/>
      <w:r w:rsidRPr="00635D1D">
        <w:t xml:space="preserve"> </w:t>
      </w:r>
      <w:proofErr w:type="spellStart"/>
      <w:r w:rsidRPr="00635D1D">
        <w:t>Dibrani</w:t>
      </w:r>
      <w:proofErr w:type="spellEnd"/>
      <w:r w:rsidRPr="00635D1D">
        <w:t xml:space="preserve">, </w:t>
      </w:r>
      <w:proofErr w:type="spellStart"/>
      <w:r w:rsidRPr="00635D1D">
        <w:t>Sakis</w:t>
      </w:r>
      <w:proofErr w:type="spellEnd"/>
      <w:r w:rsidRPr="00635D1D">
        <w:t xml:space="preserve"> </w:t>
      </w:r>
      <w:proofErr w:type="spellStart"/>
      <w:r w:rsidRPr="00635D1D">
        <w:t>Arnaoutoglou</w:t>
      </w:r>
      <w:proofErr w:type="spellEnd"/>
      <w:r w:rsidRPr="00635D1D">
        <w:t xml:space="preserve">, </w:t>
      </w:r>
      <w:proofErr w:type="spellStart"/>
      <w:r w:rsidRPr="00635D1D">
        <w:t>César</w:t>
      </w:r>
      <w:proofErr w:type="spellEnd"/>
      <w:r w:rsidRPr="00635D1D">
        <w:t xml:space="preserve"> </w:t>
      </w:r>
      <w:proofErr w:type="spellStart"/>
      <w:r w:rsidRPr="00635D1D">
        <w:t>Luena</w:t>
      </w:r>
      <w:proofErr w:type="spellEnd"/>
      <w:r w:rsidRPr="00635D1D">
        <w:t xml:space="preserve">, Christophe </w:t>
      </w:r>
      <w:proofErr w:type="spellStart"/>
      <w:r w:rsidRPr="00635D1D">
        <w:t>Clergeau</w:t>
      </w:r>
      <w:proofErr w:type="spellEnd"/>
      <w:r w:rsidRPr="00635D1D">
        <w:t xml:space="preserve">, </w:t>
      </w:r>
      <w:proofErr w:type="spellStart"/>
      <w:r w:rsidRPr="00635D1D">
        <w:t>Tiemo</w:t>
      </w:r>
      <w:proofErr w:type="spellEnd"/>
      <w:r w:rsidRPr="00635D1D">
        <w:t xml:space="preserve"> </w:t>
      </w:r>
      <w:proofErr w:type="spellStart"/>
      <w:r w:rsidRPr="00635D1D">
        <w:t>Wölken</w:t>
      </w:r>
      <w:proofErr w:type="spellEnd"/>
      <w:r w:rsidRPr="00635D1D">
        <w:t xml:space="preserve">, </w:t>
      </w:r>
      <w:proofErr w:type="spellStart"/>
      <w:r w:rsidRPr="00635D1D">
        <w:t>Annalisa</w:t>
      </w:r>
      <w:proofErr w:type="spellEnd"/>
      <w:r w:rsidRPr="00635D1D">
        <w:t xml:space="preserve"> Corrado, </w:t>
      </w:r>
      <w:proofErr w:type="spellStart"/>
      <w:r w:rsidRPr="00635D1D">
        <w:t>Heléne</w:t>
      </w:r>
      <w:proofErr w:type="spellEnd"/>
      <w:r w:rsidRPr="00635D1D">
        <w:t xml:space="preserve"> </w:t>
      </w:r>
      <w:proofErr w:type="spellStart"/>
      <w:r w:rsidRPr="00635D1D">
        <w:t>Fritzon</w:t>
      </w:r>
      <w:proofErr w:type="spellEnd"/>
      <w:r w:rsidRPr="00635D1D">
        <w:t>, Marta Temido</w:t>
      </w:r>
      <w:r w:rsidRPr="00635D1D">
        <w:rPr>
          <w:rStyle w:val="HideTWBExt"/>
          <w:b w:val="0"/>
        </w:rPr>
        <w:t>&lt;/</w:t>
      </w:r>
      <w:proofErr w:type="spellStart"/>
      <w:r w:rsidRPr="00635D1D">
        <w:rPr>
          <w:rStyle w:val="HideTWBExt"/>
          <w:b w:val="0"/>
        </w:rPr>
        <w:t>Members</w:t>
      </w:r>
      <w:proofErr w:type="spellEnd"/>
      <w:r w:rsidRPr="00635D1D">
        <w:rPr>
          <w:rStyle w:val="HideTWBExt"/>
          <w:b w:val="0"/>
        </w:rPr>
        <w:t>&gt;</w:t>
      </w:r>
    </w:p>
    <w:p w14:paraId="32978BEA" w14:textId="77777777" w:rsidR="008144C7" w:rsidRPr="00635D1D" w:rsidRDefault="008144C7" w:rsidP="008144C7">
      <w:pPr>
        <w:pStyle w:val="NormalBold"/>
      </w:pPr>
      <w:r w:rsidRPr="00635D1D">
        <w:rPr>
          <w:rStyle w:val="HideTWBExt"/>
          <w:b w:val="0"/>
        </w:rPr>
        <w:t>&lt;/RepeatBlock-By&gt;</w:t>
      </w:r>
    </w:p>
    <w:p w14:paraId="7ADF650C"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73483C7" w14:textId="77777777" w:rsidR="008144C7" w:rsidRPr="00635D1D" w:rsidRDefault="008144C7" w:rsidP="008144C7">
      <w:pPr>
        <w:pStyle w:val="NormalBold"/>
      </w:pPr>
      <w:r w:rsidRPr="00635D1D">
        <w:rPr>
          <w:rStyle w:val="HideTWBExt"/>
          <w:b w:val="0"/>
        </w:rPr>
        <w:t>&lt;Article&gt;</w:t>
      </w:r>
      <w:r w:rsidRPr="00635D1D">
        <w:t>Motyw 20</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E08879A" w14:textId="77777777" w:rsidTr="00C5582D">
        <w:trPr>
          <w:trHeight w:val="240"/>
          <w:jc w:val="center"/>
        </w:trPr>
        <w:tc>
          <w:tcPr>
            <w:tcW w:w="9752" w:type="dxa"/>
            <w:gridSpan w:val="2"/>
            <w:tcBorders>
              <w:top w:val="nil"/>
              <w:left w:val="nil"/>
              <w:bottom w:val="nil"/>
              <w:right w:val="nil"/>
            </w:tcBorders>
          </w:tcPr>
          <w:p w14:paraId="64B06466" w14:textId="77777777" w:rsidR="008144C7" w:rsidRPr="00635D1D" w:rsidRDefault="008144C7" w:rsidP="00C5582D"/>
        </w:tc>
      </w:tr>
      <w:tr w:rsidR="008144C7" w:rsidRPr="00635D1D" w14:paraId="6373534A" w14:textId="77777777" w:rsidTr="00C5582D">
        <w:trPr>
          <w:trHeight w:val="240"/>
          <w:jc w:val="center"/>
        </w:trPr>
        <w:tc>
          <w:tcPr>
            <w:tcW w:w="4876" w:type="dxa"/>
            <w:tcBorders>
              <w:top w:val="nil"/>
              <w:left w:val="nil"/>
              <w:bottom w:val="nil"/>
              <w:right w:val="nil"/>
            </w:tcBorders>
            <w:hideMark/>
          </w:tcPr>
          <w:p w14:paraId="08470407"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772354B" w14:textId="77777777" w:rsidR="008144C7" w:rsidRPr="00635D1D" w:rsidRDefault="008144C7" w:rsidP="00C5582D">
            <w:pPr>
              <w:pStyle w:val="AmColumnHeading"/>
            </w:pPr>
            <w:r w:rsidRPr="00635D1D">
              <w:t>Poprawka</w:t>
            </w:r>
          </w:p>
        </w:tc>
      </w:tr>
      <w:tr w:rsidR="008144C7" w:rsidRPr="00635D1D" w14:paraId="334D170E" w14:textId="77777777" w:rsidTr="00C5582D">
        <w:trPr>
          <w:jc w:val="center"/>
        </w:trPr>
        <w:tc>
          <w:tcPr>
            <w:tcW w:w="4876" w:type="dxa"/>
            <w:tcBorders>
              <w:top w:val="nil"/>
              <w:left w:val="nil"/>
              <w:bottom w:val="nil"/>
              <w:right w:val="nil"/>
            </w:tcBorders>
            <w:hideMark/>
          </w:tcPr>
          <w:p w14:paraId="5A4F1DF1" w14:textId="77777777" w:rsidR="008144C7" w:rsidRPr="00635D1D" w:rsidRDefault="008144C7" w:rsidP="00C5582D">
            <w:pPr>
              <w:pStyle w:val="Normal6a"/>
            </w:pPr>
            <w:r w:rsidRPr="00635D1D">
              <w:rPr>
                <w:b/>
                <w:i/>
              </w:rPr>
              <w:t>(20)</w:t>
            </w:r>
            <w:r w:rsidRPr="00635D1D">
              <w:tab/>
            </w:r>
            <w:r w:rsidRPr="00635D1D">
              <w:rPr>
                <w:b/>
                <w:i/>
              </w:rPr>
              <w:t>Należy odpowiednio uwzględnić szczególną drogę narażenia na składniki produktów kosmetycznych, które mają głównie kontakt z zewnętrznymi częściami ciała ludzkiego (np. naskórkiem, włosami, paznokciami, zewnętrznymi narządami płciowymi), oraz fakt, że nie są one przeznaczone do spożycia, wdychania, wstrzykiwania lub wszczepiania do ciała ludzkiego. Zakaz wprowadzony na mocy art. 15 rozporządzenia (WE) nr 1223/2009 powinien obejmować substancje ujęte w zharmonizowanej klasyfikacji jako CMR zgodnie z rozporządzeniem (WE) nr 1272/2008, w przypadku gdy zagrożenia CMR nie są przypisane do określonych dróg narażenia lub gdy są one wyraźnie przypisane do narażenia przez skórę. W przypadku gdy klasyfikacja substancji jako CMR wiąże się wyłącznie z narażeniem drogą pokarmową lub przez drogi oddechowe, jej stosowanie w produktach kosmetycznych nie powoduje takiego samego poziomu ryzyka dla użytkowników końcowych, ponieważ narażenie drogą pokarmową lub przez drogi oddechowe ma charakter przypadkowy (na przykład w przypadku produktów kosmetycznych do stosowania na wargach, zębach lub błonach śluzowych jamy ustnej lub produktów kosmetycznych w aerozolu, które nie są przeznaczone do spożycia lub wdychania). W związku z tym substancje takie nie powinny podlegać zakazowi na mocy art. 15 rozporządzenia (WE) nr 1223/2009. Jednakże fakt, że substancja stosowana w produktach kosmetycznych przeznaczonych do jamy ustnej lub rozpylanych jest sklasyfikowana jako CMR ze względu na narażenie drogą pokarmową lub przez drogi oddechowe, może budzić obawy dotyczące zdrowia ludzkiego. W takich przypadkach Komisja powinna upoważnić SCCS do przeprowadzenia oceny bezpieczeństwa takich substancji stosowanych w produktach kosmetycznych i podjąć działania następcze w oparciu o odpowiednie środki regulacyjne zgodnie z art. 31 ust. 1 rozporządzenia (WE) nr 1223/2009.</w:t>
            </w:r>
          </w:p>
        </w:tc>
        <w:tc>
          <w:tcPr>
            <w:tcW w:w="4876" w:type="dxa"/>
            <w:tcBorders>
              <w:top w:val="nil"/>
              <w:left w:val="nil"/>
              <w:bottom w:val="nil"/>
              <w:right w:val="nil"/>
            </w:tcBorders>
            <w:hideMark/>
          </w:tcPr>
          <w:p w14:paraId="283C7B26" w14:textId="77777777" w:rsidR="008144C7" w:rsidRPr="00635D1D" w:rsidRDefault="008144C7" w:rsidP="00C5582D">
            <w:pPr>
              <w:pStyle w:val="Normal6a"/>
            </w:pPr>
            <w:r w:rsidRPr="00635D1D">
              <w:rPr>
                <w:b/>
                <w:i/>
              </w:rPr>
              <w:t>skreśla się</w:t>
            </w:r>
          </w:p>
        </w:tc>
      </w:tr>
    </w:tbl>
    <w:p w14:paraId="2F7A3B0B"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7F37EF5B" w14:textId="77777777" w:rsidR="008144C7" w:rsidRPr="00635D1D" w:rsidRDefault="008144C7" w:rsidP="008144C7">
      <w:r w:rsidRPr="00635D1D">
        <w:rPr>
          <w:rStyle w:val="HideTWBExt"/>
        </w:rPr>
        <w:t>&lt;/Amend&gt;</w:t>
      </w:r>
    </w:p>
    <w:p w14:paraId="4348EAE8"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198</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5F68A6F0"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Per Clausen, Anja </w:t>
      </w:r>
      <w:proofErr w:type="spellStart"/>
      <w:r w:rsidRPr="00AD15CF">
        <w:rPr>
          <w:lang w:val="en-GB"/>
        </w:rPr>
        <w:t>Hazekamp</w:t>
      </w:r>
      <w:proofErr w:type="spellEnd"/>
      <w:r w:rsidRPr="00AD15CF">
        <w:rPr>
          <w:rStyle w:val="HideTWBExt"/>
          <w:b w:val="0"/>
          <w:lang w:val="en-GB"/>
        </w:rPr>
        <w:t>&lt;/Members&gt;</w:t>
      </w:r>
    </w:p>
    <w:p w14:paraId="4CD92B2A" w14:textId="77777777" w:rsidR="008144C7" w:rsidRPr="00635D1D" w:rsidRDefault="008144C7" w:rsidP="008144C7">
      <w:pPr>
        <w:pStyle w:val="NormalBold"/>
      </w:pPr>
      <w:r w:rsidRPr="00635D1D">
        <w:rPr>
          <w:rStyle w:val="HideTWBExt"/>
          <w:b w:val="0"/>
        </w:rPr>
        <w:t>&lt;/RepeatBlock-By&gt;</w:t>
      </w:r>
    </w:p>
    <w:p w14:paraId="4259CC44"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9FE16A9" w14:textId="77777777" w:rsidR="008144C7" w:rsidRPr="00635D1D" w:rsidRDefault="008144C7" w:rsidP="008144C7">
      <w:pPr>
        <w:pStyle w:val="NormalBold"/>
      </w:pPr>
      <w:r w:rsidRPr="00635D1D">
        <w:rPr>
          <w:rStyle w:val="HideTWBExt"/>
          <w:b w:val="0"/>
        </w:rPr>
        <w:t>&lt;Article&gt;</w:t>
      </w:r>
      <w:r w:rsidRPr="00635D1D">
        <w:t>Motyw 20</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73ABE30" w14:textId="77777777" w:rsidTr="00C5582D">
        <w:trPr>
          <w:trHeight w:val="240"/>
          <w:jc w:val="center"/>
        </w:trPr>
        <w:tc>
          <w:tcPr>
            <w:tcW w:w="9752" w:type="dxa"/>
            <w:gridSpan w:val="2"/>
            <w:tcBorders>
              <w:top w:val="nil"/>
              <w:left w:val="nil"/>
              <w:bottom w:val="nil"/>
              <w:right w:val="nil"/>
            </w:tcBorders>
          </w:tcPr>
          <w:p w14:paraId="73B80F95" w14:textId="77777777" w:rsidR="008144C7" w:rsidRPr="00635D1D" w:rsidRDefault="008144C7" w:rsidP="00C5582D"/>
        </w:tc>
      </w:tr>
      <w:tr w:rsidR="008144C7" w:rsidRPr="00635D1D" w14:paraId="39079949" w14:textId="77777777" w:rsidTr="00C5582D">
        <w:trPr>
          <w:trHeight w:val="240"/>
          <w:jc w:val="center"/>
        </w:trPr>
        <w:tc>
          <w:tcPr>
            <w:tcW w:w="4876" w:type="dxa"/>
            <w:tcBorders>
              <w:top w:val="nil"/>
              <w:left w:val="nil"/>
              <w:bottom w:val="nil"/>
              <w:right w:val="nil"/>
            </w:tcBorders>
            <w:hideMark/>
          </w:tcPr>
          <w:p w14:paraId="239F2968"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C0438E6" w14:textId="77777777" w:rsidR="008144C7" w:rsidRPr="00635D1D" w:rsidRDefault="008144C7" w:rsidP="00C5582D">
            <w:pPr>
              <w:pStyle w:val="AmColumnHeading"/>
            </w:pPr>
            <w:r w:rsidRPr="00635D1D">
              <w:t>Poprawka</w:t>
            </w:r>
          </w:p>
        </w:tc>
      </w:tr>
      <w:tr w:rsidR="008144C7" w:rsidRPr="00635D1D" w14:paraId="04D21722" w14:textId="77777777" w:rsidTr="00C5582D">
        <w:trPr>
          <w:jc w:val="center"/>
        </w:trPr>
        <w:tc>
          <w:tcPr>
            <w:tcW w:w="4876" w:type="dxa"/>
            <w:tcBorders>
              <w:top w:val="nil"/>
              <w:left w:val="nil"/>
              <w:bottom w:val="nil"/>
              <w:right w:val="nil"/>
            </w:tcBorders>
            <w:hideMark/>
          </w:tcPr>
          <w:p w14:paraId="7390552A" w14:textId="77777777" w:rsidR="008144C7" w:rsidRPr="00635D1D" w:rsidRDefault="008144C7" w:rsidP="00C5582D">
            <w:pPr>
              <w:pStyle w:val="Normal6a"/>
            </w:pPr>
            <w:r w:rsidRPr="00635D1D">
              <w:rPr>
                <w:b/>
                <w:i/>
              </w:rPr>
              <w:t>(20)</w:t>
            </w:r>
            <w:r w:rsidRPr="00635D1D">
              <w:tab/>
            </w:r>
            <w:r w:rsidRPr="00635D1D">
              <w:rPr>
                <w:b/>
                <w:i/>
              </w:rPr>
              <w:t>Należy odpowiednio uwzględnić szczególną drogę narażenia na składniki produktów kosmetycznych, które mają głównie kontakt z zewnętrznymi częściami ciała ludzkiego (np. naskórkiem, włosami, paznokciami, zewnętrznymi narządami płciowymi), oraz fakt, że nie są one przeznaczone do spożycia, wdychania, wstrzykiwania lub wszczepiania do ciała ludzkiego. Zakaz wprowadzony na mocy art. 15 rozporządzenia (WE) nr 1223/2009 powinien obejmować substancje ujęte w zharmonizowanej klasyfikacji jako CMR zgodnie z rozporządzeniem (WE) nr 1272/2008, w przypadku gdy zagrożenia CMR nie są przypisane do określonych dróg narażenia lub gdy są one wyraźnie przypisane do narażenia przez skórę. W przypadku gdy klasyfikacja substancji jako CMR wiąże się wyłącznie z narażeniem drogą pokarmową lub przez drogi oddechowe, jej stosowanie w produktach kosmetycznych nie powoduje takiego samego poziomu ryzyka dla użytkowników końcowych, ponieważ narażenie drogą pokarmową lub przez drogi oddechowe ma charakter przypadkowy (na przykład w przypadku produktów kosmetycznych do stosowania na wargach, zębach lub błonach śluzowych jamy ustnej lub produktów kosmetycznych w aerozolu, które nie są przeznaczone do spożycia lub wdychania). W związku z tym substancje takie nie powinny podlegać zakazowi na mocy art. 15 rozporządzenia (WE) nr 1223/2009. Jednakże fakt, że substancja stosowana w produktach kosmetycznych przeznaczonych do jamy ustnej lub rozpylanych jest sklasyfikowana jako CMR ze względu na narażenie drogą pokarmową lub przez drogi oddechowe, może budzić obawy dotyczące zdrowia ludzkiego. W takich przypadkach Komisja powinna upoważnić SCCS do przeprowadzenia oceny bezpieczeństwa takich substancji stosowanych w produktach kosmetycznych i podjąć działania następcze w oparciu o odpowiednie środki regulacyjne zgodnie z art. 31 ust. 1 rozporządzenia (WE) nr 1223/2009.</w:t>
            </w:r>
          </w:p>
        </w:tc>
        <w:tc>
          <w:tcPr>
            <w:tcW w:w="4876" w:type="dxa"/>
            <w:tcBorders>
              <w:top w:val="nil"/>
              <w:left w:val="nil"/>
              <w:bottom w:val="nil"/>
              <w:right w:val="nil"/>
            </w:tcBorders>
            <w:hideMark/>
          </w:tcPr>
          <w:p w14:paraId="03202FB0" w14:textId="77777777" w:rsidR="008144C7" w:rsidRPr="00635D1D" w:rsidRDefault="008144C7" w:rsidP="00C5582D">
            <w:pPr>
              <w:pStyle w:val="Normal6a"/>
            </w:pPr>
            <w:r w:rsidRPr="00635D1D">
              <w:rPr>
                <w:b/>
                <w:i/>
              </w:rPr>
              <w:t>skreśla się</w:t>
            </w:r>
          </w:p>
        </w:tc>
      </w:tr>
    </w:tbl>
    <w:p w14:paraId="0ACE1C91"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202AAD67" w14:textId="77777777" w:rsidR="008144C7" w:rsidRPr="00635D1D" w:rsidRDefault="008144C7" w:rsidP="008144C7">
      <w:r w:rsidRPr="00635D1D">
        <w:rPr>
          <w:rStyle w:val="HideTWBExt"/>
        </w:rPr>
        <w:t>&lt;/Amend&gt;</w:t>
      </w:r>
    </w:p>
    <w:p w14:paraId="2327194A"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199</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2E01EB80" w14:textId="77777777" w:rsidR="008144C7" w:rsidRPr="00AD15CF" w:rsidRDefault="008144C7" w:rsidP="008144C7">
      <w:pPr>
        <w:pStyle w:val="NormalBold"/>
        <w:rPr>
          <w:lang w:val="en-GB"/>
        </w:rPr>
      </w:pPr>
      <w:r w:rsidRPr="00AD15CF">
        <w:rPr>
          <w:rStyle w:val="HideTWBExt"/>
          <w:b w:val="0"/>
          <w:lang w:val="en-GB"/>
        </w:rPr>
        <w:t>&lt;RepeatBlock-By&gt;&lt;Members&gt;</w:t>
      </w:r>
      <w:proofErr w:type="spellStart"/>
      <w:r w:rsidRPr="00AD15CF">
        <w:rPr>
          <w:lang w:val="en-GB"/>
        </w:rPr>
        <w:t>Majdouline</w:t>
      </w:r>
      <w:proofErr w:type="spellEnd"/>
      <w:r w:rsidRPr="00AD15CF">
        <w:rPr>
          <w:lang w:val="en-GB"/>
        </w:rPr>
        <w:t xml:space="preserve"> </w:t>
      </w:r>
      <w:proofErr w:type="spellStart"/>
      <w:r w:rsidRPr="00AD15CF">
        <w:rPr>
          <w:lang w:val="en-GB"/>
        </w:rPr>
        <w:t>Sbai</w:t>
      </w:r>
      <w:proofErr w:type="spellEnd"/>
      <w:r w:rsidRPr="00AD15CF">
        <w:rPr>
          <w:rStyle w:val="HideTWBExt"/>
          <w:b w:val="0"/>
          <w:lang w:val="en-GB"/>
        </w:rPr>
        <w:t>&lt;/Members&gt;</w:t>
      </w:r>
    </w:p>
    <w:p w14:paraId="1AB44925" w14:textId="77777777" w:rsidR="008144C7" w:rsidRPr="00635D1D" w:rsidRDefault="008144C7" w:rsidP="008144C7">
      <w:pPr>
        <w:pStyle w:val="NormalBold"/>
      </w:pPr>
      <w:r w:rsidRPr="00635D1D">
        <w:rPr>
          <w:rStyle w:val="HideTWBExt"/>
          <w:b w:val="0"/>
        </w:rPr>
        <w:t>&lt;/RepeatBlock-By&gt;</w:t>
      </w:r>
    </w:p>
    <w:p w14:paraId="1166DA66"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1D5393F" w14:textId="77777777" w:rsidR="008144C7" w:rsidRPr="00635D1D" w:rsidRDefault="008144C7" w:rsidP="008144C7">
      <w:pPr>
        <w:pStyle w:val="NormalBold"/>
      </w:pPr>
      <w:r w:rsidRPr="00635D1D">
        <w:rPr>
          <w:rStyle w:val="HideTWBExt"/>
          <w:b w:val="0"/>
        </w:rPr>
        <w:t>&lt;Article&gt;</w:t>
      </w:r>
      <w:r w:rsidRPr="00635D1D">
        <w:t>Motyw 20</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25DA405" w14:textId="77777777" w:rsidTr="00C5582D">
        <w:trPr>
          <w:trHeight w:val="240"/>
          <w:jc w:val="center"/>
        </w:trPr>
        <w:tc>
          <w:tcPr>
            <w:tcW w:w="9752" w:type="dxa"/>
            <w:gridSpan w:val="2"/>
            <w:tcBorders>
              <w:top w:val="nil"/>
              <w:left w:val="nil"/>
              <w:bottom w:val="nil"/>
              <w:right w:val="nil"/>
            </w:tcBorders>
          </w:tcPr>
          <w:p w14:paraId="5C01F695" w14:textId="77777777" w:rsidR="008144C7" w:rsidRPr="00635D1D" w:rsidRDefault="008144C7" w:rsidP="00C5582D"/>
        </w:tc>
      </w:tr>
      <w:tr w:rsidR="008144C7" w:rsidRPr="00635D1D" w14:paraId="277348AF" w14:textId="77777777" w:rsidTr="00C5582D">
        <w:trPr>
          <w:trHeight w:val="240"/>
          <w:jc w:val="center"/>
        </w:trPr>
        <w:tc>
          <w:tcPr>
            <w:tcW w:w="4876" w:type="dxa"/>
            <w:tcBorders>
              <w:top w:val="nil"/>
              <w:left w:val="nil"/>
              <w:bottom w:val="nil"/>
              <w:right w:val="nil"/>
            </w:tcBorders>
            <w:hideMark/>
          </w:tcPr>
          <w:p w14:paraId="6D6A3140"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DF0517F" w14:textId="77777777" w:rsidR="008144C7" w:rsidRPr="00635D1D" w:rsidRDefault="008144C7" w:rsidP="00C5582D">
            <w:pPr>
              <w:pStyle w:val="AmColumnHeading"/>
            </w:pPr>
            <w:r w:rsidRPr="00635D1D">
              <w:t>Poprawka</w:t>
            </w:r>
          </w:p>
        </w:tc>
      </w:tr>
      <w:tr w:rsidR="008144C7" w:rsidRPr="00635D1D" w14:paraId="6C24C573" w14:textId="77777777" w:rsidTr="00C5582D">
        <w:trPr>
          <w:jc w:val="center"/>
        </w:trPr>
        <w:tc>
          <w:tcPr>
            <w:tcW w:w="4876" w:type="dxa"/>
            <w:tcBorders>
              <w:top w:val="nil"/>
              <w:left w:val="nil"/>
              <w:bottom w:val="nil"/>
              <w:right w:val="nil"/>
            </w:tcBorders>
            <w:hideMark/>
          </w:tcPr>
          <w:p w14:paraId="0CB8295C" w14:textId="77777777" w:rsidR="008144C7" w:rsidRPr="00635D1D" w:rsidRDefault="008144C7" w:rsidP="00C5582D">
            <w:pPr>
              <w:pStyle w:val="Normal6a"/>
            </w:pPr>
            <w:r w:rsidRPr="00635D1D">
              <w:rPr>
                <w:b/>
                <w:i/>
              </w:rPr>
              <w:t>(20)</w:t>
            </w:r>
            <w:r w:rsidRPr="00635D1D">
              <w:tab/>
            </w:r>
            <w:r w:rsidRPr="00635D1D">
              <w:rPr>
                <w:b/>
                <w:i/>
              </w:rPr>
              <w:t>Należy odpowiednio uwzględnić szczególną drogę narażenia na składniki produktów kosmetycznych, które mają głównie kontakt z zewnętrznymi częściami ciała ludzkiego (np. naskórkiem, włosami, paznokciami, zewnętrznymi narządami płciowymi), oraz fakt, że nie są one przeznaczone do spożycia, wdychania, wstrzykiwania lub wszczepiania do ciała ludzkiego. Zakaz wprowadzony na mocy art. 15 rozporządzenia (WE) nr 1223/2009 powinien obejmować substancje ujęte w zharmonizowanej klasyfikacji jako CMR zgodnie z rozporządzeniem (WE) nr 1272/2008, w przypadku gdy zagrożenia CMR nie są przypisane do określonych dróg narażenia lub gdy są one wyraźnie przypisane do narażenia przez skórę. W przypadku gdy klasyfikacja substancji jako CMR wiąże się wyłącznie z narażeniem drogą pokarmową lub przez drogi oddechowe, jej stosowanie w produktach kosmetycznych nie powoduje takiego samego poziomu ryzyka dla użytkowników końcowych, ponieważ narażenie drogą pokarmową lub przez drogi oddechowe ma charakter przypadkowy (na przykład w przypadku produktów kosmetycznych do stosowania na wargach, zębach lub błonach śluzowych jamy ustnej lub produktów kosmetycznych w aerozolu, które nie są przeznaczone do spożycia lub wdychania). W związku z tym substancje takie nie powinny podlegać zakazowi na mocy art. 15 rozporządzenia (WE) nr 1223/2009. Jednakże fakt, że substancja stosowana w produktach kosmetycznych przeznaczonych do jamy ustnej lub rozpylanych jest sklasyfikowana jako CMR ze względu na narażenie drogą pokarmową lub przez drogi oddechowe, może budzić obawy dotyczące zdrowia ludzkiego. W takich przypadkach Komisja powinna upoważnić SCCS do przeprowadzenia oceny bezpieczeństwa takich substancji stosowanych w produktach kosmetycznych i podjąć działania następcze w oparciu o odpowiednie środki regulacyjne zgodnie z art. 31 ust. 1 rozporządzenia (WE) nr 1223/2009.</w:t>
            </w:r>
          </w:p>
        </w:tc>
        <w:tc>
          <w:tcPr>
            <w:tcW w:w="4876" w:type="dxa"/>
            <w:tcBorders>
              <w:top w:val="nil"/>
              <w:left w:val="nil"/>
              <w:bottom w:val="nil"/>
              <w:right w:val="nil"/>
            </w:tcBorders>
            <w:hideMark/>
          </w:tcPr>
          <w:p w14:paraId="1017625A" w14:textId="77777777" w:rsidR="008144C7" w:rsidRPr="00635D1D" w:rsidRDefault="008144C7" w:rsidP="00C5582D">
            <w:pPr>
              <w:pStyle w:val="Normal6a"/>
            </w:pPr>
            <w:r w:rsidRPr="00635D1D">
              <w:rPr>
                <w:b/>
                <w:i/>
              </w:rPr>
              <w:t>skreśla się</w:t>
            </w:r>
          </w:p>
        </w:tc>
      </w:tr>
    </w:tbl>
    <w:p w14:paraId="59B7B3CD"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7779B661"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1356B18F" w14:textId="77777777" w:rsidR="008144C7" w:rsidRPr="00AD15CF" w:rsidRDefault="008144C7" w:rsidP="008144C7">
      <w:pPr>
        <w:pStyle w:val="AmJustText"/>
        <w:rPr>
          <w:lang w:val="en-GB"/>
        </w:rPr>
      </w:pPr>
      <w:r w:rsidRPr="00AD15CF">
        <w:rPr>
          <w:lang w:val="en-GB"/>
        </w:rPr>
        <w:t xml:space="preserve">The Commission proposal would effectively undo to the existing CMR ban in cosmetics for substances that are CMR by inhalation or by ingestion. Many cosmetics are inhaled (e.g. perfumes), and some may be ingested (e.g. </w:t>
      </w:r>
      <w:proofErr w:type="gramStart"/>
      <w:r w:rsidRPr="00AD15CF">
        <w:rPr>
          <w:lang w:val="en-GB"/>
        </w:rPr>
        <w:t>tooth paste</w:t>
      </w:r>
      <w:proofErr w:type="gramEnd"/>
      <w:r w:rsidRPr="00AD15CF">
        <w:rPr>
          <w:lang w:val="en-GB"/>
        </w:rPr>
        <w:t xml:space="preserve">). Undoing such bans flies against the stated objective to maintain the same level of protection of human health (see Recital 2). The real but unstated motivation for the COM amendment is to create a lex </w:t>
      </w:r>
      <w:proofErr w:type="spellStart"/>
      <w:r w:rsidRPr="00AD15CF">
        <w:rPr>
          <w:lang w:val="en-GB"/>
        </w:rPr>
        <w:t>specialis</w:t>
      </w:r>
      <w:proofErr w:type="spellEnd"/>
      <w:r w:rsidRPr="00AD15CF">
        <w:rPr>
          <w:lang w:val="en-GB"/>
        </w:rPr>
        <w:t xml:space="preserve"> for ethanol in anticipation of a possible classification as CMR for oral use. However, the issue of ethanol has already been explicitly addressed in the recast of the Regulation in 2009. In the context of that recast, the possibility for a derogation from the CMR ban was introduced - explicitly to deal with a possible classification of ethanol. It is not acceptable that the Commission is now trying to tacitly insert a lex </w:t>
      </w:r>
      <w:proofErr w:type="spellStart"/>
      <w:r w:rsidRPr="00AD15CF">
        <w:rPr>
          <w:lang w:val="en-GB"/>
        </w:rPr>
        <w:t>specialis</w:t>
      </w:r>
      <w:proofErr w:type="spellEnd"/>
      <w:r w:rsidRPr="00AD15CF">
        <w:rPr>
          <w:lang w:val="en-GB"/>
        </w:rPr>
        <w:t xml:space="preserve"> for ethanol. In case of classification of ethanol as CMR, it should follow the same rules </w:t>
      </w:r>
      <w:proofErr w:type="gramStart"/>
      <w:r w:rsidRPr="00AD15CF">
        <w:rPr>
          <w:lang w:val="en-GB"/>
        </w:rPr>
        <w:t>with regard to</w:t>
      </w:r>
      <w:proofErr w:type="gramEnd"/>
      <w:r w:rsidRPr="00AD15CF">
        <w:rPr>
          <w:lang w:val="en-GB"/>
        </w:rPr>
        <w:t xml:space="preserve"> derogations as other substances.</w:t>
      </w:r>
    </w:p>
    <w:p w14:paraId="7FE67A69" w14:textId="77777777" w:rsidR="008144C7" w:rsidRPr="00AD15CF" w:rsidRDefault="008144C7" w:rsidP="008144C7">
      <w:pPr>
        <w:rPr>
          <w:lang w:val="en-GB"/>
        </w:rPr>
      </w:pPr>
      <w:r w:rsidRPr="00AD15CF">
        <w:rPr>
          <w:rStyle w:val="HideTWBExt"/>
          <w:lang w:val="en-GB"/>
        </w:rPr>
        <w:t>&lt;/Amend&gt;</w:t>
      </w:r>
    </w:p>
    <w:p w14:paraId="765743AB"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200</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0CCBDC94"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Pietro Fiocchi, Antonella </w:t>
      </w:r>
      <w:proofErr w:type="spellStart"/>
      <w:r w:rsidRPr="00AD15CF">
        <w:rPr>
          <w:lang w:val="en-GB"/>
        </w:rPr>
        <w:t>Sberna</w:t>
      </w:r>
      <w:proofErr w:type="spellEnd"/>
      <w:r w:rsidRPr="00AD15CF">
        <w:rPr>
          <w:rStyle w:val="HideTWBExt"/>
          <w:b w:val="0"/>
          <w:lang w:val="en-GB"/>
        </w:rPr>
        <w:t>&lt;/Members&gt;</w:t>
      </w:r>
    </w:p>
    <w:p w14:paraId="03D9CB26" w14:textId="77777777" w:rsidR="008144C7" w:rsidRPr="00AD15CF" w:rsidRDefault="008144C7" w:rsidP="008144C7">
      <w:pPr>
        <w:pStyle w:val="NormalBold"/>
        <w:rPr>
          <w:lang w:val="en-GB"/>
        </w:rPr>
      </w:pPr>
      <w:r w:rsidRPr="00AD15CF">
        <w:rPr>
          <w:rStyle w:val="HideTWBExt"/>
          <w:b w:val="0"/>
          <w:lang w:val="en-GB"/>
        </w:rPr>
        <w:t>&lt;/RepeatBlock-By&gt;</w:t>
      </w:r>
    </w:p>
    <w:p w14:paraId="555318D1"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FEBE39D" w14:textId="77777777" w:rsidR="008144C7" w:rsidRPr="00635D1D" w:rsidRDefault="008144C7" w:rsidP="008144C7">
      <w:pPr>
        <w:pStyle w:val="NormalBold"/>
      </w:pPr>
      <w:r w:rsidRPr="00635D1D">
        <w:rPr>
          <w:rStyle w:val="HideTWBExt"/>
          <w:b w:val="0"/>
        </w:rPr>
        <w:t>&lt;Article&gt;</w:t>
      </w:r>
      <w:r w:rsidRPr="00635D1D">
        <w:t>Motyw 20</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3E141FC" w14:textId="77777777" w:rsidTr="00C5582D">
        <w:trPr>
          <w:trHeight w:val="240"/>
          <w:jc w:val="center"/>
        </w:trPr>
        <w:tc>
          <w:tcPr>
            <w:tcW w:w="9752" w:type="dxa"/>
            <w:gridSpan w:val="2"/>
            <w:tcBorders>
              <w:top w:val="nil"/>
              <w:left w:val="nil"/>
              <w:bottom w:val="nil"/>
              <w:right w:val="nil"/>
            </w:tcBorders>
          </w:tcPr>
          <w:p w14:paraId="4787E822" w14:textId="77777777" w:rsidR="008144C7" w:rsidRPr="00635D1D" w:rsidRDefault="008144C7" w:rsidP="00C5582D"/>
        </w:tc>
      </w:tr>
      <w:tr w:rsidR="008144C7" w:rsidRPr="00635D1D" w14:paraId="386D3BA5" w14:textId="77777777" w:rsidTr="00C5582D">
        <w:trPr>
          <w:trHeight w:val="240"/>
          <w:jc w:val="center"/>
        </w:trPr>
        <w:tc>
          <w:tcPr>
            <w:tcW w:w="4876" w:type="dxa"/>
            <w:tcBorders>
              <w:top w:val="nil"/>
              <w:left w:val="nil"/>
              <w:bottom w:val="nil"/>
              <w:right w:val="nil"/>
            </w:tcBorders>
            <w:hideMark/>
          </w:tcPr>
          <w:p w14:paraId="33AD2E06"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5CB6EFA" w14:textId="77777777" w:rsidR="008144C7" w:rsidRPr="00635D1D" w:rsidRDefault="008144C7" w:rsidP="00C5582D">
            <w:pPr>
              <w:pStyle w:val="AmColumnHeading"/>
            </w:pPr>
            <w:r w:rsidRPr="00635D1D">
              <w:t>Poprawka</w:t>
            </w:r>
          </w:p>
        </w:tc>
      </w:tr>
      <w:tr w:rsidR="008144C7" w:rsidRPr="00635D1D" w14:paraId="13FC9719" w14:textId="77777777" w:rsidTr="00C5582D">
        <w:trPr>
          <w:jc w:val="center"/>
        </w:trPr>
        <w:tc>
          <w:tcPr>
            <w:tcW w:w="4876" w:type="dxa"/>
            <w:tcBorders>
              <w:top w:val="nil"/>
              <w:left w:val="nil"/>
              <w:bottom w:val="nil"/>
              <w:right w:val="nil"/>
            </w:tcBorders>
            <w:hideMark/>
          </w:tcPr>
          <w:p w14:paraId="51960614" w14:textId="77777777" w:rsidR="008144C7" w:rsidRPr="00635D1D" w:rsidRDefault="008144C7" w:rsidP="00C5582D">
            <w:pPr>
              <w:pStyle w:val="Normal6a"/>
            </w:pPr>
            <w:r w:rsidRPr="00635D1D">
              <w:t>(20)</w:t>
            </w:r>
            <w:r w:rsidRPr="00635D1D">
              <w:tab/>
              <w:t xml:space="preserve">Należy odpowiednio uwzględnić szczególną drogę narażenia na składniki produktów kosmetycznych, które mają głównie kontakt z zewnętrznymi częściami ciała ludzkiego (np. naskórkiem, włosami, paznokciami, zewnętrznymi narządami płciowymi), oraz fakt, że nie są one przeznaczone do spożycia, wdychania, wstrzykiwania lub wszczepiania do ciała ludzkiego. Zakaz wprowadzony na mocy art. 15 rozporządzenia (WE) nr 1223/2009 powinien obejmować substancje ujęte w zharmonizowanej klasyfikacji jako CMR zgodnie z rozporządzeniem (WE) nr 1272/2008, w przypadku gdy zagrożenia CMR nie są przypisane do określonych dróg narażenia lub gdy są one wyraźnie przypisane do narażenia </w:t>
            </w:r>
            <w:r w:rsidRPr="00635D1D">
              <w:rPr>
                <w:b/>
                <w:i/>
              </w:rPr>
              <w:t>przez skórę</w:t>
            </w:r>
            <w:r w:rsidRPr="00635D1D">
              <w:t xml:space="preserve">. W przypadku gdy klasyfikacja substancji jako CMR wiąże się wyłącznie z narażeniem drogą pokarmową lub przez drogi oddechowe, jej stosowanie w produktach kosmetycznych nie powoduje takiego samego poziomu ryzyka dla użytkowników końcowych, ponieważ narażenie drogą pokarmową lub przez drogi oddechowe ma charakter przypadkowy (na przykład w przypadku produktów kosmetycznych do stosowania na wargach, zębach lub błonach śluzowych jamy ustnej lub produktów kosmetycznych w aerozolu, które nie są przeznaczone do spożycia lub wdychania). </w:t>
            </w:r>
            <w:r w:rsidRPr="00635D1D">
              <w:rPr>
                <w:b/>
                <w:i/>
              </w:rPr>
              <w:t>W związku z tym</w:t>
            </w:r>
            <w:r w:rsidRPr="00635D1D">
              <w:t xml:space="preserve"> substancje takie </w:t>
            </w:r>
            <w:r w:rsidRPr="00635D1D">
              <w:rPr>
                <w:b/>
                <w:i/>
              </w:rPr>
              <w:t>nie powinny podlegać</w:t>
            </w:r>
            <w:r w:rsidRPr="00635D1D">
              <w:t xml:space="preserve"> zakazowi na mocy art. 15 rozporządzenia (WE) nr 1223/2009</w:t>
            </w:r>
            <w:r w:rsidRPr="00635D1D">
              <w:rPr>
                <w:b/>
                <w:i/>
              </w:rPr>
              <w:t>. Jednakże fakt, że substancja stosowana w produktach kosmetycznych przeznaczonych do jamy ustnej lub rozpylanych jest sklasyfikowana jako CMR ze względu na narażenie drogą pokarmową lub przez drogi oddechowe, może budzić obawy dotyczące zdrowia ludzkiego. W takich przypadkach Komisja powinna upoważnić SCCS do przeprowadzenia oceny bezpieczeństwa takich substancji stosowanych</w:t>
            </w:r>
            <w:r w:rsidRPr="00635D1D">
              <w:t xml:space="preserve"> w produktach kosmetycznych </w:t>
            </w:r>
            <w:r w:rsidRPr="00635D1D">
              <w:rPr>
                <w:b/>
                <w:i/>
              </w:rPr>
              <w:t>i podjąć działania następcze w oparciu o odpowiednie środki regulacyjne zgodnie z art. 31 ust. 1 rozporządzenia (WE) nr 1223/2009</w:t>
            </w:r>
            <w:r w:rsidRPr="00635D1D">
              <w:t>.</w:t>
            </w:r>
          </w:p>
        </w:tc>
        <w:tc>
          <w:tcPr>
            <w:tcW w:w="4876" w:type="dxa"/>
            <w:tcBorders>
              <w:top w:val="nil"/>
              <w:left w:val="nil"/>
              <w:bottom w:val="nil"/>
              <w:right w:val="nil"/>
            </w:tcBorders>
            <w:hideMark/>
          </w:tcPr>
          <w:p w14:paraId="0373FEA4" w14:textId="77777777" w:rsidR="008144C7" w:rsidRPr="00635D1D" w:rsidRDefault="008144C7" w:rsidP="00C5582D">
            <w:pPr>
              <w:pStyle w:val="Normal6a"/>
            </w:pPr>
            <w:r w:rsidRPr="00635D1D">
              <w:t>(20)</w:t>
            </w:r>
            <w:r w:rsidRPr="00635D1D">
              <w:tab/>
              <w:t xml:space="preserve">Należy odpowiednio uwzględnić szczególną drogę narażenia na składniki produktów kosmetycznych, które mają głównie kontakt z zewnętrznymi częściami ciała ludzkiego (np. naskórkiem, włosami, paznokciami, zewnętrznymi narządami płciowymi), oraz fakt, że nie są one przeznaczone do spożycia, wdychania, wstrzykiwania lub wszczepiania do ciała ludzkiego. Zakaz wprowadzony na mocy art. 15 rozporządzenia (WE) nr 1223/2009 powinien obejmować substancje ujęte w zharmonizowanej klasyfikacji jako CMR zgodnie z rozporządzeniem (WE) nr 1272/2008, w przypadku gdy zagrożenia CMR nie są przypisane do określonych dróg narażenia lub gdy są one wyraźnie przypisane do </w:t>
            </w:r>
            <w:r w:rsidRPr="00635D1D">
              <w:rPr>
                <w:b/>
                <w:i/>
              </w:rPr>
              <w:t>drogi</w:t>
            </w:r>
            <w:r w:rsidRPr="00635D1D">
              <w:t xml:space="preserve"> narażenia. W przypadku gdy klasyfikacja substancji jako CMR wiąże się wyłącznie z narażeniem drogą pokarmową lub przez drogi oddechowe, jej stosowanie w produktach kosmetycznych nie powoduje takiego samego poziomu ryzyka dla użytkowników końcowych, ponieważ narażenie drogą pokarmową lub przez drogi oddechowe ma charakter przypadkowy (na przykład w przypadku produktów kosmetycznych do stosowania na wargach, zębach lub błonach śluzowych jamy ustnej lub produktów kosmetycznych w aerozolu, które nie są przeznaczone do spożycia lub wdychania). Substancje takie </w:t>
            </w:r>
            <w:r w:rsidRPr="00635D1D">
              <w:rPr>
                <w:b/>
                <w:i/>
              </w:rPr>
              <w:t>nadal podlegają</w:t>
            </w:r>
            <w:r w:rsidRPr="00635D1D">
              <w:t xml:space="preserve"> zakazowi na mocy art. 15 rozporządzenia (WE) nr 1223/2009</w:t>
            </w:r>
            <w:r w:rsidRPr="00635D1D">
              <w:rPr>
                <w:b/>
                <w:i/>
              </w:rPr>
              <w:t>, gdy są stosowane</w:t>
            </w:r>
            <w:r w:rsidRPr="00635D1D">
              <w:t xml:space="preserve"> w produktach kosmetycznych </w:t>
            </w:r>
            <w:r w:rsidRPr="00635D1D">
              <w:rPr>
                <w:b/>
                <w:i/>
              </w:rPr>
              <w:t>wiążących się z tą określoną drogą narażenia, lecz powinny podlegać procedurze dotyczącej substancji CMR należących do kategorii 2, w przypadku gdy konieczne jest odstępstwo, a zatem nie muszą spełniać kryteriów dotyczących oceny substancji alternatywnych</w:t>
            </w:r>
            <w:r w:rsidRPr="00635D1D">
              <w:t>.</w:t>
            </w:r>
          </w:p>
        </w:tc>
      </w:tr>
    </w:tbl>
    <w:p w14:paraId="5C3D526D" w14:textId="77777777" w:rsidR="008144C7" w:rsidRPr="00AD15CF" w:rsidRDefault="008144C7" w:rsidP="008144C7">
      <w:pPr>
        <w:pStyle w:val="AmOrLang"/>
        <w:rPr>
          <w:lang w:val="en-GB" w:eastAsia="en-US"/>
        </w:rPr>
      </w:pPr>
      <w:r w:rsidRPr="00AD15CF">
        <w:rPr>
          <w:lang w:val="en-GB"/>
        </w:rPr>
        <w:t xml:space="preserve">Or. </w:t>
      </w:r>
      <w:r w:rsidRPr="00AD15CF">
        <w:rPr>
          <w:rStyle w:val="HideTWBExt"/>
          <w:lang w:val="en-GB"/>
        </w:rPr>
        <w:t>&lt;Original&gt;</w:t>
      </w:r>
      <w:r w:rsidRPr="00AD15CF">
        <w:rPr>
          <w:rStyle w:val="HideTWBInt"/>
          <w:rFonts w:eastAsiaTheme="majorEastAsia"/>
          <w:lang w:val="en-GB"/>
        </w:rPr>
        <w:t>{EN}</w:t>
      </w:r>
      <w:proofErr w:type="spellStart"/>
      <w:r w:rsidRPr="00AD15CF">
        <w:rPr>
          <w:lang w:val="en-GB"/>
        </w:rPr>
        <w:t>en</w:t>
      </w:r>
      <w:proofErr w:type="spellEnd"/>
      <w:r w:rsidRPr="00AD15CF">
        <w:rPr>
          <w:rStyle w:val="HideTWBExt"/>
          <w:lang w:val="en-GB"/>
        </w:rPr>
        <w:t>&lt;/Original&gt;</w:t>
      </w:r>
    </w:p>
    <w:p w14:paraId="37901037" w14:textId="77777777" w:rsidR="008144C7" w:rsidRPr="00AD15CF" w:rsidRDefault="008144C7" w:rsidP="008144C7">
      <w:pPr>
        <w:rPr>
          <w:lang w:val="en-GB"/>
        </w:rPr>
      </w:pPr>
      <w:r w:rsidRPr="00AD15CF">
        <w:rPr>
          <w:rStyle w:val="HideTWBExt"/>
          <w:lang w:val="en-GB"/>
        </w:rPr>
        <w:t>&lt;/Amend&gt;</w:t>
      </w:r>
    </w:p>
    <w:p w14:paraId="5A033DAD" w14:textId="77777777" w:rsidR="008144C7" w:rsidRPr="00AD15CF" w:rsidRDefault="008144C7" w:rsidP="008144C7">
      <w:pPr>
        <w:pStyle w:val="AmNumberTabs"/>
        <w:rPr>
          <w:lang w:val="en-GB"/>
        </w:rPr>
      </w:pPr>
      <w:r w:rsidRPr="00AD15CF">
        <w:rPr>
          <w:rStyle w:val="HideTWBExt"/>
          <w:b w:val="0"/>
          <w:lang w:val="en-GB"/>
        </w:rPr>
        <w:t>&lt;Amend&gt;</w:t>
      </w:r>
      <w:proofErr w:type="spellStart"/>
      <w:r w:rsidRPr="00AD15CF">
        <w:rPr>
          <w:lang w:val="en-GB"/>
        </w:rPr>
        <w:t>Poprawka</w:t>
      </w:r>
      <w:proofErr w:type="spellEnd"/>
      <w:r w:rsidRPr="00AD15CF">
        <w:rPr>
          <w:lang w:val="en-GB"/>
        </w:rPr>
        <w:tab/>
      </w:r>
      <w:r w:rsidRPr="00AD15CF">
        <w:rPr>
          <w:lang w:val="en-GB"/>
        </w:rPr>
        <w:tab/>
      </w:r>
      <w:r w:rsidRPr="00AD15CF">
        <w:rPr>
          <w:rStyle w:val="HideTWBExt"/>
          <w:b w:val="0"/>
          <w:lang w:val="en-GB"/>
        </w:rPr>
        <w:t>&lt;NumAm&gt;</w:t>
      </w:r>
      <w:r w:rsidRPr="00AD15CF">
        <w:rPr>
          <w:lang w:val="en-GB"/>
        </w:rPr>
        <w:t>201</w:t>
      </w:r>
      <w:r w:rsidRPr="00AD15CF">
        <w:rPr>
          <w:rStyle w:val="HideTWBExt"/>
          <w:b w:val="0"/>
          <w:lang w:val="en-GB"/>
        </w:rPr>
        <w:t>&lt;/</w:t>
      </w:r>
      <w:proofErr w:type="spellStart"/>
      <w:r w:rsidRPr="00AD15CF">
        <w:rPr>
          <w:rStyle w:val="HideTWBExt"/>
          <w:b w:val="0"/>
          <w:lang w:val="en-GB"/>
        </w:rPr>
        <w:t>NumAm</w:t>
      </w:r>
      <w:proofErr w:type="spellEnd"/>
      <w:r w:rsidRPr="00AD15CF">
        <w:rPr>
          <w:rStyle w:val="HideTWBExt"/>
          <w:b w:val="0"/>
          <w:lang w:val="en-GB"/>
        </w:rPr>
        <w:t>&gt;</w:t>
      </w:r>
    </w:p>
    <w:p w14:paraId="4961F023" w14:textId="77777777" w:rsidR="008144C7" w:rsidRPr="00AD15CF" w:rsidRDefault="008144C7" w:rsidP="008144C7">
      <w:pPr>
        <w:pStyle w:val="NormalBold"/>
        <w:rPr>
          <w:lang w:val="en-GB"/>
        </w:rPr>
      </w:pPr>
      <w:r w:rsidRPr="00AD15CF">
        <w:rPr>
          <w:rStyle w:val="HideTWBExt"/>
          <w:b w:val="0"/>
          <w:lang w:val="en-GB"/>
        </w:rPr>
        <w:t>&lt;RepeatBlock-By&gt;&lt;Members&gt;</w:t>
      </w:r>
      <w:r w:rsidRPr="00AD15CF">
        <w:rPr>
          <w:lang w:val="en-GB"/>
        </w:rPr>
        <w:t xml:space="preserve">Susana Solís Pérez, Esther </w:t>
      </w:r>
      <w:proofErr w:type="spellStart"/>
      <w:r w:rsidRPr="00AD15CF">
        <w:rPr>
          <w:lang w:val="en-GB"/>
        </w:rPr>
        <w:t>Herranz</w:t>
      </w:r>
      <w:proofErr w:type="spellEnd"/>
      <w:r w:rsidRPr="00AD15CF">
        <w:rPr>
          <w:lang w:val="en-GB"/>
        </w:rPr>
        <w:t xml:space="preserve"> García, Raúl de la </w:t>
      </w:r>
      <w:proofErr w:type="spellStart"/>
      <w:r w:rsidRPr="00AD15CF">
        <w:rPr>
          <w:lang w:val="en-GB"/>
        </w:rPr>
        <w:t>Hoz</w:t>
      </w:r>
      <w:proofErr w:type="spellEnd"/>
      <w:r w:rsidRPr="00AD15CF">
        <w:rPr>
          <w:lang w:val="en-GB"/>
        </w:rPr>
        <w:t xml:space="preserve"> </w:t>
      </w:r>
      <w:proofErr w:type="spellStart"/>
      <w:r w:rsidRPr="00AD15CF">
        <w:rPr>
          <w:lang w:val="en-GB"/>
        </w:rPr>
        <w:t>Quintano</w:t>
      </w:r>
      <w:proofErr w:type="spellEnd"/>
      <w:r w:rsidRPr="00AD15CF">
        <w:rPr>
          <w:lang w:val="en-GB"/>
        </w:rPr>
        <w:t xml:space="preserve">, Pablo Arias </w:t>
      </w:r>
      <w:proofErr w:type="spellStart"/>
      <w:r w:rsidRPr="00AD15CF">
        <w:rPr>
          <w:lang w:val="en-GB"/>
        </w:rPr>
        <w:t>Echeverría</w:t>
      </w:r>
      <w:proofErr w:type="spellEnd"/>
      <w:r w:rsidRPr="00AD15CF">
        <w:rPr>
          <w:lang w:val="en-GB"/>
        </w:rPr>
        <w:t xml:space="preserve">, </w:t>
      </w:r>
      <w:proofErr w:type="spellStart"/>
      <w:r w:rsidRPr="00AD15CF">
        <w:rPr>
          <w:lang w:val="en-GB"/>
        </w:rPr>
        <w:t>Dolors</w:t>
      </w:r>
      <w:proofErr w:type="spellEnd"/>
      <w:r w:rsidRPr="00AD15CF">
        <w:rPr>
          <w:lang w:val="en-GB"/>
        </w:rPr>
        <w:t xml:space="preserve"> Montserrat</w:t>
      </w:r>
      <w:r w:rsidRPr="00AD15CF">
        <w:rPr>
          <w:rStyle w:val="HideTWBExt"/>
          <w:b w:val="0"/>
          <w:lang w:val="en-GB"/>
        </w:rPr>
        <w:t>&lt;/Members&gt;</w:t>
      </w:r>
    </w:p>
    <w:p w14:paraId="4D4643D5" w14:textId="77777777" w:rsidR="008144C7" w:rsidRPr="00635D1D" w:rsidRDefault="008144C7" w:rsidP="008144C7">
      <w:pPr>
        <w:pStyle w:val="NormalBold"/>
      </w:pPr>
      <w:r w:rsidRPr="00635D1D">
        <w:rPr>
          <w:rStyle w:val="HideTWBExt"/>
          <w:b w:val="0"/>
        </w:rPr>
        <w:t>&lt;/RepeatBlock-By&gt;</w:t>
      </w:r>
    </w:p>
    <w:p w14:paraId="1BA52968"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A324B42" w14:textId="77777777" w:rsidR="008144C7" w:rsidRPr="00635D1D" w:rsidRDefault="008144C7" w:rsidP="008144C7">
      <w:pPr>
        <w:pStyle w:val="NormalBold"/>
      </w:pPr>
      <w:r w:rsidRPr="00635D1D">
        <w:rPr>
          <w:rStyle w:val="HideTWBExt"/>
          <w:b w:val="0"/>
        </w:rPr>
        <w:t>&lt;Article&gt;</w:t>
      </w:r>
      <w:r w:rsidRPr="00635D1D">
        <w:t>Motyw 20</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0511AC62" w14:textId="77777777" w:rsidTr="00C5582D">
        <w:trPr>
          <w:trHeight w:val="240"/>
          <w:jc w:val="center"/>
        </w:trPr>
        <w:tc>
          <w:tcPr>
            <w:tcW w:w="9752" w:type="dxa"/>
            <w:gridSpan w:val="2"/>
            <w:tcBorders>
              <w:top w:val="nil"/>
              <w:left w:val="nil"/>
              <w:bottom w:val="nil"/>
              <w:right w:val="nil"/>
            </w:tcBorders>
          </w:tcPr>
          <w:p w14:paraId="667DD999" w14:textId="77777777" w:rsidR="008144C7" w:rsidRPr="00635D1D" w:rsidRDefault="008144C7" w:rsidP="00C5582D"/>
        </w:tc>
      </w:tr>
      <w:tr w:rsidR="008144C7" w:rsidRPr="00635D1D" w14:paraId="6D3C64E5" w14:textId="77777777" w:rsidTr="00C5582D">
        <w:trPr>
          <w:trHeight w:val="240"/>
          <w:jc w:val="center"/>
        </w:trPr>
        <w:tc>
          <w:tcPr>
            <w:tcW w:w="4876" w:type="dxa"/>
            <w:tcBorders>
              <w:top w:val="nil"/>
              <w:left w:val="nil"/>
              <w:bottom w:val="nil"/>
              <w:right w:val="nil"/>
            </w:tcBorders>
            <w:hideMark/>
          </w:tcPr>
          <w:p w14:paraId="120EF15D"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24E3461" w14:textId="77777777" w:rsidR="008144C7" w:rsidRPr="00635D1D" w:rsidRDefault="008144C7" w:rsidP="00C5582D">
            <w:pPr>
              <w:pStyle w:val="AmColumnHeading"/>
            </w:pPr>
            <w:r w:rsidRPr="00635D1D">
              <w:t>Poprawka</w:t>
            </w:r>
          </w:p>
        </w:tc>
      </w:tr>
      <w:tr w:rsidR="008144C7" w:rsidRPr="00635D1D" w14:paraId="3602EFB1" w14:textId="77777777" w:rsidTr="00C5582D">
        <w:trPr>
          <w:jc w:val="center"/>
        </w:trPr>
        <w:tc>
          <w:tcPr>
            <w:tcW w:w="4876" w:type="dxa"/>
            <w:tcBorders>
              <w:top w:val="nil"/>
              <w:left w:val="nil"/>
              <w:bottom w:val="nil"/>
              <w:right w:val="nil"/>
            </w:tcBorders>
            <w:hideMark/>
          </w:tcPr>
          <w:p w14:paraId="40F7A877" w14:textId="77777777" w:rsidR="008144C7" w:rsidRPr="00635D1D" w:rsidRDefault="008144C7" w:rsidP="00C5582D">
            <w:pPr>
              <w:pStyle w:val="Normal6a"/>
            </w:pPr>
            <w:r w:rsidRPr="00635D1D">
              <w:t>(20)</w:t>
            </w:r>
            <w:r w:rsidRPr="00635D1D">
              <w:tab/>
              <w:t xml:space="preserve">Należy odpowiednio uwzględnić szczególną drogę narażenia na składniki produktów kosmetycznych, które mają głównie kontakt z zewnętrznymi częściami ciała ludzkiego (np. naskórkiem, włosami, paznokciami, zewnętrznymi narządami płciowymi), oraz fakt, że nie są one przeznaczone do spożycia, wdychania, wstrzykiwania lub wszczepiania do ciała ludzkiego. Zakaz wprowadzony na mocy art. 15 rozporządzenia (WE) nr 1223/2009 powinien obejmować substancje ujęte w zharmonizowanej klasyfikacji jako CMR zgodnie z rozporządzeniem (WE) nr 1272/2008, w przypadku gdy zagrożenia CMR nie są przypisane do </w:t>
            </w:r>
            <w:r w:rsidRPr="00635D1D">
              <w:rPr>
                <w:b/>
                <w:i/>
              </w:rPr>
              <w:t>określonych dróg</w:t>
            </w:r>
            <w:r w:rsidRPr="00635D1D">
              <w:t xml:space="preserve"> narażenia lub gdy są one wyraźnie przypisane do narażenia przez skórę.</w:t>
            </w:r>
            <w:r w:rsidRPr="00635D1D">
              <w:rPr>
                <w:b/>
                <w:i/>
              </w:rPr>
              <w:t xml:space="preserve"> </w:t>
            </w:r>
            <w:r w:rsidRPr="00635D1D">
              <w:t xml:space="preserve">W przypadku gdy klasyfikacja substancji jako CMR wiąże się wyłącznie z narażeniem drogą pokarmową lub przez drogi oddechowe, </w:t>
            </w:r>
            <w:r w:rsidRPr="00635D1D">
              <w:rPr>
                <w:b/>
                <w:i/>
              </w:rPr>
              <w:t>jej</w:t>
            </w:r>
            <w:r w:rsidRPr="00635D1D">
              <w:t xml:space="preserve"> stosowanie w produktach kosmetycznych nie powoduje takiego samego poziomu ryzyka dla użytkowników końcowych, ponieważ narażenie drogą pokarmową lub przez drogi oddechowe ma charakter przypadkowy (na przykład w przypadku produktów kosmetycznych do stosowania na wargach, zębach lub błonach śluzowych jamy ustnej lub produktów kosmetycznych w aerozolu, które nie są przeznaczone do spożycia lub wdychania). </w:t>
            </w:r>
            <w:r w:rsidRPr="00635D1D">
              <w:rPr>
                <w:b/>
                <w:i/>
              </w:rPr>
              <w:t>W związku z tym</w:t>
            </w:r>
            <w:r w:rsidRPr="00635D1D">
              <w:t xml:space="preserve"> substancje takie </w:t>
            </w:r>
            <w:r w:rsidRPr="00635D1D">
              <w:rPr>
                <w:b/>
                <w:i/>
              </w:rPr>
              <w:t>nie powinny podlegać</w:t>
            </w:r>
            <w:r w:rsidRPr="00635D1D">
              <w:t xml:space="preserve"> zakazowi na mocy art. 15 rozporządzenia (WE) nr 1223/2009</w:t>
            </w:r>
            <w:r w:rsidRPr="00635D1D">
              <w:rPr>
                <w:b/>
                <w:i/>
              </w:rPr>
              <w:t>. Jednakże fakt, że substancja stosowana w produktach kosmetycznych przeznaczonych do jamy ustnej lub rozpylanych jest sklasyfikowana jako CMR ze względu na narażenie drogą pokarmową lub przez drogi oddechowe, może budzić obawy dotyczące zdrowia ludzkiego. W takich przypadkach Komisja powinna upoważnić SCCS do przeprowadzenia oceny bezpieczeństwa takich substancji stosowanych</w:t>
            </w:r>
            <w:r w:rsidRPr="00635D1D">
              <w:t xml:space="preserve"> w produktach kosmetycznych </w:t>
            </w:r>
            <w:r w:rsidRPr="00635D1D">
              <w:rPr>
                <w:b/>
                <w:i/>
              </w:rPr>
              <w:t>i podjąć działania następcze w oparciu o odpowiednie środki regulacyjne zgodnie z art. 31 ust. 1 rozporządzenia (WE) nr 1223/2009</w:t>
            </w:r>
            <w:r w:rsidRPr="00635D1D">
              <w:t>.</w:t>
            </w:r>
          </w:p>
        </w:tc>
        <w:tc>
          <w:tcPr>
            <w:tcW w:w="4876" w:type="dxa"/>
            <w:tcBorders>
              <w:top w:val="nil"/>
              <w:left w:val="nil"/>
              <w:bottom w:val="nil"/>
              <w:right w:val="nil"/>
            </w:tcBorders>
            <w:hideMark/>
          </w:tcPr>
          <w:p w14:paraId="7806C00F" w14:textId="77777777" w:rsidR="008144C7" w:rsidRPr="00635D1D" w:rsidRDefault="008144C7" w:rsidP="00C5582D">
            <w:pPr>
              <w:pStyle w:val="Normal6a"/>
            </w:pPr>
            <w:r w:rsidRPr="00635D1D">
              <w:t>(20)</w:t>
            </w:r>
            <w:r w:rsidRPr="00635D1D">
              <w:tab/>
              <w:t xml:space="preserve">Należy odpowiednio uwzględnić szczególną drogę narażenia na składniki produktów kosmetycznych, które mają głównie kontakt z zewnętrznymi częściami ciała ludzkiego (np. naskórkiem, włosami, paznokciami, zewnętrznymi narządami płciowymi), </w:t>
            </w:r>
            <w:r w:rsidRPr="00635D1D">
              <w:rPr>
                <w:b/>
                <w:i/>
              </w:rPr>
              <w:t>rzeczywiste warunki narażenia wynikające ze stosowania tych składników</w:t>
            </w:r>
            <w:r w:rsidRPr="00635D1D">
              <w:t xml:space="preserve"> oraz fakt, że nie są one przeznaczone do spożycia, wdychania, wstrzykiwania lub wszczepiania do ciała ludzkiego. Zakaz wprowadzony na mocy art. 15 rozporządzenia (WE) nr 1223/2009 powinien obejmować substancje ujęte w zharmonizowanej klasyfikacji jako CMR zgodnie z rozporządzeniem (WE) nr 1272/2008, w przypadku gdy zagrożenia CMR nie są przypisane do </w:t>
            </w:r>
            <w:r w:rsidRPr="00635D1D">
              <w:rPr>
                <w:b/>
                <w:i/>
              </w:rPr>
              <w:t>drogi</w:t>
            </w:r>
            <w:r w:rsidRPr="00635D1D">
              <w:t xml:space="preserve"> narażenia lub gdy są one wyraźnie przypisane do narażenia przez skórę. W przypadku gdy klasyfikacja </w:t>
            </w:r>
            <w:r w:rsidRPr="00635D1D">
              <w:rPr>
                <w:b/>
                <w:i/>
              </w:rPr>
              <w:t>substancji lub składnika naturalnej złożonej</w:t>
            </w:r>
            <w:r w:rsidRPr="00635D1D">
              <w:t xml:space="preserve"> substancji jako CMR wiąże się wyłącznie z narażeniem drogą pokarmową lub przez drogi oddechowe, </w:t>
            </w:r>
            <w:r w:rsidRPr="00635D1D">
              <w:rPr>
                <w:b/>
                <w:i/>
              </w:rPr>
              <w:t>ich</w:t>
            </w:r>
            <w:r w:rsidRPr="00635D1D">
              <w:t xml:space="preserve"> stosowanie w produktach kosmetycznych nie powoduje takiego samego poziomu ryzyka dla użytkowników końcowych</w:t>
            </w:r>
            <w:r w:rsidRPr="00635D1D">
              <w:rPr>
                <w:b/>
                <w:i/>
              </w:rPr>
              <w:t>, pod warunkiem że naukowa ocena realistycznych scenariuszy narażenia potwierdza bezpieczeństwo tej substancji lub tego składnika</w:t>
            </w:r>
            <w:r w:rsidRPr="00635D1D">
              <w:t xml:space="preserve">, ponieważ narażenie drogą pokarmową lub przez drogi oddechowe ma charakter przypadkowy (na przykład w przypadku produktów kosmetycznych do stosowania na wargach, zębach lub błonach śluzowych jamy ustnej lub produktów kosmetycznych w aerozolu, które nie są przeznaczone do spożycia lub wdychania). Substancje takie </w:t>
            </w:r>
            <w:r w:rsidRPr="00635D1D">
              <w:rPr>
                <w:b/>
                <w:i/>
              </w:rPr>
              <w:t>nadal podlegają</w:t>
            </w:r>
            <w:r w:rsidRPr="00635D1D">
              <w:t xml:space="preserve"> zakazowi na mocy art. 15 rozporządzenia (WE) nr 1223/2009</w:t>
            </w:r>
            <w:r w:rsidRPr="00635D1D">
              <w:rPr>
                <w:b/>
                <w:i/>
              </w:rPr>
              <w:t>, gdy są stosowane</w:t>
            </w:r>
            <w:r w:rsidRPr="00635D1D">
              <w:t xml:space="preserve"> w produktach kosmetycznych </w:t>
            </w:r>
            <w:r w:rsidRPr="00635D1D">
              <w:rPr>
                <w:b/>
                <w:i/>
              </w:rPr>
              <w:t>wiążących się z tą konkretną drogą narażenia, lecz ich bezpieczeństwo powinno być oceniane zgodnie z procedurą dotyczącą substancji CMR należących do kategorii 2, na podstawie niezależnej oceny naukowej przeprowadzonej przez Komitet Naukowy ds. Bezpieczeństwa Konsumentów, a zatem nie muszą spełniać kryteriów dotyczących oceny substancji alternatywnych</w:t>
            </w:r>
            <w:r w:rsidRPr="00635D1D">
              <w:t>.</w:t>
            </w:r>
          </w:p>
        </w:tc>
      </w:tr>
    </w:tbl>
    <w:p w14:paraId="29B2370A"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34F63707" w14:textId="77777777" w:rsidR="008144C7" w:rsidRPr="00E90719" w:rsidRDefault="008144C7" w:rsidP="008144C7">
      <w:pPr>
        <w:rPr>
          <w:lang w:val="en-GB"/>
        </w:rPr>
      </w:pPr>
      <w:r w:rsidRPr="00E90719">
        <w:rPr>
          <w:rStyle w:val="HideTWBExt"/>
          <w:lang w:val="en-GB"/>
        </w:rPr>
        <w:t>&lt;/Amend&gt;</w:t>
      </w:r>
    </w:p>
    <w:p w14:paraId="58A6290D"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202</w:t>
      </w:r>
      <w:r w:rsidRPr="00E90719">
        <w:rPr>
          <w:rStyle w:val="HideTWBExt"/>
          <w:b w:val="0"/>
          <w:lang w:val="en-GB"/>
        </w:rPr>
        <w:t>&lt;/NumAm&gt;</w:t>
      </w:r>
    </w:p>
    <w:p w14:paraId="7981CBA2"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Per Clausen, Anja Hazekamp</w:t>
      </w:r>
      <w:r w:rsidRPr="00E90719">
        <w:rPr>
          <w:rStyle w:val="HideTWBExt"/>
          <w:b w:val="0"/>
          <w:lang w:val="en-GB"/>
        </w:rPr>
        <w:t>&lt;/Members&gt;</w:t>
      </w:r>
    </w:p>
    <w:p w14:paraId="036E05FC" w14:textId="77777777" w:rsidR="008144C7" w:rsidRPr="00635D1D" w:rsidRDefault="008144C7" w:rsidP="008144C7">
      <w:pPr>
        <w:pStyle w:val="NormalBold"/>
      </w:pPr>
      <w:r w:rsidRPr="00635D1D">
        <w:rPr>
          <w:rStyle w:val="HideTWBExt"/>
          <w:b w:val="0"/>
        </w:rPr>
        <w:t>&lt;/RepeatBlock-By&gt;</w:t>
      </w:r>
    </w:p>
    <w:p w14:paraId="2EE8390A"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DE0F9B8" w14:textId="77777777" w:rsidR="008144C7" w:rsidRPr="00635D1D" w:rsidRDefault="008144C7" w:rsidP="008144C7">
      <w:pPr>
        <w:pStyle w:val="NormalBold"/>
      </w:pPr>
      <w:r w:rsidRPr="00635D1D">
        <w:rPr>
          <w:rStyle w:val="HideTWBExt"/>
          <w:b w:val="0"/>
        </w:rPr>
        <w:t>&lt;Article&gt;</w:t>
      </w:r>
      <w:r w:rsidRPr="00635D1D">
        <w:t>Motyw 21</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A4EAB2A" w14:textId="77777777" w:rsidTr="00C5582D">
        <w:trPr>
          <w:trHeight w:val="240"/>
          <w:jc w:val="center"/>
        </w:trPr>
        <w:tc>
          <w:tcPr>
            <w:tcW w:w="9752" w:type="dxa"/>
            <w:gridSpan w:val="2"/>
            <w:tcBorders>
              <w:top w:val="nil"/>
              <w:left w:val="nil"/>
              <w:bottom w:val="nil"/>
              <w:right w:val="nil"/>
            </w:tcBorders>
          </w:tcPr>
          <w:p w14:paraId="5AD8CD73" w14:textId="77777777" w:rsidR="008144C7" w:rsidRPr="00635D1D" w:rsidRDefault="008144C7" w:rsidP="00C5582D"/>
        </w:tc>
      </w:tr>
      <w:tr w:rsidR="008144C7" w:rsidRPr="00635D1D" w14:paraId="05EED1F2" w14:textId="77777777" w:rsidTr="00C5582D">
        <w:trPr>
          <w:trHeight w:val="240"/>
          <w:jc w:val="center"/>
        </w:trPr>
        <w:tc>
          <w:tcPr>
            <w:tcW w:w="4876" w:type="dxa"/>
            <w:tcBorders>
              <w:top w:val="nil"/>
              <w:left w:val="nil"/>
              <w:bottom w:val="nil"/>
              <w:right w:val="nil"/>
            </w:tcBorders>
            <w:hideMark/>
          </w:tcPr>
          <w:p w14:paraId="470943CC"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97AC545" w14:textId="77777777" w:rsidR="008144C7" w:rsidRPr="00635D1D" w:rsidRDefault="008144C7" w:rsidP="00C5582D">
            <w:pPr>
              <w:pStyle w:val="AmColumnHeading"/>
            </w:pPr>
            <w:r w:rsidRPr="00635D1D">
              <w:t>Poprawka</w:t>
            </w:r>
          </w:p>
        </w:tc>
      </w:tr>
      <w:tr w:rsidR="008144C7" w:rsidRPr="00635D1D" w14:paraId="6F575085" w14:textId="77777777" w:rsidTr="00C5582D">
        <w:trPr>
          <w:jc w:val="center"/>
        </w:trPr>
        <w:tc>
          <w:tcPr>
            <w:tcW w:w="4876" w:type="dxa"/>
            <w:tcBorders>
              <w:top w:val="nil"/>
              <w:left w:val="nil"/>
              <w:bottom w:val="nil"/>
              <w:right w:val="nil"/>
            </w:tcBorders>
            <w:hideMark/>
          </w:tcPr>
          <w:p w14:paraId="35F8D747" w14:textId="77777777" w:rsidR="008144C7" w:rsidRPr="00635D1D" w:rsidRDefault="008144C7" w:rsidP="00C5582D">
            <w:pPr>
              <w:pStyle w:val="Normal6a"/>
            </w:pPr>
            <w:r w:rsidRPr="00635D1D">
              <w:rPr>
                <w:b/>
                <w:i/>
              </w:rPr>
              <w:t>(21)</w:t>
            </w:r>
            <w:r w:rsidRPr="00635D1D">
              <w:tab/>
            </w:r>
            <w:r w:rsidRPr="00635D1D">
              <w:rPr>
                <w:b/>
                <w:i/>
              </w:rPr>
              <w:t>Często substancja może być również składnikiem naturalnych substancji złożonych, na przykład olejków eterycznych. W takich przypadkach zakaz stosowania w produktach kosmetycznych na podstawie art. 15 rozporządzenia (WE) nr 1223/2009 ma zastosowanie wyłącznie do substancji wymienionej w części 3 załącznika VI do rozporządzenia (WE) nr 1272/2008. Oznacza to, że naturalne substancje złożone, które zawierają składnik sklasyfikowany jako CMR, nie podlegają zakazowi, z wyjątkiem sytuacji, gdy sama taka naturalna złożona substancja jest wymieniona jako substancja CMR kategorii 1A, 1B lub 2 w części 3 załącznika VI do rozporządzenia (WE) nr 1272/2008. Niemniej jednak, ponieważ zharmonizowana klasyfikacja składnika może budzić obawy co do bezpieczeństwa naturalnych substancji złożonych stosowanych w produktach kosmetycznych, Komisja powinna upoważnić SCCS do przeprowadzenia oceny wpływu takiego składnika na bezpieczeństwo naturalnych substancji złożonych, jeżeli wystąpią obawy co do ich bezpieczeństwa, oraz podjąć działania następcze w związku z odpowiednimi środkami regulacyjnymi zgodnie z art. 31 ust. 1 rozporządzenia (WE) nr 1223/2009.</w:t>
            </w:r>
          </w:p>
        </w:tc>
        <w:tc>
          <w:tcPr>
            <w:tcW w:w="4876" w:type="dxa"/>
            <w:tcBorders>
              <w:top w:val="nil"/>
              <w:left w:val="nil"/>
              <w:bottom w:val="nil"/>
              <w:right w:val="nil"/>
            </w:tcBorders>
            <w:hideMark/>
          </w:tcPr>
          <w:p w14:paraId="266798A2" w14:textId="77777777" w:rsidR="008144C7" w:rsidRPr="00635D1D" w:rsidRDefault="008144C7" w:rsidP="00C5582D">
            <w:pPr>
              <w:pStyle w:val="Normal6a"/>
            </w:pPr>
            <w:r w:rsidRPr="00635D1D">
              <w:rPr>
                <w:b/>
                <w:i/>
              </w:rPr>
              <w:t>skreśla się</w:t>
            </w:r>
          </w:p>
        </w:tc>
      </w:tr>
    </w:tbl>
    <w:p w14:paraId="03B8FE13"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6AF7C6D6" w14:textId="77777777" w:rsidR="008144C7" w:rsidRPr="00635D1D" w:rsidRDefault="008144C7" w:rsidP="008144C7">
      <w:r w:rsidRPr="00635D1D">
        <w:rPr>
          <w:rStyle w:val="HideTWBExt"/>
        </w:rPr>
        <w:t>&lt;/Amend&gt;</w:t>
      </w:r>
    </w:p>
    <w:p w14:paraId="1EA08798"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203</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0F7E839A" w14:textId="77777777" w:rsidR="008144C7" w:rsidRPr="00635D1D" w:rsidRDefault="008144C7" w:rsidP="008144C7">
      <w:pPr>
        <w:pStyle w:val="NormalBold"/>
      </w:pPr>
      <w:r w:rsidRPr="00635D1D">
        <w:rPr>
          <w:rStyle w:val="HideTWBExt"/>
          <w:b w:val="0"/>
        </w:rPr>
        <w:t>&lt;RepeatBlock-By&gt;&lt;Members&gt;</w:t>
      </w:r>
      <w:proofErr w:type="spellStart"/>
      <w:r w:rsidRPr="00635D1D">
        <w:t>Susana</w:t>
      </w:r>
      <w:proofErr w:type="spellEnd"/>
      <w:r w:rsidRPr="00635D1D">
        <w:t xml:space="preserve"> </w:t>
      </w:r>
      <w:proofErr w:type="spellStart"/>
      <w:r w:rsidRPr="00635D1D">
        <w:t>Solís</w:t>
      </w:r>
      <w:proofErr w:type="spellEnd"/>
      <w:r w:rsidRPr="00635D1D">
        <w:t xml:space="preserve"> </w:t>
      </w:r>
      <w:proofErr w:type="spellStart"/>
      <w:r w:rsidRPr="00635D1D">
        <w:t>Pérez</w:t>
      </w:r>
      <w:proofErr w:type="spellEnd"/>
      <w:r w:rsidRPr="00635D1D">
        <w:t xml:space="preserve">, </w:t>
      </w:r>
      <w:proofErr w:type="spellStart"/>
      <w:r w:rsidRPr="00635D1D">
        <w:t>Esther</w:t>
      </w:r>
      <w:proofErr w:type="spellEnd"/>
      <w:r w:rsidRPr="00635D1D">
        <w:t xml:space="preserve"> </w:t>
      </w:r>
      <w:proofErr w:type="spellStart"/>
      <w:r w:rsidRPr="00635D1D">
        <w:t>Herranz</w:t>
      </w:r>
      <w:proofErr w:type="spellEnd"/>
      <w:r w:rsidRPr="00635D1D">
        <w:t xml:space="preserve"> </w:t>
      </w:r>
      <w:proofErr w:type="spellStart"/>
      <w:r w:rsidRPr="00635D1D">
        <w:t>García</w:t>
      </w:r>
      <w:proofErr w:type="spellEnd"/>
      <w:r w:rsidRPr="00635D1D">
        <w:t xml:space="preserve">, </w:t>
      </w:r>
      <w:proofErr w:type="spellStart"/>
      <w:r w:rsidRPr="00635D1D">
        <w:t>Raúl</w:t>
      </w:r>
      <w:proofErr w:type="spellEnd"/>
      <w:r w:rsidRPr="00635D1D">
        <w:t xml:space="preserve"> de la </w:t>
      </w:r>
      <w:proofErr w:type="spellStart"/>
      <w:r w:rsidRPr="00635D1D">
        <w:t>Hoz</w:t>
      </w:r>
      <w:proofErr w:type="spellEnd"/>
      <w:r w:rsidRPr="00635D1D">
        <w:t xml:space="preserve"> Quintano, Pablo </w:t>
      </w:r>
      <w:proofErr w:type="spellStart"/>
      <w:r w:rsidRPr="00635D1D">
        <w:t>Arias</w:t>
      </w:r>
      <w:proofErr w:type="spellEnd"/>
      <w:r w:rsidRPr="00635D1D">
        <w:t xml:space="preserve"> </w:t>
      </w:r>
      <w:proofErr w:type="spellStart"/>
      <w:r w:rsidRPr="00635D1D">
        <w:t>Echeverría</w:t>
      </w:r>
      <w:proofErr w:type="spellEnd"/>
      <w:r w:rsidRPr="00635D1D">
        <w:t xml:space="preserve">, </w:t>
      </w:r>
      <w:proofErr w:type="spellStart"/>
      <w:r w:rsidRPr="00635D1D">
        <w:t>Dolors</w:t>
      </w:r>
      <w:proofErr w:type="spellEnd"/>
      <w:r w:rsidRPr="00635D1D">
        <w:t xml:space="preserve"> Montserrat</w:t>
      </w:r>
      <w:r w:rsidRPr="00635D1D">
        <w:rPr>
          <w:rStyle w:val="HideTWBExt"/>
          <w:b w:val="0"/>
        </w:rPr>
        <w:t>&lt;/</w:t>
      </w:r>
      <w:proofErr w:type="spellStart"/>
      <w:r w:rsidRPr="00635D1D">
        <w:rPr>
          <w:rStyle w:val="HideTWBExt"/>
          <w:b w:val="0"/>
        </w:rPr>
        <w:t>Members</w:t>
      </w:r>
      <w:proofErr w:type="spellEnd"/>
      <w:r w:rsidRPr="00635D1D">
        <w:rPr>
          <w:rStyle w:val="HideTWBExt"/>
          <w:b w:val="0"/>
        </w:rPr>
        <w:t>&gt;</w:t>
      </w:r>
    </w:p>
    <w:p w14:paraId="038B52F6" w14:textId="77777777" w:rsidR="008144C7" w:rsidRPr="00635D1D" w:rsidRDefault="008144C7" w:rsidP="008144C7">
      <w:pPr>
        <w:pStyle w:val="NormalBold"/>
      </w:pPr>
      <w:r w:rsidRPr="00635D1D">
        <w:rPr>
          <w:rStyle w:val="HideTWBExt"/>
          <w:b w:val="0"/>
        </w:rPr>
        <w:t>&lt;/RepeatBlock-By&gt;</w:t>
      </w:r>
    </w:p>
    <w:p w14:paraId="12FA5AB2"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9762267" w14:textId="77777777" w:rsidR="008144C7" w:rsidRPr="00635D1D" w:rsidRDefault="008144C7" w:rsidP="008144C7">
      <w:pPr>
        <w:pStyle w:val="NormalBold"/>
      </w:pPr>
      <w:r w:rsidRPr="00635D1D">
        <w:rPr>
          <w:rStyle w:val="HideTWBExt"/>
          <w:b w:val="0"/>
        </w:rPr>
        <w:t>&lt;Article&gt;</w:t>
      </w:r>
      <w:r w:rsidRPr="00635D1D">
        <w:t>Motyw 21</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579216A" w14:textId="77777777" w:rsidTr="00C5582D">
        <w:trPr>
          <w:trHeight w:val="240"/>
          <w:jc w:val="center"/>
        </w:trPr>
        <w:tc>
          <w:tcPr>
            <w:tcW w:w="9752" w:type="dxa"/>
            <w:gridSpan w:val="2"/>
            <w:tcBorders>
              <w:top w:val="nil"/>
              <w:left w:val="nil"/>
              <w:bottom w:val="nil"/>
              <w:right w:val="nil"/>
            </w:tcBorders>
          </w:tcPr>
          <w:p w14:paraId="341284B0" w14:textId="77777777" w:rsidR="008144C7" w:rsidRPr="00635D1D" w:rsidRDefault="008144C7" w:rsidP="00C5582D"/>
        </w:tc>
      </w:tr>
      <w:tr w:rsidR="008144C7" w:rsidRPr="00635D1D" w14:paraId="4C23E708" w14:textId="77777777" w:rsidTr="00C5582D">
        <w:trPr>
          <w:trHeight w:val="240"/>
          <w:jc w:val="center"/>
        </w:trPr>
        <w:tc>
          <w:tcPr>
            <w:tcW w:w="4876" w:type="dxa"/>
            <w:tcBorders>
              <w:top w:val="nil"/>
              <w:left w:val="nil"/>
              <w:bottom w:val="nil"/>
              <w:right w:val="nil"/>
            </w:tcBorders>
            <w:hideMark/>
          </w:tcPr>
          <w:p w14:paraId="5303B24E"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FDC2929" w14:textId="77777777" w:rsidR="008144C7" w:rsidRPr="00635D1D" w:rsidRDefault="008144C7" w:rsidP="00C5582D">
            <w:pPr>
              <w:pStyle w:val="AmColumnHeading"/>
            </w:pPr>
            <w:r w:rsidRPr="00635D1D">
              <w:t>Poprawka</w:t>
            </w:r>
          </w:p>
        </w:tc>
      </w:tr>
      <w:tr w:rsidR="008144C7" w:rsidRPr="00635D1D" w14:paraId="71DD5731" w14:textId="77777777" w:rsidTr="00C5582D">
        <w:trPr>
          <w:jc w:val="center"/>
        </w:trPr>
        <w:tc>
          <w:tcPr>
            <w:tcW w:w="4876" w:type="dxa"/>
            <w:tcBorders>
              <w:top w:val="nil"/>
              <w:left w:val="nil"/>
              <w:bottom w:val="nil"/>
              <w:right w:val="nil"/>
            </w:tcBorders>
            <w:hideMark/>
          </w:tcPr>
          <w:p w14:paraId="1862EF48" w14:textId="77777777" w:rsidR="008144C7" w:rsidRPr="00635D1D" w:rsidRDefault="008144C7" w:rsidP="00C5582D">
            <w:pPr>
              <w:pStyle w:val="Normal6a"/>
            </w:pPr>
            <w:r w:rsidRPr="00635D1D">
              <w:t>(21)</w:t>
            </w:r>
            <w:r w:rsidRPr="00635D1D">
              <w:tab/>
            </w:r>
            <w:r w:rsidRPr="00635D1D">
              <w:rPr>
                <w:b/>
                <w:i/>
              </w:rPr>
              <w:t>Często substancja może być również składnikiem naturalnych</w:t>
            </w:r>
            <w:r w:rsidRPr="00635D1D">
              <w:t xml:space="preserve"> substancji </w:t>
            </w:r>
            <w:r w:rsidRPr="00635D1D">
              <w:rPr>
                <w:b/>
                <w:i/>
              </w:rPr>
              <w:t>złożonych, na przykład olejków eterycznych</w:t>
            </w:r>
            <w:r w:rsidRPr="00635D1D">
              <w:t>.</w:t>
            </w:r>
            <w:r w:rsidRPr="00635D1D">
              <w:rPr>
                <w:b/>
                <w:i/>
              </w:rPr>
              <w:t xml:space="preserve"> W takich przypadkach</w:t>
            </w:r>
            <w:r w:rsidRPr="00635D1D">
              <w:t xml:space="preserve"> zakaz stosowania w produktach kosmetycznych na podstawie art. 15 rozporządzenia (WE) nr 1223/2009 ma zastosowanie </w:t>
            </w:r>
            <w:r w:rsidRPr="00635D1D">
              <w:rPr>
                <w:b/>
                <w:i/>
              </w:rPr>
              <w:t>wyłącznie</w:t>
            </w:r>
            <w:r w:rsidRPr="00635D1D">
              <w:t xml:space="preserve"> do </w:t>
            </w:r>
            <w:r w:rsidRPr="00635D1D">
              <w:rPr>
                <w:b/>
                <w:i/>
              </w:rPr>
              <w:t>substancji wymienionej w części 3 załącznika VI do rozporządzenia (WE) nr 1272/2008</w:t>
            </w:r>
            <w:r w:rsidRPr="00635D1D">
              <w:t xml:space="preserve">. </w:t>
            </w:r>
            <w:r w:rsidRPr="00635D1D">
              <w:rPr>
                <w:b/>
                <w:i/>
              </w:rPr>
              <w:t>Oznacza to, że</w:t>
            </w:r>
            <w:r w:rsidRPr="00635D1D">
              <w:t xml:space="preserve"> naturalne substancje złożone, które zawierają składnik sklasyfikowany jako CMR, nie podlegają zakazowi, z wyjątkiem sytuacji, gdy sama </w:t>
            </w:r>
            <w:r w:rsidRPr="00635D1D">
              <w:rPr>
                <w:b/>
                <w:i/>
              </w:rPr>
              <w:t>taka</w:t>
            </w:r>
            <w:r w:rsidRPr="00635D1D">
              <w:t xml:space="preserve"> naturalna złożona substancja jest </w:t>
            </w:r>
            <w:r w:rsidRPr="00635D1D">
              <w:rPr>
                <w:b/>
                <w:i/>
              </w:rPr>
              <w:t>wymieniona</w:t>
            </w:r>
            <w:r w:rsidRPr="00635D1D">
              <w:t xml:space="preserve"> jako substancja CMR kategorii 1A, 1B lub 2 w części 3 załącznika VI do rozporządzenia (WE) nr 1272/2008</w:t>
            </w:r>
            <w:r w:rsidRPr="00635D1D">
              <w:rPr>
                <w:b/>
                <w:i/>
              </w:rPr>
              <w:t>. Niemniej jednak, ponieważ zharmonizowana klasyfikacja składnika może budzić obawy co do bezpieczeństwa naturalnych</w:t>
            </w:r>
            <w:r w:rsidRPr="00635D1D">
              <w:t xml:space="preserve"> substancji </w:t>
            </w:r>
            <w:r w:rsidRPr="00635D1D">
              <w:rPr>
                <w:b/>
                <w:i/>
              </w:rPr>
              <w:t>złożonych stosowanych</w:t>
            </w:r>
            <w:r w:rsidRPr="00635D1D">
              <w:t xml:space="preserve"> w produktach kosmetycznych</w:t>
            </w:r>
            <w:r w:rsidRPr="00635D1D">
              <w:rPr>
                <w:b/>
                <w:bCs/>
                <w:i/>
                <w:iCs/>
              </w:rPr>
              <w:t>,</w:t>
            </w:r>
            <w:r w:rsidRPr="00635D1D">
              <w:t xml:space="preserve"> Komisja powinna upoważnić </w:t>
            </w:r>
            <w:r w:rsidRPr="00635D1D">
              <w:rPr>
                <w:b/>
                <w:i/>
              </w:rPr>
              <w:t>SCCS</w:t>
            </w:r>
            <w:r w:rsidRPr="00635D1D">
              <w:t xml:space="preserve"> do przeprowadzenia oceny </w:t>
            </w:r>
            <w:r w:rsidRPr="00635D1D">
              <w:rPr>
                <w:b/>
                <w:i/>
              </w:rPr>
              <w:t>wpływu takiego składnika na bezpieczeństwo naturalnych</w:t>
            </w:r>
            <w:r w:rsidRPr="00635D1D">
              <w:t xml:space="preserve"> substancji </w:t>
            </w:r>
            <w:r w:rsidRPr="00635D1D">
              <w:rPr>
                <w:b/>
                <w:bCs/>
                <w:i/>
                <w:iCs/>
              </w:rPr>
              <w:t>złożonych</w:t>
            </w:r>
            <w:r w:rsidRPr="00635D1D">
              <w:t xml:space="preserve">, </w:t>
            </w:r>
            <w:r w:rsidRPr="00635D1D">
              <w:rPr>
                <w:b/>
                <w:i/>
              </w:rPr>
              <w:t>jeżeli wystąpią obawy co do ich bezpieczeństwa, oraz</w:t>
            </w:r>
            <w:r w:rsidRPr="00635D1D">
              <w:t xml:space="preserve"> podjąć działania </w:t>
            </w:r>
            <w:r w:rsidRPr="00635D1D">
              <w:rPr>
                <w:b/>
                <w:i/>
              </w:rPr>
              <w:t>następcze w związku z odpowiednimi środkami regulacyjnymi zgodnie z</w:t>
            </w:r>
            <w:r w:rsidRPr="00635D1D">
              <w:t xml:space="preserve"> art. 31 ust. 1 rozporządzenia (WE) nr 1223/2009.</w:t>
            </w:r>
          </w:p>
        </w:tc>
        <w:tc>
          <w:tcPr>
            <w:tcW w:w="4876" w:type="dxa"/>
            <w:tcBorders>
              <w:top w:val="nil"/>
              <w:left w:val="nil"/>
              <w:bottom w:val="nil"/>
              <w:right w:val="nil"/>
            </w:tcBorders>
            <w:hideMark/>
          </w:tcPr>
          <w:p w14:paraId="26825AAD" w14:textId="77777777" w:rsidR="008144C7" w:rsidRPr="00635D1D" w:rsidRDefault="008144C7" w:rsidP="00C5582D">
            <w:pPr>
              <w:pStyle w:val="Normal6a"/>
            </w:pPr>
            <w:r w:rsidRPr="00635D1D">
              <w:t>(21)</w:t>
            </w:r>
            <w:r w:rsidRPr="00635D1D">
              <w:tab/>
            </w:r>
            <w:r w:rsidRPr="00635D1D">
              <w:rPr>
                <w:b/>
                <w:i/>
              </w:rPr>
              <w:t>Art. 5 rozporządzenia (WE) nr 1272/2008 zawiera szczegółowy przepis dotyczący identyfikacji i analizy dostępnych informacji przy ocenie niebezpiecznych właściwości</w:t>
            </w:r>
            <w:r w:rsidRPr="00635D1D">
              <w:t xml:space="preserve"> substancji </w:t>
            </w:r>
            <w:r w:rsidRPr="00635D1D">
              <w:rPr>
                <w:b/>
                <w:i/>
              </w:rPr>
              <w:t>wyekstrahowanych z roślin lub części roślin i zawierających więcej niż jeden składnik, które są substancjami niemodyfikowanymi chemicznie zdefiniowanymi w art. 3 pkt 40 rozporządzenia (WE) nr 1907/2006</w:t>
            </w:r>
            <w:r w:rsidRPr="00635D1D">
              <w:t>.</w:t>
            </w:r>
            <w:r w:rsidRPr="00635D1D">
              <w:rPr>
                <w:b/>
                <w:i/>
              </w:rPr>
              <w:t xml:space="preserve"> Takie substancje, często określane jako naturalne substancje złożone, mogą zawierać co najmniej jedną substancję sklasyfikowaną jako rakotwórcza, mutagenna lub działająca szkodliwie na rozrodczość (CMR), przy czym cała naturalna substancja złożona sama w sobie nie jest sklasyfikowana jako substancja CMR. Do takich substancji musi mieć zastosowanie wysoki poziom ochrony konsumentów, który powinien opierać się na wiedzy naukowej na temat składu tych substancji, całości ich zachowania oraz rzeczywistych warunków narażenia wynikających z ich stosowania w produktach kosmetycznych.</w:t>
            </w:r>
            <w:r w:rsidRPr="00635D1D">
              <w:t xml:space="preserve"> Zakaz stosowania w produktach kosmetycznych na podstawie art. 15 rozporządzenia (WE) nr 1223/2009 ma zastosowanie do </w:t>
            </w:r>
            <w:r w:rsidRPr="00635D1D">
              <w:rPr>
                <w:b/>
                <w:i/>
              </w:rPr>
              <w:t>danego składnika</w:t>
            </w:r>
            <w:r w:rsidRPr="00635D1D">
              <w:t xml:space="preserve">. Naturalne substancje złożone, które zawierają składnik sklasyfikowany jako CMR, nie podlegają zakazowi, z wyjątkiem sytuacji, gdy sama naturalna złożona substancja jest </w:t>
            </w:r>
            <w:r w:rsidRPr="00635D1D">
              <w:rPr>
                <w:b/>
                <w:i/>
              </w:rPr>
              <w:t>sklasyfikowana</w:t>
            </w:r>
            <w:r w:rsidRPr="00635D1D">
              <w:t xml:space="preserve"> jako substancja CMR kategorii 1A, 1B lub 2 </w:t>
            </w:r>
            <w:r w:rsidRPr="00635D1D">
              <w:rPr>
                <w:b/>
                <w:i/>
              </w:rPr>
              <w:t>i wymieniona jako taka</w:t>
            </w:r>
            <w:r w:rsidRPr="00635D1D">
              <w:t xml:space="preserve"> w części 3 załącznika VI do rozporządzenia (WE) nr 1272/2008 </w:t>
            </w:r>
            <w:r w:rsidRPr="00635D1D">
              <w:rPr>
                <w:b/>
                <w:i/>
              </w:rPr>
              <w:t>na podstawie danych dotyczących samej naturalnej</w:t>
            </w:r>
            <w:r w:rsidRPr="00635D1D">
              <w:t xml:space="preserve"> substancji </w:t>
            </w:r>
            <w:r w:rsidRPr="00635D1D">
              <w:rPr>
                <w:b/>
                <w:i/>
              </w:rPr>
              <w:t>złożonej, jeżeli są dostępne. Jeżeli składnik naturalnej substancji złożonej jest sklasyfikowany jako substancja CMR (kategorii 1A, 1B lub 2), może to budzić obawy co do jej bezpiecznego stosowania</w:t>
            </w:r>
            <w:r w:rsidRPr="00635D1D">
              <w:t xml:space="preserve"> w produktach kosmetycznych</w:t>
            </w:r>
            <w:r w:rsidRPr="00635D1D">
              <w:rPr>
                <w:b/>
                <w:i/>
              </w:rPr>
              <w:t>. W takich przypadkach</w:t>
            </w:r>
            <w:r w:rsidRPr="00635D1D">
              <w:t xml:space="preserve"> Komisja powinna upoważnić </w:t>
            </w:r>
            <w:r w:rsidRPr="00635D1D">
              <w:rPr>
                <w:b/>
                <w:i/>
              </w:rPr>
              <w:t>Komitet Naukowy ds. Bezpieczeństwa Konsumentów</w:t>
            </w:r>
            <w:r w:rsidRPr="00635D1D">
              <w:t xml:space="preserve"> do przeprowadzenia oceny </w:t>
            </w:r>
            <w:r w:rsidRPr="00635D1D">
              <w:rPr>
                <w:b/>
                <w:i/>
              </w:rPr>
              <w:t>bezpieczeństwa naturalnej</w:t>
            </w:r>
            <w:r w:rsidRPr="00635D1D">
              <w:t xml:space="preserve"> substancji </w:t>
            </w:r>
            <w:r w:rsidRPr="00635D1D">
              <w:rPr>
                <w:b/>
                <w:bCs/>
                <w:i/>
                <w:iCs/>
              </w:rPr>
              <w:t>złożonej</w:t>
            </w:r>
            <w:r w:rsidRPr="00635D1D">
              <w:t xml:space="preserve">, </w:t>
            </w:r>
            <w:r w:rsidRPr="00635D1D">
              <w:rPr>
                <w:b/>
                <w:i/>
              </w:rPr>
              <w:t>z uwzględnieniem odpowiednich scenariuszy narażenia i dróg narażenia. W razie potrzeby należy</w:t>
            </w:r>
            <w:r w:rsidRPr="00635D1D">
              <w:t xml:space="preserve"> podjąć działania </w:t>
            </w:r>
            <w:r w:rsidRPr="00635D1D">
              <w:rPr>
                <w:b/>
                <w:i/>
              </w:rPr>
              <w:t>regulacyjne na podstawie</w:t>
            </w:r>
            <w:r w:rsidRPr="00635D1D">
              <w:t xml:space="preserve"> art. 31 ust. 1 rozporządzenia (WE) nr 1223/2009.</w:t>
            </w:r>
          </w:p>
        </w:tc>
      </w:tr>
    </w:tbl>
    <w:p w14:paraId="5366E36B"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2D2F5A03" w14:textId="77777777" w:rsidR="008144C7" w:rsidRPr="00E90719" w:rsidRDefault="008144C7" w:rsidP="008144C7">
      <w:pPr>
        <w:rPr>
          <w:lang w:val="en-GB"/>
        </w:rPr>
      </w:pPr>
      <w:r w:rsidRPr="00E90719">
        <w:rPr>
          <w:rStyle w:val="HideTWBExt"/>
          <w:lang w:val="en-GB"/>
        </w:rPr>
        <w:t>&lt;/Amend&gt;</w:t>
      </w:r>
    </w:p>
    <w:p w14:paraId="77C3B9E3"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204</w:t>
      </w:r>
      <w:r w:rsidRPr="00E90719">
        <w:rPr>
          <w:rStyle w:val="HideTWBExt"/>
          <w:b w:val="0"/>
          <w:lang w:val="en-GB"/>
        </w:rPr>
        <w:t>&lt;/NumAm&gt;</w:t>
      </w:r>
    </w:p>
    <w:p w14:paraId="2ABF2A03"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Martin Hojsík, Sigrid Friis, Michal Wiezik, Pascal Canfin, Grégory Allione, Gerben-Jan Gerbrandy</w:t>
      </w:r>
      <w:r w:rsidRPr="00E90719">
        <w:rPr>
          <w:rStyle w:val="HideTWBExt"/>
          <w:b w:val="0"/>
          <w:lang w:val="en-GB"/>
        </w:rPr>
        <w:t>&lt;/Members&gt;</w:t>
      </w:r>
    </w:p>
    <w:p w14:paraId="02BB6D5D" w14:textId="77777777" w:rsidR="008144C7" w:rsidRPr="00635D1D" w:rsidRDefault="008144C7" w:rsidP="008144C7">
      <w:pPr>
        <w:pStyle w:val="NormalBold"/>
      </w:pPr>
      <w:r w:rsidRPr="00635D1D">
        <w:rPr>
          <w:rStyle w:val="HideTWBExt"/>
          <w:b w:val="0"/>
        </w:rPr>
        <w:t>&lt;/RepeatBlock-By&gt;</w:t>
      </w:r>
    </w:p>
    <w:p w14:paraId="6B5F4C12"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1F62CBA" w14:textId="77777777" w:rsidR="008144C7" w:rsidRPr="00635D1D" w:rsidRDefault="008144C7" w:rsidP="008144C7">
      <w:pPr>
        <w:pStyle w:val="NormalBold"/>
      </w:pPr>
      <w:r w:rsidRPr="00635D1D">
        <w:rPr>
          <w:rStyle w:val="HideTWBExt"/>
          <w:b w:val="0"/>
        </w:rPr>
        <w:t>&lt;Article&gt;</w:t>
      </w:r>
      <w:r w:rsidRPr="00635D1D">
        <w:t>Motyw 21</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0AF53FD" w14:textId="77777777" w:rsidTr="00C5582D">
        <w:trPr>
          <w:trHeight w:val="240"/>
          <w:jc w:val="center"/>
        </w:trPr>
        <w:tc>
          <w:tcPr>
            <w:tcW w:w="9752" w:type="dxa"/>
            <w:gridSpan w:val="2"/>
            <w:tcBorders>
              <w:top w:val="nil"/>
              <w:left w:val="nil"/>
              <w:bottom w:val="nil"/>
              <w:right w:val="nil"/>
            </w:tcBorders>
          </w:tcPr>
          <w:p w14:paraId="1C1EB26A" w14:textId="77777777" w:rsidR="008144C7" w:rsidRPr="00635D1D" w:rsidRDefault="008144C7" w:rsidP="00C5582D"/>
        </w:tc>
      </w:tr>
      <w:tr w:rsidR="008144C7" w:rsidRPr="00635D1D" w14:paraId="20E201AA" w14:textId="77777777" w:rsidTr="00C5582D">
        <w:trPr>
          <w:trHeight w:val="240"/>
          <w:jc w:val="center"/>
        </w:trPr>
        <w:tc>
          <w:tcPr>
            <w:tcW w:w="4876" w:type="dxa"/>
            <w:tcBorders>
              <w:top w:val="nil"/>
              <w:left w:val="nil"/>
              <w:bottom w:val="nil"/>
              <w:right w:val="nil"/>
            </w:tcBorders>
            <w:hideMark/>
          </w:tcPr>
          <w:p w14:paraId="4135F5B0"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E1F468A" w14:textId="77777777" w:rsidR="008144C7" w:rsidRPr="00635D1D" w:rsidRDefault="008144C7" w:rsidP="00C5582D">
            <w:pPr>
              <w:pStyle w:val="AmColumnHeading"/>
            </w:pPr>
            <w:r w:rsidRPr="00635D1D">
              <w:t>Poprawka</w:t>
            </w:r>
          </w:p>
        </w:tc>
      </w:tr>
      <w:tr w:rsidR="008144C7" w:rsidRPr="00635D1D" w14:paraId="6D7D7118" w14:textId="77777777" w:rsidTr="00C5582D">
        <w:trPr>
          <w:jc w:val="center"/>
        </w:trPr>
        <w:tc>
          <w:tcPr>
            <w:tcW w:w="4876" w:type="dxa"/>
            <w:tcBorders>
              <w:top w:val="nil"/>
              <w:left w:val="nil"/>
              <w:bottom w:val="nil"/>
              <w:right w:val="nil"/>
            </w:tcBorders>
            <w:hideMark/>
          </w:tcPr>
          <w:p w14:paraId="19668EF5" w14:textId="77777777" w:rsidR="008144C7" w:rsidRPr="00635D1D" w:rsidRDefault="008144C7" w:rsidP="00C5582D">
            <w:pPr>
              <w:pStyle w:val="Normal6a"/>
            </w:pPr>
            <w:r w:rsidRPr="00635D1D">
              <w:t>(21)</w:t>
            </w:r>
            <w:r w:rsidRPr="00635D1D">
              <w:tab/>
            </w:r>
            <w:r w:rsidRPr="00635D1D">
              <w:rPr>
                <w:b/>
                <w:i/>
              </w:rPr>
              <w:t>Często substancja może być również składnikiem naturalnych</w:t>
            </w:r>
            <w:r w:rsidRPr="00635D1D">
              <w:t xml:space="preserve"> substancji </w:t>
            </w:r>
            <w:r w:rsidRPr="00635D1D">
              <w:rPr>
                <w:b/>
                <w:bCs/>
                <w:i/>
                <w:iCs/>
              </w:rPr>
              <w:t>złożonych</w:t>
            </w:r>
            <w:r w:rsidRPr="00635D1D">
              <w:t xml:space="preserve">, na przykład </w:t>
            </w:r>
            <w:r w:rsidRPr="00635D1D">
              <w:rPr>
                <w:b/>
                <w:bCs/>
                <w:i/>
                <w:iCs/>
              </w:rPr>
              <w:t>olejków eterycznych</w:t>
            </w:r>
            <w:r w:rsidRPr="00635D1D">
              <w:t xml:space="preserve">. W takich przypadkach zakaz stosowania w produktach kosmetycznych na podstawie art. 15 rozporządzenia (WE) nr 1223/2009 ma zastosowanie wyłącznie do substancji wymienionej w części 3 załącznika VI do rozporządzenia (WE) nr 1272/2008. </w:t>
            </w:r>
            <w:r w:rsidRPr="00635D1D">
              <w:rPr>
                <w:b/>
                <w:i/>
              </w:rPr>
              <w:t>Oznacza to, że</w:t>
            </w:r>
            <w:r w:rsidRPr="00635D1D">
              <w:t xml:space="preserve"> naturalne substancje złożone</w:t>
            </w:r>
            <w:r w:rsidRPr="00635D1D">
              <w:rPr>
                <w:b/>
                <w:i/>
              </w:rPr>
              <w:t>, które zawierają składnik sklasyfikowany jako CMR,</w:t>
            </w:r>
            <w:r w:rsidRPr="00635D1D">
              <w:t xml:space="preserve"> nie podlegają zakazowi, z wyjątkiem sytuacji, gdy sama taka naturalna złożona substancja jest wymieniona jako substancja CMR kategorii 1A, 1B lub 2 w części 3 załącznika VI do rozporządzenia (WE) nr 1272/2008. </w:t>
            </w:r>
            <w:r w:rsidRPr="00635D1D">
              <w:rPr>
                <w:b/>
                <w:i/>
              </w:rPr>
              <w:t>Niemniej jednak, ponieważ zharmonizowana klasyfikacja składnika</w:t>
            </w:r>
            <w:r w:rsidRPr="00635D1D">
              <w:t xml:space="preserve"> może budzić obawy co do </w:t>
            </w:r>
            <w:r w:rsidRPr="00635D1D">
              <w:rPr>
                <w:b/>
                <w:i/>
              </w:rPr>
              <w:t>bezpieczeństwa naturalnych substancji złożonych stosowanych</w:t>
            </w:r>
            <w:r w:rsidRPr="00635D1D">
              <w:t xml:space="preserve"> w </w:t>
            </w:r>
            <w:r w:rsidRPr="00635D1D">
              <w:rPr>
                <w:b/>
                <w:i/>
              </w:rPr>
              <w:t>produktach kosmetycznych,</w:t>
            </w:r>
            <w:r w:rsidRPr="00635D1D">
              <w:t xml:space="preserve"> Komisja powinna </w:t>
            </w:r>
            <w:r w:rsidRPr="00635D1D">
              <w:rPr>
                <w:b/>
                <w:i/>
              </w:rPr>
              <w:t>upoważnić</w:t>
            </w:r>
            <w:r w:rsidRPr="00635D1D">
              <w:t xml:space="preserve"> SCCS </w:t>
            </w:r>
            <w:r w:rsidRPr="00635D1D">
              <w:rPr>
                <w:b/>
                <w:i/>
              </w:rPr>
              <w:t>do przeprowadzenia</w:t>
            </w:r>
            <w:r w:rsidRPr="00635D1D">
              <w:t xml:space="preserve"> oceny </w:t>
            </w:r>
            <w:r w:rsidRPr="00635D1D">
              <w:rPr>
                <w:b/>
                <w:i/>
              </w:rPr>
              <w:t>wpływu takiego składnika na bezpieczeństwo naturalnych substancji złożonych, jeżeli wystąpią obawy co do ich bezpieczeństwa,</w:t>
            </w:r>
            <w:r w:rsidRPr="00635D1D">
              <w:t xml:space="preserve"> oraz </w:t>
            </w:r>
            <w:r w:rsidRPr="00635D1D">
              <w:rPr>
                <w:b/>
                <w:bCs/>
                <w:i/>
                <w:iCs/>
              </w:rPr>
              <w:t>podjąć działania następcze w związku z odpowiednimi środkami regulacyjnymi</w:t>
            </w:r>
            <w:r w:rsidRPr="00635D1D">
              <w:t xml:space="preserve"> zgodnie z art. 31 ust. 1 rozporządzenia (WE) nr 1223/2009.</w:t>
            </w:r>
          </w:p>
        </w:tc>
        <w:tc>
          <w:tcPr>
            <w:tcW w:w="4876" w:type="dxa"/>
            <w:tcBorders>
              <w:top w:val="nil"/>
              <w:left w:val="nil"/>
              <w:bottom w:val="nil"/>
              <w:right w:val="nil"/>
            </w:tcBorders>
            <w:hideMark/>
          </w:tcPr>
          <w:p w14:paraId="0E870953" w14:textId="77777777" w:rsidR="008144C7" w:rsidRPr="00635D1D" w:rsidRDefault="008144C7" w:rsidP="00C5582D">
            <w:pPr>
              <w:pStyle w:val="Normal6a"/>
            </w:pPr>
            <w:r w:rsidRPr="00635D1D">
              <w:t>(21)</w:t>
            </w:r>
            <w:r w:rsidRPr="00635D1D">
              <w:tab/>
            </w:r>
            <w:r w:rsidRPr="00635D1D">
              <w:rPr>
                <w:b/>
                <w:i/>
              </w:rPr>
              <w:t>Art. 5 rozporządzenia (WE) nr 1272/2008 zawiera szczegółowy przepis dotyczący identyfikacji i analizy dostępnych informacji przy ocenie niebezpiecznych właściwości</w:t>
            </w:r>
            <w:r w:rsidRPr="00635D1D">
              <w:t xml:space="preserve"> substancji </w:t>
            </w:r>
            <w:r w:rsidRPr="00635D1D">
              <w:rPr>
                <w:b/>
                <w:i/>
              </w:rPr>
              <w:t>wyekstrahowanych z roślin lub części roślin i zawierających więcej niż jeden składnik, które są substancjami niemodyfikowanymi chemicznie zdefiniowanymi w art. 3 pkt 40 rozporządzenia (WE) nr 1907/2006. Takie substancje, często określane jako „naturalne substancje złożone”, mogą zawierać co najmniej jedną substancję sklasyfikowaną jako substancja CMR</w:t>
            </w:r>
            <w:r w:rsidRPr="00635D1D">
              <w:t xml:space="preserve">, na przykład </w:t>
            </w:r>
            <w:r w:rsidRPr="00635D1D">
              <w:rPr>
                <w:b/>
                <w:i/>
              </w:rPr>
              <w:t>olejki eteryczne</w:t>
            </w:r>
            <w:r w:rsidRPr="00635D1D">
              <w:t>. W takich przypadkach</w:t>
            </w:r>
            <w:r w:rsidRPr="00635D1D">
              <w:rPr>
                <w:b/>
                <w:i/>
              </w:rPr>
              <w:t>, chociaż sama naturalna substancja złożona nie jest sklasyfikowana jako substancja CMR,</w:t>
            </w:r>
            <w:r w:rsidRPr="00635D1D">
              <w:t xml:space="preserve"> zakaz stosowania w produktach kosmetycznych na podstawie art. 15 rozporządzenia (WE) nr 1223/2009 ma zastosowanie wyłącznie do substancji wymienionej w części 3 załącznika VI do rozporządzenia (WE) nr 1272/2008. Naturalne substancje złożone nie podlegają zakazowi, z wyjątkiem sytuacji, gdy sama taka naturalna złożona substancja jest wymieniona jako substancja CMR kategorii 1A, 1B lub 2 w części 3 załącznika VI do rozporządzenia (WE) nr 1272/2008. </w:t>
            </w:r>
            <w:r w:rsidRPr="00635D1D">
              <w:rPr>
                <w:b/>
                <w:i/>
              </w:rPr>
              <w:t>Jeżeli składnik naturalnej substancji złożonej jest sklasyfikowany jako substancja CMR (kategorii 1A, 1B lub 2)</w:t>
            </w:r>
            <w:r w:rsidRPr="00635D1D">
              <w:t xml:space="preserve">, może </w:t>
            </w:r>
            <w:r w:rsidRPr="00635D1D">
              <w:rPr>
                <w:b/>
                <w:i/>
              </w:rPr>
              <w:t>to</w:t>
            </w:r>
            <w:r w:rsidRPr="00635D1D">
              <w:t xml:space="preserve"> budzić obawy co do </w:t>
            </w:r>
            <w:r w:rsidRPr="00635D1D">
              <w:rPr>
                <w:b/>
                <w:i/>
              </w:rPr>
              <w:t>jej bezpiecznego stosowania</w:t>
            </w:r>
            <w:r w:rsidRPr="00635D1D">
              <w:t xml:space="preserve"> w </w:t>
            </w:r>
            <w:r w:rsidRPr="00635D1D">
              <w:rPr>
                <w:b/>
                <w:bCs/>
                <w:i/>
                <w:iCs/>
              </w:rPr>
              <w:t>kosmetykach.</w:t>
            </w:r>
            <w:r w:rsidRPr="00635D1D">
              <w:rPr>
                <w:b/>
                <w:i/>
              </w:rPr>
              <w:t xml:space="preserve"> W takich przypadkach</w:t>
            </w:r>
            <w:r w:rsidRPr="00635D1D">
              <w:t xml:space="preserve"> Komisja powinna </w:t>
            </w:r>
            <w:r w:rsidRPr="00635D1D">
              <w:rPr>
                <w:b/>
                <w:i/>
              </w:rPr>
              <w:t>systematycznie i niezwłocznie zwracać się do</w:t>
            </w:r>
            <w:r w:rsidRPr="00635D1D">
              <w:t xml:space="preserve"> SCCS </w:t>
            </w:r>
            <w:r w:rsidRPr="00635D1D">
              <w:rPr>
                <w:b/>
                <w:i/>
              </w:rPr>
              <w:t>o przeprowadzenie</w:t>
            </w:r>
            <w:r w:rsidRPr="00635D1D">
              <w:t xml:space="preserve"> oceny </w:t>
            </w:r>
            <w:r w:rsidRPr="00635D1D">
              <w:rPr>
                <w:b/>
                <w:i/>
              </w:rPr>
              <w:t>bezpieczeństwa takich składników</w:t>
            </w:r>
            <w:r w:rsidRPr="00635D1D">
              <w:t xml:space="preserve"> oraz</w:t>
            </w:r>
            <w:r w:rsidRPr="00635D1D">
              <w:rPr>
                <w:b/>
                <w:bCs/>
                <w:i/>
                <w:iCs/>
              </w:rPr>
              <w:t>, w razie potrzeby, wprowadzać środki regulacyjne</w:t>
            </w:r>
            <w:r w:rsidRPr="00635D1D">
              <w:t xml:space="preserve"> zgodnie z </w:t>
            </w:r>
            <w:r w:rsidRPr="00635D1D">
              <w:rPr>
                <w:b/>
                <w:bCs/>
                <w:i/>
                <w:iCs/>
              </w:rPr>
              <w:t>działaniami na podstawie</w:t>
            </w:r>
            <w:r w:rsidRPr="00635D1D">
              <w:t xml:space="preserve"> art. 31 ust. 1 rozporządzenia (WE) nr 1223/2009. </w:t>
            </w:r>
            <w:r w:rsidRPr="00635D1D">
              <w:rPr>
                <w:b/>
                <w:i/>
              </w:rPr>
              <w:t>Ocena SCCS powinna być przeprowadzana w odpowiednim czasie, aby zapewnić przemysłowi przewidywalność.</w:t>
            </w:r>
          </w:p>
        </w:tc>
      </w:tr>
    </w:tbl>
    <w:p w14:paraId="00688B8D"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45BE4E01" w14:textId="77777777" w:rsidR="008144C7" w:rsidRPr="00E90719" w:rsidRDefault="008144C7" w:rsidP="008144C7">
      <w:pPr>
        <w:rPr>
          <w:lang w:val="en-GB"/>
        </w:rPr>
      </w:pPr>
      <w:r w:rsidRPr="00E90719">
        <w:rPr>
          <w:rStyle w:val="HideTWBExt"/>
          <w:lang w:val="en-GB"/>
        </w:rPr>
        <w:t>&lt;/Amend&gt;</w:t>
      </w:r>
    </w:p>
    <w:p w14:paraId="234662DE"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205</w:t>
      </w:r>
      <w:r w:rsidRPr="00E90719">
        <w:rPr>
          <w:rStyle w:val="HideTWBExt"/>
          <w:b w:val="0"/>
          <w:lang w:val="en-GB"/>
        </w:rPr>
        <w:t>&lt;/NumAm&gt;</w:t>
      </w:r>
    </w:p>
    <w:p w14:paraId="5E4BA9A6"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Idoia Mendia, Kristian Vigenin, François Kalfon, Elisabeth Grossmann, Adnan Dibrani, Sakis Arnaoutoglou, César Luena, Christophe Clergeau, Tiemo Wölken, Annalisa Corrado, Heléne Fritzon, Marta Temido, Christel Schaldemose</w:t>
      </w:r>
      <w:r w:rsidRPr="00E90719">
        <w:rPr>
          <w:rStyle w:val="HideTWBExt"/>
          <w:b w:val="0"/>
          <w:lang w:val="en-GB"/>
        </w:rPr>
        <w:t>&lt;/Members&gt;</w:t>
      </w:r>
    </w:p>
    <w:p w14:paraId="17B83EB1" w14:textId="77777777" w:rsidR="008144C7" w:rsidRPr="00635D1D" w:rsidRDefault="008144C7" w:rsidP="008144C7">
      <w:pPr>
        <w:pStyle w:val="NormalBold"/>
      </w:pPr>
      <w:r w:rsidRPr="00635D1D">
        <w:rPr>
          <w:rStyle w:val="HideTWBExt"/>
          <w:b w:val="0"/>
        </w:rPr>
        <w:t>&lt;/RepeatBlock-By&gt;</w:t>
      </w:r>
    </w:p>
    <w:p w14:paraId="1249C9AC"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3CA75E5" w14:textId="77777777" w:rsidR="008144C7" w:rsidRPr="00635D1D" w:rsidRDefault="008144C7" w:rsidP="008144C7">
      <w:pPr>
        <w:pStyle w:val="NormalBold"/>
      </w:pPr>
      <w:r w:rsidRPr="00635D1D">
        <w:rPr>
          <w:rStyle w:val="HideTWBExt"/>
          <w:b w:val="0"/>
        </w:rPr>
        <w:t>&lt;Article&gt;</w:t>
      </w:r>
      <w:r w:rsidRPr="00635D1D">
        <w:t>Motyw 21</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7CFCD40" w14:textId="77777777" w:rsidTr="00C5582D">
        <w:trPr>
          <w:trHeight w:val="240"/>
          <w:jc w:val="center"/>
        </w:trPr>
        <w:tc>
          <w:tcPr>
            <w:tcW w:w="9752" w:type="dxa"/>
            <w:gridSpan w:val="2"/>
            <w:tcBorders>
              <w:top w:val="nil"/>
              <w:left w:val="nil"/>
              <w:bottom w:val="nil"/>
              <w:right w:val="nil"/>
            </w:tcBorders>
          </w:tcPr>
          <w:p w14:paraId="7919A4AF" w14:textId="77777777" w:rsidR="008144C7" w:rsidRPr="00635D1D" w:rsidRDefault="008144C7" w:rsidP="00C5582D"/>
        </w:tc>
      </w:tr>
      <w:tr w:rsidR="008144C7" w:rsidRPr="00635D1D" w14:paraId="0DEE8712" w14:textId="77777777" w:rsidTr="00C5582D">
        <w:trPr>
          <w:trHeight w:val="240"/>
          <w:jc w:val="center"/>
        </w:trPr>
        <w:tc>
          <w:tcPr>
            <w:tcW w:w="4876" w:type="dxa"/>
            <w:tcBorders>
              <w:top w:val="nil"/>
              <w:left w:val="nil"/>
              <w:bottom w:val="nil"/>
              <w:right w:val="nil"/>
            </w:tcBorders>
            <w:hideMark/>
          </w:tcPr>
          <w:p w14:paraId="2A01FDDF"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97523E3" w14:textId="77777777" w:rsidR="008144C7" w:rsidRPr="00635D1D" w:rsidRDefault="008144C7" w:rsidP="00C5582D">
            <w:pPr>
              <w:pStyle w:val="AmColumnHeading"/>
            </w:pPr>
            <w:r w:rsidRPr="00635D1D">
              <w:t>Poprawka</w:t>
            </w:r>
          </w:p>
        </w:tc>
      </w:tr>
      <w:tr w:rsidR="008144C7" w:rsidRPr="00635D1D" w14:paraId="45218F99" w14:textId="77777777" w:rsidTr="00C5582D">
        <w:trPr>
          <w:jc w:val="center"/>
        </w:trPr>
        <w:tc>
          <w:tcPr>
            <w:tcW w:w="4876" w:type="dxa"/>
            <w:tcBorders>
              <w:top w:val="nil"/>
              <w:left w:val="nil"/>
              <w:bottom w:val="nil"/>
              <w:right w:val="nil"/>
            </w:tcBorders>
            <w:hideMark/>
          </w:tcPr>
          <w:p w14:paraId="12C07B95" w14:textId="77777777" w:rsidR="008144C7" w:rsidRPr="00635D1D" w:rsidRDefault="008144C7" w:rsidP="00C5582D">
            <w:pPr>
              <w:pStyle w:val="Normal6a"/>
            </w:pPr>
            <w:r w:rsidRPr="00635D1D">
              <w:t>(21)</w:t>
            </w:r>
            <w:r w:rsidRPr="00635D1D">
              <w:tab/>
            </w:r>
            <w:r w:rsidRPr="00635D1D">
              <w:rPr>
                <w:b/>
                <w:i/>
              </w:rPr>
              <w:t>Często substancja może być również składnikiem naturalnych</w:t>
            </w:r>
            <w:r w:rsidRPr="00635D1D">
              <w:t xml:space="preserve"> substancji </w:t>
            </w:r>
            <w:r w:rsidRPr="00635D1D">
              <w:rPr>
                <w:b/>
                <w:bCs/>
                <w:i/>
                <w:iCs/>
              </w:rPr>
              <w:t>złożonych</w:t>
            </w:r>
            <w:r w:rsidRPr="00635D1D">
              <w:t xml:space="preserve">, na przykład </w:t>
            </w:r>
            <w:r w:rsidRPr="00635D1D">
              <w:rPr>
                <w:b/>
                <w:bCs/>
                <w:i/>
                <w:iCs/>
              </w:rPr>
              <w:t>olejków eterycznych</w:t>
            </w:r>
            <w:r w:rsidRPr="00635D1D">
              <w:t xml:space="preserve">. W takich przypadkach zakaz stosowania w produktach kosmetycznych na podstawie art. 15 rozporządzenia (WE) nr 1223/2009 ma zastosowanie wyłącznie do substancji wymienionej w części 3 załącznika VI do rozporządzenia (WE) nr 1272/2008. Oznacza to, że naturalne substancje złożone, które zawierają składnik sklasyfikowany jako CMR, nie podlegają zakazowi, z wyjątkiem sytuacji, gdy sama taka naturalna złożona substancja jest wymieniona jako substancja CMR kategorii 1A, 1B lub 2 w części 3 załącznika VI do rozporządzenia (WE) nr 1272/2008. Niemniej jednak, ponieważ zharmonizowana klasyfikacja składnika </w:t>
            </w:r>
            <w:r w:rsidRPr="00635D1D">
              <w:rPr>
                <w:b/>
                <w:i/>
              </w:rPr>
              <w:t>może budzić</w:t>
            </w:r>
            <w:r w:rsidRPr="00635D1D">
              <w:t xml:space="preserve"> obawy co do bezpieczeństwa naturalnych substancji złożonych stosowanych w produktach kosmetycznych, Komisja powinna upoważnić SCCS do przeprowadzenia oceny </w:t>
            </w:r>
            <w:r w:rsidRPr="00635D1D">
              <w:rPr>
                <w:b/>
                <w:i/>
              </w:rPr>
              <w:t>wpływu takiego składnika na bezpieczeństwo naturalnych substancji złożonych, jeżeli wystąpią obawy co do ich bezpieczeństwa,</w:t>
            </w:r>
            <w:r w:rsidRPr="00635D1D">
              <w:t xml:space="preserve"> oraz podjąć działania </w:t>
            </w:r>
            <w:r w:rsidRPr="00635D1D">
              <w:rPr>
                <w:b/>
                <w:i/>
              </w:rPr>
              <w:t>następcze w związku z odpowiednimi środkami regulacyjnymi</w:t>
            </w:r>
            <w:r w:rsidRPr="00635D1D">
              <w:t xml:space="preserve"> zgodnie z art. 31 ust. 1 rozporządzenia (WE) nr 1223/2009.</w:t>
            </w:r>
          </w:p>
        </w:tc>
        <w:tc>
          <w:tcPr>
            <w:tcW w:w="4876" w:type="dxa"/>
            <w:tcBorders>
              <w:top w:val="nil"/>
              <w:left w:val="nil"/>
              <w:bottom w:val="nil"/>
              <w:right w:val="nil"/>
            </w:tcBorders>
            <w:hideMark/>
          </w:tcPr>
          <w:p w14:paraId="7D51C5E3" w14:textId="77777777" w:rsidR="008144C7" w:rsidRPr="00635D1D" w:rsidRDefault="008144C7" w:rsidP="00C5582D">
            <w:pPr>
              <w:pStyle w:val="Normal6a"/>
            </w:pPr>
            <w:r w:rsidRPr="00635D1D">
              <w:t>(21)</w:t>
            </w:r>
            <w:r w:rsidRPr="00635D1D">
              <w:tab/>
            </w:r>
            <w:r w:rsidRPr="00635D1D">
              <w:rPr>
                <w:b/>
                <w:i/>
              </w:rPr>
              <w:t>Art. 5 rozporządzenia (WE) nr 1272/2008 zawiera szczegółowy przepis dotyczący identyfikacji i analizy dostępnych informacji przy ocenie niebezpiecznych właściwości</w:t>
            </w:r>
            <w:r w:rsidRPr="00635D1D">
              <w:t xml:space="preserve"> substancji </w:t>
            </w:r>
            <w:r w:rsidRPr="00635D1D">
              <w:rPr>
                <w:b/>
                <w:i/>
              </w:rPr>
              <w:t>wyekstrahowanych z roślin lub części roślin i zawierających więcej niż jeden składnik, które są substancjami niemodyfikowanymi chemicznie zdefiniowanymi w art. 3 pkt 40 rozporządzenia (WE) nr 1907/2006. Takie substancje, często określane jako naturalne substancje złożone, mogą zawierać co najmniej jedną substancję sklasyfikowaną jako substancja CMR</w:t>
            </w:r>
            <w:r w:rsidRPr="00635D1D">
              <w:t xml:space="preserve">, na przykład </w:t>
            </w:r>
            <w:r w:rsidRPr="00635D1D">
              <w:rPr>
                <w:b/>
                <w:i/>
              </w:rPr>
              <w:t>olejki eteryczne</w:t>
            </w:r>
            <w:r w:rsidRPr="00635D1D">
              <w:t xml:space="preserve">. W takich przypadkach zakaz stosowania w produktach kosmetycznych na podstawie art. 15 rozporządzenia (WE) nr 1223/2009 ma zastosowanie wyłącznie do substancji wymienionej w części 3 załącznika VI do rozporządzenia (WE) nr 1272/2008. Oznacza to, że naturalne substancje złożone, które zawierają składnik sklasyfikowany jako CMR, nie podlegają zakazowi, z wyjątkiem sytuacji, gdy sama taka naturalna złożona substancja jest wymieniona jako substancja CMR kategorii 1A, 1B lub 2 w części 3 załącznika VI do rozporządzenia (WE) nr 1272/2008. Niemniej jednak, ponieważ zharmonizowana klasyfikacja składnika </w:t>
            </w:r>
            <w:r w:rsidRPr="00635D1D">
              <w:rPr>
                <w:b/>
                <w:i/>
              </w:rPr>
              <w:t>budzi</w:t>
            </w:r>
            <w:r w:rsidRPr="00635D1D">
              <w:t xml:space="preserve"> obawy co do </w:t>
            </w:r>
            <w:r w:rsidRPr="00635D1D">
              <w:rPr>
                <w:b/>
                <w:i/>
              </w:rPr>
              <w:t>stosowania i</w:t>
            </w:r>
            <w:r w:rsidRPr="00635D1D">
              <w:t xml:space="preserve"> bezpieczeństwa naturalnych substancji złożonych stosowanych w produktach kosmetycznych, Komisja powinna </w:t>
            </w:r>
            <w:r w:rsidRPr="00635D1D">
              <w:rPr>
                <w:b/>
                <w:i/>
              </w:rPr>
              <w:t>niezwłocznie</w:t>
            </w:r>
            <w:r w:rsidRPr="00635D1D">
              <w:t xml:space="preserve"> upoważnić SCCS do przeprowadzenia oceny </w:t>
            </w:r>
            <w:r w:rsidRPr="00635D1D">
              <w:rPr>
                <w:b/>
                <w:i/>
              </w:rPr>
              <w:t>bezpieczeństwa takich składników</w:t>
            </w:r>
            <w:r w:rsidRPr="00635D1D">
              <w:t xml:space="preserve"> oraz, w razie potrzeby, podjąć </w:t>
            </w:r>
            <w:r w:rsidRPr="00635D1D">
              <w:rPr>
                <w:b/>
                <w:i/>
              </w:rPr>
              <w:t>odpowiednie</w:t>
            </w:r>
            <w:r w:rsidRPr="00635D1D">
              <w:t xml:space="preserve"> działania </w:t>
            </w:r>
            <w:r w:rsidRPr="00635D1D">
              <w:rPr>
                <w:b/>
                <w:bCs/>
                <w:i/>
                <w:iCs/>
              </w:rPr>
              <w:t>regulacyjne</w:t>
            </w:r>
            <w:r w:rsidRPr="00635D1D">
              <w:t xml:space="preserve"> zgodnie z art. 31 ust. 1 rozporządzenia (WE) nr 1223/2009.</w:t>
            </w:r>
          </w:p>
        </w:tc>
      </w:tr>
    </w:tbl>
    <w:p w14:paraId="338EBD6B"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06058DBD" w14:textId="77777777" w:rsidR="008144C7" w:rsidRPr="00E90719" w:rsidRDefault="008144C7" w:rsidP="008144C7">
      <w:pPr>
        <w:rPr>
          <w:lang w:val="en-GB"/>
        </w:rPr>
      </w:pPr>
      <w:r w:rsidRPr="00E90719">
        <w:rPr>
          <w:rStyle w:val="HideTWBExt"/>
          <w:lang w:val="en-GB"/>
        </w:rPr>
        <w:t>&lt;/Amend&gt;</w:t>
      </w:r>
    </w:p>
    <w:p w14:paraId="776F2BB1"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206</w:t>
      </w:r>
      <w:r w:rsidRPr="00E90719">
        <w:rPr>
          <w:rStyle w:val="HideTWBExt"/>
          <w:b w:val="0"/>
          <w:lang w:val="en-GB"/>
        </w:rPr>
        <w:t>&lt;/NumAm&gt;</w:t>
      </w:r>
    </w:p>
    <w:p w14:paraId="7EEC28CC"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Majdouline Sbai</w:t>
      </w:r>
      <w:r w:rsidRPr="00E90719">
        <w:rPr>
          <w:rStyle w:val="HideTWBExt"/>
          <w:b w:val="0"/>
          <w:lang w:val="en-GB"/>
        </w:rPr>
        <w:t>&lt;/Members&gt;</w:t>
      </w:r>
    </w:p>
    <w:p w14:paraId="44E611EB" w14:textId="77777777" w:rsidR="008144C7" w:rsidRPr="00635D1D" w:rsidRDefault="008144C7" w:rsidP="008144C7">
      <w:pPr>
        <w:pStyle w:val="NormalBold"/>
      </w:pPr>
      <w:r w:rsidRPr="00635D1D">
        <w:rPr>
          <w:rStyle w:val="HideTWBExt"/>
          <w:b w:val="0"/>
        </w:rPr>
        <w:t>&lt;/RepeatBlock-By&gt;</w:t>
      </w:r>
    </w:p>
    <w:p w14:paraId="494A4F4B"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2D0D1CE" w14:textId="77777777" w:rsidR="008144C7" w:rsidRPr="00635D1D" w:rsidRDefault="008144C7" w:rsidP="008144C7">
      <w:pPr>
        <w:pStyle w:val="NormalBold"/>
      </w:pPr>
      <w:r w:rsidRPr="00635D1D">
        <w:rPr>
          <w:rStyle w:val="HideTWBExt"/>
          <w:b w:val="0"/>
        </w:rPr>
        <w:t>&lt;Article&gt;</w:t>
      </w:r>
      <w:r w:rsidRPr="00635D1D">
        <w:t>Motyw 21</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03B410E4" w14:textId="77777777" w:rsidTr="00C5582D">
        <w:trPr>
          <w:trHeight w:val="240"/>
          <w:jc w:val="center"/>
        </w:trPr>
        <w:tc>
          <w:tcPr>
            <w:tcW w:w="9752" w:type="dxa"/>
            <w:gridSpan w:val="2"/>
            <w:tcBorders>
              <w:top w:val="nil"/>
              <w:left w:val="nil"/>
              <w:bottom w:val="nil"/>
              <w:right w:val="nil"/>
            </w:tcBorders>
          </w:tcPr>
          <w:p w14:paraId="600D9258" w14:textId="77777777" w:rsidR="008144C7" w:rsidRPr="00635D1D" w:rsidRDefault="008144C7" w:rsidP="00C5582D"/>
        </w:tc>
      </w:tr>
      <w:tr w:rsidR="008144C7" w:rsidRPr="00635D1D" w14:paraId="1F281EBD" w14:textId="77777777" w:rsidTr="00C5582D">
        <w:trPr>
          <w:trHeight w:val="240"/>
          <w:jc w:val="center"/>
        </w:trPr>
        <w:tc>
          <w:tcPr>
            <w:tcW w:w="4876" w:type="dxa"/>
            <w:tcBorders>
              <w:top w:val="nil"/>
              <w:left w:val="nil"/>
              <w:bottom w:val="nil"/>
              <w:right w:val="nil"/>
            </w:tcBorders>
            <w:hideMark/>
          </w:tcPr>
          <w:p w14:paraId="2DF8A2EB"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68ECBAB" w14:textId="77777777" w:rsidR="008144C7" w:rsidRPr="00635D1D" w:rsidRDefault="008144C7" w:rsidP="00C5582D">
            <w:pPr>
              <w:pStyle w:val="AmColumnHeading"/>
            </w:pPr>
            <w:r w:rsidRPr="00635D1D">
              <w:t>Poprawka</w:t>
            </w:r>
          </w:p>
        </w:tc>
      </w:tr>
      <w:tr w:rsidR="008144C7" w:rsidRPr="00635D1D" w14:paraId="56E2E16F" w14:textId="77777777" w:rsidTr="00C5582D">
        <w:trPr>
          <w:jc w:val="center"/>
        </w:trPr>
        <w:tc>
          <w:tcPr>
            <w:tcW w:w="4876" w:type="dxa"/>
            <w:tcBorders>
              <w:top w:val="nil"/>
              <w:left w:val="nil"/>
              <w:bottom w:val="nil"/>
              <w:right w:val="nil"/>
            </w:tcBorders>
            <w:hideMark/>
          </w:tcPr>
          <w:p w14:paraId="612FF44D" w14:textId="77777777" w:rsidR="008144C7" w:rsidRPr="00635D1D" w:rsidRDefault="008144C7" w:rsidP="00C5582D">
            <w:pPr>
              <w:pStyle w:val="Normal6a"/>
            </w:pPr>
            <w:r w:rsidRPr="00635D1D">
              <w:t>(21)</w:t>
            </w:r>
            <w:r w:rsidRPr="00635D1D">
              <w:tab/>
            </w:r>
            <w:r w:rsidRPr="00635D1D">
              <w:rPr>
                <w:b/>
                <w:i/>
              </w:rPr>
              <w:t>Często substancja może być również składnikiem naturalnych substancji złożonych, na przykład olejków eterycznych</w:t>
            </w:r>
            <w:r w:rsidRPr="00635D1D">
              <w:t>.</w:t>
            </w:r>
            <w:r w:rsidRPr="00635D1D">
              <w:rPr>
                <w:b/>
                <w:i/>
              </w:rPr>
              <w:t xml:space="preserve"> W takich przypadkach zakaz stosowania w produktach kosmetycznych na podstawie art. 15 rozporządzenia (WE) nr 1223/2009 ma zastosowanie wyłącznie do substancji wymienionej w części 3 załącznika VI do rozporządzenia (WE) nr 1272/2008. Oznacza to, że naturalne substancje złożone, które zawierają składnik sklasyfikowany</w:t>
            </w:r>
            <w:r w:rsidRPr="00635D1D">
              <w:t xml:space="preserve"> jako CMR, </w:t>
            </w:r>
            <w:r w:rsidRPr="00635D1D">
              <w:rPr>
                <w:b/>
                <w:i/>
              </w:rPr>
              <w:t>nie podlegają zakazowi, z wyjątkiem sytuacji, gdy sama taka naturalna złożona substancja jest wymieniona</w:t>
            </w:r>
            <w:r w:rsidRPr="00635D1D">
              <w:t xml:space="preserve"> jako substancja CMR kategorii 1A, 1B lub 2 </w:t>
            </w:r>
            <w:r w:rsidRPr="00635D1D">
              <w:rPr>
                <w:b/>
                <w:i/>
              </w:rPr>
              <w:t>w części 3 załącznika VI do rozporządzenia (WE) nr 1272/2008. Niemniej jednak, ponieważ zharmonizowana klasyfikacja składnika może budzić</w:t>
            </w:r>
            <w:r w:rsidRPr="00635D1D">
              <w:t xml:space="preserve"> obawy co do </w:t>
            </w:r>
            <w:r w:rsidRPr="00635D1D">
              <w:rPr>
                <w:b/>
                <w:i/>
              </w:rPr>
              <w:t>bezpieczeństwa naturalnych substancji złożonych stosowanych</w:t>
            </w:r>
            <w:r w:rsidRPr="00635D1D">
              <w:t xml:space="preserve"> w produktach kosmetycznych</w:t>
            </w:r>
            <w:r w:rsidRPr="00635D1D">
              <w:rPr>
                <w:b/>
                <w:i/>
              </w:rPr>
              <w:t>,</w:t>
            </w:r>
            <w:r w:rsidRPr="00635D1D">
              <w:t xml:space="preserve"> Komisja powinna </w:t>
            </w:r>
            <w:r w:rsidRPr="00635D1D">
              <w:rPr>
                <w:b/>
                <w:i/>
              </w:rPr>
              <w:t>upoważnić</w:t>
            </w:r>
            <w:r w:rsidRPr="00635D1D">
              <w:t xml:space="preserve"> SCCS </w:t>
            </w:r>
            <w:r w:rsidRPr="00635D1D">
              <w:rPr>
                <w:b/>
                <w:i/>
              </w:rPr>
              <w:t>do przeprowadzenia</w:t>
            </w:r>
            <w:r w:rsidRPr="00635D1D">
              <w:t xml:space="preserve"> oceny </w:t>
            </w:r>
            <w:r w:rsidRPr="00635D1D">
              <w:rPr>
                <w:b/>
                <w:i/>
              </w:rPr>
              <w:t>wpływu takiego składnika na bezpieczeństwo naturalnych</w:t>
            </w:r>
            <w:r w:rsidRPr="00635D1D">
              <w:t xml:space="preserve"> substancji </w:t>
            </w:r>
            <w:r w:rsidRPr="00635D1D">
              <w:rPr>
                <w:b/>
                <w:i/>
              </w:rPr>
              <w:t>złożonych, jeżeli wystąpią obawy co do ich bezpieczeństwa,</w:t>
            </w:r>
            <w:r w:rsidRPr="00635D1D">
              <w:t xml:space="preserve"> oraz podjąć </w:t>
            </w:r>
            <w:r w:rsidRPr="00635D1D">
              <w:rPr>
                <w:b/>
                <w:bCs/>
                <w:i/>
                <w:iCs/>
              </w:rPr>
              <w:t>działania następcze w związku z odpowiednimi środkami regulacyjnymi zgodnie z</w:t>
            </w:r>
            <w:r w:rsidRPr="00635D1D">
              <w:t xml:space="preserve"> art. 31 ust. 1 rozporządzenia (WE) nr 1223/2009.</w:t>
            </w:r>
          </w:p>
        </w:tc>
        <w:tc>
          <w:tcPr>
            <w:tcW w:w="4876" w:type="dxa"/>
            <w:tcBorders>
              <w:top w:val="nil"/>
              <w:left w:val="nil"/>
              <w:bottom w:val="nil"/>
              <w:right w:val="nil"/>
            </w:tcBorders>
            <w:hideMark/>
          </w:tcPr>
          <w:p w14:paraId="07BC1E4B" w14:textId="77777777" w:rsidR="008144C7" w:rsidRPr="00635D1D" w:rsidRDefault="008144C7" w:rsidP="00C5582D">
            <w:pPr>
              <w:pStyle w:val="Normal6a"/>
            </w:pPr>
            <w:r w:rsidRPr="00635D1D">
              <w:t>(21)</w:t>
            </w:r>
            <w:r w:rsidRPr="00635D1D">
              <w:tab/>
            </w:r>
            <w:r w:rsidRPr="00635D1D">
              <w:rPr>
                <w:b/>
                <w:i/>
              </w:rPr>
              <w:t>Substancje wyekstrahowane z roślin lub części roślin i zawierające więcej niż jeden składnik, które są substancjami niemodyfikowanymi chemicznie zdefiniowanymi w art. 3 pkt 40 rozporządzenia (WE) nr 1907/2006, określa się jako naturalne substancje złożone</w:t>
            </w:r>
            <w:r w:rsidRPr="00635D1D">
              <w:t>.</w:t>
            </w:r>
            <w:r w:rsidRPr="00635D1D">
              <w:rPr>
                <w:b/>
                <w:i/>
              </w:rPr>
              <w:t xml:space="preserve"> Naturalne substancje złożone mogą zawierać co najmniej jeden składnik sklasyfikowany jako CMR. Chociaż mieszaniny substancji są sklasyfikowane</w:t>
            </w:r>
            <w:r w:rsidRPr="00635D1D">
              <w:t xml:space="preserve"> jako CMR, </w:t>
            </w:r>
            <w:r w:rsidRPr="00635D1D">
              <w:rPr>
                <w:b/>
                <w:i/>
              </w:rPr>
              <w:t>jeżeli zawierają substancje CMR powyżej określonego stężenia, naturalne substancje złożone zawierające składniki CMR są zwolnione z takiej klasyfikacji na podstawie art. 5 ust. 6 tego rozporządzenia. Jeżeli jednak składnik naturalnej substancji złożonej jest sklasyfikowany</w:t>
            </w:r>
            <w:r w:rsidRPr="00635D1D">
              <w:t xml:space="preserve"> jako substancja CMR </w:t>
            </w:r>
            <w:r w:rsidRPr="00635D1D">
              <w:rPr>
                <w:b/>
                <w:i/>
              </w:rPr>
              <w:t>(</w:t>
            </w:r>
            <w:r w:rsidRPr="00635D1D">
              <w:t>kategorii 1A, 1B lub 2</w:t>
            </w:r>
            <w:r w:rsidRPr="00635D1D">
              <w:rPr>
                <w:b/>
                <w:i/>
              </w:rPr>
              <w:t>)</w:t>
            </w:r>
            <w:r w:rsidRPr="00635D1D">
              <w:t xml:space="preserve">, </w:t>
            </w:r>
            <w:r w:rsidRPr="00635D1D">
              <w:rPr>
                <w:b/>
                <w:i/>
              </w:rPr>
              <w:t>budzi to</w:t>
            </w:r>
            <w:r w:rsidRPr="00635D1D">
              <w:t xml:space="preserve"> obawy co do </w:t>
            </w:r>
            <w:r w:rsidRPr="00635D1D">
              <w:rPr>
                <w:b/>
                <w:i/>
              </w:rPr>
              <w:t>jej bezpiecznego stosowania</w:t>
            </w:r>
            <w:r w:rsidRPr="00635D1D">
              <w:t xml:space="preserve"> w produktach kosmetycznych</w:t>
            </w:r>
            <w:r w:rsidRPr="00635D1D">
              <w:rPr>
                <w:b/>
                <w:i/>
              </w:rPr>
              <w:t>. W takich przypadkach</w:t>
            </w:r>
            <w:r w:rsidRPr="00635D1D">
              <w:t xml:space="preserve"> Komisja powinna </w:t>
            </w:r>
            <w:r w:rsidRPr="00635D1D">
              <w:rPr>
                <w:b/>
                <w:i/>
              </w:rPr>
              <w:t>zwrócić się do</w:t>
            </w:r>
            <w:r w:rsidRPr="00635D1D">
              <w:t xml:space="preserve"> SCCS </w:t>
            </w:r>
            <w:r w:rsidRPr="00635D1D">
              <w:rPr>
                <w:b/>
                <w:i/>
              </w:rPr>
              <w:t>o przeprowadzenie</w:t>
            </w:r>
            <w:r w:rsidRPr="00635D1D">
              <w:t xml:space="preserve"> oceny </w:t>
            </w:r>
            <w:r w:rsidRPr="00635D1D">
              <w:rPr>
                <w:b/>
                <w:i/>
              </w:rPr>
              <w:t>bezpieczeństwa takich</w:t>
            </w:r>
            <w:r w:rsidRPr="00635D1D">
              <w:t xml:space="preserve"> substancji oraz</w:t>
            </w:r>
            <w:r w:rsidRPr="00635D1D">
              <w:rPr>
                <w:b/>
                <w:bCs/>
                <w:i/>
                <w:iCs/>
              </w:rPr>
              <w:t>, w razie potrzeby,</w:t>
            </w:r>
            <w:r w:rsidRPr="00635D1D">
              <w:t xml:space="preserve"> podjąć </w:t>
            </w:r>
            <w:r w:rsidRPr="00635D1D">
              <w:rPr>
                <w:b/>
                <w:i/>
              </w:rPr>
              <w:t>działanie regulacyjne na podstawie</w:t>
            </w:r>
            <w:r w:rsidRPr="00635D1D">
              <w:t xml:space="preserve"> art. 31 ust. 1 rozporządzenia (WE) nr 1223/2009.</w:t>
            </w:r>
          </w:p>
        </w:tc>
      </w:tr>
    </w:tbl>
    <w:p w14:paraId="58EF5662"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70D1DF7D"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3E77C236" w14:textId="77777777" w:rsidR="008144C7" w:rsidRPr="00635D1D" w:rsidRDefault="008144C7" w:rsidP="008144C7">
      <w:pPr>
        <w:pStyle w:val="AmJustText"/>
      </w:pPr>
      <w:r w:rsidRPr="00635D1D">
        <w:t>Należy odpowiednio opisać sytuację prawną. W przypadku gdy naturalna substancja złożona stosowana w kosmetykach zawiera składnik sklasyfikowany jako CMR, Komisja powinna być zobowiązana do zwrócenia się do SCCS o opinię na temat jej bezpieczeństwa. Jeżeli okaże się, że nie jest ona bezpieczna, Komisja powinna podjąć niezbędne działania regulacyjne.</w:t>
      </w:r>
    </w:p>
    <w:p w14:paraId="13625894" w14:textId="77777777" w:rsidR="008144C7" w:rsidRPr="00635D1D" w:rsidRDefault="008144C7" w:rsidP="008144C7">
      <w:r w:rsidRPr="00635D1D">
        <w:rPr>
          <w:rStyle w:val="HideTWBExt"/>
        </w:rPr>
        <w:t>&lt;/Amend&gt;</w:t>
      </w:r>
    </w:p>
    <w:p w14:paraId="45885185"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207</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19AC4352" w14:textId="77777777" w:rsidR="008144C7" w:rsidRPr="00635D1D" w:rsidRDefault="008144C7" w:rsidP="008144C7">
      <w:pPr>
        <w:pStyle w:val="NormalBold"/>
      </w:pPr>
      <w:r w:rsidRPr="00635D1D">
        <w:rPr>
          <w:rStyle w:val="HideTWBExt"/>
          <w:b w:val="0"/>
        </w:rPr>
        <w:t>&lt;RepeatBlock-By&gt;&lt;Members&gt;</w:t>
      </w:r>
      <w:r w:rsidRPr="00635D1D">
        <w:t xml:space="preserve">Pietro </w:t>
      </w:r>
      <w:proofErr w:type="spellStart"/>
      <w:r w:rsidRPr="00635D1D">
        <w:t>Fiocchi</w:t>
      </w:r>
      <w:proofErr w:type="spellEnd"/>
      <w:r w:rsidRPr="00635D1D">
        <w:t xml:space="preserve">, Antonella </w:t>
      </w:r>
      <w:proofErr w:type="spellStart"/>
      <w:r w:rsidRPr="00635D1D">
        <w:t>Sberna</w:t>
      </w:r>
      <w:proofErr w:type="spellEnd"/>
      <w:r w:rsidRPr="00635D1D">
        <w:rPr>
          <w:rStyle w:val="HideTWBExt"/>
          <w:b w:val="0"/>
        </w:rPr>
        <w:t>&lt;/Members&gt;</w:t>
      </w:r>
    </w:p>
    <w:p w14:paraId="009F58C4" w14:textId="77777777" w:rsidR="008144C7" w:rsidRPr="00635D1D" w:rsidRDefault="008144C7" w:rsidP="008144C7">
      <w:pPr>
        <w:pStyle w:val="NormalBold"/>
      </w:pPr>
      <w:r w:rsidRPr="00635D1D">
        <w:rPr>
          <w:rStyle w:val="HideTWBExt"/>
          <w:b w:val="0"/>
        </w:rPr>
        <w:t>&lt;/RepeatBlock-By&gt;</w:t>
      </w:r>
    </w:p>
    <w:p w14:paraId="7C1CFE9D"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7F60BBB4" w14:textId="77777777" w:rsidR="008144C7" w:rsidRPr="00635D1D" w:rsidRDefault="008144C7" w:rsidP="008144C7">
      <w:pPr>
        <w:pStyle w:val="NormalBold"/>
      </w:pPr>
      <w:r w:rsidRPr="00635D1D">
        <w:rPr>
          <w:rStyle w:val="HideTWBExt"/>
          <w:b w:val="0"/>
        </w:rPr>
        <w:t>&lt;Article&gt;</w:t>
      </w:r>
      <w:r w:rsidRPr="00635D1D">
        <w:t>Motyw 21</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73F7C62" w14:textId="77777777" w:rsidTr="00C5582D">
        <w:trPr>
          <w:trHeight w:val="240"/>
          <w:jc w:val="center"/>
        </w:trPr>
        <w:tc>
          <w:tcPr>
            <w:tcW w:w="9752" w:type="dxa"/>
            <w:gridSpan w:val="2"/>
            <w:tcBorders>
              <w:top w:val="nil"/>
              <w:left w:val="nil"/>
              <w:bottom w:val="nil"/>
              <w:right w:val="nil"/>
            </w:tcBorders>
          </w:tcPr>
          <w:p w14:paraId="3D0DD8B5" w14:textId="77777777" w:rsidR="008144C7" w:rsidRPr="00635D1D" w:rsidRDefault="008144C7" w:rsidP="00C5582D"/>
        </w:tc>
      </w:tr>
      <w:tr w:rsidR="008144C7" w:rsidRPr="00635D1D" w14:paraId="365E50C5" w14:textId="77777777" w:rsidTr="00C5582D">
        <w:trPr>
          <w:trHeight w:val="240"/>
          <w:jc w:val="center"/>
        </w:trPr>
        <w:tc>
          <w:tcPr>
            <w:tcW w:w="4876" w:type="dxa"/>
            <w:tcBorders>
              <w:top w:val="nil"/>
              <w:left w:val="nil"/>
              <w:bottom w:val="nil"/>
              <w:right w:val="nil"/>
            </w:tcBorders>
            <w:hideMark/>
          </w:tcPr>
          <w:p w14:paraId="39939345"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D858578" w14:textId="77777777" w:rsidR="008144C7" w:rsidRPr="00635D1D" w:rsidRDefault="008144C7" w:rsidP="00C5582D">
            <w:pPr>
              <w:pStyle w:val="AmColumnHeading"/>
            </w:pPr>
            <w:r w:rsidRPr="00635D1D">
              <w:t>Poprawka</w:t>
            </w:r>
          </w:p>
        </w:tc>
      </w:tr>
      <w:tr w:rsidR="008144C7" w:rsidRPr="00635D1D" w14:paraId="1CF4B655" w14:textId="77777777" w:rsidTr="00C5582D">
        <w:trPr>
          <w:jc w:val="center"/>
        </w:trPr>
        <w:tc>
          <w:tcPr>
            <w:tcW w:w="4876" w:type="dxa"/>
            <w:tcBorders>
              <w:top w:val="nil"/>
              <w:left w:val="nil"/>
              <w:bottom w:val="nil"/>
              <w:right w:val="nil"/>
            </w:tcBorders>
            <w:hideMark/>
          </w:tcPr>
          <w:p w14:paraId="5B4D58ED" w14:textId="77777777" w:rsidR="008144C7" w:rsidRPr="00635D1D" w:rsidRDefault="008144C7" w:rsidP="00C5582D">
            <w:pPr>
              <w:pStyle w:val="Normal6a"/>
            </w:pPr>
            <w:r w:rsidRPr="00635D1D">
              <w:t>(21)</w:t>
            </w:r>
            <w:r w:rsidRPr="00635D1D">
              <w:tab/>
              <w:t xml:space="preserve">Często substancja może być również składnikiem naturalnych substancji złożonych, na przykład olejków eterycznych. W takich przypadkach zakaz stosowania w produktach kosmetycznych na podstawie art. 15 rozporządzenia (WE) nr 1223/2009 ma zastosowanie wyłącznie do substancji </w:t>
            </w:r>
            <w:r w:rsidRPr="00635D1D">
              <w:rPr>
                <w:b/>
                <w:bCs/>
                <w:i/>
                <w:iCs/>
              </w:rPr>
              <w:t>wymienionej</w:t>
            </w:r>
            <w:r w:rsidRPr="00635D1D">
              <w:t xml:space="preserve"> w części 3 załącznika VI do rozporządzenia (WE) nr 1272/2008. Oznacza to, że naturalne substancje złożone, które zawierają składnik sklasyfikowany jako CMR, nie podlegają zakazowi, z wyjątkiem sytuacji, gdy sama taka naturalna złożona substancja jest wymieniona jako substancja CMR kategorii 1A, 1B lub 2 w części 3 załącznika VI do rozporządzenia (WE) nr 1272/2008.</w:t>
            </w:r>
            <w:r w:rsidRPr="00635D1D">
              <w:rPr>
                <w:b/>
                <w:i/>
              </w:rPr>
              <w:t xml:space="preserve"> Niemniej jednak, ponieważ zharmonizowana klasyfikacja składnika może budzić</w:t>
            </w:r>
            <w:r w:rsidRPr="00635D1D">
              <w:t xml:space="preserve"> obawy co do </w:t>
            </w:r>
            <w:r w:rsidRPr="00635D1D">
              <w:rPr>
                <w:b/>
                <w:i/>
              </w:rPr>
              <w:t>bezpieczeństwa naturalnych substancji złożonych stosowanych</w:t>
            </w:r>
            <w:r w:rsidRPr="00635D1D">
              <w:t xml:space="preserve"> w produktach kosmetycznych</w:t>
            </w:r>
            <w:r w:rsidRPr="00635D1D">
              <w:rPr>
                <w:b/>
                <w:i/>
              </w:rPr>
              <w:t>,</w:t>
            </w:r>
            <w:r w:rsidRPr="00635D1D">
              <w:t xml:space="preserve"> Komisja powinna </w:t>
            </w:r>
            <w:r w:rsidRPr="00635D1D">
              <w:rPr>
                <w:b/>
                <w:bCs/>
                <w:i/>
                <w:iCs/>
              </w:rPr>
              <w:t>upoważnić</w:t>
            </w:r>
            <w:r w:rsidRPr="00635D1D">
              <w:t xml:space="preserve"> SCCS</w:t>
            </w:r>
            <w:r w:rsidRPr="00635D1D">
              <w:rPr>
                <w:b/>
                <w:i/>
              </w:rPr>
              <w:t xml:space="preserve"> do przeprowadzenia</w:t>
            </w:r>
            <w:r w:rsidRPr="00635D1D">
              <w:t xml:space="preserve"> oceny </w:t>
            </w:r>
            <w:r w:rsidRPr="00635D1D">
              <w:rPr>
                <w:b/>
                <w:i/>
              </w:rPr>
              <w:t>wpływu takiego składnika na bezpieczeństwo naturalnych substancji złożonych, jeżeli wystąpią obawy co do ich bezpieczeństwa,</w:t>
            </w:r>
            <w:r w:rsidRPr="00635D1D">
              <w:t xml:space="preserve"> oraz podjąć </w:t>
            </w:r>
            <w:r w:rsidRPr="00635D1D">
              <w:rPr>
                <w:b/>
                <w:bCs/>
                <w:i/>
                <w:iCs/>
              </w:rPr>
              <w:t>działania następcze w związku z odpowiednimi środkami regulacyjnymi zgodnie z</w:t>
            </w:r>
            <w:r w:rsidRPr="00635D1D">
              <w:t xml:space="preserve"> art. 31 ust. 1 rozporządzenia (WE) nr 1223/2009.</w:t>
            </w:r>
          </w:p>
        </w:tc>
        <w:tc>
          <w:tcPr>
            <w:tcW w:w="4876" w:type="dxa"/>
            <w:tcBorders>
              <w:top w:val="nil"/>
              <w:left w:val="nil"/>
              <w:bottom w:val="nil"/>
              <w:right w:val="nil"/>
            </w:tcBorders>
            <w:hideMark/>
          </w:tcPr>
          <w:p w14:paraId="41596140" w14:textId="77777777" w:rsidR="008144C7" w:rsidRPr="00635D1D" w:rsidRDefault="008144C7" w:rsidP="00C5582D">
            <w:pPr>
              <w:pStyle w:val="Normal6a"/>
            </w:pPr>
            <w:r w:rsidRPr="00635D1D">
              <w:t>(21)</w:t>
            </w:r>
            <w:r w:rsidRPr="00635D1D">
              <w:tab/>
              <w:t xml:space="preserve">Często substancja może być również składnikiem naturalnych substancji złożonych, na przykład olejków eterycznych. W takich przypadkach zakaz stosowania w produktach kosmetycznych na podstawie art. 15 rozporządzenia (WE) nr 1223/2009 ma zastosowanie wyłącznie do </w:t>
            </w:r>
            <w:r w:rsidRPr="00635D1D">
              <w:rPr>
                <w:b/>
                <w:i/>
              </w:rPr>
              <w:t>składników takiej</w:t>
            </w:r>
            <w:r w:rsidRPr="00635D1D">
              <w:t xml:space="preserve"> substancji </w:t>
            </w:r>
            <w:r w:rsidRPr="00635D1D">
              <w:rPr>
                <w:b/>
                <w:i/>
              </w:rPr>
              <w:t>wymienionych</w:t>
            </w:r>
            <w:r w:rsidRPr="00635D1D">
              <w:t xml:space="preserve"> w części 3 załącznika VI do rozporządzenia (WE) nr 1272/2008. Oznacza to, że naturalne substancje złożone, które zawierają składnik sklasyfikowany jako CMR, nie podlegają zakazowi, z wyjątkiem sytuacji, gdy sama taka naturalna złożona substancja jest wymieniona jako substancja CMR kategorii 1A, 1B lub 2 w części 3 załącznika VI do rozporządzenia (WE) nr 1272/2008</w:t>
            </w:r>
            <w:r w:rsidRPr="00635D1D">
              <w:rPr>
                <w:b/>
                <w:i/>
              </w:rPr>
              <w:t xml:space="preserve"> na podstawie danych dotyczących samej naturalnej substancji złożonej, jeżeli takie istnieją</w:t>
            </w:r>
            <w:r w:rsidRPr="00635D1D">
              <w:t>.</w:t>
            </w:r>
            <w:r w:rsidRPr="00635D1D">
              <w:rPr>
                <w:b/>
                <w:i/>
              </w:rPr>
              <w:t xml:space="preserve"> Jeżeli składnik naturalnej substancji złożonej jest sklasyfikowany jako substancja CMR (kategorii 1A, 1B lub 2), może to budzić obawy co do jej bezpiecznego stosowania w kosmetykach. W takich przypadkach</w:t>
            </w:r>
            <w:r w:rsidRPr="00635D1D">
              <w:t xml:space="preserve"> Komisja powinna </w:t>
            </w:r>
            <w:r w:rsidRPr="00635D1D">
              <w:rPr>
                <w:b/>
                <w:i/>
              </w:rPr>
              <w:t>systematycznie zwracać się do</w:t>
            </w:r>
            <w:r w:rsidRPr="00635D1D">
              <w:t xml:space="preserve"> SCCS </w:t>
            </w:r>
            <w:r w:rsidRPr="00635D1D">
              <w:rPr>
                <w:b/>
                <w:i/>
              </w:rPr>
              <w:t>o przeprowadzenie</w:t>
            </w:r>
            <w:r w:rsidRPr="00635D1D">
              <w:t xml:space="preserve"> oceny </w:t>
            </w:r>
            <w:r w:rsidRPr="00635D1D">
              <w:rPr>
                <w:b/>
                <w:i/>
              </w:rPr>
              <w:t>takich składników</w:t>
            </w:r>
            <w:r w:rsidRPr="00635D1D">
              <w:t xml:space="preserve"> oraz</w:t>
            </w:r>
            <w:r w:rsidRPr="00635D1D">
              <w:rPr>
                <w:b/>
                <w:bCs/>
                <w:i/>
                <w:iCs/>
              </w:rPr>
              <w:t>, w razie potrzeby,</w:t>
            </w:r>
            <w:r w:rsidRPr="00635D1D">
              <w:t xml:space="preserve"> podjąć </w:t>
            </w:r>
            <w:r w:rsidRPr="00635D1D">
              <w:rPr>
                <w:b/>
                <w:i/>
              </w:rPr>
              <w:t>działanie regulacyjne na podstawie</w:t>
            </w:r>
            <w:r w:rsidRPr="00635D1D">
              <w:t xml:space="preserve"> art. 31 ust. 1 rozporządzenia (WE) nr 1223/2009.</w:t>
            </w:r>
          </w:p>
        </w:tc>
      </w:tr>
    </w:tbl>
    <w:p w14:paraId="7303ABCC"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6EE2B7E7" w14:textId="77777777" w:rsidR="008144C7" w:rsidRPr="00E90719" w:rsidRDefault="008144C7" w:rsidP="008144C7">
      <w:pPr>
        <w:rPr>
          <w:lang w:val="en-GB"/>
        </w:rPr>
      </w:pPr>
      <w:r w:rsidRPr="00E90719">
        <w:rPr>
          <w:rStyle w:val="HideTWBExt"/>
          <w:lang w:val="en-GB"/>
        </w:rPr>
        <w:t>&lt;/Amend&gt;</w:t>
      </w:r>
    </w:p>
    <w:p w14:paraId="703CE750"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208</w:t>
      </w:r>
      <w:r w:rsidRPr="00E90719">
        <w:rPr>
          <w:rStyle w:val="HideTWBExt"/>
          <w:b w:val="0"/>
          <w:lang w:val="en-GB"/>
        </w:rPr>
        <w:t>&lt;/NumAm&gt;</w:t>
      </w:r>
    </w:p>
    <w:p w14:paraId="6B82EB8F"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Anne-Sophie Frigout, Mathilde Androuët, Silvia Sardone, Marie-Luce Brasier-Clain, Valérie Deloge, Antonín Staněk, Virginie Joron</w:t>
      </w:r>
      <w:r w:rsidRPr="00E90719">
        <w:rPr>
          <w:rStyle w:val="HideTWBExt"/>
          <w:b w:val="0"/>
          <w:lang w:val="en-GB"/>
        </w:rPr>
        <w:t>&lt;/Members&gt;</w:t>
      </w:r>
    </w:p>
    <w:p w14:paraId="1893C4C3" w14:textId="77777777" w:rsidR="008144C7" w:rsidRPr="00635D1D" w:rsidRDefault="008144C7" w:rsidP="008144C7">
      <w:pPr>
        <w:pStyle w:val="NormalBold"/>
      </w:pPr>
      <w:r w:rsidRPr="00635D1D">
        <w:rPr>
          <w:rStyle w:val="HideTWBExt"/>
          <w:b w:val="0"/>
        </w:rPr>
        <w:t>&lt;/RepeatBlock-By&gt;</w:t>
      </w:r>
    </w:p>
    <w:p w14:paraId="77F03165"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4A3F79C" w14:textId="77777777" w:rsidR="008144C7" w:rsidRPr="00635D1D" w:rsidRDefault="008144C7" w:rsidP="008144C7">
      <w:pPr>
        <w:pStyle w:val="NormalBold"/>
      </w:pPr>
      <w:r w:rsidRPr="00635D1D">
        <w:rPr>
          <w:rStyle w:val="HideTWBExt"/>
          <w:b w:val="0"/>
        </w:rPr>
        <w:t>&lt;Article&gt;</w:t>
      </w:r>
      <w:r w:rsidRPr="00635D1D">
        <w:t>Motyw 21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5DD5328" w14:textId="77777777" w:rsidTr="00C5582D">
        <w:trPr>
          <w:trHeight w:val="240"/>
          <w:jc w:val="center"/>
        </w:trPr>
        <w:tc>
          <w:tcPr>
            <w:tcW w:w="9752" w:type="dxa"/>
            <w:gridSpan w:val="2"/>
            <w:tcBorders>
              <w:top w:val="nil"/>
              <w:left w:val="nil"/>
              <w:bottom w:val="nil"/>
              <w:right w:val="nil"/>
            </w:tcBorders>
          </w:tcPr>
          <w:p w14:paraId="315F08B2" w14:textId="77777777" w:rsidR="008144C7" w:rsidRPr="00635D1D" w:rsidRDefault="008144C7" w:rsidP="00C5582D"/>
        </w:tc>
      </w:tr>
      <w:tr w:rsidR="008144C7" w:rsidRPr="00635D1D" w14:paraId="7E59D21B" w14:textId="77777777" w:rsidTr="00C5582D">
        <w:trPr>
          <w:trHeight w:val="240"/>
          <w:jc w:val="center"/>
        </w:trPr>
        <w:tc>
          <w:tcPr>
            <w:tcW w:w="4876" w:type="dxa"/>
            <w:tcBorders>
              <w:top w:val="nil"/>
              <w:left w:val="nil"/>
              <w:bottom w:val="nil"/>
              <w:right w:val="nil"/>
            </w:tcBorders>
            <w:hideMark/>
          </w:tcPr>
          <w:p w14:paraId="36CBEBBD"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81F9311" w14:textId="77777777" w:rsidR="008144C7" w:rsidRPr="00635D1D" w:rsidRDefault="008144C7" w:rsidP="00C5582D">
            <w:pPr>
              <w:pStyle w:val="AmColumnHeading"/>
            </w:pPr>
            <w:r w:rsidRPr="00635D1D">
              <w:t>Poprawka</w:t>
            </w:r>
          </w:p>
        </w:tc>
      </w:tr>
      <w:tr w:rsidR="008144C7" w:rsidRPr="00635D1D" w14:paraId="00B06A36" w14:textId="77777777" w:rsidTr="00C5582D">
        <w:trPr>
          <w:jc w:val="center"/>
        </w:trPr>
        <w:tc>
          <w:tcPr>
            <w:tcW w:w="4876" w:type="dxa"/>
            <w:tcBorders>
              <w:top w:val="nil"/>
              <w:left w:val="nil"/>
              <w:bottom w:val="nil"/>
              <w:right w:val="nil"/>
            </w:tcBorders>
          </w:tcPr>
          <w:p w14:paraId="56DE5B54" w14:textId="77777777" w:rsidR="008144C7" w:rsidRPr="00635D1D" w:rsidRDefault="008144C7" w:rsidP="00C5582D">
            <w:pPr>
              <w:pStyle w:val="Normal6a"/>
            </w:pPr>
          </w:p>
        </w:tc>
        <w:tc>
          <w:tcPr>
            <w:tcW w:w="4876" w:type="dxa"/>
            <w:tcBorders>
              <w:top w:val="nil"/>
              <w:left w:val="nil"/>
              <w:bottom w:val="nil"/>
              <w:right w:val="nil"/>
            </w:tcBorders>
            <w:hideMark/>
          </w:tcPr>
          <w:p w14:paraId="2B6299BB" w14:textId="77777777" w:rsidR="008144C7" w:rsidRPr="00635D1D" w:rsidRDefault="008144C7" w:rsidP="00C5582D">
            <w:pPr>
              <w:pStyle w:val="Normal6a"/>
            </w:pPr>
            <w:r w:rsidRPr="00635D1D">
              <w:rPr>
                <w:b/>
                <w:i/>
              </w:rPr>
              <w:t>(21a)</w:t>
            </w:r>
            <w:r w:rsidRPr="00635D1D">
              <w:tab/>
            </w:r>
            <w:r w:rsidRPr="00635D1D">
              <w:rPr>
                <w:b/>
                <w:i/>
              </w:rPr>
              <w:t>Należy wziąć pod uwagę specyfikę naturalnych substancji złożonych, takich jak olejki eteryczne i oleje pochodzenia roślinnego, aby nie doprowadzić do pokrzywdzenia w sposób nieproporcjonalny sektora składającego się głównie z MŚP i przedsiębiorstw rodzinnych. Aby zachować te tradycyjne sektory, wspierać ich konkurencyjność i promować produkcję opartą na lokalnej wiedzy fachowej, potrzebne jest otwarte i proporcjonalne podejście wraz z odpowiednimi terminami zapewnienia zgodności.</w:t>
            </w:r>
          </w:p>
        </w:tc>
      </w:tr>
    </w:tbl>
    <w:p w14:paraId="0AE753D7"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{FR}</w:t>
      </w:r>
      <w:r w:rsidRPr="00E90719">
        <w:rPr>
          <w:lang w:val="en-GB"/>
        </w:rPr>
        <w:t>fr</w:t>
      </w:r>
      <w:r w:rsidRPr="00E90719">
        <w:rPr>
          <w:rStyle w:val="HideTWBExt"/>
          <w:lang w:val="en-GB"/>
        </w:rPr>
        <w:t>&lt;/Original&gt;</w:t>
      </w:r>
    </w:p>
    <w:p w14:paraId="678817C0" w14:textId="77777777" w:rsidR="008144C7" w:rsidRPr="00E90719" w:rsidRDefault="008144C7" w:rsidP="008144C7">
      <w:pPr>
        <w:rPr>
          <w:lang w:val="en-GB"/>
        </w:rPr>
      </w:pPr>
      <w:r w:rsidRPr="00E90719">
        <w:rPr>
          <w:rStyle w:val="HideTWBExt"/>
          <w:lang w:val="en-GB"/>
        </w:rPr>
        <w:t>&lt;/Amend&gt;</w:t>
      </w:r>
    </w:p>
    <w:p w14:paraId="4B24F84A"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209</w:t>
      </w:r>
      <w:r w:rsidRPr="00E90719">
        <w:rPr>
          <w:rStyle w:val="HideTWBExt"/>
          <w:b w:val="0"/>
          <w:lang w:val="en-GB"/>
        </w:rPr>
        <w:t>&lt;/NumAm&gt;</w:t>
      </w:r>
    </w:p>
    <w:p w14:paraId="6456032D"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Salvatore De Meo, Flavio Tosi, Massimiliano Salini, Letizia Moratti</w:t>
      </w:r>
      <w:r w:rsidRPr="00E90719">
        <w:rPr>
          <w:rStyle w:val="HideTWBExt"/>
          <w:b w:val="0"/>
          <w:lang w:val="en-GB"/>
        </w:rPr>
        <w:t>&lt;/Members&gt;</w:t>
      </w:r>
    </w:p>
    <w:p w14:paraId="52C4BC73" w14:textId="77777777" w:rsidR="008144C7" w:rsidRPr="00635D1D" w:rsidRDefault="008144C7" w:rsidP="008144C7">
      <w:pPr>
        <w:pStyle w:val="NormalBold"/>
      </w:pPr>
      <w:r w:rsidRPr="00635D1D">
        <w:rPr>
          <w:rStyle w:val="HideTWBExt"/>
          <w:b w:val="0"/>
        </w:rPr>
        <w:t>&lt;/RepeatBlock-By&gt;</w:t>
      </w:r>
    </w:p>
    <w:p w14:paraId="607E5F38"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B17C035" w14:textId="77777777" w:rsidR="008144C7" w:rsidRPr="00635D1D" w:rsidRDefault="008144C7" w:rsidP="008144C7">
      <w:pPr>
        <w:pStyle w:val="NormalBold"/>
      </w:pPr>
      <w:r w:rsidRPr="00635D1D">
        <w:rPr>
          <w:rStyle w:val="HideTWBExt"/>
          <w:b w:val="0"/>
        </w:rPr>
        <w:t>&lt;Article&gt;</w:t>
      </w:r>
      <w:r w:rsidRPr="00635D1D">
        <w:t>Motyw 22</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8988D45" w14:textId="77777777" w:rsidTr="00C5582D">
        <w:trPr>
          <w:trHeight w:val="240"/>
          <w:jc w:val="center"/>
        </w:trPr>
        <w:tc>
          <w:tcPr>
            <w:tcW w:w="9752" w:type="dxa"/>
            <w:gridSpan w:val="2"/>
            <w:tcBorders>
              <w:top w:val="nil"/>
              <w:left w:val="nil"/>
              <w:bottom w:val="nil"/>
              <w:right w:val="nil"/>
            </w:tcBorders>
          </w:tcPr>
          <w:p w14:paraId="09359B6E" w14:textId="77777777" w:rsidR="008144C7" w:rsidRPr="00635D1D" w:rsidRDefault="008144C7" w:rsidP="00C5582D"/>
        </w:tc>
      </w:tr>
      <w:tr w:rsidR="008144C7" w:rsidRPr="00635D1D" w14:paraId="07453BF0" w14:textId="77777777" w:rsidTr="00C5582D">
        <w:trPr>
          <w:trHeight w:val="240"/>
          <w:jc w:val="center"/>
        </w:trPr>
        <w:tc>
          <w:tcPr>
            <w:tcW w:w="4876" w:type="dxa"/>
            <w:tcBorders>
              <w:top w:val="nil"/>
              <w:left w:val="nil"/>
              <w:bottom w:val="nil"/>
              <w:right w:val="nil"/>
            </w:tcBorders>
            <w:hideMark/>
          </w:tcPr>
          <w:p w14:paraId="3F7086C1"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5AEE6929" w14:textId="77777777" w:rsidR="008144C7" w:rsidRPr="00635D1D" w:rsidRDefault="008144C7" w:rsidP="00C5582D">
            <w:pPr>
              <w:pStyle w:val="AmColumnHeading"/>
            </w:pPr>
            <w:r w:rsidRPr="00635D1D">
              <w:t>Poprawka</w:t>
            </w:r>
          </w:p>
        </w:tc>
      </w:tr>
      <w:tr w:rsidR="008144C7" w:rsidRPr="00635D1D" w14:paraId="6BAEFFC3" w14:textId="77777777" w:rsidTr="00C5582D">
        <w:trPr>
          <w:jc w:val="center"/>
        </w:trPr>
        <w:tc>
          <w:tcPr>
            <w:tcW w:w="4876" w:type="dxa"/>
            <w:tcBorders>
              <w:top w:val="nil"/>
              <w:left w:val="nil"/>
              <w:bottom w:val="nil"/>
              <w:right w:val="nil"/>
            </w:tcBorders>
            <w:hideMark/>
          </w:tcPr>
          <w:p w14:paraId="06192B33" w14:textId="77777777" w:rsidR="008144C7" w:rsidRPr="00635D1D" w:rsidRDefault="008144C7" w:rsidP="00C5582D">
            <w:pPr>
              <w:pStyle w:val="Normal6a"/>
            </w:pPr>
            <w:r w:rsidRPr="00635D1D">
              <w:t>(22)</w:t>
            </w:r>
            <w:r w:rsidRPr="00635D1D">
              <w:tab/>
              <w:t xml:space="preserve">W przypadku gdy stosowanie substancji w produktach kosmetycznych jest zakazane lub ograniczone, producentom, importerom, dystrybutorom i osobom odpowiedzialnym należy zapewnić odpowiedni czas na podjęcie niezbędnych działań </w:t>
            </w:r>
            <w:r w:rsidRPr="00635D1D">
              <w:rPr>
                <w:b/>
                <w:i/>
              </w:rPr>
              <w:t>w celu przeprojektowania etykiety i ponownego oznakowania swoich</w:t>
            </w:r>
            <w:r w:rsidRPr="00635D1D">
              <w:t xml:space="preserve"> produktów</w:t>
            </w:r>
            <w:r w:rsidRPr="00635D1D">
              <w:rPr>
                <w:b/>
                <w:i/>
              </w:rPr>
              <w:t>, a także wycofania</w:t>
            </w:r>
            <w:r w:rsidRPr="00635D1D">
              <w:t xml:space="preserve"> z dystrybucji i </w:t>
            </w:r>
            <w:r w:rsidRPr="00635D1D">
              <w:rPr>
                <w:b/>
                <w:bCs/>
                <w:i/>
                <w:iCs/>
              </w:rPr>
              <w:t>zniszczenia</w:t>
            </w:r>
            <w:r w:rsidRPr="00635D1D">
              <w:t xml:space="preserve"> niesprzedanych produktów niespełniających nowych wymogów. </w:t>
            </w:r>
            <w:r w:rsidRPr="00635D1D">
              <w:rPr>
                <w:b/>
                <w:i/>
              </w:rPr>
              <w:t>W związku z tym</w:t>
            </w:r>
            <w:r w:rsidRPr="00635D1D">
              <w:t xml:space="preserve"> należy przewidzieć terminy </w:t>
            </w:r>
            <w:r w:rsidRPr="00635D1D">
              <w:rPr>
                <w:b/>
                <w:i/>
              </w:rPr>
              <w:t>12</w:t>
            </w:r>
            <w:r w:rsidRPr="00635D1D">
              <w:t xml:space="preserve"> miesięcy w odniesieniu do wprowadzenia do obrotu i </w:t>
            </w:r>
            <w:r w:rsidRPr="00635D1D">
              <w:rPr>
                <w:b/>
                <w:bCs/>
                <w:i/>
                <w:iCs/>
              </w:rPr>
              <w:t>24</w:t>
            </w:r>
            <w:r w:rsidRPr="00635D1D">
              <w:t xml:space="preserve"> miesięcy w odniesieniu do udostępnienia na rynku produktów kosmetycznych zawierających daną substancję po wejściu w życie odpowiednich zmian do rozporządzenia (WE) nr 1223/2009.</w:t>
            </w:r>
          </w:p>
        </w:tc>
        <w:tc>
          <w:tcPr>
            <w:tcW w:w="4876" w:type="dxa"/>
            <w:tcBorders>
              <w:top w:val="nil"/>
              <w:left w:val="nil"/>
              <w:bottom w:val="nil"/>
              <w:right w:val="nil"/>
            </w:tcBorders>
            <w:hideMark/>
          </w:tcPr>
          <w:p w14:paraId="0E9B022C" w14:textId="77777777" w:rsidR="008144C7" w:rsidRPr="00635D1D" w:rsidRDefault="008144C7" w:rsidP="00C5582D">
            <w:pPr>
              <w:pStyle w:val="Normal6a"/>
            </w:pPr>
            <w:r w:rsidRPr="00635D1D">
              <w:t>(22)</w:t>
            </w:r>
            <w:r w:rsidRPr="00635D1D">
              <w:tab/>
              <w:t>W przypadku gdy stosowanie substancji w produktach kosmetycznych jest zakazane lub ograniczone, producentom, importerom, dystrybutorom i osobom odpowiedzialnym należy zapewnić odpowiedni czas na podjęcie niezbędnych działań</w:t>
            </w:r>
            <w:r w:rsidRPr="00635D1D">
              <w:rPr>
                <w:b/>
                <w:i/>
              </w:rPr>
              <w:t>. Aby umożliwić producentom między innymi produktów kosmetycznych zabezpieczenie odpowiednich substancji alternatywnych, przeprowadzenie testów w ramach procesu sporządzania nowych receptur oraz przeprowadzenie oceny bezpieczeństwa produktów końcowych, ich ponownego oznakowania i obowiązkowych zgłoszeń, należy im zapewnić odpowiedni okres dostosowawczy. W tym okresie dystrybutorzy i sprzedawcy detaliczni nadal będą otrzymywać produkty kosmetyczne zawierające substancję objętą środkami regulacyjnymi. W związku z tym potrzebują dodatkowego czasu na wycofanie takich</w:t>
            </w:r>
            <w:r w:rsidRPr="00635D1D">
              <w:t xml:space="preserve"> produktów z </w:t>
            </w:r>
            <w:r w:rsidRPr="00635D1D">
              <w:rPr>
                <w:b/>
                <w:i/>
              </w:rPr>
              <w:t>łańcucha</w:t>
            </w:r>
            <w:r w:rsidRPr="00635D1D">
              <w:t xml:space="preserve"> dystrybucji i </w:t>
            </w:r>
            <w:r w:rsidRPr="00635D1D">
              <w:rPr>
                <w:b/>
                <w:i/>
              </w:rPr>
              <w:t>zniszczenie</w:t>
            </w:r>
            <w:r w:rsidRPr="00635D1D">
              <w:t xml:space="preserve"> niesprzedanych produktów niespełniających nowych wymogów. </w:t>
            </w:r>
            <w:r w:rsidRPr="00635D1D">
              <w:rPr>
                <w:b/>
                <w:i/>
              </w:rPr>
              <w:t xml:space="preserve">Działania te będą miały wpływ na istniejące ustalenia umowne i wymagają znacznych wysiłków logistycznych. </w:t>
            </w:r>
            <w:r w:rsidRPr="00635D1D">
              <w:t xml:space="preserve">Należy </w:t>
            </w:r>
            <w:r w:rsidRPr="00635D1D">
              <w:rPr>
                <w:b/>
                <w:i/>
              </w:rPr>
              <w:t>zatem</w:t>
            </w:r>
            <w:r w:rsidRPr="00635D1D">
              <w:t xml:space="preserve"> przewidzieć terminy </w:t>
            </w:r>
            <w:r w:rsidRPr="00635D1D">
              <w:rPr>
                <w:b/>
                <w:i/>
              </w:rPr>
              <w:t>24</w:t>
            </w:r>
            <w:r w:rsidRPr="00635D1D">
              <w:t xml:space="preserve"> miesięcy w odniesieniu do wprowadzenia do obrotu i </w:t>
            </w:r>
            <w:r w:rsidRPr="00635D1D">
              <w:rPr>
                <w:b/>
                <w:bCs/>
                <w:i/>
                <w:iCs/>
              </w:rPr>
              <w:t>48</w:t>
            </w:r>
            <w:r w:rsidRPr="00635D1D">
              <w:t xml:space="preserve"> miesięcy w odniesieniu do udostępnienia na rynku produktów kosmetycznych zawierających daną substancję po wejściu w życie odpowiednich zmian do rozporządzenia (WE) nr 1223/2009. </w:t>
            </w:r>
            <w:r w:rsidRPr="00635D1D">
              <w:rPr>
                <w:b/>
                <w:i/>
              </w:rPr>
              <w:t>Aktualny raport bezpieczeństwa produktu kosmetycznego (CPSR) musi być stale dostępny.</w:t>
            </w:r>
          </w:p>
        </w:tc>
      </w:tr>
    </w:tbl>
    <w:p w14:paraId="3396DB5E"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3D6A84FB" w14:textId="77777777" w:rsidR="008144C7" w:rsidRPr="00E90719" w:rsidRDefault="008144C7" w:rsidP="008144C7">
      <w:pPr>
        <w:rPr>
          <w:lang w:val="en-GB"/>
        </w:rPr>
      </w:pPr>
      <w:r w:rsidRPr="00E90719">
        <w:rPr>
          <w:rStyle w:val="HideTWBExt"/>
          <w:lang w:val="en-GB"/>
        </w:rPr>
        <w:t>&lt;/Amend&gt;</w:t>
      </w:r>
    </w:p>
    <w:p w14:paraId="1D4AEB89"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210</w:t>
      </w:r>
      <w:r w:rsidRPr="00E90719">
        <w:rPr>
          <w:rStyle w:val="HideTWBExt"/>
          <w:b w:val="0"/>
          <w:lang w:val="en-GB"/>
        </w:rPr>
        <w:t>&lt;/NumAm&gt;</w:t>
      </w:r>
    </w:p>
    <w:p w14:paraId="5E3AB97D"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Pietro Fiocchi, Antonella Sberna</w:t>
      </w:r>
      <w:r w:rsidRPr="00E90719">
        <w:rPr>
          <w:rStyle w:val="HideTWBExt"/>
          <w:b w:val="0"/>
          <w:lang w:val="en-GB"/>
        </w:rPr>
        <w:t>&lt;/Members&gt;</w:t>
      </w:r>
    </w:p>
    <w:p w14:paraId="0DEADEA2" w14:textId="77777777" w:rsidR="008144C7" w:rsidRPr="00635D1D" w:rsidRDefault="008144C7" w:rsidP="008144C7">
      <w:pPr>
        <w:pStyle w:val="NormalBold"/>
      </w:pPr>
      <w:r w:rsidRPr="00635D1D">
        <w:rPr>
          <w:rStyle w:val="HideTWBExt"/>
          <w:b w:val="0"/>
        </w:rPr>
        <w:t>&lt;/RepeatBlock-By&gt;</w:t>
      </w:r>
    </w:p>
    <w:p w14:paraId="066BA7C0"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B0F1B62" w14:textId="77777777" w:rsidR="008144C7" w:rsidRPr="00635D1D" w:rsidRDefault="008144C7" w:rsidP="008144C7">
      <w:pPr>
        <w:pStyle w:val="NormalBold"/>
      </w:pPr>
      <w:r w:rsidRPr="00635D1D">
        <w:rPr>
          <w:rStyle w:val="HideTWBExt"/>
          <w:b w:val="0"/>
        </w:rPr>
        <w:t>&lt;Article&gt;</w:t>
      </w:r>
      <w:r w:rsidRPr="00635D1D">
        <w:t>Motyw 22</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7480150" w14:textId="77777777" w:rsidTr="00C5582D">
        <w:trPr>
          <w:trHeight w:val="240"/>
          <w:jc w:val="center"/>
        </w:trPr>
        <w:tc>
          <w:tcPr>
            <w:tcW w:w="9752" w:type="dxa"/>
            <w:gridSpan w:val="2"/>
            <w:tcBorders>
              <w:top w:val="nil"/>
              <w:left w:val="nil"/>
              <w:bottom w:val="nil"/>
              <w:right w:val="nil"/>
            </w:tcBorders>
          </w:tcPr>
          <w:p w14:paraId="3D9A6601" w14:textId="77777777" w:rsidR="008144C7" w:rsidRPr="00635D1D" w:rsidRDefault="008144C7" w:rsidP="00C5582D"/>
        </w:tc>
      </w:tr>
      <w:tr w:rsidR="008144C7" w:rsidRPr="00635D1D" w14:paraId="13443FBE" w14:textId="77777777" w:rsidTr="00C5582D">
        <w:trPr>
          <w:trHeight w:val="240"/>
          <w:jc w:val="center"/>
        </w:trPr>
        <w:tc>
          <w:tcPr>
            <w:tcW w:w="4876" w:type="dxa"/>
            <w:tcBorders>
              <w:top w:val="nil"/>
              <w:left w:val="nil"/>
              <w:bottom w:val="nil"/>
              <w:right w:val="nil"/>
            </w:tcBorders>
            <w:hideMark/>
          </w:tcPr>
          <w:p w14:paraId="506748CE"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560F283" w14:textId="77777777" w:rsidR="008144C7" w:rsidRPr="00635D1D" w:rsidRDefault="008144C7" w:rsidP="00C5582D">
            <w:pPr>
              <w:pStyle w:val="AmColumnHeading"/>
            </w:pPr>
            <w:r w:rsidRPr="00635D1D">
              <w:t>Poprawka</w:t>
            </w:r>
          </w:p>
        </w:tc>
      </w:tr>
      <w:tr w:rsidR="008144C7" w:rsidRPr="00635D1D" w14:paraId="6C7990C1" w14:textId="77777777" w:rsidTr="00C5582D">
        <w:trPr>
          <w:jc w:val="center"/>
        </w:trPr>
        <w:tc>
          <w:tcPr>
            <w:tcW w:w="4876" w:type="dxa"/>
            <w:tcBorders>
              <w:top w:val="nil"/>
              <w:left w:val="nil"/>
              <w:bottom w:val="nil"/>
              <w:right w:val="nil"/>
            </w:tcBorders>
            <w:hideMark/>
          </w:tcPr>
          <w:p w14:paraId="3C4E1FAF" w14:textId="77777777" w:rsidR="008144C7" w:rsidRPr="00635D1D" w:rsidRDefault="008144C7" w:rsidP="00C5582D">
            <w:pPr>
              <w:pStyle w:val="Normal6a"/>
            </w:pPr>
            <w:r w:rsidRPr="00635D1D">
              <w:t>(22)</w:t>
            </w:r>
            <w:r w:rsidRPr="00635D1D">
              <w:tab/>
              <w:t xml:space="preserve">W przypadku gdy stosowanie substancji w produktach kosmetycznych jest zakazane lub ograniczone, producentom, importerom, dystrybutorom i osobom odpowiedzialnym należy zapewnić odpowiedni czas na podjęcie niezbędnych działań </w:t>
            </w:r>
            <w:r w:rsidRPr="00635D1D">
              <w:rPr>
                <w:b/>
                <w:i/>
              </w:rPr>
              <w:t>w celu przeprojektowania etykiety i ponownego oznakowania swoich</w:t>
            </w:r>
            <w:r w:rsidRPr="00635D1D">
              <w:t xml:space="preserve"> produktów</w:t>
            </w:r>
            <w:r w:rsidRPr="00635D1D">
              <w:rPr>
                <w:b/>
                <w:i/>
              </w:rPr>
              <w:t>, a także wycofania</w:t>
            </w:r>
            <w:r w:rsidRPr="00635D1D">
              <w:t xml:space="preserve"> z dystrybucji i </w:t>
            </w:r>
            <w:r w:rsidRPr="00635D1D">
              <w:rPr>
                <w:b/>
                <w:bCs/>
                <w:i/>
                <w:iCs/>
              </w:rPr>
              <w:t>zniszczenia</w:t>
            </w:r>
            <w:r w:rsidRPr="00635D1D">
              <w:t xml:space="preserve"> niesprzedanych produktów niespełniających nowych wymogów. </w:t>
            </w:r>
            <w:r w:rsidRPr="00635D1D">
              <w:rPr>
                <w:b/>
                <w:i/>
              </w:rPr>
              <w:t>W związku z tym</w:t>
            </w:r>
            <w:r w:rsidRPr="00635D1D">
              <w:t xml:space="preserve"> należy przewidzieć terminy </w:t>
            </w:r>
            <w:r w:rsidRPr="00635D1D">
              <w:rPr>
                <w:b/>
                <w:i/>
              </w:rPr>
              <w:t>12</w:t>
            </w:r>
            <w:r w:rsidRPr="00635D1D">
              <w:t xml:space="preserve"> miesięcy w odniesieniu do wprowadzenia do obrotu i </w:t>
            </w:r>
            <w:r w:rsidRPr="00635D1D">
              <w:rPr>
                <w:b/>
                <w:bCs/>
                <w:i/>
                <w:iCs/>
              </w:rPr>
              <w:t>24</w:t>
            </w:r>
            <w:r w:rsidRPr="00635D1D">
              <w:t xml:space="preserve"> miesięcy w odniesieniu do udostępnienia na rynku produktów kosmetycznych zawierających daną substancję po wejściu w życie odpowiednich zmian do rozporządzenia (WE) nr 1223/2009.</w:t>
            </w:r>
          </w:p>
        </w:tc>
        <w:tc>
          <w:tcPr>
            <w:tcW w:w="4876" w:type="dxa"/>
            <w:tcBorders>
              <w:top w:val="nil"/>
              <w:left w:val="nil"/>
              <w:bottom w:val="nil"/>
              <w:right w:val="nil"/>
            </w:tcBorders>
            <w:hideMark/>
          </w:tcPr>
          <w:p w14:paraId="1C22573D" w14:textId="77777777" w:rsidR="008144C7" w:rsidRPr="00635D1D" w:rsidRDefault="008144C7" w:rsidP="00C5582D">
            <w:pPr>
              <w:pStyle w:val="Normal6a"/>
            </w:pPr>
            <w:r w:rsidRPr="00635D1D">
              <w:t>(22)</w:t>
            </w:r>
            <w:r w:rsidRPr="00635D1D">
              <w:tab/>
              <w:t>W przypadku gdy stosowanie substancji w produktach kosmetycznych jest zakazane lub ograniczone, producentom, importerom, dystrybutorom i osobom odpowiedzialnym należy zapewnić odpowiedni czas na podjęcie niezbędnych działań</w:t>
            </w:r>
            <w:r w:rsidRPr="00635D1D">
              <w:rPr>
                <w:b/>
                <w:i/>
              </w:rPr>
              <w:t>. Aby umożliwić producentom między innymi produktów kosmetycznych zabezpieczenie odpowiednich substancji alternatywnych, przeprowadzenie testów w ramach procesu sporządzania nowych receptur oraz przeprowadzenie oceny bezpieczeństwa produktów końcowych, ich ponownego oznakowania i obowiązkowych zgłoszeń, należy im zapewnić odpowiedni okres dostosowawczy. W tym okresie dystrybutorzy i sprzedawcy detaliczni nadal będą otrzymywać produkty kosmetyczne zawierające substancję objętą środkami regulacyjnymi. W związku z tym potrzebują dodatkowego czasu na wycofanie takich</w:t>
            </w:r>
            <w:r w:rsidRPr="00635D1D">
              <w:t xml:space="preserve"> produktów z </w:t>
            </w:r>
            <w:r w:rsidRPr="00635D1D">
              <w:rPr>
                <w:b/>
                <w:i/>
              </w:rPr>
              <w:t>łańcucha</w:t>
            </w:r>
            <w:r w:rsidRPr="00635D1D">
              <w:t xml:space="preserve"> dystrybucji i </w:t>
            </w:r>
            <w:r w:rsidRPr="00635D1D">
              <w:rPr>
                <w:b/>
                <w:i/>
              </w:rPr>
              <w:t>zniszczenie</w:t>
            </w:r>
            <w:r w:rsidRPr="00635D1D">
              <w:t xml:space="preserve"> niesprzedanych produktów niespełniających nowych wymogów. </w:t>
            </w:r>
            <w:r w:rsidRPr="00635D1D">
              <w:rPr>
                <w:b/>
                <w:i/>
              </w:rPr>
              <w:t xml:space="preserve">Działania te będą miały wpływ na istniejące ustalenia umowne i wymagają znacznych wysiłków logistycznych. </w:t>
            </w:r>
            <w:r w:rsidRPr="00635D1D">
              <w:t xml:space="preserve">Należy </w:t>
            </w:r>
            <w:r w:rsidRPr="00635D1D">
              <w:rPr>
                <w:b/>
                <w:i/>
              </w:rPr>
              <w:t>zatem</w:t>
            </w:r>
            <w:r w:rsidRPr="00635D1D">
              <w:t xml:space="preserve"> przewidzieć terminy </w:t>
            </w:r>
            <w:r w:rsidRPr="00635D1D">
              <w:rPr>
                <w:b/>
                <w:i/>
              </w:rPr>
              <w:t>24</w:t>
            </w:r>
            <w:r w:rsidRPr="00635D1D">
              <w:t xml:space="preserve"> miesięcy w odniesieniu do wprowadzenia do obrotu i </w:t>
            </w:r>
            <w:r w:rsidRPr="00635D1D">
              <w:rPr>
                <w:b/>
                <w:bCs/>
                <w:i/>
                <w:iCs/>
              </w:rPr>
              <w:t>48</w:t>
            </w:r>
            <w:r w:rsidRPr="00635D1D">
              <w:t xml:space="preserve"> miesięcy w odniesieniu do udostępnienia na rynku produktów kosmetycznych zawierających daną substancję po wejściu w życie odpowiednich zmian do rozporządzenia (WE) nr 1223/2009.</w:t>
            </w:r>
          </w:p>
        </w:tc>
      </w:tr>
    </w:tbl>
    <w:p w14:paraId="0EB334E7"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0C012DE8"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244AC24C" w14:textId="77777777" w:rsidR="008144C7" w:rsidRPr="00E90719" w:rsidRDefault="008144C7" w:rsidP="008144C7">
      <w:pPr>
        <w:pStyle w:val="AmJustText"/>
        <w:rPr>
          <w:lang w:val="en-GB"/>
        </w:rPr>
      </w:pPr>
      <w:r w:rsidRPr="00E90719">
        <w:rPr>
          <w:lang w:val="en-GB"/>
        </w:rPr>
        <w:t>Under the CPR, the absence of formal transitional periods following a ban or restriction leads to the immediate withdrawal of products from the market, even where they are demonstrably safe, resulting in unnecessary waste and economic loss. The Omnibus proposal therefore rightly introduces transitional arrangements. These should be set at 24 months for placing on the market and 48 months for making available, where a valid Cosmetic Product Safety Report (CPSR) exists, allowing sufficient time for reformulation without compromising consumer safety. Urgent risks would continue to be addressed through existing emergency procedures, while limited flexibility to grant longer periods in duly justified, technically complex cases would further enhance legal certainty and prevent avoidable market disruption.</w:t>
      </w:r>
    </w:p>
    <w:p w14:paraId="630CAD1B" w14:textId="77777777" w:rsidR="008144C7" w:rsidRPr="00E90719" w:rsidRDefault="008144C7" w:rsidP="008144C7">
      <w:pPr>
        <w:rPr>
          <w:lang w:val="en-GB"/>
        </w:rPr>
      </w:pPr>
      <w:r w:rsidRPr="00E90719">
        <w:rPr>
          <w:rStyle w:val="HideTWBExt"/>
          <w:lang w:val="en-GB"/>
        </w:rPr>
        <w:t>&lt;/Amend&gt;</w:t>
      </w:r>
    </w:p>
    <w:p w14:paraId="7C1B5B73"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211</w:t>
      </w:r>
      <w:r w:rsidRPr="00E90719">
        <w:rPr>
          <w:rStyle w:val="HideTWBExt"/>
          <w:b w:val="0"/>
          <w:lang w:val="en-GB"/>
        </w:rPr>
        <w:t>&lt;/NumAm&gt;</w:t>
      </w:r>
    </w:p>
    <w:p w14:paraId="40904D14"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Majdouline Sbai</w:t>
      </w:r>
      <w:r w:rsidRPr="00E90719">
        <w:rPr>
          <w:rStyle w:val="HideTWBExt"/>
          <w:b w:val="0"/>
          <w:lang w:val="en-GB"/>
        </w:rPr>
        <w:t>&lt;/Members&gt;</w:t>
      </w:r>
    </w:p>
    <w:p w14:paraId="7AE9CD4E" w14:textId="77777777" w:rsidR="008144C7" w:rsidRPr="00635D1D" w:rsidRDefault="008144C7" w:rsidP="008144C7">
      <w:pPr>
        <w:pStyle w:val="NormalBold"/>
      </w:pPr>
      <w:r w:rsidRPr="00635D1D">
        <w:rPr>
          <w:rStyle w:val="HideTWBExt"/>
          <w:b w:val="0"/>
        </w:rPr>
        <w:t>&lt;/RepeatBlock-By&gt;</w:t>
      </w:r>
    </w:p>
    <w:p w14:paraId="76762FC1"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F12FA39" w14:textId="77777777" w:rsidR="008144C7" w:rsidRPr="00635D1D" w:rsidRDefault="008144C7" w:rsidP="008144C7">
      <w:pPr>
        <w:pStyle w:val="NormalBold"/>
      </w:pPr>
      <w:r w:rsidRPr="00635D1D">
        <w:rPr>
          <w:rStyle w:val="HideTWBExt"/>
          <w:b w:val="0"/>
        </w:rPr>
        <w:t>&lt;Article&gt;</w:t>
      </w:r>
      <w:r w:rsidRPr="00635D1D">
        <w:t>Motyw 22</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9FB8FC8" w14:textId="77777777" w:rsidTr="00C5582D">
        <w:trPr>
          <w:trHeight w:val="240"/>
          <w:jc w:val="center"/>
        </w:trPr>
        <w:tc>
          <w:tcPr>
            <w:tcW w:w="9752" w:type="dxa"/>
            <w:gridSpan w:val="2"/>
            <w:tcBorders>
              <w:top w:val="nil"/>
              <w:left w:val="nil"/>
              <w:bottom w:val="nil"/>
              <w:right w:val="nil"/>
            </w:tcBorders>
          </w:tcPr>
          <w:p w14:paraId="061620F8" w14:textId="77777777" w:rsidR="008144C7" w:rsidRPr="00635D1D" w:rsidRDefault="008144C7" w:rsidP="00C5582D"/>
        </w:tc>
      </w:tr>
      <w:tr w:rsidR="008144C7" w:rsidRPr="00635D1D" w14:paraId="4AF6E0B9" w14:textId="77777777" w:rsidTr="00C5582D">
        <w:trPr>
          <w:trHeight w:val="240"/>
          <w:jc w:val="center"/>
        </w:trPr>
        <w:tc>
          <w:tcPr>
            <w:tcW w:w="4876" w:type="dxa"/>
            <w:tcBorders>
              <w:top w:val="nil"/>
              <w:left w:val="nil"/>
              <w:bottom w:val="nil"/>
              <w:right w:val="nil"/>
            </w:tcBorders>
            <w:hideMark/>
          </w:tcPr>
          <w:p w14:paraId="62C79C48"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EC371F1" w14:textId="77777777" w:rsidR="008144C7" w:rsidRPr="00635D1D" w:rsidRDefault="008144C7" w:rsidP="00C5582D">
            <w:pPr>
              <w:pStyle w:val="AmColumnHeading"/>
            </w:pPr>
            <w:r w:rsidRPr="00635D1D">
              <w:t>Poprawka</w:t>
            </w:r>
          </w:p>
        </w:tc>
      </w:tr>
      <w:tr w:rsidR="008144C7" w:rsidRPr="00635D1D" w14:paraId="74F5511C" w14:textId="77777777" w:rsidTr="00C5582D">
        <w:trPr>
          <w:jc w:val="center"/>
        </w:trPr>
        <w:tc>
          <w:tcPr>
            <w:tcW w:w="4876" w:type="dxa"/>
            <w:tcBorders>
              <w:top w:val="nil"/>
              <w:left w:val="nil"/>
              <w:bottom w:val="nil"/>
              <w:right w:val="nil"/>
            </w:tcBorders>
            <w:hideMark/>
          </w:tcPr>
          <w:p w14:paraId="7C17FF8E" w14:textId="77777777" w:rsidR="008144C7" w:rsidRPr="00635D1D" w:rsidRDefault="008144C7" w:rsidP="00C5582D">
            <w:pPr>
              <w:pStyle w:val="Normal6a"/>
            </w:pPr>
            <w:r w:rsidRPr="00635D1D">
              <w:t>(22)</w:t>
            </w:r>
            <w:r w:rsidRPr="00635D1D">
              <w:tab/>
              <w:t xml:space="preserve">W przypadku gdy stosowanie substancji w produktach kosmetycznych jest zakazane lub ograniczone, producentom, importerom, dystrybutorom i osobom odpowiedzialnym należy zapewnić odpowiedni czas na podjęcie niezbędnych działań </w:t>
            </w:r>
            <w:r w:rsidRPr="00635D1D">
              <w:rPr>
                <w:b/>
                <w:i/>
              </w:rPr>
              <w:t>w celu przeprojektowania etykiety i ponownego oznakowania swoich produktów, a także wycofania</w:t>
            </w:r>
            <w:r w:rsidRPr="00635D1D">
              <w:t xml:space="preserve"> z dystrybucji i </w:t>
            </w:r>
            <w:r w:rsidRPr="00635D1D">
              <w:rPr>
                <w:b/>
                <w:i/>
              </w:rPr>
              <w:t>zniszczenia</w:t>
            </w:r>
            <w:r w:rsidRPr="00635D1D">
              <w:t xml:space="preserve"> niesprzedanych produktów niespełniających nowych wymogów. W związku z tym należy przewidzieć terminy </w:t>
            </w:r>
            <w:r w:rsidRPr="00635D1D">
              <w:rPr>
                <w:b/>
                <w:i/>
              </w:rPr>
              <w:t>12</w:t>
            </w:r>
            <w:r w:rsidRPr="00635D1D">
              <w:t xml:space="preserve"> miesięcy w odniesieniu do wprowadzenia do obrotu i </w:t>
            </w:r>
            <w:r w:rsidRPr="00635D1D">
              <w:rPr>
                <w:b/>
                <w:i/>
              </w:rPr>
              <w:t>24</w:t>
            </w:r>
            <w:r w:rsidRPr="00635D1D">
              <w:t xml:space="preserve"> miesięcy w odniesieniu do udostępnienia na rynku produktów kosmetycznych zawierających daną substancję po wejściu w życie odpowiednich zmian do rozporządzenia (WE) nr 1223/2009.</w:t>
            </w:r>
          </w:p>
        </w:tc>
        <w:tc>
          <w:tcPr>
            <w:tcW w:w="4876" w:type="dxa"/>
            <w:tcBorders>
              <w:top w:val="nil"/>
              <w:left w:val="nil"/>
              <w:bottom w:val="nil"/>
              <w:right w:val="nil"/>
            </w:tcBorders>
            <w:hideMark/>
          </w:tcPr>
          <w:p w14:paraId="3FB3EF6F" w14:textId="77777777" w:rsidR="008144C7" w:rsidRPr="00635D1D" w:rsidRDefault="008144C7" w:rsidP="00C5582D">
            <w:pPr>
              <w:pStyle w:val="Normal6a"/>
            </w:pPr>
            <w:r w:rsidRPr="00635D1D">
              <w:t>(22)</w:t>
            </w:r>
            <w:r w:rsidRPr="00635D1D">
              <w:tab/>
              <w:t xml:space="preserve">W przypadku gdy stosowanie substancji w produktach kosmetycznych jest zakazane lub ograniczone </w:t>
            </w:r>
            <w:r w:rsidRPr="00635D1D">
              <w:rPr>
                <w:b/>
                <w:i/>
              </w:rPr>
              <w:t>ze względów bezpieczeństwa, producenci, importerzy, dystrybutorzy i osoby odpowiedzialne powinni bardzo szybko wycofać dane produkty. W przypadku gdy stosowanie substancji w produktach kosmetycznych jest zakazane lub ograniczone ze względu na istnienie odpowiednich rozwiązań alternatywnych</w:t>
            </w:r>
            <w:r w:rsidRPr="00635D1D">
              <w:t>, producentom, importerom, dystrybutorom i osobom odpowiedzialnym należy zapewnić odpowiedni czas na podjęcie niezbędnych działań</w:t>
            </w:r>
            <w:r w:rsidRPr="00635D1D">
              <w:rPr>
                <w:b/>
                <w:i/>
              </w:rPr>
              <w:t>. W takich przypadkach uzasadnione jest zatem przyznanie dodatkowego czasu na wycofanie takich produktów</w:t>
            </w:r>
            <w:r w:rsidRPr="00635D1D">
              <w:t xml:space="preserve"> z </w:t>
            </w:r>
            <w:r w:rsidRPr="00635D1D">
              <w:rPr>
                <w:b/>
                <w:i/>
              </w:rPr>
              <w:t>łańcucha</w:t>
            </w:r>
            <w:r w:rsidRPr="00635D1D">
              <w:t xml:space="preserve"> dystrybucji i </w:t>
            </w:r>
            <w:r w:rsidRPr="00635D1D">
              <w:rPr>
                <w:b/>
                <w:i/>
              </w:rPr>
              <w:t>zniszczenie</w:t>
            </w:r>
            <w:r w:rsidRPr="00635D1D">
              <w:t xml:space="preserve"> niesprzedanych produktów niespełniających nowych wymogów. W związku z tym</w:t>
            </w:r>
            <w:r w:rsidRPr="00635D1D">
              <w:rPr>
                <w:b/>
                <w:i/>
              </w:rPr>
              <w:t>, jeżeli istnieje odpowiednia substancja alternatywna,</w:t>
            </w:r>
            <w:r w:rsidRPr="00635D1D">
              <w:t xml:space="preserve"> należy przewidzieć terminy </w:t>
            </w:r>
            <w:r w:rsidRPr="00635D1D">
              <w:rPr>
                <w:b/>
                <w:i/>
              </w:rPr>
              <w:t>6</w:t>
            </w:r>
            <w:r w:rsidRPr="00635D1D">
              <w:t xml:space="preserve"> miesięcy w odniesieniu do wprowadzenia do obrotu i </w:t>
            </w:r>
            <w:r w:rsidRPr="00635D1D">
              <w:rPr>
                <w:b/>
                <w:bCs/>
                <w:i/>
                <w:iCs/>
              </w:rPr>
              <w:t>12</w:t>
            </w:r>
            <w:r w:rsidRPr="00635D1D">
              <w:t xml:space="preserve"> miesięcy w odniesieniu do udostępnienia na rynku produktów kosmetycznych zawierających daną substancję po wejściu w życie odpowiednich zmian do rozporządzenia (WE) nr 1223/2009.</w:t>
            </w:r>
          </w:p>
        </w:tc>
      </w:tr>
    </w:tbl>
    <w:p w14:paraId="02358C92"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5B5E7802"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522EBCB2" w14:textId="77777777" w:rsidR="008144C7" w:rsidRPr="00635D1D" w:rsidRDefault="008144C7" w:rsidP="008144C7">
      <w:pPr>
        <w:pStyle w:val="AmJustText"/>
      </w:pPr>
      <w:r w:rsidRPr="00635D1D">
        <w:t>Ważne jest rozróżnienie dwóch różnych przypadków, które mogą potwierdzić zakaz stosowania substancji CMR w kosmetykach: braku bezpieczeństwa lub istnienia odpowiedniej substancji alternatywnej. W przypadku problemów związanych z bezpieczeństwem produkty powinny zostać szybko wycofane z obrotu. Nieodpowiedzialne byłoby zezwolenie na dalsze wprowadzanie do obrotu produktów kosmetycznych, które nie są bezpieczne, ponieważ zawierają substancję CMR, przez kolejny rok, a na ich sprzedaż nawet przez jeszcze jeden rok. Okres karencji może zostać przyznany jedynie w przypadku istnienia odpowiedniej substancji alternatywnej. Okres karencji wynoszący 6/12 miesięcy jest wystarczający.</w:t>
      </w:r>
    </w:p>
    <w:p w14:paraId="6609CC95" w14:textId="77777777" w:rsidR="008144C7" w:rsidRPr="00635D1D" w:rsidRDefault="008144C7" w:rsidP="008144C7">
      <w:r w:rsidRPr="00635D1D">
        <w:rPr>
          <w:rStyle w:val="HideTWBExt"/>
        </w:rPr>
        <w:t>&lt;/Amend&gt;</w:t>
      </w:r>
    </w:p>
    <w:p w14:paraId="69BBA69F"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212</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5EF3FE99" w14:textId="77777777" w:rsidR="008144C7" w:rsidRPr="00635D1D" w:rsidRDefault="008144C7" w:rsidP="008144C7">
      <w:pPr>
        <w:pStyle w:val="NormalBold"/>
      </w:pPr>
      <w:r w:rsidRPr="00635D1D">
        <w:rPr>
          <w:rStyle w:val="HideTWBExt"/>
          <w:b w:val="0"/>
        </w:rPr>
        <w:t>&lt;RepeatBlock-By&gt;&lt;Members&gt;</w:t>
      </w:r>
      <w:proofErr w:type="spellStart"/>
      <w:r w:rsidRPr="00635D1D">
        <w:t>Silvia</w:t>
      </w:r>
      <w:proofErr w:type="spellEnd"/>
      <w:r w:rsidRPr="00635D1D">
        <w:t xml:space="preserve"> </w:t>
      </w:r>
      <w:proofErr w:type="spellStart"/>
      <w:r w:rsidRPr="00635D1D">
        <w:t>Sardone</w:t>
      </w:r>
      <w:proofErr w:type="spellEnd"/>
      <w:r w:rsidRPr="00635D1D">
        <w:t xml:space="preserve">, </w:t>
      </w:r>
      <w:proofErr w:type="spellStart"/>
      <w:r w:rsidRPr="00635D1D">
        <w:t>Ondřej</w:t>
      </w:r>
      <w:proofErr w:type="spellEnd"/>
      <w:r w:rsidRPr="00635D1D">
        <w:t xml:space="preserve"> Knotek, Jana </w:t>
      </w:r>
      <w:proofErr w:type="spellStart"/>
      <w:r w:rsidRPr="00635D1D">
        <w:t>Nagyová</w:t>
      </w:r>
      <w:proofErr w:type="spellEnd"/>
      <w:r w:rsidRPr="00635D1D">
        <w:t xml:space="preserve">, Roberto </w:t>
      </w:r>
      <w:proofErr w:type="spellStart"/>
      <w:r w:rsidRPr="00635D1D">
        <w:t>Vannacci</w:t>
      </w:r>
      <w:proofErr w:type="spellEnd"/>
      <w:r w:rsidRPr="00635D1D">
        <w:rPr>
          <w:rStyle w:val="HideTWBExt"/>
          <w:b w:val="0"/>
        </w:rPr>
        <w:t>&lt;/Members&gt;</w:t>
      </w:r>
    </w:p>
    <w:p w14:paraId="517B0F72" w14:textId="77777777" w:rsidR="008144C7" w:rsidRPr="00635D1D" w:rsidRDefault="008144C7" w:rsidP="008144C7">
      <w:pPr>
        <w:pStyle w:val="NormalBold"/>
      </w:pPr>
      <w:r w:rsidRPr="00635D1D">
        <w:rPr>
          <w:rStyle w:val="HideTWBExt"/>
          <w:b w:val="0"/>
        </w:rPr>
        <w:t>&lt;/RepeatBlock-By&gt;</w:t>
      </w:r>
    </w:p>
    <w:p w14:paraId="790C5669"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95BFDB7" w14:textId="77777777" w:rsidR="008144C7" w:rsidRPr="00635D1D" w:rsidRDefault="008144C7" w:rsidP="008144C7">
      <w:pPr>
        <w:pStyle w:val="NormalBold"/>
      </w:pPr>
      <w:r w:rsidRPr="00635D1D">
        <w:rPr>
          <w:rStyle w:val="HideTWBExt"/>
          <w:b w:val="0"/>
        </w:rPr>
        <w:t>&lt;Article&gt;</w:t>
      </w:r>
      <w:r w:rsidRPr="00635D1D">
        <w:t>Motyw 22</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EA76ED5" w14:textId="77777777" w:rsidTr="00C5582D">
        <w:trPr>
          <w:trHeight w:val="240"/>
          <w:jc w:val="center"/>
        </w:trPr>
        <w:tc>
          <w:tcPr>
            <w:tcW w:w="9752" w:type="dxa"/>
            <w:gridSpan w:val="2"/>
            <w:tcBorders>
              <w:top w:val="nil"/>
              <w:left w:val="nil"/>
              <w:bottom w:val="nil"/>
              <w:right w:val="nil"/>
            </w:tcBorders>
          </w:tcPr>
          <w:p w14:paraId="09215430" w14:textId="77777777" w:rsidR="008144C7" w:rsidRPr="00635D1D" w:rsidRDefault="008144C7" w:rsidP="00C5582D"/>
        </w:tc>
      </w:tr>
      <w:tr w:rsidR="008144C7" w:rsidRPr="00635D1D" w14:paraId="6ED3D830" w14:textId="77777777" w:rsidTr="00C5582D">
        <w:trPr>
          <w:trHeight w:val="240"/>
          <w:jc w:val="center"/>
        </w:trPr>
        <w:tc>
          <w:tcPr>
            <w:tcW w:w="4876" w:type="dxa"/>
            <w:tcBorders>
              <w:top w:val="nil"/>
              <w:left w:val="nil"/>
              <w:bottom w:val="nil"/>
              <w:right w:val="nil"/>
            </w:tcBorders>
            <w:hideMark/>
          </w:tcPr>
          <w:p w14:paraId="5853C076"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00B5BF7" w14:textId="77777777" w:rsidR="008144C7" w:rsidRPr="00635D1D" w:rsidRDefault="008144C7" w:rsidP="00C5582D">
            <w:pPr>
              <w:pStyle w:val="AmColumnHeading"/>
            </w:pPr>
            <w:r w:rsidRPr="00635D1D">
              <w:t>Poprawka</w:t>
            </w:r>
          </w:p>
        </w:tc>
      </w:tr>
      <w:tr w:rsidR="008144C7" w:rsidRPr="00635D1D" w14:paraId="6469730A" w14:textId="77777777" w:rsidTr="00C5582D">
        <w:trPr>
          <w:jc w:val="center"/>
        </w:trPr>
        <w:tc>
          <w:tcPr>
            <w:tcW w:w="4876" w:type="dxa"/>
            <w:tcBorders>
              <w:top w:val="nil"/>
              <w:left w:val="nil"/>
              <w:bottom w:val="nil"/>
              <w:right w:val="nil"/>
            </w:tcBorders>
            <w:hideMark/>
          </w:tcPr>
          <w:p w14:paraId="501991E3" w14:textId="77777777" w:rsidR="008144C7" w:rsidRPr="00635D1D" w:rsidRDefault="008144C7" w:rsidP="00C5582D">
            <w:pPr>
              <w:pStyle w:val="Normal6a"/>
            </w:pPr>
            <w:r w:rsidRPr="00635D1D">
              <w:t>(22)</w:t>
            </w:r>
            <w:r w:rsidRPr="00635D1D">
              <w:tab/>
              <w:t xml:space="preserve">W przypadku gdy stosowanie substancji w produktach kosmetycznych jest zakazane lub ograniczone, producentom, importerom, dystrybutorom i osobom odpowiedzialnym należy zapewnić odpowiedni czas na podjęcie niezbędnych działań w celu przeprojektowania etykiety i ponownego oznakowania swoich produktów, a także wycofania z dystrybucji i zniszczenia niesprzedanych produktów niespełniających nowych wymogów. W związku z tym należy przewidzieć terminy </w:t>
            </w:r>
            <w:r w:rsidRPr="00635D1D">
              <w:rPr>
                <w:b/>
                <w:i/>
              </w:rPr>
              <w:t>12</w:t>
            </w:r>
            <w:r w:rsidRPr="00635D1D">
              <w:t xml:space="preserve"> miesięcy w odniesieniu do wprowadzenia do obrotu i </w:t>
            </w:r>
            <w:r w:rsidRPr="00635D1D">
              <w:rPr>
                <w:b/>
                <w:i/>
              </w:rPr>
              <w:t>24</w:t>
            </w:r>
            <w:r w:rsidRPr="00635D1D">
              <w:t xml:space="preserve"> miesięcy w odniesieniu do udostępnienia na rynku produktów kosmetycznych zawierających daną substancję po wejściu w życie odpowiednich zmian do rozporządzenia (WE) nr 1223/2009.</w:t>
            </w:r>
          </w:p>
        </w:tc>
        <w:tc>
          <w:tcPr>
            <w:tcW w:w="4876" w:type="dxa"/>
            <w:tcBorders>
              <w:top w:val="nil"/>
              <w:left w:val="nil"/>
              <w:bottom w:val="nil"/>
              <w:right w:val="nil"/>
            </w:tcBorders>
            <w:hideMark/>
          </w:tcPr>
          <w:p w14:paraId="7FFE9364" w14:textId="77777777" w:rsidR="008144C7" w:rsidRPr="00635D1D" w:rsidRDefault="008144C7" w:rsidP="00C5582D">
            <w:pPr>
              <w:pStyle w:val="Normal6a"/>
            </w:pPr>
            <w:r w:rsidRPr="00635D1D">
              <w:t>(22)</w:t>
            </w:r>
            <w:r w:rsidRPr="00635D1D">
              <w:tab/>
              <w:t xml:space="preserve">W przypadku gdy stosowanie substancji w produktach kosmetycznych jest zakazane lub ograniczone, producentom, importerom, dystrybutorom i osobom odpowiedzialnym należy zapewnić odpowiedni czas na podjęcie niezbędnych działań w celu przeprojektowania etykiety i ponownego oznakowania swoich produktów, a także wycofania z dystrybucji i zniszczenia niesprzedanych produktów niespełniających nowych wymogów. W związku z tym należy przewidzieć terminy </w:t>
            </w:r>
            <w:r w:rsidRPr="00635D1D">
              <w:rPr>
                <w:b/>
                <w:i/>
              </w:rPr>
              <w:t>24</w:t>
            </w:r>
            <w:r w:rsidRPr="00635D1D">
              <w:t xml:space="preserve"> miesięcy w odniesieniu do wprowadzenia do obrotu i </w:t>
            </w:r>
            <w:r w:rsidRPr="00635D1D">
              <w:rPr>
                <w:b/>
                <w:i/>
              </w:rPr>
              <w:t>48</w:t>
            </w:r>
            <w:r w:rsidRPr="00635D1D">
              <w:t xml:space="preserve"> miesięcy w odniesieniu do udostępnienia na rynku produktów kosmetycznych zawierających daną substancję po wejściu w życie odpowiednich zmian do rozporządzenia (WE) nr 1223/2009.</w:t>
            </w:r>
          </w:p>
        </w:tc>
      </w:tr>
    </w:tbl>
    <w:p w14:paraId="3C6F2F75"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107C79C4" w14:textId="77777777" w:rsidR="008144C7" w:rsidRPr="00E90719" w:rsidRDefault="008144C7" w:rsidP="008144C7">
      <w:pPr>
        <w:rPr>
          <w:lang w:val="en-GB"/>
        </w:rPr>
      </w:pPr>
      <w:r w:rsidRPr="00E90719">
        <w:rPr>
          <w:rStyle w:val="HideTWBExt"/>
          <w:lang w:val="en-GB"/>
        </w:rPr>
        <w:t>&lt;/Amend&gt;</w:t>
      </w:r>
    </w:p>
    <w:p w14:paraId="277120FE"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213</w:t>
      </w:r>
      <w:r w:rsidRPr="00E90719">
        <w:rPr>
          <w:rStyle w:val="HideTWBExt"/>
          <w:b w:val="0"/>
          <w:lang w:val="en-GB"/>
        </w:rPr>
        <w:t>&lt;/NumAm&gt;</w:t>
      </w:r>
    </w:p>
    <w:p w14:paraId="3A0B7642"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Raúl de la Hoz Quintano, Dolors Montserrat, Esther Herranz García, Susana Solís Pérez, Pablo Arias Echeverría</w:t>
      </w:r>
      <w:r w:rsidRPr="00E90719">
        <w:rPr>
          <w:rStyle w:val="HideTWBExt"/>
          <w:b w:val="0"/>
          <w:lang w:val="en-GB"/>
        </w:rPr>
        <w:t>&lt;/Members&gt;</w:t>
      </w:r>
    </w:p>
    <w:p w14:paraId="64C48E7A" w14:textId="77777777" w:rsidR="008144C7" w:rsidRPr="00635D1D" w:rsidRDefault="008144C7" w:rsidP="008144C7">
      <w:pPr>
        <w:pStyle w:val="NormalBold"/>
      </w:pPr>
      <w:r w:rsidRPr="00635D1D">
        <w:rPr>
          <w:rStyle w:val="HideTWBExt"/>
          <w:b w:val="0"/>
        </w:rPr>
        <w:t>&lt;/RepeatBlock-By&gt;</w:t>
      </w:r>
    </w:p>
    <w:p w14:paraId="639AC99E"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435906F" w14:textId="77777777" w:rsidR="008144C7" w:rsidRPr="00635D1D" w:rsidRDefault="008144C7" w:rsidP="008144C7">
      <w:pPr>
        <w:pStyle w:val="NormalBold"/>
      </w:pPr>
      <w:r w:rsidRPr="00635D1D">
        <w:rPr>
          <w:rStyle w:val="HideTWBExt"/>
          <w:b w:val="0"/>
        </w:rPr>
        <w:t>&lt;Article&gt;</w:t>
      </w:r>
      <w:r w:rsidRPr="00635D1D">
        <w:t>Motyw 22</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E52DBA5" w14:textId="77777777" w:rsidTr="00C5582D">
        <w:trPr>
          <w:trHeight w:val="240"/>
          <w:jc w:val="center"/>
        </w:trPr>
        <w:tc>
          <w:tcPr>
            <w:tcW w:w="9752" w:type="dxa"/>
            <w:gridSpan w:val="2"/>
            <w:tcBorders>
              <w:top w:val="nil"/>
              <w:left w:val="nil"/>
              <w:bottom w:val="nil"/>
              <w:right w:val="nil"/>
            </w:tcBorders>
          </w:tcPr>
          <w:p w14:paraId="55F2CA97" w14:textId="77777777" w:rsidR="008144C7" w:rsidRPr="00635D1D" w:rsidRDefault="008144C7" w:rsidP="00C5582D"/>
        </w:tc>
      </w:tr>
      <w:tr w:rsidR="008144C7" w:rsidRPr="00635D1D" w14:paraId="7AC0383C" w14:textId="77777777" w:rsidTr="00C5582D">
        <w:trPr>
          <w:trHeight w:val="240"/>
          <w:jc w:val="center"/>
        </w:trPr>
        <w:tc>
          <w:tcPr>
            <w:tcW w:w="4876" w:type="dxa"/>
            <w:tcBorders>
              <w:top w:val="nil"/>
              <w:left w:val="nil"/>
              <w:bottom w:val="nil"/>
              <w:right w:val="nil"/>
            </w:tcBorders>
            <w:hideMark/>
          </w:tcPr>
          <w:p w14:paraId="2BC12C26"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CC7742A" w14:textId="77777777" w:rsidR="008144C7" w:rsidRPr="00635D1D" w:rsidRDefault="008144C7" w:rsidP="00C5582D">
            <w:pPr>
              <w:pStyle w:val="AmColumnHeading"/>
            </w:pPr>
            <w:r w:rsidRPr="00635D1D">
              <w:t>Poprawka</w:t>
            </w:r>
          </w:p>
        </w:tc>
      </w:tr>
      <w:tr w:rsidR="008144C7" w:rsidRPr="00635D1D" w14:paraId="7A959355" w14:textId="77777777" w:rsidTr="00C5582D">
        <w:trPr>
          <w:jc w:val="center"/>
        </w:trPr>
        <w:tc>
          <w:tcPr>
            <w:tcW w:w="4876" w:type="dxa"/>
            <w:tcBorders>
              <w:top w:val="nil"/>
              <w:left w:val="nil"/>
              <w:bottom w:val="nil"/>
              <w:right w:val="nil"/>
            </w:tcBorders>
            <w:hideMark/>
          </w:tcPr>
          <w:p w14:paraId="3B3A52DA" w14:textId="77777777" w:rsidR="008144C7" w:rsidRPr="00635D1D" w:rsidRDefault="008144C7" w:rsidP="00C5582D">
            <w:pPr>
              <w:pStyle w:val="Normal6a"/>
            </w:pPr>
            <w:r w:rsidRPr="00635D1D">
              <w:t>(22)</w:t>
            </w:r>
            <w:r w:rsidRPr="00635D1D">
              <w:tab/>
              <w:t xml:space="preserve">W przypadku gdy stosowanie substancji w produktach kosmetycznych jest zakazane lub ograniczone, producentom, importerom, dystrybutorom i osobom odpowiedzialnym należy zapewnić odpowiedni czas na podjęcie niezbędnych działań w celu przeprojektowania etykiety i ponownego oznakowania swoich produktów, a także wycofania z dystrybucji i zniszczenia niesprzedanych produktów niespełniających nowych wymogów. W związku z tym należy przewidzieć terminy </w:t>
            </w:r>
            <w:r w:rsidRPr="00635D1D">
              <w:rPr>
                <w:b/>
                <w:i/>
              </w:rPr>
              <w:t>12</w:t>
            </w:r>
            <w:r w:rsidRPr="00635D1D">
              <w:t xml:space="preserve"> miesięcy w odniesieniu do wprowadzenia do obrotu i </w:t>
            </w:r>
            <w:r w:rsidRPr="00635D1D">
              <w:rPr>
                <w:b/>
                <w:i/>
              </w:rPr>
              <w:t>24</w:t>
            </w:r>
            <w:r w:rsidRPr="00635D1D">
              <w:t xml:space="preserve"> miesięcy w odniesieniu do udostępnienia na rynku produktów kosmetycznych zawierających daną substancję po wejściu w życie odpowiednich zmian do rozporządzenia (WE) nr 1223/2009.</w:t>
            </w:r>
          </w:p>
        </w:tc>
        <w:tc>
          <w:tcPr>
            <w:tcW w:w="4876" w:type="dxa"/>
            <w:tcBorders>
              <w:top w:val="nil"/>
              <w:left w:val="nil"/>
              <w:bottom w:val="nil"/>
              <w:right w:val="nil"/>
            </w:tcBorders>
            <w:hideMark/>
          </w:tcPr>
          <w:p w14:paraId="4789552E" w14:textId="77777777" w:rsidR="008144C7" w:rsidRPr="00635D1D" w:rsidRDefault="008144C7" w:rsidP="00C5582D">
            <w:pPr>
              <w:pStyle w:val="Normal6a"/>
            </w:pPr>
            <w:r w:rsidRPr="00635D1D">
              <w:t>(22)</w:t>
            </w:r>
            <w:r w:rsidRPr="00635D1D">
              <w:tab/>
              <w:t xml:space="preserve">W przypadku gdy stosowanie substancji w produktach kosmetycznych jest zakazane lub ograniczone, producentom, importerom, dystrybutorom i osobom odpowiedzialnym należy zapewnić odpowiedni czas na podjęcie niezbędnych działań w celu przeprojektowania etykiety i ponownego oznakowania swoich produktów, a także wycofania z dystrybucji i zniszczenia niesprzedanych produktów niespełniających nowych wymogów. W związku z tym należy przewidzieć terminy </w:t>
            </w:r>
            <w:r w:rsidRPr="00635D1D">
              <w:rPr>
                <w:b/>
                <w:i/>
              </w:rPr>
              <w:t>24</w:t>
            </w:r>
            <w:r w:rsidRPr="00635D1D">
              <w:t xml:space="preserve"> miesięcy w odniesieniu do wprowadzenia do obrotu i </w:t>
            </w:r>
            <w:r w:rsidRPr="00635D1D">
              <w:rPr>
                <w:b/>
                <w:i/>
              </w:rPr>
              <w:t>48</w:t>
            </w:r>
            <w:r w:rsidRPr="00635D1D">
              <w:t xml:space="preserve"> miesięcy w odniesieniu do udostępnienia na rynku produktów kosmetycznych zawierających daną substancję po wejściu w życie odpowiednich zmian do rozporządzenia (WE) nr 1223/2009.</w:t>
            </w:r>
          </w:p>
        </w:tc>
      </w:tr>
    </w:tbl>
    <w:p w14:paraId="57422AF9"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20777F7B" w14:textId="77777777" w:rsidR="008144C7" w:rsidRPr="00E90719" w:rsidRDefault="008144C7" w:rsidP="008144C7">
      <w:pPr>
        <w:rPr>
          <w:lang w:val="en-GB"/>
        </w:rPr>
      </w:pPr>
      <w:r w:rsidRPr="00E90719">
        <w:rPr>
          <w:rStyle w:val="HideTWBExt"/>
          <w:lang w:val="en-GB"/>
        </w:rPr>
        <w:t>&lt;/Amend&gt;</w:t>
      </w:r>
    </w:p>
    <w:p w14:paraId="2F82D5F3"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214</w:t>
      </w:r>
      <w:r w:rsidRPr="00E90719">
        <w:rPr>
          <w:rStyle w:val="HideTWBExt"/>
          <w:b w:val="0"/>
          <w:lang w:val="en-GB"/>
        </w:rPr>
        <w:t>&lt;/NumAm&gt;</w:t>
      </w:r>
    </w:p>
    <w:p w14:paraId="495695DE"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Per Clausen, Anja Hazekamp</w:t>
      </w:r>
      <w:r w:rsidRPr="00E90719">
        <w:rPr>
          <w:rStyle w:val="HideTWBExt"/>
          <w:b w:val="0"/>
          <w:lang w:val="en-GB"/>
        </w:rPr>
        <w:t>&lt;/Members&gt;</w:t>
      </w:r>
    </w:p>
    <w:p w14:paraId="19C04BE4" w14:textId="77777777" w:rsidR="008144C7" w:rsidRPr="00635D1D" w:rsidRDefault="008144C7" w:rsidP="008144C7">
      <w:pPr>
        <w:pStyle w:val="NormalBold"/>
      </w:pPr>
      <w:r w:rsidRPr="00635D1D">
        <w:rPr>
          <w:rStyle w:val="HideTWBExt"/>
          <w:b w:val="0"/>
        </w:rPr>
        <w:t>&lt;/RepeatBlock-By&gt;</w:t>
      </w:r>
    </w:p>
    <w:p w14:paraId="012C2AB8"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66F93DC" w14:textId="77777777" w:rsidR="008144C7" w:rsidRPr="00635D1D" w:rsidRDefault="008144C7" w:rsidP="008144C7">
      <w:pPr>
        <w:pStyle w:val="NormalBold"/>
      </w:pPr>
      <w:r w:rsidRPr="00635D1D">
        <w:rPr>
          <w:rStyle w:val="HideTWBExt"/>
          <w:b w:val="0"/>
        </w:rPr>
        <w:t>&lt;Article&gt;</w:t>
      </w:r>
      <w:r w:rsidRPr="00635D1D">
        <w:t>Motyw 22</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094DDEB" w14:textId="77777777" w:rsidTr="00C5582D">
        <w:trPr>
          <w:trHeight w:val="240"/>
          <w:jc w:val="center"/>
        </w:trPr>
        <w:tc>
          <w:tcPr>
            <w:tcW w:w="9752" w:type="dxa"/>
            <w:gridSpan w:val="2"/>
            <w:tcBorders>
              <w:top w:val="nil"/>
              <w:left w:val="nil"/>
              <w:bottom w:val="nil"/>
              <w:right w:val="nil"/>
            </w:tcBorders>
          </w:tcPr>
          <w:p w14:paraId="51882F8C" w14:textId="77777777" w:rsidR="008144C7" w:rsidRPr="00635D1D" w:rsidRDefault="008144C7" w:rsidP="00C5582D"/>
        </w:tc>
      </w:tr>
      <w:tr w:rsidR="008144C7" w:rsidRPr="00635D1D" w14:paraId="0364AC53" w14:textId="77777777" w:rsidTr="00C5582D">
        <w:trPr>
          <w:trHeight w:val="240"/>
          <w:jc w:val="center"/>
        </w:trPr>
        <w:tc>
          <w:tcPr>
            <w:tcW w:w="4876" w:type="dxa"/>
            <w:tcBorders>
              <w:top w:val="nil"/>
              <w:left w:val="nil"/>
              <w:bottom w:val="nil"/>
              <w:right w:val="nil"/>
            </w:tcBorders>
            <w:hideMark/>
          </w:tcPr>
          <w:p w14:paraId="1A12709E"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507714C5" w14:textId="77777777" w:rsidR="008144C7" w:rsidRPr="00635D1D" w:rsidRDefault="008144C7" w:rsidP="00C5582D">
            <w:pPr>
              <w:pStyle w:val="AmColumnHeading"/>
            </w:pPr>
            <w:r w:rsidRPr="00635D1D">
              <w:t>Poprawka</w:t>
            </w:r>
          </w:p>
        </w:tc>
      </w:tr>
      <w:tr w:rsidR="008144C7" w:rsidRPr="00635D1D" w14:paraId="1DFEF4C3" w14:textId="77777777" w:rsidTr="00C5582D">
        <w:trPr>
          <w:jc w:val="center"/>
        </w:trPr>
        <w:tc>
          <w:tcPr>
            <w:tcW w:w="4876" w:type="dxa"/>
            <w:tcBorders>
              <w:top w:val="nil"/>
              <w:left w:val="nil"/>
              <w:bottom w:val="nil"/>
              <w:right w:val="nil"/>
            </w:tcBorders>
            <w:hideMark/>
          </w:tcPr>
          <w:p w14:paraId="4833AF10" w14:textId="77777777" w:rsidR="008144C7" w:rsidRPr="00635D1D" w:rsidRDefault="008144C7" w:rsidP="00C5582D">
            <w:pPr>
              <w:pStyle w:val="Normal6a"/>
            </w:pPr>
            <w:r w:rsidRPr="00635D1D">
              <w:t>(22)</w:t>
            </w:r>
            <w:r w:rsidRPr="00635D1D">
              <w:tab/>
              <w:t xml:space="preserve">W przypadku gdy stosowanie substancji w produktach kosmetycznych jest zakazane lub ograniczone, producentom, importerom, dystrybutorom i osobom odpowiedzialnym należy zapewnić odpowiedni czas na podjęcie niezbędnych działań w celu przeprojektowania etykiety i ponownego oznakowania swoich produktów, a także wycofania z dystrybucji i zniszczenia niesprzedanych produktów niespełniających nowych wymogów. W związku z tym należy przewidzieć </w:t>
            </w:r>
            <w:r w:rsidRPr="00635D1D">
              <w:rPr>
                <w:b/>
                <w:i/>
              </w:rPr>
              <w:t>terminy 12 miesięcy w odniesieniu do wprowadzenia do obrotu i 24</w:t>
            </w:r>
            <w:r w:rsidRPr="00635D1D">
              <w:t xml:space="preserve"> miesięcy w odniesieniu do udostępnienia na rynku produktów kosmetycznych zawierających daną substancję po wejściu w życie odpowiednich zmian do rozporządzenia (WE) nr 1223/2009.</w:t>
            </w:r>
          </w:p>
        </w:tc>
        <w:tc>
          <w:tcPr>
            <w:tcW w:w="4876" w:type="dxa"/>
            <w:tcBorders>
              <w:top w:val="nil"/>
              <w:left w:val="nil"/>
              <w:bottom w:val="nil"/>
              <w:right w:val="nil"/>
            </w:tcBorders>
            <w:hideMark/>
          </w:tcPr>
          <w:p w14:paraId="01CFDA86" w14:textId="77777777" w:rsidR="008144C7" w:rsidRPr="00635D1D" w:rsidRDefault="008144C7" w:rsidP="00C5582D">
            <w:pPr>
              <w:pStyle w:val="Normal6a"/>
            </w:pPr>
            <w:r w:rsidRPr="00635D1D">
              <w:t>(22)</w:t>
            </w:r>
            <w:r w:rsidRPr="00635D1D">
              <w:tab/>
              <w:t xml:space="preserve">W przypadku gdy stosowanie substancji w produktach kosmetycznych jest zakazane lub ograniczone, producentom, importerom, dystrybutorom i osobom odpowiedzialnym należy zapewnić odpowiedni czas na podjęcie niezbędnych działań w celu przeprojektowania etykiety i ponownego oznakowania swoich produktów, a także wycofania z dystrybucji i zniszczenia niesprzedanych produktów niespełniających nowych wymogów. W związku z tym należy przewidzieć </w:t>
            </w:r>
            <w:r w:rsidRPr="00635D1D">
              <w:rPr>
                <w:b/>
                <w:i/>
              </w:rPr>
              <w:t>termin 6</w:t>
            </w:r>
            <w:r w:rsidRPr="00635D1D">
              <w:t xml:space="preserve"> miesięcy w odniesieniu do udostępnienia na rynku produktów kosmetycznych zawierających daną substancję po wejściu w życie odpowiednich zmian do rozporządzenia (WE) nr 1223/2009.</w:t>
            </w:r>
          </w:p>
        </w:tc>
      </w:tr>
    </w:tbl>
    <w:p w14:paraId="5900AB84"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09C0CD29" w14:textId="77777777" w:rsidR="008144C7" w:rsidRPr="00E90719" w:rsidRDefault="008144C7" w:rsidP="008144C7">
      <w:pPr>
        <w:rPr>
          <w:lang w:val="en-GB"/>
        </w:rPr>
      </w:pPr>
      <w:r w:rsidRPr="00E90719">
        <w:rPr>
          <w:rStyle w:val="HideTWBExt"/>
          <w:lang w:val="en-GB"/>
        </w:rPr>
        <w:t>&lt;/Amend&gt;</w:t>
      </w:r>
    </w:p>
    <w:p w14:paraId="202284FB"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215</w:t>
      </w:r>
      <w:r w:rsidRPr="00E90719">
        <w:rPr>
          <w:rStyle w:val="HideTWBExt"/>
          <w:b w:val="0"/>
          <w:lang w:val="en-GB"/>
        </w:rPr>
        <w:t>&lt;/NumAm&gt;</w:t>
      </w:r>
    </w:p>
    <w:p w14:paraId="675447E1"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Martin Hojsík, Sigrid Friis, Michal Wiezik, Pascal Canfin, Grégory Allione, Gerben-Jan Gerbrandy, Yvan Verougstraete</w:t>
      </w:r>
      <w:r w:rsidRPr="00E90719">
        <w:rPr>
          <w:rStyle w:val="HideTWBExt"/>
          <w:b w:val="0"/>
          <w:lang w:val="en-GB"/>
        </w:rPr>
        <w:t>&lt;/Members&gt;</w:t>
      </w:r>
    </w:p>
    <w:p w14:paraId="27567382" w14:textId="77777777" w:rsidR="008144C7" w:rsidRPr="00635D1D" w:rsidRDefault="008144C7" w:rsidP="008144C7">
      <w:pPr>
        <w:pStyle w:val="NormalBold"/>
      </w:pPr>
      <w:r w:rsidRPr="00635D1D">
        <w:rPr>
          <w:rStyle w:val="HideTWBExt"/>
          <w:b w:val="0"/>
        </w:rPr>
        <w:t>&lt;/RepeatBlock-By&gt;</w:t>
      </w:r>
    </w:p>
    <w:p w14:paraId="3A9A03DD"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193139F" w14:textId="77777777" w:rsidR="008144C7" w:rsidRPr="00635D1D" w:rsidRDefault="008144C7" w:rsidP="008144C7">
      <w:pPr>
        <w:pStyle w:val="NormalBold"/>
      </w:pPr>
      <w:r w:rsidRPr="00635D1D">
        <w:rPr>
          <w:rStyle w:val="HideTWBExt"/>
          <w:b w:val="0"/>
        </w:rPr>
        <w:t>&lt;Article&gt;</w:t>
      </w:r>
      <w:r w:rsidRPr="00635D1D">
        <w:t>Motyw 22</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5D6DE71" w14:textId="77777777" w:rsidTr="00C5582D">
        <w:trPr>
          <w:trHeight w:val="240"/>
          <w:jc w:val="center"/>
        </w:trPr>
        <w:tc>
          <w:tcPr>
            <w:tcW w:w="9752" w:type="dxa"/>
            <w:gridSpan w:val="2"/>
            <w:tcBorders>
              <w:top w:val="nil"/>
              <w:left w:val="nil"/>
              <w:bottom w:val="nil"/>
              <w:right w:val="nil"/>
            </w:tcBorders>
          </w:tcPr>
          <w:p w14:paraId="4264888A" w14:textId="77777777" w:rsidR="008144C7" w:rsidRPr="00635D1D" w:rsidRDefault="008144C7" w:rsidP="00C5582D"/>
        </w:tc>
      </w:tr>
      <w:tr w:rsidR="008144C7" w:rsidRPr="00635D1D" w14:paraId="71542403" w14:textId="77777777" w:rsidTr="00C5582D">
        <w:trPr>
          <w:trHeight w:val="240"/>
          <w:jc w:val="center"/>
        </w:trPr>
        <w:tc>
          <w:tcPr>
            <w:tcW w:w="4876" w:type="dxa"/>
            <w:tcBorders>
              <w:top w:val="nil"/>
              <w:left w:val="nil"/>
              <w:bottom w:val="nil"/>
              <w:right w:val="nil"/>
            </w:tcBorders>
            <w:hideMark/>
          </w:tcPr>
          <w:p w14:paraId="3F205364"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562C01F6" w14:textId="77777777" w:rsidR="008144C7" w:rsidRPr="00635D1D" w:rsidRDefault="008144C7" w:rsidP="00C5582D">
            <w:pPr>
              <w:pStyle w:val="AmColumnHeading"/>
            </w:pPr>
            <w:r w:rsidRPr="00635D1D">
              <w:t>Poprawka</w:t>
            </w:r>
          </w:p>
        </w:tc>
      </w:tr>
      <w:tr w:rsidR="008144C7" w:rsidRPr="00635D1D" w14:paraId="1833034B" w14:textId="77777777" w:rsidTr="00C5582D">
        <w:trPr>
          <w:jc w:val="center"/>
        </w:trPr>
        <w:tc>
          <w:tcPr>
            <w:tcW w:w="4876" w:type="dxa"/>
            <w:tcBorders>
              <w:top w:val="nil"/>
              <w:left w:val="nil"/>
              <w:bottom w:val="nil"/>
              <w:right w:val="nil"/>
            </w:tcBorders>
            <w:hideMark/>
          </w:tcPr>
          <w:p w14:paraId="43F68BA3" w14:textId="77777777" w:rsidR="008144C7" w:rsidRPr="00635D1D" w:rsidRDefault="008144C7" w:rsidP="00C5582D">
            <w:pPr>
              <w:pStyle w:val="Normal6a"/>
            </w:pPr>
            <w:r w:rsidRPr="00635D1D">
              <w:t>(22)</w:t>
            </w:r>
            <w:r w:rsidRPr="00635D1D">
              <w:tab/>
              <w:t xml:space="preserve">W przypadku gdy stosowanie substancji w produktach kosmetycznych jest zakazane lub ograniczone, producentom, importerom, dystrybutorom i osobom odpowiedzialnym należy zapewnić odpowiedni czas na podjęcie niezbędnych działań w celu </w:t>
            </w:r>
            <w:r w:rsidRPr="00635D1D">
              <w:rPr>
                <w:b/>
                <w:i/>
              </w:rPr>
              <w:t>przeprojektowania etykiety i ponownego oznakowania swoich produktów, a także</w:t>
            </w:r>
            <w:r w:rsidRPr="00635D1D">
              <w:t xml:space="preserve"> wycofania z dystrybucji i zniszczenia niesprzedanych produktów niespełniających nowych wymogów. W związku z tym należy przewidzieć </w:t>
            </w:r>
            <w:r w:rsidRPr="00635D1D">
              <w:rPr>
                <w:b/>
                <w:i/>
              </w:rPr>
              <w:t>terminy 12 miesięcy w odniesieniu do wprowadzenia do obrotu i 24</w:t>
            </w:r>
            <w:r w:rsidRPr="00635D1D">
              <w:t xml:space="preserve"> miesięcy w odniesieniu do udostępnienia na rynku produktów kosmetycznych zawierających daną substancję po wejściu w życie odpowiednich zmian do rozporządzenia (WE) nr 1223/2009.</w:t>
            </w:r>
          </w:p>
        </w:tc>
        <w:tc>
          <w:tcPr>
            <w:tcW w:w="4876" w:type="dxa"/>
            <w:tcBorders>
              <w:top w:val="nil"/>
              <w:left w:val="nil"/>
              <w:bottom w:val="nil"/>
              <w:right w:val="nil"/>
            </w:tcBorders>
            <w:hideMark/>
          </w:tcPr>
          <w:p w14:paraId="6457D27D" w14:textId="77777777" w:rsidR="008144C7" w:rsidRPr="00635D1D" w:rsidRDefault="008144C7" w:rsidP="00C5582D">
            <w:pPr>
              <w:pStyle w:val="Normal6a"/>
            </w:pPr>
            <w:r w:rsidRPr="00635D1D">
              <w:t>(22)</w:t>
            </w:r>
            <w:r w:rsidRPr="00635D1D">
              <w:tab/>
              <w:t xml:space="preserve">W przypadku gdy stosowanie substancji w produktach kosmetycznych jest zakazane lub ograniczone, producentom, importerom, dystrybutorom i osobom odpowiedzialnym należy zapewnić odpowiedni czas </w:t>
            </w:r>
            <w:r w:rsidRPr="00635D1D">
              <w:rPr>
                <w:b/>
                <w:i/>
              </w:rPr>
              <w:t>po złożeniu wniosku o odstępstwo</w:t>
            </w:r>
            <w:r w:rsidRPr="00635D1D">
              <w:t xml:space="preserve"> na podjęcie niezbędnych działań w celu wycofania z dystrybucji i zniszczenia niesprzedanych produktów niespełniających nowych wymogów. W związku z tym należy przewidzieć </w:t>
            </w:r>
            <w:r w:rsidRPr="00635D1D">
              <w:rPr>
                <w:b/>
                <w:i/>
              </w:rPr>
              <w:t>termin 6</w:t>
            </w:r>
            <w:r w:rsidRPr="00635D1D">
              <w:t xml:space="preserve"> miesięcy w odniesieniu do udostępnienia na rynku produktów kosmetycznych zawierających daną substancję po wejściu w życie odpowiednich zmian do rozporządzenia (WE) nr 1223/2009.</w:t>
            </w:r>
          </w:p>
        </w:tc>
      </w:tr>
    </w:tbl>
    <w:p w14:paraId="78120DB7"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67A50B88"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41B84988" w14:textId="77777777" w:rsidR="008144C7" w:rsidRPr="00635D1D" w:rsidRDefault="008144C7" w:rsidP="008144C7">
      <w:pPr>
        <w:pStyle w:val="AmJustText"/>
      </w:pPr>
      <w:r w:rsidRPr="00635D1D">
        <w:t>Podmiotom gospodarczym należy zapewnić ograniczony okres przejściowy po sklasyfikowaniu substancji CMR w istniejących produktach kosmetycznych, aby doprowadzić do ich uporządkowanego wycofania tych produktów z obrotu. Nie należy jednak dopuszczać do obrotu żadnych nowych produktów po sklasyfikowaniu danej substancji jako CMR, aby zapobiec uzależnieniu od jednego dostawcy i inwestycjom osieroconym oraz chronić obywateli, w tym dzieci i inne grupy szczególnie wrażliwe.</w:t>
      </w:r>
    </w:p>
    <w:p w14:paraId="55E9BA2D" w14:textId="77777777" w:rsidR="008144C7" w:rsidRPr="00635D1D" w:rsidRDefault="008144C7" w:rsidP="008144C7">
      <w:r w:rsidRPr="00635D1D">
        <w:rPr>
          <w:rStyle w:val="HideTWBExt"/>
        </w:rPr>
        <w:t>&lt;/Amend&gt;</w:t>
      </w:r>
    </w:p>
    <w:p w14:paraId="1AF155E5"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216</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3778FA46" w14:textId="77777777" w:rsidR="008144C7" w:rsidRPr="00635D1D" w:rsidRDefault="008144C7" w:rsidP="008144C7">
      <w:pPr>
        <w:pStyle w:val="NormalBold"/>
      </w:pPr>
      <w:r w:rsidRPr="00635D1D">
        <w:rPr>
          <w:rStyle w:val="HideTWBExt"/>
          <w:b w:val="0"/>
        </w:rPr>
        <w:t>&lt;RepeatBlock-By&gt;&lt;Members&gt;</w:t>
      </w:r>
      <w:proofErr w:type="spellStart"/>
      <w:r w:rsidRPr="00635D1D">
        <w:t>Idoia</w:t>
      </w:r>
      <w:proofErr w:type="spellEnd"/>
      <w:r w:rsidRPr="00635D1D">
        <w:t xml:space="preserve"> </w:t>
      </w:r>
      <w:proofErr w:type="spellStart"/>
      <w:r w:rsidRPr="00635D1D">
        <w:t>Mendia</w:t>
      </w:r>
      <w:proofErr w:type="spellEnd"/>
      <w:r w:rsidRPr="00635D1D">
        <w:t xml:space="preserve">, Kristian </w:t>
      </w:r>
      <w:proofErr w:type="spellStart"/>
      <w:r w:rsidRPr="00635D1D">
        <w:t>Vigenin</w:t>
      </w:r>
      <w:proofErr w:type="spellEnd"/>
      <w:r w:rsidRPr="00635D1D">
        <w:t xml:space="preserve">, François </w:t>
      </w:r>
      <w:proofErr w:type="spellStart"/>
      <w:r w:rsidRPr="00635D1D">
        <w:t>Kalfon</w:t>
      </w:r>
      <w:proofErr w:type="spellEnd"/>
      <w:r w:rsidRPr="00635D1D">
        <w:t xml:space="preserve">, </w:t>
      </w:r>
      <w:proofErr w:type="spellStart"/>
      <w:r w:rsidRPr="00635D1D">
        <w:t>Elisabeth</w:t>
      </w:r>
      <w:proofErr w:type="spellEnd"/>
      <w:r w:rsidRPr="00635D1D">
        <w:t xml:space="preserve"> Grossmann, </w:t>
      </w:r>
      <w:proofErr w:type="spellStart"/>
      <w:r w:rsidRPr="00635D1D">
        <w:t>Adnan</w:t>
      </w:r>
      <w:proofErr w:type="spellEnd"/>
      <w:r w:rsidRPr="00635D1D">
        <w:t xml:space="preserve"> </w:t>
      </w:r>
      <w:proofErr w:type="spellStart"/>
      <w:r w:rsidRPr="00635D1D">
        <w:t>Dibrani</w:t>
      </w:r>
      <w:proofErr w:type="spellEnd"/>
      <w:r w:rsidRPr="00635D1D">
        <w:t xml:space="preserve">, </w:t>
      </w:r>
      <w:proofErr w:type="spellStart"/>
      <w:r w:rsidRPr="00635D1D">
        <w:t>Sakis</w:t>
      </w:r>
      <w:proofErr w:type="spellEnd"/>
      <w:r w:rsidRPr="00635D1D">
        <w:t xml:space="preserve"> </w:t>
      </w:r>
      <w:proofErr w:type="spellStart"/>
      <w:r w:rsidRPr="00635D1D">
        <w:t>Arnaoutoglou</w:t>
      </w:r>
      <w:proofErr w:type="spellEnd"/>
      <w:r w:rsidRPr="00635D1D">
        <w:t xml:space="preserve">, </w:t>
      </w:r>
      <w:proofErr w:type="spellStart"/>
      <w:r w:rsidRPr="00635D1D">
        <w:t>César</w:t>
      </w:r>
      <w:proofErr w:type="spellEnd"/>
      <w:r w:rsidRPr="00635D1D">
        <w:t xml:space="preserve"> </w:t>
      </w:r>
      <w:proofErr w:type="spellStart"/>
      <w:r w:rsidRPr="00635D1D">
        <w:t>Luena</w:t>
      </w:r>
      <w:proofErr w:type="spellEnd"/>
      <w:r w:rsidRPr="00635D1D">
        <w:t xml:space="preserve">, Christophe </w:t>
      </w:r>
      <w:proofErr w:type="spellStart"/>
      <w:r w:rsidRPr="00635D1D">
        <w:t>Clergeau</w:t>
      </w:r>
      <w:proofErr w:type="spellEnd"/>
      <w:r w:rsidRPr="00635D1D">
        <w:t xml:space="preserve">, </w:t>
      </w:r>
      <w:proofErr w:type="spellStart"/>
      <w:r w:rsidRPr="00635D1D">
        <w:t>Tiemo</w:t>
      </w:r>
      <w:proofErr w:type="spellEnd"/>
      <w:r w:rsidRPr="00635D1D">
        <w:t xml:space="preserve"> </w:t>
      </w:r>
      <w:proofErr w:type="spellStart"/>
      <w:r w:rsidRPr="00635D1D">
        <w:t>Wölken</w:t>
      </w:r>
      <w:proofErr w:type="spellEnd"/>
      <w:r w:rsidRPr="00635D1D">
        <w:t xml:space="preserve">, </w:t>
      </w:r>
      <w:proofErr w:type="spellStart"/>
      <w:r w:rsidRPr="00635D1D">
        <w:t>Annalisa</w:t>
      </w:r>
      <w:proofErr w:type="spellEnd"/>
      <w:r w:rsidRPr="00635D1D">
        <w:t xml:space="preserve"> Corrado, </w:t>
      </w:r>
      <w:proofErr w:type="spellStart"/>
      <w:r w:rsidRPr="00635D1D">
        <w:t>Heléne</w:t>
      </w:r>
      <w:proofErr w:type="spellEnd"/>
      <w:r w:rsidRPr="00635D1D">
        <w:t xml:space="preserve"> </w:t>
      </w:r>
      <w:proofErr w:type="spellStart"/>
      <w:r w:rsidRPr="00635D1D">
        <w:t>Fritzon</w:t>
      </w:r>
      <w:proofErr w:type="spellEnd"/>
      <w:r w:rsidRPr="00635D1D">
        <w:t xml:space="preserve">, Marta Temido, </w:t>
      </w:r>
      <w:proofErr w:type="spellStart"/>
      <w:r w:rsidRPr="00635D1D">
        <w:t>Christel</w:t>
      </w:r>
      <w:proofErr w:type="spellEnd"/>
      <w:r w:rsidRPr="00635D1D">
        <w:t xml:space="preserve"> </w:t>
      </w:r>
      <w:proofErr w:type="spellStart"/>
      <w:r w:rsidRPr="00635D1D">
        <w:t>Schaldemose</w:t>
      </w:r>
      <w:proofErr w:type="spellEnd"/>
      <w:r w:rsidRPr="00635D1D">
        <w:rPr>
          <w:rStyle w:val="HideTWBExt"/>
          <w:b w:val="0"/>
        </w:rPr>
        <w:t>&lt;/Members&gt;</w:t>
      </w:r>
    </w:p>
    <w:p w14:paraId="37261F3B" w14:textId="77777777" w:rsidR="008144C7" w:rsidRPr="00635D1D" w:rsidRDefault="008144C7" w:rsidP="008144C7">
      <w:pPr>
        <w:pStyle w:val="NormalBold"/>
      </w:pPr>
      <w:r w:rsidRPr="00635D1D">
        <w:rPr>
          <w:rStyle w:val="HideTWBExt"/>
          <w:b w:val="0"/>
        </w:rPr>
        <w:t>&lt;/RepeatBlock-By&gt;</w:t>
      </w:r>
    </w:p>
    <w:p w14:paraId="4C88DF11"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9E277B4" w14:textId="77777777" w:rsidR="008144C7" w:rsidRPr="00635D1D" w:rsidRDefault="008144C7" w:rsidP="008144C7">
      <w:pPr>
        <w:pStyle w:val="NormalBold"/>
      </w:pPr>
      <w:r w:rsidRPr="00635D1D">
        <w:rPr>
          <w:rStyle w:val="HideTWBExt"/>
          <w:b w:val="0"/>
        </w:rPr>
        <w:t>&lt;Article&gt;</w:t>
      </w:r>
      <w:r w:rsidRPr="00635D1D">
        <w:t>Motyw 22</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C060796" w14:textId="77777777" w:rsidTr="00C5582D">
        <w:trPr>
          <w:trHeight w:val="240"/>
          <w:jc w:val="center"/>
        </w:trPr>
        <w:tc>
          <w:tcPr>
            <w:tcW w:w="9752" w:type="dxa"/>
            <w:gridSpan w:val="2"/>
            <w:tcBorders>
              <w:top w:val="nil"/>
              <w:left w:val="nil"/>
              <w:bottom w:val="nil"/>
              <w:right w:val="nil"/>
            </w:tcBorders>
          </w:tcPr>
          <w:p w14:paraId="4016F6C7" w14:textId="77777777" w:rsidR="008144C7" w:rsidRPr="00635D1D" w:rsidRDefault="008144C7" w:rsidP="00C5582D"/>
        </w:tc>
      </w:tr>
      <w:tr w:rsidR="008144C7" w:rsidRPr="00635D1D" w14:paraId="0C195760" w14:textId="77777777" w:rsidTr="00C5582D">
        <w:trPr>
          <w:trHeight w:val="240"/>
          <w:jc w:val="center"/>
        </w:trPr>
        <w:tc>
          <w:tcPr>
            <w:tcW w:w="4876" w:type="dxa"/>
            <w:tcBorders>
              <w:top w:val="nil"/>
              <w:left w:val="nil"/>
              <w:bottom w:val="nil"/>
              <w:right w:val="nil"/>
            </w:tcBorders>
            <w:hideMark/>
          </w:tcPr>
          <w:p w14:paraId="1E5DD06C"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0118B4A" w14:textId="77777777" w:rsidR="008144C7" w:rsidRPr="00635D1D" w:rsidRDefault="008144C7" w:rsidP="00C5582D">
            <w:pPr>
              <w:pStyle w:val="AmColumnHeading"/>
            </w:pPr>
            <w:r w:rsidRPr="00635D1D">
              <w:t>Poprawka</w:t>
            </w:r>
          </w:p>
        </w:tc>
      </w:tr>
      <w:tr w:rsidR="008144C7" w:rsidRPr="00635D1D" w14:paraId="038E2051" w14:textId="77777777" w:rsidTr="00C5582D">
        <w:trPr>
          <w:jc w:val="center"/>
        </w:trPr>
        <w:tc>
          <w:tcPr>
            <w:tcW w:w="4876" w:type="dxa"/>
            <w:tcBorders>
              <w:top w:val="nil"/>
              <w:left w:val="nil"/>
              <w:bottom w:val="nil"/>
              <w:right w:val="nil"/>
            </w:tcBorders>
            <w:hideMark/>
          </w:tcPr>
          <w:p w14:paraId="4339A7E9" w14:textId="77777777" w:rsidR="008144C7" w:rsidRPr="00635D1D" w:rsidRDefault="008144C7" w:rsidP="00C5582D">
            <w:pPr>
              <w:pStyle w:val="Normal6a"/>
            </w:pPr>
            <w:r w:rsidRPr="00635D1D">
              <w:t>(22)</w:t>
            </w:r>
            <w:r w:rsidRPr="00635D1D">
              <w:tab/>
              <w:t xml:space="preserve">W przypadku gdy stosowanie substancji w produktach kosmetycznych jest zakazane lub ograniczone, producentom, importerom, dystrybutorom i osobom odpowiedzialnym należy zapewnić odpowiedni czas na podjęcie niezbędnych działań w celu przeprojektowania etykiety i ponownego oznakowania swoich produktów, a także wycofania z dystrybucji i zniszczenia niesprzedanych produktów niespełniających nowych wymogów. W związku z tym należy przewidzieć </w:t>
            </w:r>
            <w:r w:rsidRPr="00635D1D">
              <w:rPr>
                <w:b/>
                <w:i/>
              </w:rPr>
              <w:t>terminy</w:t>
            </w:r>
            <w:r w:rsidRPr="00635D1D">
              <w:t xml:space="preserve"> 12 miesięcy </w:t>
            </w:r>
            <w:r w:rsidRPr="00635D1D">
              <w:rPr>
                <w:b/>
                <w:i/>
              </w:rPr>
              <w:t>w odniesieniu do wprowadzenia do obrotu i 24 miesięcy</w:t>
            </w:r>
            <w:r w:rsidRPr="00635D1D">
              <w:t xml:space="preserve"> w odniesieniu do udostępnienia na rynku produktów kosmetycznych zawierających daną substancję po wejściu w życie odpowiednich zmian do rozporządzenia (WE) nr 1223/2009.</w:t>
            </w:r>
          </w:p>
        </w:tc>
        <w:tc>
          <w:tcPr>
            <w:tcW w:w="4876" w:type="dxa"/>
            <w:tcBorders>
              <w:top w:val="nil"/>
              <w:left w:val="nil"/>
              <w:bottom w:val="nil"/>
              <w:right w:val="nil"/>
            </w:tcBorders>
            <w:hideMark/>
          </w:tcPr>
          <w:p w14:paraId="15EB6BAA" w14:textId="77777777" w:rsidR="008144C7" w:rsidRPr="00635D1D" w:rsidRDefault="008144C7" w:rsidP="00C5582D">
            <w:pPr>
              <w:pStyle w:val="Normal6a"/>
            </w:pPr>
            <w:r w:rsidRPr="00635D1D">
              <w:t>(22)</w:t>
            </w:r>
            <w:r w:rsidRPr="00635D1D">
              <w:tab/>
              <w:t xml:space="preserve">W przypadku gdy stosowanie substancji w produktach kosmetycznych jest zakazane lub ograniczone, producentom, importerom, dystrybutorom i osobom odpowiedzialnym należy zapewnić odpowiedni czas na podjęcie niezbędnych działań w celu przeprojektowania etykiety i ponownego oznakowania swoich produktów, a także wycofania z dystrybucji i zniszczenia niesprzedanych produktów niespełniających nowych wymogów. W związku z tym należy przewidzieć </w:t>
            </w:r>
            <w:r w:rsidRPr="00635D1D">
              <w:rPr>
                <w:b/>
                <w:i/>
              </w:rPr>
              <w:t>termin maksymalnie</w:t>
            </w:r>
            <w:r w:rsidRPr="00635D1D">
              <w:t xml:space="preserve"> 12 miesięcy w odniesieniu do udostępnienia na rynku produktów kosmetycznych zawierających daną substancję po wejściu w życie odpowiednich zmian do rozporządzenia (WE) nr 1223/2009.</w:t>
            </w:r>
          </w:p>
        </w:tc>
      </w:tr>
    </w:tbl>
    <w:p w14:paraId="7E7A88CE"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3DDF4EAE" w14:textId="77777777" w:rsidR="008144C7" w:rsidRPr="00E90719" w:rsidRDefault="008144C7" w:rsidP="008144C7">
      <w:pPr>
        <w:rPr>
          <w:lang w:val="en-GB"/>
        </w:rPr>
      </w:pPr>
      <w:r w:rsidRPr="00E90719">
        <w:rPr>
          <w:rStyle w:val="HideTWBExt"/>
          <w:lang w:val="en-GB"/>
        </w:rPr>
        <w:t>&lt;/Amend&gt;</w:t>
      </w:r>
    </w:p>
    <w:p w14:paraId="0354AE62"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217</w:t>
      </w:r>
      <w:r w:rsidRPr="00E90719">
        <w:rPr>
          <w:rStyle w:val="HideTWBExt"/>
          <w:b w:val="0"/>
          <w:lang w:val="en-GB"/>
        </w:rPr>
        <w:t>&lt;/NumAm&gt;</w:t>
      </w:r>
    </w:p>
    <w:p w14:paraId="62B2A417"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Idoia Mendia, François Kalfon, Elisabeth Grossmann, Adnan Dibrani, Sakis Arnaoutoglou, César Luena, Christophe Clergeau, Tiemo Wölken, Annalisa Corrado, Heléne Fritzon, Marta Temido</w:t>
      </w:r>
      <w:r w:rsidRPr="00E90719">
        <w:rPr>
          <w:rStyle w:val="HideTWBExt"/>
          <w:b w:val="0"/>
          <w:lang w:val="en-GB"/>
        </w:rPr>
        <w:t>&lt;/Members&gt;</w:t>
      </w:r>
    </w:p>
    <w:p w14:paraId="7A4DF2ED" w14:textId="77777777" w:rsidR="008144C7" w:rsidRPr="00635D1D" w:rsidRDefault="008144C7" w:rsidP="008144C7">
      <w:pPr>
        <w:pStyle w:val="NormalBold"/>
      </w:pPr>
      <w:r w:rsidRPr="00635D1D">
        <w:rPr>
          <w:rStyle w:val="HideTWBExt"/>
          <w:b w:val="0"/>
        </w:rPr>
        <w:t>&lt;/RepeatBlock-By&gt;</w:t>
      </w:r>
    </w:p>
    <w:p w14:paraId="1B6D6683"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F025F2B" w14:textId="77777777" w:rsidR="008144C7" w:rsidRPr="00635D1D" w:rsidRDefault="008144C7" w:rsidP="008144C7">
      <w:pPr>
        <w:pStyle w:val="NormalBold"/>
      </w:pPr>
      <w:r w:rsidRPr="00635D1D">
        <w:rPr>
          <w:rStyle w:val="HideTWBExt"/>
          <w:b w:val="0"/>
        </w:rPr>
        <w:t>&lt;Article&gt;</w:t>
      </w:r>
      <w:r w:rsidRPr="00635D1D">
        <w:t>Motyw 22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A395FE7" w14:textId="77777777" w:rsidTr="00C5582D">
        <w:trPr>
          <w:trHeight w:val="240"/>
          <w:jc w:val="center"/>
        </w:trPr>
        <w:tc>
          <w:tcPr>
            <w:tcW w:w="9752" w:type="dxa"/>
            <w:gridSpan w:val="2"/>
            <w:tcBorders>
              <w:top w:val="nil"/>
              <w:left w:val="nil"/>
              <w:bottom w:val="nil"/>
              <w:right w:val="nil"/>
            </w:tcBorders>
          </w:tcPr>
          <w:p w14:paraId="2909DB93" w14:textId="77777777" w:rsidR="008144C7" w:rsidRPr="00635D1D" w:rsidRDefault="008144C7" w:rsidP="00C5582D"/>
        </w:tc>
      </w:tr>
      <w:tr w:rsidR="008144C7" w:rsidRPr="00635D1D" w14:paraId="351A909C" w14:textId="77777777" w:rsidTr="00C5582D">
        <w:trPr>
          <w:trHeight w:val="240"/>
          <w:jc w:val="center"/>
        </w:trPr>
        <w:tc>
          <w:tcPr>
            <w:tcW w:w="4876" w:type="dxa"/>
            <w:tcBorders>
              <w:top w:val="nil"/>
              <w:left w:val="nil"/>
              <w:bottom w:val="nil"/>
              <w:right w:val="nil"/>
            </w:tcBorders>
            <w:hideMark/>
          </w:tcPr>
          <w:p w14:paraId="06212864"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1174764" w14:textId="77777777" w:rsidR="008144C7" w:rsidRPr="00635D1D" w:rsidRDefault="008144C7" w:rsidP="00C5582D">
            <w:pPr>
              <w:pStyle w:val="AmColumnHeading"/>
            </w:pPr>
            <w:r w:rsidRPr="00635D1D">
              <w:t>Poprawka</w:t>
            </w:r>
          </w:p>
        </w:tc>
      </w:tr>
      <w:tr w:rsidR="008144C7" w:rsidRPr="00635D1D" w14:paraId="2F2BBCA1" w14:textId="77777777" w:rsidTr="00C5582D">
        <w:trPr>
          <w:jc w:val="center"/>
        </w:trPr>
        <w:tc>
          <w:tcPr>
            <w:tcW w:w="4876" w:type="dxa"/>
            <w:tcBorders>
              <w:top w:val="nil"/>
              <w:left w:val="nil"/>
              <w:bottom w:val="nil"/>
              <w:right w:val="nil"/>
            </w:tcBorders>
          </w:tcPr>
          <w:p w14:paraId="572A7CDF" w14:textId="77777777" w:rsidR="008144C7" w:rsidRPr="00635D1D" w:rsidRDefault="008144C7" w:rsidP="00C5582D">
            <w:pPr>
              <w:pStyle w:val="Normal6a"/>
            </w:pPr>
          </w:p>
        </w:tc>
        <w:tc>
          <w:tcPr>
            <w:tcW w:w="4876" w:type="dxa"/>
            <w:tcBorders>
              <w:top w:val="nil"/>
              <w:left w:val="nil"/>
              <w:bottom w:val="nil"/>
              <w:right w:val="nil"/>
            </w:tcBorders>
            <w:hideMark/>
          </w:tcPr>
          <w:p w14:paraId="14056CCD" w14:textId="77777777" w:rsidR="008144C7" w:rsidRPr="00635D1D" w:rsidRDefault="008144C7" w:rsidP="00C5582D">
            <w:pPr>
              <w:pStyle w:val="Normal6a"/>
            </w:pPr>
            <w:r w:rsidRPr="00635D1D">
              <w:rPr>
                <w:b/>
                <w:i/>
              </w:rPr>
              <w:t>(22a)</w:t>
            </w:r>
            <w:r w:rsidRPr="00635D1D">
              <w:tab/>
            </w:r>
            <w:r w:rsidRPr="00635D1D">
              <w:rPr>
                <w:b/>
                <w:i/>
              </w:rPr>
              <w:t xml:space="preserve">Substancje per- i </w:t>
            </w:r>
            <w:proofErr w:type="spellStart"/>
            <w:r w:rsidRPr="00635D1D">
              <w:rPr>
                <w:b/>
                <w:i/>
              </w:rPr>
              <w:t>polifluoroalkilowe</w:t>
            </w:r>
            <w:proofErr w:type="spellEnd"/>
            <w:r w:rsidRPr="00635D1D">
              <w:rPr>
                <w:b/>
                <w:i/>
              </w:rPr>
              <w:t xml:space="preserve"> (PFAS) to duża rodzina ponad 10 000 substancji chemicznych wytwarzanych przez człowieka. PFAS są stosowane w coraz szerszej gamie produktów, w tym w produktach konsumenckich. Ze względu na wyjątkową stabilność, właściwości wodoodporne i zdolność tworzenia powłok PFAS są stosowane w produktach kosmetycznych jako emulgatory, stabilizatory i substancje tworzące powłokę, w szczególności w podkładach długotrwałych, wodoodpornych tuszach do rzęs, produktach do stylizacji włosów i filtrach przeciwsłonecznych. Dowody naukowe wykazały, że narażenie na PFAS stwarza znaczne ryzyko dla zdrowia ludzi, obejmujące potencjalne skutki rakotwórcze, uszkodzenie wątroby, osłabienie układu odpornościowego, zaburzenia czynności tarczycy i problemy rozwojowe u dzieci. Badania wykazały, że nawet niskie narażenie może prowadzić do niekorzystnych skutków zdrowotnych, co budzi szczególne obawy w przypadku grup szczególnie wrażliwych. Chociaż niektóre poszczególne substancje PFAS są już zakazane w produktach kosmetycznych na podstawie załączników II i III do rozporządzenia (WE) nr 1223/2009 ze względu na ich klasyfikację jako rakotwórcze, mutagenne lub działające szkodliwie na rozrodczość (CMR) lub w następstwie ocen bezpieczeństwa wykazujących niedopuszczalne ryzyko dla zdrowia ludzi, fragmentaryczne przepisy dotyczące poszczególnych substancji PFAS są niewystarczające, aby zaradzić zagrożeniom stwarzanym przez tę dużą grupę strukturalnie powiązanych chemikaliów. Ponadto dowody wskazują, że technicznie i ekonomicznie wykonalne alternatywy dla PFAS w zastosowaniach kosmetycznych już istnieją i są dostępne na rynku, w tym związki na bazie krzemu, polimery biodegradowalne i woski naturalne. Przemysł kosmetyczny z powodzeniem opracował produkty bez celowego dodawania PFAS, co wykazuje, że realne substytuty mogą utrzymać skuteczność i jakość produktu. Zharmonizowane </w:t>
            </w:r>
            <w:proofErr w:type="spellStart"/>
            <w:r w:rsidRPr="00635D1D">
              <w:rPr>
                <w:b/>
                <w:i/>
              </w:rPr>
              <w:t>ogólnounijne</w:t>
            </w:r>
            <w:proofErr w:type="spellEnd"/>
            <w:r w:rsidRPr="00635D1D">
              <w:rPr>
                <w:b/>
                <w:i/>
              </w:rPr>
              <w:t xml:space="preserve"> podejście jest konieczne, aby zapewnić równe warunki działania podmiotom gospodarczym, zapobiec fragmentacji rynku i zapewnić spójną ochronę wszystkich konsumentów w Unii. Konieczne jest zatem wprowadzenie kompleksowego zakazu stosowania PFAS w produktach kosmetycznych jako najskuteczniejszego wariantu regulacyjnego w celu zminimalizowania narażenia ludzi i zanieczyszczenia środowiska z tego źródła.</w:t>
            </w:r>
          </w:p>
        </w:tc>
      </w:tr>
    </w:tbl>
    <w:p w14:paraId="3BF04341"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0B50FB7E" w14:textId="77777777" w:rsidR="008144C7" w:rsidRPr="00E90719" w:rsidRDefault="008144C7" w:rsidP="008144C7">
      <w:pPr>
        <w:rPr>
          <w:lang w:val="en-GB"/>
        </w:rPr>
      </w:pPr>
      <w:r w:rsidRPr="00E90719">
        <w:rPr>
          <w:rStyle w:val="HideTWBExt"/>
          <w:lang w:val="en-GB"/>
        </w:rPr>
        <w:t>&lt;/Amend&gt;</w:t>
      </w:r>
    </w:p>
    <w:p w14:paraId="6845B4EF"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218</w:t>
      </w:r>
      <w:r w:rsidRPr="00E90719">
        <w:rPr>
          <w:rStyle w:val="HideTWBExt"/>
          <w:b w:val="0"/>
          <w:lang w:val="en-GB"/>
        </w:rPr>
        <w:t>&lt;/NumAm&gt;</w:t>
      </w:r>
    </w:p>
    <w:p w14:paraId="553B31E1"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Martin Hojsík, Sigrid Friis, Michal Wiezik, Pascal Canfin, Grégory Allione, Gerben-Jan Gerbrandy, Yvan Verougstraete</w:t>
      </w:r>
      <w:r w:rsidRPr="00E90719">
        <w:rPr>
          <w:rStyle w:val="HideTWBExt"/>
          <w:b w:val="0"/>
          <w:lang w:val="en-GB"/>
        </w:rPr>
        <w:t>&lt;/Members&gt;</w:t>
      </w:r>
    </w:p>
    <w:p w14:paraId="5AF564A5" w14:textId="77777777" w:rsidR="008144C7" w:rsidRPr="00635D1D" w:rsidRDefault="008144C7" w:rsidP="008144C7">
      <w:pPr>
        <w:pStyle w:val="NormalBold"/>
      </w:pPr>
      <w:r w:rsidRPr="00635D1D">
        <w:rPr>
          <w:rStyle w:val="HideTWBExt"/>
          <w:b w:val="0"/>
        </w:rPr>
        <w:t>&lt;/RepeatBlock-By&gt;</w:t>
      </w:r>
    </w:p>
    <w:p w14:paraId="1322FAF7"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0029439" w14:textId="77777777" w:rsidR="008144C7" w:rsidRPr="00635D1D" w:rsidRDefault="008144C7" w:rsidP="008144C7">
      <w:pPr>
        <w:pStyle w:val="NormalBold"/>
      </w:pPr>
      <w:r w:rsidRPr="00635D1D">
        <w:rPr>
          <w:rStyle w:val="HideTWBExt"/>
          <w:b w:val="0"/>
        </w:rPr>
        <w:t>&lt;Article&gt;</w:t>
      </w:r>
      <w:r w:rsidRPr="00635D1D">
        <w:t>Motyw 22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118366A" w14:textId="77777777" w:rsidTr="00C5582D">
        <w:trPr>
          <w:trHeight w:val="240"/>
          <w:jc w:val="center"/>
        </w:trPr>
        <w:tc>
          <w:tcPr>
            <w:tcW w:w="9752" w:type="dxa"/>
            <w:gridSpan w:val="2"/>
            <w:tcBorders>
              <w:top w:val="nil"/>
              <w:left w:val="nil"/>
              <w:bottom w:val="nil"/>
              <w:right w:val="nil"/>
            </w:tcBorders>
          </w:tcPr>
          <w:p w14:paraId="3DFD14EA" w14:textId="77777777" w:rsidR="008144C7" w:rsidRPr="00635D1D" w:rsidRDefault="008144C7" w:rsidP="00C5582D"/>
        </w:tc>
      </w:tr>
      <w:tr w:rsidR="008144C7" w:rsidRPr="00635D1D" w14:paraId="46365251" w14:textId="77777777" w:rsidTr="00C5582D">
        <w:trPr>
          <w:trHeight w:val="240"/>
          <w:jc w:val="center"/>
        </w:trPr>
        <w:tc>
          <w:tcPr>
            <w:tcW w:w="4876" w:type="dxa"/>
            <w:tcBorders>
              <w:top w:val="nil"/>
              <w:left w:val="nil"/>
              <w:bottom w:val="nil"/>
              <w:right w:val="nil"/>
            </w:tcBorders>
            <w:hideMark/>
          </w:tcPr>
          <w:p w14:paraId="08EC5F72"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F165135" w14:textId="77777777" w:rsidR="008144C7" w:rsidRPr="00635D1D" w:rsidRDefault="008144C7" w:rsidP="00C5582D">
            <w:pPr>
              <w:pStyle w:val="AmColumnHeading"/>
            </w:pPr>
            <w:r w:rsidRPr="00635D1D">
              <w:t>Poprawka</w:t>
            </w:r>
          </w:p>
        </w:tc>
      </w:tr>
      <w:tr w:rsidR="008144C7" w:rsidRPr="00635D1D" w14:paraId="5D7324ED" w14:textId="77777777" w:rsidTr="00C5582D">
        <w:trPr>
          <w:jc w:val="center"/>
        </w:trPr>
        <w:tc>
          <w:tcPr>
            <w:tcW w:w="4876" w:type="dxa"/>
            <w:tcBorders>
              <w:top w:val="nil"/>
              <w:left w:val="nil"/>
              <w:bottom w:val="nil"/>
              <w:right w:val="nil"/>
            </w:tcBorders>
          </w:tcPr>
          <w:p w14:paraId="2D00D534" w14:textId="77777777" w:rsidR="008144C7" w:rsidRPr="00635D1D" w:rsidRDefault="008144C7" w:rsidP="00C5582D">
            <w:pPr>
              <w:pStyle w:val="Normal6a"/>
            </w:pPr>
          </w:p>
        </w:tc>
        <w:tc>
          <w:tcPr>
            <w:tcW w:w="4876" w:type="dxa"/>
            <w:tcBorders>
              <w:top w:val="nil"/>
              <w:left w:val="nil"/>
              <w:bottom w:val="nil"/>
              <w:right w:val="nil"/>
            </w:tcBorders>
            <w:hideMark/>
          </w:tcPr>
          <w:p w14:paraId="13FFF553" w14:textId="77777777" w:rsidR="008144C7" w:rsidRPr="00635D1D" w:rsidRDefault="008144C7" w:rsidP="00C5582D">
            <w:pPr>
              <w:pStyle w:val="Normal6a"/>
            </w:pPr>
            <w:r w:rsidRPr="00635D1D">
              <w:rPr>
                <w:b/>
                <w:i/>
              </w:rPr>
              <w:t>(22a)</w:t>
            </w:r>
            <w:r w:rsidRPr="00635D1D">
              <w:tab/>
            </w:r>
            <w:r w:rsidRPr="00635D1D">
              <w:rPr>
                <w:b/>
                <w:i/>
              </w:rPr>
              <w:t xml:space="preserve">Substancje per- i </w:t>
            </w:r>
            <w:proofErr w:type="spellStart"/>
            <w:r w:rsidRPr="00635D1D">
              <w:rPr>
                <w:b/>
                <w:i/>
              </w:rPr>
              <w:t>polifluoroalkilowe</w:t>
            </w:r>
            <w:proofErr w:type="spellEnd"/>
            <w:r w:rsidRPr="00635D1D">
              <w:rPr>
                <w:b/>
                <w:i/>
              </w:rPr>
              <w:t xml:space="preserve"> (PFAS) to duża rodzina ponad 10 000 substancji chemicznych wytwarzanych przez człowieka. PFAS są stosowane w coraz szerszej gamie produktów, w tym w produktach konsumenckich. Głównym problemem jest trwałość wszystkich PFAS, co prowadzi do wzrostu stężeń w środowisku. Narażenie na kontakt z tymi PFAS, które najczęściej są przedmiotem badań, powiązano z wieloma niekorzystnymi skutkami dla zdrowia. Należy zakazać celowego stosowania PFAS w kosmetykach i ich składnikach.</w:t>
            </w:r>
          </w:p>
        </w:tc>
      </w:tr>
    </w:tbl>
    <w:p w14:paraId="255C85A5"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697FD3D8"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67EEFB8E" w14:textId="77777777" w:rsidR="008144C7" w:rsidRPr="00635D1D" w:rsidRDefault="008144C7" w:rsidP="008144C7">
      <w:pPr>
        <w:pStyle w:val="AmJustText"/>
      </w:pPr>
      <w:r w:rsidRPr="00635D1D">
        <w:t xml:space="preserve">Niektóre PFAS, np. </w:t>
      </w:r>
      <w:proofErr w:type="spellStart"/>
      <w:r w:rsidRPr="00635D1D">
        <w:t>PFHxA</w:t>
      </w:r>
      <w:proofErr w:type="spellEnd"/>
      <w:r w:rsidRPr="00635D1D">
        <w:t xml:space="preserve"> i substancje pochodne </w:t>
      </w:r>
      <w:proofErr w:type="spellStart"/>
      <w:r w:rsidRPr="00635D1D">
        <w:t>PFHxA</w:t>
      </w:r>
      <w:proofErr w:type="spellEnd"/>
      <w:r w:rsidRPr="00635D1D">
        <w:t xml:space="preserve">, są już zakazane w kosmetykach. KE ogłosiła zamiar wprowadzenia zakazu stosowania wszystkich PFAS w kosmetykach, podobnie jak w przypadku zabawek. W związku z brakiem </w:t>
      </w:r>
      <w:proofErr w:type="spellStart"/>
      <w:r w:rsidRPr="00635D1D">
        <w:t>ogólnounijnego</w:t>
      </w:r>
      <w:proofErr w:type="spellEnd"/>
      <w:r w:rsidRPr="00635D1D">
        <w:t xml:space="preserve"> środka Francja zakazała produktów kosmetycznych zawierających wszystkie celowo dodane PFAS od stycznia 2026 r. (z 12-miesięcznym okresem przejściowym dla produktów wprowadzonych do obrotu przed tą datą). Aby zapobiec barierom na rynku wewnętrznym dla przemysłu kosmetycznego i podwójnym standardom ochrony oraz zagwarantować, że rozporządzenie w sprawie produktów kosmetycznych nie będzie musiało zostać wkrótce ponownie otwarte, zakaz stosowania PFAS już odzwierciedlono w niniejszym wniosku.</w:t>
      </w:r>
    </w:p>
    <w:p w14:paraId="56355A9D" w14:textId="77777777" w:rsidR="008144C7" w:rsidRPr="00E90719" w:rsidRDefault="008144C7" w:rsidP="008144C7">
      <w:pPr>
        <w:rPr>
          <w:lang w:val="en-GB"/>
        </w:rPr>
      </w:pPr>
      <w:r w:rsidRPr="00E90719">
        <w:rPr>
          <w:rStyle w:val="HideTWBExt"/>
          <w:lang w:val="en-GB"/>
        </w:rPr>
        <w:t>&lt;/Amend&gt;</w:t>
      </w:r>
    </w:p>
    <w:p w14:paraId="4FD3FB28"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219</w:t>
      </w:r>
      <w:r w:rsidRPr="00E90719">
        <w:rPr>
          <w:rStyle w:val="HideTWBExt"/>
          <w:b w:val="0"/>
          <w:lang w:val="en-GB"/>
        </w:rPr>
        <w:t>&lt;/NumAm&gt;</w:t>
      </w:r>
    </w:p>
    <w:p w14:paraId="1257062D"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Majdouline Sbai</w:t>
      </w:r>
      <w:r w:rsidRPr="00E90719">
        <w:rPr>
          <w:rStyle w:val="HideTWBExt"/>
          <w:b w:val="0"/>
          <w:lang w:val="en-GB"/>
        </w:rPr>
        <w:t>&lt;/Members&gt;</w:t>
      </w:r>
    </w:p>
    <w:p w14:paraId="2F949B41" w14:textId="77777777" w:rsidR="008144C7" w:rsidRPr="00635D1D" w:rsidRDefault="008144C7" w:rsidP="008144C7">
      <w:pPr>
        <w:pStyle w:val="NormalBold"/>
      </w:pPr>
      <w:r w:rsidRPr="00635D1D">
        <w:rPr>
          <w:rStyle w:val="HideTWBExt"/>
          <w:b w:val="0"/>
        </w:rPr>
        <w:t>&lt;/RepeatBlock-By&gt;</w:t>
      </w:r>
    </w:p>
    <w:p w14:paraId="7314DB36"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22A9537" w14:textId="77777777" w:rsidR="008144C7" w:rsidRPr="00635D1D" w:rsidRDefault="008144C7" w:rsidP="008144C7">
      <w:pPr>
        <w:pStyle w:val="NormalBold"/>
      </w:pPr>
      <w:r w:rsidRPr="00635D1D">
        <w:rPr>
          <w:rStyle w:val="HideTWBExt"/>
          <w:b w:val="0"/>
        </w:rPr>
        <w:t>&lt;Article&gt;</w:t>
      </w:r>
      <w:r w:rsidRPr="00635D1D">
        <w:t>Motyw 22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C855D74" w14:textId="77777777" w:rsidTr="00C5582D">
        <w:trPr>
          <w:trHeight w:val="240"/>
          <w:jc w:val="center"/>
        </w:trPr>
        <w:tc>
          <w:tcPr>
            <w:tcW w:w="9752" w:type="dxa"/>
            <w:gridSpan w:val="2"/>
            <w:tcBorders>
              <w:top w:val="nil"/>
              <w:left w:val="nil"/>
              <w:bottom w:val="nil"/>
              <w:right w:val="nil"/>
            </w:tcBorders>
          </w:tcPr>
          <w:p w14:paraId="36AB165A" w14:textId="77777777" w:rsidR="008144C7" w:rsidRPr="00635D1D" w:rsidRDefault="008144C7" w:rsidP="00C5582D"/>
        </w:tc>
      </w:tr>
      <w:tr w:rsidR="008144C7" w:rsidRPr="00635D1D" w14:paraId="2EA82ED7" w14:textId="77777777" w:rsidTr="00C5582D">
        <w:trPr>
          <w:trHeight w:val="240"/>
          <w:jc w:val="center"/>
        </w:trPr>
        <w:tc>
          <w:tcPr>
            <w:tcW w:w="4876" w:type="dxa"/>
            <w:tcBorders>
              <w:top w:val="nil"/>
              <w:left w:val="nil"/>
              <w:bottom w:val="nil"/>
              <w:right w:val="nil"/>
            </w:tcBorders>
            <w:hideMark/>
          </w:tcPr>
          <w:p w14:paraId="035F050F"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F51C2B9" w14:textId="77777777" w:rsidR="008144C7" w:rsidRPr="00635D1D" w:rsidRDefault="008144C7" w:rsidP="00C5582D">
            <w:pPr>
              <w:pStyle w:val="AmColumnHeading"/>
            </w:pPr>
            <w:r w:rsidRPr="00635D1D">
              <w:t>Poprawka</w:t>
            </w:r>
          </w:p>
        </w:tc>
      </w:tr>
      <w:tr w:rsidR="008144C7" w:rsidRPr="00635D1D" w14:paraId="0688FC11" w14:textId="77777777" w:rsidTr="00C5582D">
        <w:trPr>
          <w:jc w:val="center"/>
        </w:trPr>
        <w:tc>
          <w:tcPr>
            <w:tcW w:w="4876" w:type="dxa"/>
            <w:tcBorders>
              <w:top w:val="nil"/>
              <w:left w:val="nil"/>
              <w:bottom w:val="nil"/>
              <w:right w:val="nil"/>
            </w:tcBorders>
          </w:tcPr>
          <w:p w14:paraId="0519BCDC" w14:textId="77777777" w:rsidR="008144C7" w:rsidRPr="00635D1D" w:rsidRDefault="008144C7" w:rsidP="00C5582D">
            <w:pPr>
              <w:pStyle w:val="Normal6a"/>
            </w:pPr>
          </w:p>
        </w:tc>
        <w:tc>
          <w:tcPr>
            <w:tcW w:w="4876" w:type="dxa"/>
            <w:tcBorders>
              <w:top w:val="nil"/>
              <w:left w:val="nil"/>
              <w:bottom w:val="nil"/>
              <w:right w:val="nil"/>
            </w:tcBorders>
            <w:hideMark/>
          </w:tcPr>
          <w:p w14:paraId="476EF3BA" w14:textId="77777777" w:rsidR="008144C7" w:rsidRPr="00635D1D" w:rsidRDefault="008144C7" w:rsidP="00C5582D">
            <w:pPr>
              <w:pStyle w:val="Normal6a"/>
            </w:pPr>
            <w:r w:rsidRPr="00635D1D">
              <w:rPr>
                <w:b/>
                <w:i/>
              </w:rPr>
              <w:t>(22a)</w:t>
            </w:r>
            <w:r w:rsidRPr="00635D1D">
              <w:tab/>
            </w:r>
            <w:r w:rsidRPr="00635D1D">
              <w:rPr>
                <w:b/>
                <w:i/>
              </w:rPr>
              <w:t xml:space="preserve">Substancje per- i </w:t>
            </w:r>
            <w:proofErr w:type="spellStart"/>
            <w:r w:rsidRPr="00635D1D">
              <w:rPr>
                <w:b/>
                <w:i/>
              </w:rPr>
              <w:t>polifluoroalkilowe</w:t>
            </w:r>
            <w:proofErr w:type="spellEnd"/>
            <w:r w:rsidRPr="00635D1D">
              <w:rPr>
                <w:b/>
                <w:i/>
              </w:rPr>
              <w:t xml:space="preserve"> (PFAS) to duża rodzina ponad 10 000 substancji chemicznych wytwarzanych przez człowieka. PFAS są stosowane w coraz szerszej gamie produktów, w tym w produktach kosmetycznych. Głównym problemem jest trwałość wszystkich PFAS, co prowadzi do wzrostu stężeń w środowisku. Narażenie na kontakt z tymi PFAS, które najczęściej są przedmiotem badań, powiązano jednak również z wieloma niekorzystnymi skutkami dla zdrowia. Należy zakazać stosowania PFAS w kosmetykach.</w:t>
            </w:r>
          </w:p>
        </w:tc>
      </w:tr>
    </w:tbl>
    <w:p w14:paraId="503AD551"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7C1666A7"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026D19E5" w14:textId="77777777" w:rsidR="008144C7" w:rsidRPr="00E90719" w:rsidRDefault="008144C7" w:rsidP="008144C7">
      <w:pPr>
        <w:pStyle w:val="AmJustText"/>
        <w:rPr>
          <w:lang w:val="en-GB"/>
        </w:rPr>
      </w:pPr>
      <w:r w:rsidRPr="00E90719">
        <w:rPr>
          <w:lang w:val="en-GB"/>
        </w:rPr>
        <w:t xml:space="preserve">PFAS are banned in France in cosmetics since January 2026. In 2025, the EU banned PFAS in toys. In 2024, the EU banned PFAS in food contact packaging. In 2023, four Member States and Norway proposed a universal restriction of PFAS, including for cosmetics. They made a clear case for prohibting PFAS in cosmetics. About 1% of cosmetic products contain PFAS. An analysis of the market share of PFAS-containing products showed that most occurred in the product category decorative cosmetics (3.7%), followed by skin care, hair care and toiletries (0.78, 0.65 and 0.27% respectively). There is sufficiently strong evidence that technically and economically feasible alternatives exist. There is no evidence of a shortage in supply of alternatives. The costs of a restriction within 18 months are assessed to be low. They proposed a restriction applicable within 18 months after entry into </w:t>
      </w:r>
      <w:proofErr w:type="gramStart"/>
      <w:r w:rsidRPr="00E90719">
        <w:rPr>
          <w:lang w:val="en-GB"/>
        </w:rPr>
        <w:t>force.In</w:t>
      </w:r>
      <w:proofErr w:type="gramEnd"/>
      <w:r w:rsidRPr="00E90719">
        <w:rPr>
          <w:lang w:val="en-GB"/>
        </w:rPr>
        <w:t xml:space="preserve"> October 2024, EVP Séjourné committed the following in his written responses to the European Parliament: "I will seek to ban the use of PFAS in consumer uses, like cosmetics, food contact materials and outdoor clothing." However, in the meantime, the Commission has made clear that it will not take any action until ECHA's scientific committees have given their opinion. Their opinions are expected for the end of 2026. So it will take at least until mid-2027 before the Commission will take any restrictive action against PFAS in cosmetics. Given the clear case for a restriction already made three years ago, we cannot afford to wait any longer. We should seize the opportunity of the chemical omnibus to also improve protection of human health and the environment. A ban of PFAS in cosmetics should be applicable within 18 months. As co-legislator we are entitled to adopt such a ban, there is no need to wait for ECHA's opinions as confirmed in the judgment by the ECJ in Case T 745/20.</w:t>
      </w:r>
    </w:p>
    <w:p w14:paraId="2E87182C" w14:textId="77777777" w:rsidR="008144C7" w:rsidRPr="00E90719" w:rsidRDefault="008144C7" w:rsidP="008144C7">
      <w:pPr>
        <w:rPr>
          <w:lang w:val="en-GB"/>
        </w:rPr>
      </w:pPr>
      <w:r w:rsidRPr="00E90719">
        <w:rPr>
          <w:rStyle w:val="HideTWBExt"/>
          <w:lang w:val="en-GB"/>
        </w:rPr>
        <w:t>&lt;/Amend&gt;</w:t>
      </w:r>
    </w:p>
    <w:p w14:paraId="71884814"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220</w:t>
      </w:r>
      <w:r w:rsidRPr="00E90719">
        <w:rPr>
          <w:rStyle w:val="HideTWBExt"/>
          <w:b w:val="0"/>
          <w:lang w:val="en-GB"/>
        </w:rPr>
        <w:t>&lt;/NumAm&gt;</w:t>
      </w:r>
    </w:p>
    <w:p w14:paraId="14421929"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Sigrid Friis, Gerben-Jan Gerbrandy</w:t>
      </w:r>
      <w:r w:rsidRPr="00E90719">
        <w:rPr>
          <w:rStyle w:val="HideTWBExt"/>
          <w:b w:val="0"/>
          <w:lang w:val="en-GB"/>
        </w:rPr>
        <w:t>&lt;/Members&gt;</w:t>
      </w:r>
    </w:p>
    <w:p w14:paraId="46CBF0F7" w14:textId="77777777" w:rsidR="008144C7" w:rsidRPr="00635D1D" w:rsidRDefault="008144C7" w:rsidP="008144C7">
      <w:pPr>
        <w:pStyle w:val="NormalBold"/>
      </w:pPr>
      <w:r w:rsidRPr="00635D1D">
        <w:rPr>
          <w:rStyle w:val="HideTWBExt"/>
          <w:b w:val="0"/>
        </w:rPr>
        <w:t>&lt;/RepeatBlock-By&gt;</w:t>
      </w:r>
    </w:p>
    <w:p w14:paraId="18E820FB"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C45EA38" w14:textId="77777777" w:rsidR="008144C7" w:rsidRPr="00635D1D" w:rsidRDefault="008144C7" w:rsidP="008144C7">
      <w:pPr>
        <w:pStyle w:val="NormalBold"/>
      </w:pPr>
      <w:r w:rsidRPr="00635D1D">
        <w:rPr>
          <w:rStyle w:val="HideTWBExt"/>
          <w:b w:val="0"/>
        </w:rPr>
        <w:t>&lt;Article&gt;</w:t>
      </w:r>
      <w:r w:rsidRPr="00635D1D">
        <w:t>Motyw 22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ADAB3F7" w14:textId="77777777" w:rsidTr="00C5582D">
        <w:trPr>
          <w:trHeight w:val="240"/>
          <w:jc w:val="center"/>
        </w:trPr>
        <w:tc>
          <w:tcPr>
            <w:tcW w:w="9752" w:type="dxa"/>
            <w:gridSpan w:val="2"/>
            <w:tcBorders>
              <w:top w:val="nil"/>
              <w:left w:val="nil"/>
              <w:bottom w:val="nil"/>
              <w:right w:val="nil"/>
            </w:tcBorders>
          </w:tcPr>
          <w:p w14:paraId="41372030" w14:textId="77777777" w:rsidR="008144C7" w:rsidRPr="00635D1D" w:rsidRDefault="008144C7" w:rsidP="00C5582D"/>
        </w:tc>
      </w:tr>
      <w:tr w:rsidR="008144C7" w:rsidRPr="00635D1D" w14:paraId="10612341" w14:textId="77777777" w:rsidTr="00C5582D">
        <w:trPr>
          <w:trHeight w:val="240"/>
          <w:jc w:val="center"/>
        </w:trPr>
        <w:tc>
          <w:tcPr>
            <w:tcW w:w="4876" w:type="dxa"/>
            <w:tcBorders>
              <w:top w:val="nil"/>
              <w:left w:val="nil"/>
              <w:bottom w:val="nil"/>
              <w:right w:val="nil"/>
            </w:tcBorders>
            <w:hideMark/>
          </w:tcPr>
          <w:p w14:paraId="33370577"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0D96E16" w14:textId="77777777" w:rsidR="008144C7" w:rsidRPr="00635D1D" w:rsidRDefault="008144C7" w:rsidP="00C5582D">
            <w:pPr>
              <w:pStyle w:val="AmColumnHeading"/>
            </w:pPr>
            <w:r w:rsidRPr="00635D1D">
              <w:t>Poprawka</w:t>
            </w:r>
          </w:p>
        </w:tc>
      </w:tr>
      <w:tr w:rsidR="008144C7" w:rsidRPr="00635D1D" w14:paraId="38E332D6" w14:textId="77777777" w:rsidTr="00C5582D">
        <w:trPr>
          <w:jc w:val="center"/>
        </w:trPr>
        <w:tc>
          <w:tcPr>
            <w:tcW w:w="4876" w:type="dxa"/>
            <w:tcBorders>
              <w:top w:val="nil"/>
              <w:left w:val="nil"/>
              <w:bottom w:val="nil"/>
              <w:right w:val="nil"/>
            </w:tcBorders>
          </w:tcPr>
          <w:p w14:paraId="79921F3F" w14:textId="77777777" w:rsidR="008144C7" w:rsidRPr="00635D1D" w:rsidRDefault="008144C7" w:rsidP="00C5582D">
            <w:pPr>
              <w:pStyle w:val="Normal6a"/>
            </w:pPr>
          </w:p>
        </w:tc>
        <w:tc>
          <w:tcPr>
            <w:tcW w:w="4876" w:type="dxa"/>
            <w:tcBorders>
              <w:top w:val="nil"/>
              <w:left w:val="nil"/>
              <w:bottom w:val="nil"/>
              <w:right w:val="nil"/>
            </w:tcBorders>
            <w:hideMark/>
          </w:tcPr>
          <w:p w14:paraId="75C59B49" w14:textId="77777777" w:rsidR="008144C7" w:rsidRPr="00635D1D" w:rsidRDefault="008144C7" w:rsidP="00C5582D">
            <w:pPr>
              <w:pStyle w:val="Normal6a"/>
            </w:pPr>
            <w:r w:rsidRPr="00635D1D">
              <w:rPr>
                <w:b/>
                <w:i/>
              </w:rPr>
              <w:t>(22a)</w:t>
            </w:r>
            <w:r w:rsidRPr="00635D1D">
              <w:tab/>
            </w:r>
            <w:r w:rsidRPr="00635D1D">
              <w:rPr>
                <w:b/>
                <w:i/>
              </w:rPr>
              <w:t xml:space="preserve">W strategii w zakresie chemikaliów na rzecz </w:t>
            </w:r>
            <w:proofErr w:type="spellStart"/>
            <w:r w:rsidRPr="00635D1D">
              <w:rPr>
                <w:b/>
                <w:i/>
              </w:rPr>
              <w:t>zrównoważoności</w:t>
            </w:r>
            <w:proofErr w:type="spellEnd"/>
            <w:r w:rsidRPr="00635D1D">
              <w:rPr>
                <w:b/>
                <w:i/>
              </w:rPr>
              <w:t xml:space="preserve"> zaapelowano </w:t>
            </w:r>
            <w:proofErr w:type="spellStart"/>
            <w:r w:rsidRPr="00635D1D">
              <w:rPr>
                <w:b/>
                <w:i/>
              </w:rPr>
              <w:t>oo</w:t>
            </w:r>
            <w:proofErr w:type="spellEnd"/>
            <w:r w:rsidRPr="00635D1D">
              <w:rPr>
                <w:b/>
                <w:i/>
              </w:rPr>
              <w:t xml:space="preserve"> uproszczenie i wzmocnienie ram prawnych dotyczących chemikaliów. W strategii zobowiązano się w szczególności do wzmocnienia rozporządzenia w sprawie produktów kosmetycznych w odniesieniu do zagrożeń związanych z substancjami zaburzającymi funkcjonowanie układu hormonalnego i możliwymi połączonymi skutkami chemikaliów.</w:t>
            </w:r>
          </w:p>
        </w:tc>
      </w:tr>
    </w:tbl>
    <w:p w14:paraId="7F220432"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5707E4CE" w14:textId="77777777" w:rsidR="008144C7" w:rsidRPr="00E90719" w:rsidRDefault="008144C7" w:rsidP="008144C7">
      <w:pPr>
        <w:rPr>
          <w:lang w:val="en-GB"/>
        </w:rPr>
      </w:pPr>
      <w:r w:rsidRPr="00E90719">
        <w:rPr>
          <w:rStyle w:val="HideTWBExt"/>
          <w:lang w:val="en-GB"/>
        </w:rPr>
        <w:t>&lt;/Amend&gt;</w:t>
      </w:r>
    </w:p>
    <w:p w14:paraId="5B1D390A"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221</w:t>
      </w:r>
      <w:r w:rsidRPr="00E90719">
        <w:rPr>
          <w:rStyle w:val="HideTWBExt"/>
          <w:b w:val="0"/>
          <w:lang w:val="en-GB"/>
        </w:rPr>
        <w:t>&lt;/NumAm&gt;</w:t>
      </w:r>
    </w:p>
    <w:p w14:paraId="0B222ACC"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Sigrid Friis, Gerben-Jan Gerbrandy</w:t>
      </w:r>
      <w:r w:rsidRPr="00E90719">
        <w:rPr>
          <w:rStyle w:val="HideTWBExt"/>
          <w:b w:val="0"/>
          <w:lang w:val="en-GB"/>
        </w:rPr>
        <w:t>&lt;/Members&gt;</w:t>
      </w:r>
    </w:p>
    <w:p w14:paraId="38D098BF" w14:textId="77777777" w:rsidR="008144C7" w:rsidRPr="00635D1D" w:rsidRDefault="008144C7" w:rsidP="008144C7">
      <w:pPr>
        <w:pStyle w:val="NormalBold"/>
      </w:pPr>
      <w:r w:rsidRPr="00635D1D">
        <w:rPr>
          <w:rStyle w:val="HideTWBExt"/>
          <w:b w:val="0"/>
        </w:rPr>
        <w:t>&lt;/RepeatBlock-By&gt;</w:t>
      </w:r>
    </w:p>
    <w:p w14:paraId="3580998D"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18F789C" w14:textId="77777777" w:rsidR="008144C7" w:rsidRPr="00635D1D" w:rsidRDefault="008144C7" w:rsidP="008144C7">
      <w:pPr>
        <w:pStyle w:val="NormalBold"/>
      </w:pPr>
      <w:r w:rsidRPr="00635D1D">
        <w:rPr>
          <w:rStyle w:val="HideTWBExt"/>
          <w:b w:val="0"/>
        </w:rPr>
        <w:t>&lt;Article&gt;</w:t>
      </w:r>
      <w:r w:rsidRPr="00635D1D">
        <w:t>Motyw 22 b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4C101A9" w14:textId="77777777" w:rsidTr="00C5582D">
        <w:trPr>
          <w:trHeight w:val="240"/>
          <w:jc w:val="center"/>
        </w:trPr>
        <w:tc>
          <w:tcPr>
            <w:tcW w:w="9752" w:type="dxa"/>
            <w:gridSpan w:val="2"/>
            <w:tcBorders>
              <w:top w:val="nil"/>
              <w:left w:val="nil"/>
              <w:bottom w:val="nil"/>
              <w:right w:val="nil"/>
            </w:tcBorders>
          </w:tcPr>
          <w:p w14:paraId="1812CFF7" w14:textId="77777777" w:rsidR="008144C7" w:rsidRPr="00635D1D" w:rsidRDefault="008144C7" w:rsidP="00C5582D"/>
        </w:tc>
      </w:tr>
      <w:tr w:rsidR="008144C7" w:rsidRPr="00635D1D" w14:paraId="52E8461A" w14:textId="77777777" w:rsidTr="00C5582D">
        <w:trPr>
          <w:trHeight w:val="240"/>
          <w:jc w:val="center"/>
        </w:trPr>
        <w:tc>
          <w:tcPr>
            <w:tcW w:w="4876" w:type="dxa"/>
            <w:tcBorders>
              <w:top w:val="nil"/>
              <w:left w:val="nil"/>
              <w:bottom w:val="nil"/>
              <w:right w:val="nil"/>
            </w:tcBorders>
            <w:hideMark/>
          </w:tcPr>
          <w:p w14:paraId="1B697C73"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8D80944" w14:textId="77777777" w:rsidR="008144C7" w:rsidRPr="00635D1D" w:rsidRDefault="008144C7" w:rsidP="00C5582D">
            <w:pPr>
              <w:pStyle w:val="AmColumnHeading"/>
            </w:pPr>
            <w:r w:rsidRPr="00635D1D">
              <w:t>Poprawka</w:t>
            </w:r>
          </w:p>
        </w:tc>
      </w:tr>
      <w:tr w:rsidR="008144C7" w:rsidRPr="00635D1D" w14:paraId="66DCE7C4" w14:textId="77777777" w:rsidTr="00C5582D">
        <w:trPr>
          <w:jc w:val="center"/>
        </w:trPr>
        <w:tc>
          <w:tcPr>
            <w:tcW w:w="4876" w:type="dxa"/>
            <w:tcBorders>
              <w:top w:val="nil"/>
              <w:left w:val="nil"/>
              <w:bottom w:val="nil"/>
              <w:right w:val="nil"/>
            </w:tcBorders>
          </w:tcPr>
          <w:p w14:paraId="33D62977" w14:textId="77777777" w:rsidR="008144C7" w:rsidRPr="00635D1D" w:rsidRDefault="008144C7" w:rsidP="00C5582D">
            <w:pPr>
              <w:pStyle w:val="Normal6a"/>
            </w:pPr>
          </w:p>
        </w:tc>
        <w:tc>
          <w:tcPr>
            <w:tcW w:w="4876" w:type="dxa"/>
            <w:tcBorders>
              <w:top w:val="nil"/>
              <w:left w:val="nil"/>
              <w:bottom w:val="nil"/>
              <w:right w:val="nil"/>
            </w:tcBorders>
            <w:hideMark/>
          </w:tcPr>
          <w:p w14:paraId="3A0181CA" w14:textId="77777777" w:rsidR="008144C7" w:rsidRPr="00635D1D" w:rsidRDefault="008144C7" w:rsidP="00C5582D">
            <w:pPr>
              <w:pStyle w:val="Normal6a"/>
            </w:pPr>
            <w:r w:rsidRPr="00635D1D">
              <w:rPr>
                <w:b/>
                <w:i/>
              </w:rPr>
              <w:t>(22b)</w:t>
            </w:r>
            <w:r w:rsidRPr="00635D1D">
              <w:tab/>
            </w:r>
            <w:r w:rsidRPr="00635D1D">
              <w:rPr>
                <w:b/>
                <w:i/>
              </w:rPr>
              <w:t>Biorąc pod uwagę zasadniczą rolę układu hormonalnego w rozwoju człowieka, narażenie na działanie substancji zaburzających funkcjonowanie układu hormonalnego może prowadzić do niekorzystnych skutków dla zdrowia nawet przy bardzo niskich dawkach. Chemikalia, które mają wpływ na układ hormonalny, powinny być zatem wyraźnie uwzględnione w produktach kosmetycznych. W szczególności należy uprościć i zaostrzyć wymogi dotyczące takich substancji poprzez rozszerzenie art. 15 rozporządzenia (WE) nr 1223/2009 na substancje sklasyfikowane jako substancje zaburzające funkcjonowanie układu hormonalnego w odniesieniu do zdrowia ludzi, należące do kategorii 1 i 2, zgodnie z rozporządzeniem (WE) nr 1272/2008.</w:t>
            </w:r>
          </w:p>
        </w:tc>
      </w:tr>
    </w:tbl>
    <w:p w14:paraId="43B42BAF"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71FCBE79" w14:textId="77777777" w:rsidR="008144C7" w:rsidRPr="00E90719" w:rsidRDefault="008144C7" w:rsidP="008144C7">
      <w:pPr>
        <w:rPr>
          <w:lang w:val="en-GB"/>
        </w:rPr>
      </w:pPr>
      <w:r w:rsidRPr="00E90719">
        <w:rPr>
          <w:rStyle w:val="HideTWBExt"/>
          <w:lang w:val="en-GB"/>
        </w:rPr>
        <w:t>&lt;/Amend&gt;</w:t>
      </w:r>
    </w:p>
    <w:p w14:paraId="7235F674"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222</w:t>
      </w:r>
      <w:r w:rsidRPr="00E90719">
        <w:rPr>
          <w:rStyle w:val="HideTWBExt"/>
          <w:b w:val="0"/>
          <w:lang w:val="en-GB"/>
        </w:rPr>
        <w:t>&lt;/NumAm&gt;</w:t>
      </w:r>
    </w:p>
    <w:p w14:paraId="1B3CC597"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Per Clausen, Anja Hazekamp</w:t>
      </w:r>
      <w:r w:rsidRPr="00E90719">
        <w:rPr>
          <w:rStyle w:val="HideTWBExt"/>
          <w:b w:val="0"/>
          <w:lang w:val="en-GB"/>
        </w:rPr>
        <w:t>&lt;/Members&gt;</w:t>
      </w:r>
    </w:p>
    <w:p w14:paraId="0574F8AB" w14:textId="77777777" w:rsidR="008144C7" w:rsidRPr="00635D1D" w:rsidRDefault="008144C7" w:rsidP="008144C7">
      <w:pPr>
        <w:pStyle w:val="NormalBold"/>
      </w:pPr>
      <w:r w:rsidRPr="00635D1D">
        <w:rPr>
          <w:rStyle w:val="HideTWBExt"/>
          <w:b w:val="0"/>
        </w:rPr>
        <w:t>&lt;/RepeatBlock-By&gt;</w:t>
      </w:r>
    </w:p>
    <w:p w14:paraId="73745E2F"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24E1567" w14:textId="77777777" w:rsidR="008144C7" w:rsidRPr="00635D1D" w:rsidRDefault="008144C7" w:rsidP="008144C7">
      <w:pPr>
        <w:pStyle w:val="NormalBold"/>
      </w:pPr>
      <w:r w:rsidRPr="00635D1D">
        <w:rPr>
          <w:rStyle w:val="HideTWBExt"/>
          <w:b w:val="0"/>
        </w:rPr>
        <w:t>&lt;Article&gt;</w:t>
      </w:r>
      <w:r w:rsidRPr="00635D1D">
        <w:t>Motyw 23</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844A92B" w14:textId="77777777" w:rsidTr="00C5582D">
        <w:trPr>
          <w:trHeight w:val="240"/>
          <w:jc w:val="center"/>
        </w:trPr>
        <w:tc>
          <w:tcPr>
            <w:tcW w:w="9752" w:type="dxa"/>
            <w:gridSpan w:val="2"/>
            <w:tcBorders>
              <w:top w:val="nil"/>
              <w:left w:val="nil"/>
              <w:bottom w:val="nil"/>
              <w:right w:val="nil"/>
            </w:tcBorders>
          </w:tcPr>
          <w:p w14:paraId="1897F2A7" w14:textId="77777777" w:rsidR="008144C7" w:rsidRPr="00635D1D" w:rsidRDefault="008144C7" w:rsidP="00C5582D"/>
        </w:tc>
      </w:tr>
      <w:tr w:rsidR="008144C7" w:rsidRPr="00635D1D" w14:paraId="533955E8" w14:textId="77777777" w:rsidTr="00C5582D">
        <w:trPr>
          <w:trHeight w:val="240"/>
          <w:jc w:val="center"/>
        </w:trPr>
        <w:tc>
          <w:tcPr>
            <w:tcW w:w="4876" w:type="dxa"/>
            <w:tcBorders>
              <w:top w:val="nil"/>
              <w:left w:val="nil"/>
              <w:bottom w:val="nil"/>
              <w:right w:val="nil"/>
            </w:tcBorders>
            <w:hideMark/>
          </w:tcPr>
          <w:p w14:paraId="1D1A8873"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DF1759A" w14:textId="77777777" w:rsidR="008144C7" w:rsidRPr="00635D1D" w:rsidRDefault="008144C7" w:rsidP="00C5582D">
            <w:pPr>
              <w:pStyle w:val="AmColumnHeading"/>
            </w:pPr>
            <w:r w:rsidRPr="00635D1D">
              <w:t>Poprawka</w:t>
            </w:r>
          </w:p>
        </w:tc>
      </w:tr>
      <w:tr w:rsidR="008144C7" w:rsidRPr="00635D1D" w14:paraId="498C6A35" w14:textId="77777777" w:rsidTr="00C5582D">
        <w:trPr>
          <w:jc w:val="center"/>
        </w:trPr>
        <w:tc>
          <w:tcPr>
            <w:tcW w:w="4876" w:type="dxa"/>
            <w:tcBorders>
              <w:top w:val="nil"/>
              <w:left w:val="nil"/>
              <w:bottom w:val="nil"/>
              <w:right w:val="nil"/>
            </w:tcBorders>
            <w:hideMark/>
          </w:tcPr>
          <w:p w14:paraId="59A191A0" w14:textId="77777777" w:rsidR="008144C7" w:rsidRPr="00635D1D" w:rsidRDefault="008144C7" w:rsidP="00C5582D">
            <w:pPr>
              <w:pStyle w:val="Normal6a"/>
            </w:pPr>
            <w:r w:rsidRPr="00635D1D">
              <w:rPr>
                <w:b/>
                <w:i/>
              </w:rPr>
              <w:t>(23)</w:t>
            </w:r>
            <w:r w:rsidRPr="00635D1D">
              <w:tab/>
            </w:r>
            <w:r w:rsidRPr="00635D1D">
              <w:rPr>
                <w:b/>
                <w:i/>
              </w:rPr>
              <w:t>Aby zmniejszyć obciążenia administracyjne i związane z przestrzeganiem przepisów dla przedsiębiorstw działających w sektorze kosmetycznym, należy wymagać tylko jednego zgłoszenia produktów kosmetycznych przed wprowadzeniem ich do obrotu w Unii. Warunki takiego zgłoszenia powinny mieć zastosowanie w sposób niedyskryminacyjny do produktów kosmetycznych zawierających nanomateriały oraz do produktów kosmetycznych, które ich nie zawierają. W celu zachowania czujności w odniesieniu do nanomateriałów szczegółowe informacje na temat nanomateriałów stosowanych w produkcie kosmetycznym powinny obowiązkowo być zawarte w raporcie bezpieczeństwa produktu kosmetycznego, tak aby właściwe organy mogły się z nimi zapoznać, jeżeli stosowanie danego nanomateriału budzi obawy dotyczące potencjalnego ryzyka dla zdrowia ludzkiego.</w:t>
            </w:r>
          </w:p>
        </w:tc>
        <w:tc>
          <w:tcPr>
            <w:tcW w:w="4876" w:type="dxa"/>
            <w:tcBorders>
              <w:top w:val="nil"/>
              <w:left w:val="nil"/>
              <w:bottom w:val="nil"/>
              <w:right w:val="nil"/>
            </w:tcBorders>
            <w:hideMark/>
          </w:tcPr>
          <w:p w14:paraId="265C99FE" w14:textId="77777777" w:rsidR="008144C7" w:rsidRPr="00635D1D" w:rsidRDefault="008144C7" w:rsidP="00C5582D">
            <w:pPr>
              <w:pStyle w:val="Normal6a"/>
            </w:pPr>
            <w:r w:rsidRPr="00635D1D">
              <w:rPr>
                <w:b/>
                <w:i/>
              </w:rPr>
              <w:t>skreśla się</w:t>
            </w:r>
          </w:p>
        </w:tc>
      </w:tr>
    </w:tbl>
    <w:p w14:paraId="2AD3514A"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07E25C27" w14:textId="77777777" w:rsidR="008144C7" w:rsidRPr="00635D1D" w:rsidRDefault="008144C7" w:rsidP="008144C7">
      <w:r w:rsidRPr="00635D1D">
        <w:rPr>
          <w:rStyle w:val="HideTWBExt"/>
        </w:rPr>
        <w:t>&lt;/Amend&gt;</w:t>
      </w:r>
    </w:p>
    <w:p w14:paraId="42535BDB"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223</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12F7AC9D" w14:textId="77777777" w:rsidR="008144C7" w:rsidRPr="00E90719" w:rsidRDefault="008144C7" w:rsidP="008144C7">
      <w:pPr>
        <w:pStyle w:val="NormalBold"/>
        <w:rPr>
          <w:lang w:val="it-IT"/>
        </w:rPr>
      </w:pPr>
      <w:r w:rsidRPr="00E90719">
        <w:rPr>
          <w:rStyle w:val="HideTWBExt"/>
          <w:b w:val="0"/>
          <w:lang w:val="it-IT"/>
        </w:rPr>
        <w:t>&lt;RepeatBlock-By&gt;&lt;Members&gt;</w:t>
      </w:r>
      <w:r w:rsidRPr="00E90719">
        <w:rPr>
          <w:lang w:val="it-IT"/>
        </w:rPr>
        <w:t>Pietro Fiocchi, Antonella Sberna</w:t>
      </w:r>
      <w:r w:rsidRPr="00E90719">
        <w:rPr>
          <w:rStyle w:val="HideTWBExt"/>
          <w:b w:val="0"/>
          <w:lang w:val="it-IT"/>
        </w:rPr>
        <w:t>&lt;/Members&gt;</w:t>
      </w:r>
    </w:p>
    <w:p w14:paraId="42A5C486" w14:textId="77777777" w:rsidR="008144C7" w:rsidRPr="00635D1D" w:rsidRDefault="008144C7" w:rsidP="008144C7">
      <w:pPr>
        <w:pStyle w:val="NormalBold"/>
      </w:pPr>
      <w:r w:rsidRPr="00635D1D">
        <w:rPr>
          <w:rStyle w:val="HideTWBExt"/>
          <w:b w:val="0"/>
        </w:rPr>
        <w:t>&lt;/RepeatBlock-By&gt;</w:t>
      </w:r>
    </w:p>
    <w:p w14:paraId="6C711913"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9DBEA48" w14:textId="77777777" w:rsidR="008144C7" w:rsidRPr="00635D1D" w:rsidRDefault="008144C7" w:rsidP="008144C7">
      <w:pPr>
        <w:pStyle w:val="NormalBold"/>
      </w:pPr>
      <w:r w:rsidRPr="00635D1D">
        <w:rPr>
          <w:rStyle w:val="HideTWBExt"/>
          <w:b w:val="0"/>
        </w:rPr>
        <w:t>&lt;Article&gt;</w:t>
      </w:r>
      <w:r w:rsidRPr="00635D1D">
        <w:t>Motyw 23</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76A56A6" w14:textId="77777777" w:rsidTr="00C5582D">
        <w:trPr>
          <w:trHeight w:val="240"/>
          <w:jc w:val="center"/>
        </w:trPr>
        <w:tc>
          <w:tcPr>
            <w:tcW w:w="9752" w:type="dxa"/>
            <w:gridSpan w:val="2"/>
            <w:tcBorders>
              <w:top w:val="nil"/>
              <w:left w:val="nil"/>
              <w:bottom w:val="nil"/>
              <w:right w:val="nil"/>
            </w:tcBorders>
          </w:tcPr>
          <w:p w14:paraId="14B7BA14" w14:textId="77777777" w:rsidR="008144C7" w:rsidRPr="00635D1D" w:rsidRDefault="008144C7" w:rsidP="00C5582D"/>
        </w:tc>
      </w:tr>
      <w:tr w:rsidR="008144C7" w:rsidRPr="00635D1D" w14:paraId="05CDE3C7" w14:textId="77777777" w:rsidTr="00C5582D">
        <w:trPr>
          <w:trHeight w:val="240"/>
          <w:jc w:val="center"/>
        </w:trPr>
        <w:tc>
          <w:tcPr>
            <w:tcW w:w="4876" w:type="dxa"/>
            <w:tcBorders>
              <w:top w:val="nil"/>
              <w:left w:val="nil"/>
              <w:bottom w:val="nil"/>
              <w:right w:val="nil"/>
            </w:tcBorders>
            <w:hideMark/>
          </w:tcPr>
          <w:p w14:paraId="758AFFC9"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083A7EB" w14:textId="77777777" w:rsidR="008144C7" w:rsidRPr="00635D1D" w:rsidRDefault="008144C7" w:rsidP="00C5582D">
            <w:pPr>
              <w:pStyle w:val="AmColumnHeading"/>
            </w:pPr>
            <w:r w:rsidRPr="00635D1D">
              <w:t>Poprawka</w:t>
            </w:r>
          </w:p>
        </w:tc>
      </w:tr>
      <w:tr w:rsidR="008144C7" w:rsidRPr="00635D1D" w14:paraId="1269ED9C" w14:textId="77777777" w:rsidTr="00C5582D">
        <w:trPr>
          <w:jc w:val="center"/>
        </w:trPr>
        <w:tc>
          <w:tcPr>
            <w:tcW w:w="4876" w:type="dxa"/>
            <w:tcBorders>
              <w:top w:val="nil"/>
              <w:left w:val="nil"/>
              <w:bottom w:val="nil"/>
              <w:right w:val="nil"/>
            </w:tcBorders>
            <w:hideMark/>
          </w:tcPr>
          <w:p w14:paraId="46A7F114" w14:textId="77777777" w:rsidR="008144C7" w:rsidRPr="00635D1D" w:rsidRDefault="008144C7" w:rsidP="00C5582D">
            <w:pPr>
              <w:pStyle w:val="Normal6a"/>
            </w:pPr>
            <w:r w:rsidRPr="00635D1D">
              <w:t>(23)</w:t>
            </w:r>
            <w:r w:rsidRPr="00635D1D">
              <w:tab/>
              <w:t xml:space="preserve">Aby zmniejszyć obciążenia administracyjne i związane z przestrzeganiem przepisów dla przedsiębiorstw działających w sektorze kosmetycznym, należy wymagać tylko jednego zgłoszenia produktów kosmetycznych przed wprowadzeniem ich do obrotu w Unii. Warunki takiego zgłoszenia powinny mieć zastosowanie w sposób niedyskryminacyjny do produktów kosmetycznych zawierających nanomateriały oraz do produktów kosmetycznych, które ich nie zawierają. </w:t>
            </w:r>
            <w:r w:rsidRPr="00635D1D">
              <w:rPr>
                <w:b/>
                <w:i/>
              </w:rPr>
              <w:t>W celu zachowania</w:t>
            </w:r>
            <w:r w:rsidRPr="00635D1D">
              <w:t xml:space="preserve"> czujności w odniesieniu do nanomateriałów szczegółowe informacje na temat nanomateriałów stosowanych w produkcie kosmetycznym powinny </w:t>
            </w:r>
            <w:r w:rsidRPr="00635D1D">
              <w:rPr>
                <w:b/>
                <w:bCs/>
                <w:i/>
                <w:iCs/>
              </w:rPr>
              <w:t>obowiązkowo</w:t>
            </w:r>
            <w:r w:rsidRPr="00635D1D">
              <w:t xml:space="preserve"> być zawarte w raporcie bezpieczeństwa produktu kosmetycznego, </w:t>
            </w:r>
            <w:r w:rsidRPr="00635D1D">
              <w:rPr>
                <w:b/>
                <w:i/>
              </w:rPr>
              <w:t>tak aby właściwe organy mogły się z nimi zapoznać</w:t>
            </w:r>
            <w:r w:rsidRPr="00635D1D">
              <w:t>, jeżeli stosowanie danego nanomateriału budzi obawy dotyczące potencjalnego ryzyka dla zdrowia ludzkiego.</w:t>
            </w:r>
          </w:p>
        </w:tc>
        <w:tc>
          <w:tcPr>
            <w:tcW w:w="4876" w:type="dxa"/>
            <w:tcBorders>
              <w:top w:val="nil"/>
              <w:left w:val="nil"/>
              <w:bottom w:val="nil"/>
              <w:right w:val="nil"/>
            </w:tcBorders>
            <w:hideMark/>
          </w:tcPr>
          <w:p w14:paraId="33D8776A" w14:textId="77777777" w:rsidR="008144C7" w:rsidRPr="00635D1D" w:rsidRDefault="008144C7" w:rsidP="00C5582D">
            <w:pPr>
              <w:pStyle w:val="Normal6a"/>
            </w:pPr>
            <w:r w:rsidRPr="00635D1D">
              <w:t>(23)</w:t>
            </w:r>
            <w:r w:rsidRPr="00635D1D">
              <w:tab/>
              <w:t xml:space="preserve">Aby zmniejszyć obciążenia administracyjne i związane z przestrzeganiem przepisów dla przedsiębiorstw działających w sektorze kosmetycznym, należy wymagać tylko jednego zgłoszenia produktów kosmetycznych przed wprowadzeniem ich do obrotu w Unii. Warunki takiego zgłoszenia powinny mieć zastosowanie w sposób niedyskryminacyjny do produktów kosmetycznych zawierających nanomateriały oraz do produktów kosmetycznych, które ich nie zawierają. </w:t>
            </w:r>
            <w:r w:rsidRPr="00635D1D">
              <w:rPr>
                <w:b/>
                <w:bCs/>
                <w:i/>
                <w:iCs/>
              </w:rPr>
              <w:t>Zachowanie</w:t>
            </w:r>
            <w:r w:rsidRPr="00635D1D">
              <w:t xml:space="preserve"> czujności w odniesieniu do nanomateriałów </w:t>
            </w:r>
            <w:r w:rsidRPr="00635D1D">
              <w:rPr>
                <w:b/>
                <w:i/>
              </w:rPr>
              <w:t>zapewnia się dzięki istniejącym wymogom, zgodnie z którymi</w:t>
            </w:r>
            <w:r w:rsidRPr="00635D1D">
              <w:t xml:space="preserve"> szczegółowe informacje na temat nanomateriałów stosowanych w produkcie kosmetycznym powinny być zawarte </w:t>
            </w:r>
            <w:r w:rsidRPr="00635D1D">
              <w:rPr>
                <w:b/>
                <w:i/>
              </w:rPr>
              <w:t>w zgłoszeniu na portalu zgłaszania produktów kosmetycznych (CPNP) oraz</w:t>
            </w:r>
            <w:r w:rsidRPr="00635D1D">
              <w:t xml:space="preserve"> w raporcie bezpieczeństwa produktu kosmetycznego, </w:t>
            </w:r>
            <w:r w:rsidRPr="00635D1D">
              <w:rPr>
                <w:b/>
                <w:i/>
              </w:rPr>
              <w:t>które są dostępne dla właściwych organów</w:t>
            </w:r>
            <w:r w:rsidRPr="00635D1D">
              <w:t>, jeżeli stosowanie danego nanomateriału budzi obawy dotyczące potencjalnego ryzyka dla zdrowia ludzkiego</w:t>
            </w:r>
            <w:r w:rsidRPr="00635D1D">
              <w:rPr>
                <w:b/>
                <w:i/>
              </w:rPr>
              <w:t>, przy czym obawy te można odpowiednio uwzględnić w procesie wprowadzania ograniczeń dotyczących składników ustanowionym na mocy niniejszego rozporządzenia, w razie potrzeby w trybie pilnym, o którym mowa w art. 32 ust. 4 niniejszego rozporządzenia</w:t>
            </w:r>
            <w:r w:rsidRPr="00635D1D">
              <w:t>.</w:t>
            </w:r>
          </w:p>
        </w:tc>
      </w:tr>
    </w:tbl>
    <w:p w14:paraId="04CD33D2"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4F49B0F7"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5916DDFA" w14:textId="77777777" w:rsidR="008144C7" w:rsidRPr="00635D1D" w:rsidRDefault="008144C7" w:rsidP="008144C7">
      <w:pPr>
        <w:pStyle w:val="AmJustText"/>
      </w:pPr>
      <w:r w:rsidRPr="00635D1D">
        <w:t>Propozycja wprowadzenia szczegółowych wymogów dotyczących nanomateriałów w części A pkt 2 załącznika I do rozporządzenia w sprawie produktów kosmetycznych spowodowałaby niepotrzebne powielanie działań i dodatkowe obciążenia administracyjne. Te same informacje są już wymagane na mocy obowiązujących przepisów, w szczególności art. 13 i innych odpowiednich części załącznika I do raportu bezpieczeństwa produktu kosmetycznego. Usunięcie tych przepisów pozwoliłoby uniknąć zbędnej dokumentacji i zmniejszyć koszty bez uszczerbku dla bezpieczeństwa, ponieważ solidne mechanizmy oceny nanomateriałów nadal istnieją w innych częściach rozporządzenia w sprawie produktów kosmetycznych.</w:t>
      </w:r>
    </w:p>
    <w:p w14:paraId="5D4EAF63" w14:textId="77777777" w:rsidR="008144C7" w:rsidRPr="00635D1D" w:rsidRDefault="008144C7" w:rsidP="008144C7">
      <w:r w:rsidRPr="00635D1D">
        <w:rPr>
          <w:rStyle w:val="HideTWBExt"/>
        </w:rPr>
        <w:t>&lt;/Amend&gt;</w:t>
      </w:r>
    </w:p>
    <w:p w14:paraId="4449291B"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224</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45BAC567" w14:textId="77777777" w:rsidR="008144C7" w:rsidRPr="00635D1D" w:rsidRDefault="008144C7" w:rsidP="008144C7">
      <w:pPr>
        <w:pStyle w:val="NormalBold"/>
      </w:pPr>
      <w:r w:rsidRPr="00635D1D">
        <w:rPr>
          <w:rStyle w:val="HideTWBExt"/>
          <w:b w:val="0"/>
        </w:rPr>
        <w:t>&lt;RepeatBlock-By&gt;&lt;Members&gt;</w:t>
      </w:r>
      <w:proofErr w:type="spellStart"/>
      <w:r w:rsidRPr="00635D1D">
        <w:t>Idoia</w:t>
      </w:r>
      <w:proofErr w:type="spellEnd"/>
      <w:r w:rsidRPr="00635D1D">
        <w:t xml:space="preserve"> </w:t>
      </w:r>
      <w:proofErr w:type="spellStart"/>
      <w:r w:rsidRPr="00635D1D">
        <w:t>Mendia</w:t>
      </w:r>
      <w:proofErr w:type="spellEnd"/>
      <w:r w:rsidRPr="00635D1D">
        <w:t xml:space="preserve">, Kristian </w:t>
      </w:r>
      <w:proofErr w:type="spellStart"/>
      <w:r w:rsidRPr="00635D1D">
        <w:t>Vigenin</w:t>
      </w:r>
      <w:proofErr w:type="spellEnd"/>
      <w:r w:rsidRPr="00635D1D">
        <w:t xml:space="preserve">, François </w:t>
      </w:r>
      <w:proofErr w:type="spellStart"/>
      <w:r w:rsidRPr="00635D1D">
        <w:t>Kalfon</w:t>
      </w:r>
      <w:proofErr w:type="spellEnd"/>
      <w:r w:rsidRPr="00635D1D">
        <w:t xml:space="preserve">, </w:t>
      </w:r>
      <w:proofErr w:type="spellStart"/>
      <w:r w:rsidRPr="00635D1D">
        <w:t>Elisabeth</w:t>
      </w:r>
      <w:proofErr w:type="spellEnd"/>
      <w:r w:rsidRPr="00635D1D">
        <w:t xml:space="preserve"> Grossmann, </w:t>
      </w:r>
      <w:proofErr w:type="spellStart"/>
      <w:r w:rsidRPr="00635D1D">
        <w:t>Adnan</w:t>
      </w:r>
      <w:proofErr w:type="spellEnd"/>
      <w:r w:rsidRPr="00635D1D">
        <w:t xml:space="preserve"> </w:t>
      </w:r>
      <w:proofErr w:type="spellStart"/>
      <w:r w:rsidRPr="00635D1D">
        <w:t>Dibrani</w:t>
      </w:r>
      <w:proofErr w:type="spellEnd"/>
      <w:r w:rsidRPr="00635D1D">
        <w:t xml:space="preserve">, </w:t>
      </w:r>
      <w:proofErr w:type="spellStart"/>
      <w:r w:rsidRPr="00635D1D">
        <w:t>Sakis</w:t>
      </w:r>
      <w:proofErr w:type="spellEnd"/>
      <w:r w:rsidRPr="00635D1D">
        <w:t xml:space="preserve"> </w:t>
      </w:r>
      <w:proofErr w:type="spellStart"/>
      <w:r w:rsidRPr="00635D1D">
        <w:t>Arnaoutoglou</w:t>
      </w:r>
      <w:proofErr w:type="spellEnd"/>
      <w:r w:rsidRPr="00635D1D">
        <w:t xml:space="preserve">, </w:t>
      </w:r>
      <w:proofErr w:type="spellStart"/>
      <w:r w:rsidRPr="00635D1D">
        <w:t>César</w:t>
      </w:r>
      <w:proofErr w:type="spellEnd"/>
      <w:r w:rsidRPr="00635D1D">
        <w:t xml:space="preserve"> </w:t>
      </w:r>
      <w:proofErr w:type="spellStart"/>
      <w:r w:rsidRPr="00635D1D">
        <w:t>Luena</w:t>
      </w:r>
      <w:proofErr w:type="spellEnd"/>
      <w:r w:rsidRPr="00635D1D">
        <w:t xml:space="preserve">, Christophe </w:t>
      </w:r>
      <w:proofErr w:type="spellStart"/>
      <w:r w:rsidRPr="00635D1D">
        <w:t>Clergeau</w:t>
      </w:r>
      <w:proofErr w:type="spellEnd"/>
      <w:r w:rsidRPr="00635D1D">
        <w:t xml:space="preserve">, </w:t>
      </w:r>
      <w:proofErr w:type="spellStart"/>
      <w:r w:rsidRPr="00635D1D">
        <w:t>Tiemo</w:t>
      </w:r>
      <w:proofErr w:type="spellEnd"/>
      <w:r w:rsidRPr="00635D1D">
        <w:t xml:space="preserve"> </w:t>
      </w:r>
      <w:proofErr w:type="spellStart"/>
      <w:r w:rsidRPr="00635D1D">
        <w:t>Wölken</w:t>
      </w:r>
      <w:proofErr w:type="spellEnd"/>
      <w:r w:rsidRPr="00635D1D">
        <w:t xml:space="preserve">, </w:t>
      </w:r>
      <w:proofErr w:type="spellStart"/>
      <w:r w:rsidRPr="00635D1D">
        <w:t>Annalisa</w:t>
      </w:r>
      <w:proofErr w:type="spellEnd"/>
      <w:r w:rsidRPr="00635D1D">
        <w:t xml:space="preserve"> Corrado, </w:t>
      </w:r>
      <w:proofErr w:type="spellStart"/>
      <w:r w:rsidRPr="00635D1D">
        <w:t>Heléne</w:t>
      </w:r>
      <w:proofErr w:type="spellEnd"/>
      <w:r w:rsidRPr="00635D1D">
        <w:t xml:space="preserve"> </w:t>
      </w:r>
      <w:proofErr w:type="spellStart"/>
      <w:r w:rsidRPr="00635D1D">
        <w:t>Fritzon</w:t>
      </w:r>
      <w:proofErr w:type="spellEnd"/>
      <w:r w:rsidRPr="00635D1D">
        <w:t>, Marta Temido</w:t>
      </w:r>
      <w:r w:rsidRPr="00635D1D">
        <w:rPr>
          <w:rStyle w:val="HideTWBExt"/>
          <w:b w:val="0"/>
        </w:rPr>
        <w:t>&lt;/</w:t>
      </w:r>
      <w:proofErr w:type="spellStart"/>
      <w:r w:rsidRPr="00635D1D">
        <w:rPr>
          <w:rStyle w:val="HideTWBExt"/>
          <w:b w:val="0"/>
        </w:rPr>
        <w:t>Members</w:t>
      </w:r>
      <w:proofErr w:type="spellEnd"/>
      <w:r w:rsidRPr="00635D1D">
        <w:rPr>
          <w:rStyle w:val="HideTWBExt"/>
          <w:b w:val="0"/>
        </w:rPr>
        <w:t>&gt;</w:t>
      </w:r>
    </w:p>
    <w:p w14:paraId="2933DD08" w14:textId="77777777" w:rsidR="008144C7" w:rsidRPr="00635D1D" w:rsidRDefault="008144C7" w:rsidP="008144C7">
      <w:pPr>
        <w:pStyle w:val="NormalBold"/>
      </w:pPr>
      <w:r w:rsidRPr="00635D1D">
        <w:rPr>
          <w:rStyle w:val="HideTWBExt"/>
          <w:b w:val="0"/>
        </w:rPr>
        <w:t>&lt;/RepeatBlock-By&gt;</w:t>
      </w:r>
    </w:p>
    <w:p w14:paraId="45B342DD"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918F2A7" w14:textId="77777777" w:rsidR="008144C7" w:rsidRPr="00635D1D" w:rsidRDefault="008144C7" w:rsidP="008144C7">
      <w:pPr>
        <w:pStyle w:val="NormalBold"/>
      </w:pPr>
      <w:r w:rsidRPr="00635D1D">
        <w:rPr>
          <w:rStyle w:val="HideTWBExt"/>
          <w:b w:val="0"/>
        </w:rPr>
        <w:t>&lt;Article&gt;</w:t>
      </w:r>
      <w:r w:rsidRPr="00635D1D">
        <w:t>Motyw 23</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EF92D3C" w14:textId="77777777" w:rsidTr="00C5582D">
        <w:trPr>
          <w:trHeight w:val="240"/>
          <w:jc w:val="center"/>
        </w:trPr>
        <w:tc>
          <w:tcPr>
            <w:tcW w:w="9752" w:type="dxa"/>
            <w:gridSpan w:val="2"/>
            <w:tcBorders>
              <w:top w:val="nil"/>
              <w:left w:val="nil"/>
              <w:bottom w:val="nil"/>
              <w:right w:val="nil"/>
            </w:tcBorders>
          </w:tcPr>
          <w:p w14:paraId="1D21A665" w14:textId="77777777" w:rsidR="008144C7" w:rsidRPr="00635D1D" w:rsidRDefault="008144C7" w:rsidP="00C5582D"/>
        </w:tc>
      </w:tr>
      <w:tr w:rsidR="008144C7" w:rsidRPr="00635D1D" w14:paraId="47CF70F9" w14:textId="77777777" w:rsidTr="00C5582D">
        <w:trPr>
          <w:trHeight w:val="240"/>
          <w:jc w:val="center"/>
        </w:trPr>
        <w:tc>
          <w:tcPr>
            <w:tcW w:w="4876" w:type="dxa"/>
            <w:tcBorders>
              <w:top w:val="nil"/>
              <w:left w:val="nil"/>
              <w:bottom w:val="nil"/>
              <w:right w:val="nil"/>
            </w:tcBorders>
            <w:hideMark/>
          </w:tcPr>
          <w:p w14:paraId="284927A5"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982BE69" w14:textId="77777777" w:rsidR="008144C7" w:rsidRPr="00635D1D" w:rsidRDefault="008144C7" w:rsidP="00C5582D">
            <w:pPr>
              <w:pStyle w:val="AmColumnHeading"/>
            </w:pPr>
            <w:r w:rsidRPr="00635D1D">
              <w:t>Poprawka</w:t>
            </w:r>
          </w:p>
        </w:tc>
      </w:tr>
      <w:tr w:rsidR="008144C7" w:rsidRPr="00635D1D" w14:paraId="6AB05335" w14:textId="77777777" w:rsidTr="00C5582D">
        <w:trPr>
          <w:jc w:val="center"/>
        </w:trPr>
        <w:tc>
          <w:tcPr>
            <w:tcW w:w="4876" w:type="dxa"/>
            <w:tcBorders>
              <w:top w:val="nil"/>
              <w:left w:val="nil"/>
              <w:bottom w:val="nil"/>
              <w:right w:val="nil"/>
            </w:tcBorders>
            <w:hideMark/>
          </w:tcPr>
          <w:p w14:paraId="7C2DEE73" w14:textId="77777777" w:rsidR="008144C7" w:rsidRPr="00635D1D" w:rsidRDefault="008144C7" w:rsidP="00C5582D">
            <w:pPr>
              <w:pStyle w:val="Normal6a"/>
            </w:pPr>
            <w:r w:rsidRPr="00635D1D">
              <w:t>(23)</w:t>
            </w:r>
            <w:r w:rsidRPr="00635D1D">
              <w:tab/>
              <w:t xml:space="preserve">Aby zmniejszyć obciążenia administracyjne i związane z przestrzeganiem przepisów dla przedsiębiorstw działających w sektorze kosmetycznym, należy wymagać </w:t>
            </w:r>
            <w:r w:rsidRPr="00635D1D">
              <w:rPr>
                <w:b/>
                <w:i/>
              </w:rPr>
              <w:t>tylko jednego zgłoszenia</w:t>
            </w:r>
            <w:r w:rsidRPr="00635D1D">
              <w:t xml:space="preserve"> produktów kosmetycznych przed wprowadzeniem ich do obrotu w Unii. </w:t>
            </w:r>
            <w:r w:rsidRPr="00635D1D">
              <w:rPr>
                <w:b/>
                <w:i/>
              </w:rPr>
              <w:t>Warunki takiego zgłoszenia powinny mieć zastosowanie w sposób niedyskryminacyjny do produktów kosmetycznych zawierających nanomateriały oraz do produktów kosmetycznych, które ich nie zawierają.</w:t>
            </w:r>
            <w:r w:rsidRPr="00635D1D">
              <w:t xml:space="preserve"> W celu zachowania czujności w odniesieniu do nanomateriałów szczegółowe informacje na temat nanomateriałów stosowanych w produkcie kosmetycznym </w:t>
            </w:r>
            <w:r w:rsidRPr="00635D1D">
              <w:rPr>
                <w:b/>
                <w:i/>
              </w:rPr>
              <w:t>powinny obowiązkowo być zawarte w raporcie bezpieczeństwa</w:t>
            </w:r>
            <w:r w:rsidRPr="00635D1D">
              <w:t xml:space="preserve"> produktu </w:t>
            </w:r>
            <w:r w:rsidRPr="00635D1D">
              <w:rPr>
                <w:b/>
                <w:i/>
              </w:rPr>
              <w:t>kosmetycznego, tak aby właściwe organy mogły się z nimi zapoznać, jeżeli stosowanie danego nanomateriału budzi obawy dotyczące potencjalnego ryzyka dla zdrowia ludzkiego</w:t>
            </w:r>
            <w:r w:rsidRPr="00635D1D">
              <w:t>.</w:t>
            </w:r>
          </w:p>
        </w:tc>
        <w:tc>
          <w:tcPr>
            <w:tcW w:w="4876" w:type="dxa"/>
            <w:tcBorders>
              <w:top w:val="nil"/>
              <w:left w:val="nil"/>
              <w:bottom w:val="nil"/>
              <w:right w:val="nil"/>
            </w:tcBorders>
            <w:hideMark/>
          </w:tcPr>
          <w:p w14:paraId="0921A47F" w14:textId="77777777" w:rsidR="008144C7" w:rsidRPr="00635D1D" w:rsidRDefault="008144C7" w:rsidP="00C5582D">
            <w:pPr>
              <w:pStyle w:val="Normal6a"/>
            </w:pPr>
            <w:r w:rsidRPr="00635D1D">
              <w:t>(23)</w:t>
            </w:r>
            <w:r w:rsidRPr="00635D1D">
              <w:tab/>
              <w:t xml:space="preserve">Aby zmniejszyć obciążenia administracyjne i związane z przestrzeganiem przepisów dla przedsiębiorstw działających w sektorze kosmetycznym, należy wymagać </w:t>
            </w:r>
            <w:r w:rsidRPr="00635D1D">
              <w:rPr>
                <w:b/>
                <w:i/>
              </w:rPr>
              <w:t>zgłoszeń</w:t>
            </w:r>
            <w:r w:rsidRPr="00635D1D">
              <w:t xml:space="preserve"> produktów kosmetycznych </w:t>
            </w:r>
            <w:r w:rsidRPr="00635D1D">
              <w:rPr>
                <w:b/>
                <w:i/>
              </w:rPr>
              <w:t>tylko</w:t>
            </w:r>
            <w:r w:rsidRPr="00635D1D">
              <w:t xml:space="preserve"> przed wprowadzeniem ich do obrotu w Unii. W celu zachowania czujności w odniesieniu do nanomateriałów </w:t>
            </w:r>
            <w:r w:rsidRPr="00635D1D">
              <w:rPr>
                <w:b/>
                <w:i/>
              </w:rPr>
              <w:t>osoby odpowiedzialne powinny nadal przekazywać</w:t>
            </w:r>
            <w:r w:rsidRPr="00635D1D">
              <w:t xml:space="preserve"> szczegółowe informacje na temat nanomateriałów stosowanych w produkcie kosmetycznym </w:t>
            </w:r>
            <w:r w:rsidRPr="00635D1D">
              <w:rPr>
                <w:b/>
                <w:i/>
              </w:rPr>
              <w:t>w ramach istniejącego procesu przed wprowadzeniem</w:t>
            </w:r>
            <w:r w:rsidRPr="00635D1D">
              <w:t xml:space="preserve"> produktu </w:t>
            </w:r>
            <w:r w:rsidRPr="00635D1D">
              <w:rPr>
                <w:b/>
                <w:i/>
              </w:rPr>
              <w:t>do obrotu</w:t>
            </w:r>
            <w:r w:rsidRPr="00635D1D">
              <w:t>.</w:t>
            </w:r>
          </w:p>
        </w:tc>
      </w:tr>
    </w:tbl>
    <w:p w14:paraId="09750581"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6960D2E5" w14:textId="77777777" w:rsidR="008144C7" w:rsidRPr="00E90719" w:rsidRDefault="008144C7" w:rsidP="008144C7">
      <w:pPr>
        <w:rPr>
          <w:lang w:val="en-GB"/>
        </w:rPr>
      </w:pPr>
      <w:r w:rsidRPr="00E90719">
        <w:rPr>
          <w:rStyle w:val="HideTWBExt"/>
          <w:lang w:val="en-GB"/>
        </w:rPr>
        <w:t>&lt;/Amend&gt;</w:t>
      </w:r>
    </w:p>
    <w:p w14:paraId="38DFE81B"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225</w:t>
      </w:r>
      <w:r w:rsidRPr="00E90719">
        <w:rPr>
          <w:rStyle w:val="HideTWBExt"/>
          <w:b w:val="0"/>
          <w:lang w:val="en-GB"/>
        </w:rPr>
        <w:t>&lt;/NumAm&gt;</w:t>
      </w:r>
    </w:p>
    <w:p w14:paraId="00D83897"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Majdouline Sbai</w:t>
      </w:r>
      <w:r w:rsidRPr="00E90719">
        <w:rPr>
          <w:rStyle w:val="HideTWBExt"/>
          <w:b w:val="0"/>
          <w:lang w:val="en-GB"/>
        </w:rPr>
        <w:t>&lt;/Members&gt;</w:t>
      </w:r>
    </w:p>
    <w:p w14:paraId="01FFB819" w14:textId="77777777" w:rsidR="008144C7" w:rsidRPr="00635D1D" w:rsidRDefault="008144C7" w:rsidP="008144C7">
      <w:pPr>
        <w:pStyle w:val="NormalBold"/>
      </w:pPr>
      <w:r w:rsidRPr="00635D1D">
        <w:rPr>
          <w:rStyle w:val="HideTWBExt"/>
          <w:b w:val="0"/>
        </w:rPr>
        <w:t>&lt;/RepeatBlock-By&gt;</w:t>
      </w:r>
    </w:p>
    <w:p w14:paraId="4A46563F"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76798F3" w14:textId="77777777" w:rsidR="008144C7" w:rsidRPr="00635D1D" w:rsidRDefault="008144C7" w:rsidP="008144C7">
      <w:pPr>
        <w:pStyle w:val="NormalBold"/>
      </w:pPr>
      <w:r w:rsidRPr="00635D1D">
        <w:rPr>
          <w:rStyle w:val="HideTWBExt"/>
          <w:b w:val="0"/>
        </w:rPr>
        <w:t>&lt;Article&gt;</w:t>
      </w:r>
      <w:r w:rsidRPr="00635D1D">
        <w:t>Motyw 23</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9F1BDE0" w14:textId="77777777" w:rsidTr="00C5582D">
        <w:trPr>
          <w:trHeight w:val="240"/>
          <w:jc w:val="center"/>
        </w:trPr>
        <w:tc>
          <w:tcPr>
            <w:tcW w:w="9752" w:type="dxa"/>
            <w:gridSpan w:val="2"/>
            <w:tcBorders>
              <w:top w:val="nil"/>
              <w:left w:val="nil"/>
              <w:bottom w:val="nil"/>
              <w:right w:val="nil"/>
            </w:tcBorders>
          </w:tcPr>
          <w:p w14:paraId="2C635647" w14:textId="77777777" w:rsidR="008144C7" w:rsidRPr="00635D1D" w:rsidRDefault="008144C7" w:rsidP="00C5582D"/>
        </w:tc>
      </w:tr>
      <w:tr w:rsidR="008144C7" w:rsidRPr="00635D1D" w14:paraId="33F3DBD9" w14:textId="77777777" w:rsidTr="00C5582D">
        <w:trPr>
          <w:trHeight w:val="240"/>
          <w:jc w:val="center"/>
        </w:trPr>
        <w:tc>
          <w:tcPr>
            <w:tcW w:w="4876" w:type="dxa"/>
            <w:tcBorders>
              <w:top w:val="nil"/>
              <w:left w:val="nil"/>
              <w:bottom w:val="nil"/>
              <w:right w:val="nil"/>
            </w:tcBorders>
            <w:hideMark/>
          </w:tcPr>
          <w:p w14:paraId="4A0E43A5"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045E1CB" w14:textId="77777777" w:rsidR="008144C7" w:rsidRPr="00635D1D" w:rsidRDefault="008144C7" w:rsidP="00C5582D">
            <w:pPr>
              <w:pStyle w:val="AmColumnHeading"/>
            </w:pPr>
            <w:r w:rsidRPr="00635D1D">
              <w:t>Poprawka</w:t>
            </w:r>
          </w:p>
        </w:tc>
      </w:tr>
      <w:tr w:rsidR="008144C7" w:rsidRPr="00635D1D" w14:paraId="7C7A7FB2" w14:textId="77777777" w:rsidTr="00C5582D">
        <w:trPr>
          <w:jc w:val="center"/>
        </w:trPr>
        <w:tc>
          <w:tcPr>
            <w:tcW w:w="4876" w:type="dxa"/>
            <w:tcBorders>
              <w:top w:val="nil"/>
              <w:left w:val="nil"/>
              <w:bottom w:val="nil"/>
              <w:right w:val="nil"/>
            </w:tcBorders>
            <w:hideMark/>
          </w:tcPr>
          <w:p w14:paraId="2D45E907" w14:textId="77777777" w:rsidR="008144C7" w:rsidRPr="00635D1D" w:rsidRDefault="008144C7" w:rsidP="00C5582D">
            <w:pPr>
              <w:pStyle w:val="Normal6a"/>
            </w:pPr>
            <w:r w:rsidRPr="00635D1D">
              <w:t>(23)</w:t>
            </w:r>
            <w:r w:rsidRPr="00635D1D">
              <w:tab/>
              <w:t xml:space="preserve">Aby zmniejszyć obciążenia administracyjne i związane z przestrzeganiem przepisów dla przedsiębiorstw działających w sektorze kosmetycznym, należy wymagać tylko jednego zgłoszenia produktów kosmetycznych przed wprowadzeniem ich do obrotu w Unii. </w:t>
            </w:r>
            <w:r w:rsidRPr="00635D1D">
              <w:rPr>
                <w:b/>
                <w:i/>
              </w:rPr>
              <w:t>Warunki takiego zgłoszenia powinny mieć zastosowanie w sposób niedyskryminacyjny do produktów kosmetycznych zawierających nanomateriały oraz do produktów kosmetycznych, które ich nie zawierają.</w:t>
            </w:r>
            <w:r w:rsidRPr="00635D1D">
              <w:t xml:space="preserve"> W celu zachowania czujności w odniesieniu do nanomateriałów szczegółowe informacje na temat nanomateriałów stosowanych w produkcie kosmetycznym powinny obowiązkowo być zawarte w raporcie bezpieczeństwa produktu kosmetycznego, tak aby właściwe organy mogły się z nimi zapoznać, jeżeli stosowanie danego nanomateriału budzi obawy dotyczące potencjalnego ryzyka dla zdrowia ludzkiego.</w:t>
            </w:r>
          </w:p>
        </w:tc>
        <w:tc>
          <w:tcPr>
            <w:tcW w:w="4876" w:type="dxa"/>
            <w:tcBorders>
              <w:top w:val="nil"/>
              <w:left w:val="nil"/>
              <w:bottom w:val="nil"/>
              <w:right w:val="nil"/>
            </w:tcBorders>
            <w:hideMark/>
          </w:tcPr>
          <w:p w14:paraId="6E09792C" w14:textId="77777777" w:rsidR="008144C7" w:rsidRPr="00635D1D" w:rsidRDefault="008144C7" w:rsidP="00C5582D">
            <w:pPr>
              <w:pStyle w:val="Normal6a"/>
            </w:pPr>
            <w:r w:rsidRPr="00635D1D">
              <w:t>(23)</w:t>
            </w:r>
            <w:r w:rsidRPr="00635D1D">
              <w:tab/>
              <w:t xml:space="preserve">Aby zmniejszyć obciążenia administracyjne i związane z przestrzeganiem przepisów dla przedsiębiorstw działających w sektorze kosmetycznym, należy wymagać tylko jednego zgłoszenia produktów kosmetycznych przed wprowadzeniem ich do obrotu w Unii. W celu zachowania czujności w odniesieniu do nanomateriałów </w:t>
            </w:r>
            <w:r w:rsidRPr="00635D1D">
              <w:rPr>
                <w:b/>
                <w:i/>
              </w:rPr>
              <w:t>w produktach kosmetycznych, należy wprowadzić wymóg, aby zgłoszenie to zawierało szczegółowe informacje na temat przedmiotowych nanomateriałów, które to informacje osoby odpowiedzialne muszą przekazać w ramach istniejącego procesu przed wprowadzeniem produktu do obrotu. Jest to konieczne, aby w przypadku obaw Komisja mogła zwrócić się o ocenę bezpieczeństwa. Należy również wprowadzić wymóg, aby</w:t>
            </w:r>
            <w:r w:rsidRPr="00635D1D">
              <w:t xml:space="preserve"> szczegółowe informacje na temat nanomateriałów stosowanych w produkcie kosmetycznym </w:t>
            </w:r>
            <w:r w:rsidRPr="00635D1D">
              <w:rPr>
                <w:b/>
                <w:bCs/>
                <w:i/>
                <w:iCs/>
              </w:rPr>
              <w:t>były</w:t>
            </w:r>
            <w:r w:rsidRPr="00635D1D">
              <w:t xml:space="preserve"> zawarte w raporcie bezpieczeństwa produktu kosmetycznego, tak aby właściwe organy mogły się z nimi zapoznać, jeżeli stosowanie danego nanomateriału </w:t>
            </w:r>
            <w:r w:rsidRPr="00635D1D">
              <w:rPr>
                <w:b/>
                <w:i/>
              </w:rPr>
              <w:t>w produktach kosmetycznych</w:t>
            </w:r>
            <w:r w:rsidRPr="00635D1D">
              <w:t xml:space="preserve"> budzi obawy dotyczące potencjalnego ryzyka dla zdrowia ludzkiego.</w:t>
            </w:r>
          </w:p>
        </w:tc>
      </w:tr>
    </w:tbl>
    <w:p w14:paraId="0281D378"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499A4330"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3E1062CE" w14:textId="77777777" w:rsidR="008144C7" w:rsidRPr="00E90719" w:rsidRDefault="008144C7" w:rsidP="008144C7">
      <w:pPr>
        <w:pStyle w:val="AmJustText"/>
        <w:rPr>
          <w:lang w:val="en-GB"/>
        </w:rPr>
      </w:pPr>
      <w:r w:rsidRPr="00E90719">
        <w:rPr>
          <w:lang w:val="en-GB"/>
        </w:rPr>
        <w:t xml:space="preserve">Safety of cosmetic products is top priority. Nanomaterials in cosmetics raise potential safety concerns. Both the Commission and Member States should be able to address any such safety concerns. It is therefore necessary to maintain the existing notification of specific risk information </w:t>
      </w:r>
      <w:proofErr w:type="gramStart"/>
      <w:r w:rsidRPr="00E90719">
        <w:rPr>
          <w:lang w:val="en-GB"/>
        </w:rPr>
        <w:t>with regard to</w:t>
      </w:r>
      <w:proofErr w:type="gramEnd"/>
      <w:r w:rsidRPr="00E90719">
        <w:rPr>
          <w:lang w:val="en-GB"/>
        </w:rPr>
        <w:t xml:space="preserve"> nanomaterials to the Commission. Including it in the general notification means that the notification is delayed by six months compared to current law, but this could be accepted with a view to simplify procedures while maintaining responsibility of the Commission to act in case of concerns. At the same time, it makes sense to include this information also in the cosmetic product report, so that it is also available to Member States.</w:t>
      </w:r>
    </w:p>
    <w:p w14:paraId="15AB4591" w14:textId="77777777" w:rsidR="008144C7" w:rsidRPr="00E90719" w:rsidRDefault="008144C7" w:rsidP="008144C7">
      <w:pPr>
        <w:rPr>
          <w:lang w:val="en-GB"/>
        </w:rPr>
      </w:pPr>
      <w:r w:rsidRPr="00E90719">
        <w:rPr>
          <w:rStyle w:val="HideTWBExt"/>
          <w:lang w:val="en-GB"/>
        </w:rPr>
        <w:t>&lt;/Amend&gt;</w:t>
      </w:r>
    </w:p>
    <w:p w14:paraId="293C4138"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226</w:t>
      </w:r>
      <w:r w:rsidRPr="00E90719">
        <w:rPr>
          <w:rStyle w:val="HideTWBExt"/>
          <w:b w:val="0"/>
          <w:lang w:val="en-GB"/>
        </w:rPr>
        <w:t>&lt;/NumAm&gt;</w:t>
      </w:r>
    </w:p>
    <w:p w14:paraId="079ED09F"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Pietro Fiocchi, Antonella Sberna</w:t>
      </w:r>
      <w:r w:rsidRPr="00E90719">
        <w:rPr>
          <w:rStyle w:val="HideTWBExt"/>
          <w:b w:val="0"/>
          <w:lang w:val="en-GB"/>
        </w:rPr>
        <w:t>&lt;/Members&gt;</w:t>
      </w:r>
    </w:p>
    <w:p w14:paraId="72B61DFA" w14:textId="77777777" w:rsidR="008144C7" w:rsidRPr="00E90719" w:rsidRDefault="008144C7" w:rsidP="008144C7">
      <w:pPr>
        <w:pStyle w:val="NormalBold"/>
        <w:rPr>
          <w:lang w:val="en-GB"/>
        </w:rPr>
      </w:pPr>
      <w:r w:rsidRPr="00E90719">
        <w:rPr>
          <w:rStyle w:val="HideTWBExt"/>
          <w:b w:val="0"/>
          <w:lang w:val="en-GB"/>
        </w:rPr>
        <w:t>&lt;/RepeatBlock-By&gt;</w:t>
      </w:r>
    </w:p>
    <w:p w14:paraId="4FA90531"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2390EEE" w14:textId="77777777" w:rsidR="008144C7" w:rsidRPr="00635D1D" w:rsidRDefault="008144C7" w:rsidP="008144C7">
      <w:pPr>
        <w:pStyle w:val="NormalBold"/>
      </w:pPr>
      <w:r w:rsidRPr="00635D1D">
        <w:rPr>
          <w:rStyle w:val="HideTWBExt"/>
          <w:b w:val="0"/>
        </w:rPr>
        <w:t>&lt;Article&gt;</w:t>
      </w:r>
      <w:r w:rsidRPr="00635D1D">
        <w:t>Motyw 25</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D0289B6" w14:textId="77777777" w:rsidTr="00C5582D">
        <w:trPr>
          <w:trHeight w:val="240"/>
          <w:jc w:val="center"/>
        </w:trPr>
        <w:tc>
          <w:tcPr>
            <w:tcW w:w="9752" w:type="dxa"/>
            <w:gridSpan w:val="2"/>
            <w:tcBorders>
              <w:top w:val="nil"/>
              <w:left w:val="nil"/>
              <w:bottom w:val="nil"/>
              <w:right w:val="nil"/>
            </w:tcBorders>
          </w:tcPr>
          <w:p w14:paraId="01FE8A0B" w14:textId="77777777" w:rsidR="008144C7" w:rsidRPr="00635D1D" w:rsidRDefault="008144C7" w:rsidP="00C5582D"/>
        </w:tc>
      </w:tr>
      <w:tr w:rsidR="008144C7" w:rsidRPr="00635D1D" w14:paraId="3E812BC9" w14:textId="77777777" w:rsidTr="00C5582D">
        <w:trPr>
          <w:trHeight w:val="240"/>
          <w:jc w:val="center"/>
        </w:trPr>
        <w:tc>
          <w:tcPr>
            <w:tcW w:w="4876" w:type="dxa"/>
            <w:tcBorders>
              <w:top w:val="nil"/>
              <w:left w:val="nil"/>
              <w:bottom w:val="nil"/>
              <w:right w:val="nil"/>
            </w:tcBorders>
            <w:hideMark/>
          </w:tcPr>
          <w:p w14:paraId="0569CA10"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679821B" w14:textId="77777777" w:rsidR="008144C7" w:rsidRPr="00635D1D" w:rsidRDefault="008144C7" w:rsidP="00C5582D">
            <w:pPr>
              <w:pStyle w:val="AmColumnHeading"/>
            </w:pPr>
            <w:r w:rsidRPr="00635D1D">
              <w:t>Poprawka</w:t>
            </w:r>
          </w:p>
        </w:tc>
      </w:tr>
      <w:tr w:rsidR="008144C7" w:rsidRPr="00635D1D" w14:paraId="63894AC3" w14:textId="77777777" w:rsidTr="00C5582D">
        <w:trPr>
          <w:jc w:val="center"/>
        </w:trPr>
        <w:tc>
          <w:tcPr>
            <w:tcW w:w="4876" w:type="dxa"/>
            <w:tcBorders>
              <w:top w:val="nil"/>
              <w:left w:val="nil"/>
              <w:bottom w:val="nil"/>
              <w:right w:val="nil"/>
            </w:tcBorders>
            <w:hideMark/>
          </w:tcPr>
          <w:p w14:paraId="7C79A006" w14:textId="77777777" w:rsidR="008144C7" w:rsidRPr="00635D1D" w:rsidRDefault="008144C7" w:rsidP="00C5582D">
            <w:pPr>
              <w:pStyle w:val="Normal6a"/>
            </w:pPr>
            <w:r w:rsidRPr="00635D1D">
              <w:t>(25)</w:t>
            </w:r>
            <w:r w:rsidRPr="00635D1D">
              <w:tab/>
              <w:t>Kosmetyki są towarami sprzedawanymi na całym świecie</w:t>
            </w:r>
            <w:r w:rsidRPr="00635D1D">
              <w:rPr>
                <w:b/>
                <w:i/>
              </w:rPr>
              <w:t>.</w:t>
            </w:r>
            <w:r w:rsidRPr="00635D1D">
              <w:t xml:space="preserve"> </w:t>
            </w:r>
            <w:r w:rsidRPr="00635D1D">
              <w:rPr>
                <w:b/>
                <w:i/>
              </w:rPr>
              <w:t>Ważne jest zatem</w:t>
            </w:r>
            <w:r w:rsidRPr="00635D1D">
              <w:t xml:space="preserve">, aby nazwy składników znajdujące się na etykietach odzwierciedlały aktualny stan wiedzy naukowej i rozwoju technologicznego. Stosowanie </w:t>
            </w:r>
            <w:r w:rsidRPr="00635D1D">
              <w:rPr>
                <w:b/>
                <w:bCs/>
                <w:i/>
                <w:iCs/>
              </w:rPr>
              <w:t>uznanych</w:t>
            </w:r>
            <w:r w:rsidRPr="00635D1D">
              <w:t xml:space="preserve"> na szczeblu międzynarodowym </w:t>
            </w:r>
            <w:r w:rsidRPr="00635D1D">
              <w:rPr>
                <w:b/>
                <w:bCs/>
                <w:i/>
                <w:iCs/>
              </w:rPr>
              <w:t>nazw</w:t>
            </w:r>
            <w:r w:rsidRPr="00635D1D">
              <w:t xml:space="preserve"> składników kosmetycznych stanowi istotny czynnik promujący przejrzystość i </w:t>
            </w:r>
            <w:r w:rsidRPr="00635D1D">
              <w:rPr>
                <w:b/>
                <w:i/>
              </w:rPr>
              <w:t>ułatwiający</w:t>
            </w:r>
            <w:r w:rsidRPr="00635D1D">
              <w:t xml:space="preserve"> transgraniczny handel kosmetykami. Niniejsze rozporządzenie powinno umożliwiać stosowanie </w:t>
            </w:r>
            <w:r w:rsidRPr="00635D1D">
              <w:rPr>
                <w:b/>
                <w:bCs/>
                <w:i/>
                <w:iCs/>
              </w:rPr>
              <w:t>nazw uznanych</w:t>
            </w:r>
            <w:r w:rsidRPr="00635D1D">
              <w:t xml:space="preserve"> na szczeblu międzynarodowym na etykietach produktów kosmetycznych bez konieczności podjęcia jakichkolwiek dodatkowych działań regulacyjnych ze strony Komisji. Ponieważ przyjęcie przez Komisję słownika wspólnych nazw składników spowolniłoby proces wprowadzania nowych nazw, należy znieść przepis zobowiązujący Komisję do przyjęcia takiego słownika.</w:t>
            </w:r>
          </w:p>
        </w:tc>
        <w:tc>
          <w:tcPr>
            <w:tcW w:w="4876" w:type="dxa"/>
            <w:tcBorders>
              <w:top w:val="nil"/>
              <w:left w:val="nil"/>
              <w:bottom w:val="nil"/>
              <w:right w:val="nil"/>
            </w:tcBorders>
            <w:hideMark/>
          </w:tcPr>
          <w:p w14:paraId="60FCF67F" w14:textId="77777777" w:rsidR="008144C7" w:rsidRPr="00635D1D" w:rsidRDefault="008144C7" w:rsidP="00C5582D">
            <w:pPr>
              <w:pStyle w:val="Normal6a"/>
            </w:pPr>
            <w:r w:rsidRPr="00635D1D">
              <w:t>(25)</w:t>
            </w:r>
            <w:r w:rsidRPr="00635D1D">
              <w:tab/>
              <w:t>Kosmetyki są towarami sprzedawanymi na całym świecie</w:t>
            </w:r>
            <w:r w:rsidRPr="00635D1D">
              <w:rPr>
                <w:b/>
                <w:i/>
              </w:rPr>
              <w:t>, dlatego zasadnicze znaczenie ma to</w:t>
            </w:r>
            <w:r w:rsidRPr="00635D1D">
              <w:t xml:space="preserve">, aby nazwy składników znajdujące się na etykietach odzwierciedlały </w:t>
            </w:r>
            <w:r w:rsidRPr="00635D1D">
              <w:rPr>
                <w:b/>
                <w:i/>
              </w:rPr>
              <w:t>bez zwłoki</w:t>
            </w:r>
            <w:r w:rsidRPr="00635D1D">
              <w:t xml:space="preserve"> aktualny stan wiedzy naukowej i rozwoju technologicznego. Stosowanie </w:t>
            </w:r>
            <w:r w:rsidRPr="00635D1D">
              <w:rPr>
                <w:b/>
                <w:i/>
              </w:rPr>
              <w:t>nomenklatury uznanej</w:t>
            </w:r>
            <w:r w:rsidRPr="00635D1D">
              <w:t xml:space="preserve"> na szczeblu międzynarodowym</w:t>
            </w:r>
            <w:r w:rsidRPr="00635D1D">
              <w:rPr>
                <w:b/>
                <w:i/>
              </w:rPr>
              <w:t>, takiej jak Międzynarodowe nazewnictwo</w:t>
            </w:r>
            <w:r w:rsidRPr="00635D1D">
              <w:t xml:space="preserve"> składników kosmetycznych </w:t>
            </w:r>
            <w:r w:rsidRPr="00635D1D">
              <w:rPr>
                <w:b/>
                <w:bCs/>
                <w:i/>
                <w:iCs/>
              </w:rPr>
              <w:t>(INCI),</w:t>
            </w:r>
            <w:r w:rsidRPr="00635D1D">
              <w:t xml:space="preserve"> stanowi istotny czynnik promujący przejrzystość </w:t>
            </w:r>
            <w:r w:rsidRPr="00635D1D">
              <w:rPr>
                <w:b/>
                <w:i/>
              </w:rPr>
              <w:t>składników dla konsumentów, zapewnia spójność między jurysdykcjami</w:t>
            </w:r>
            <w:r w:rsidRPr="00635D1D">
              <w:t xml:space="preserve"> i </w:t>
            </w:r>
            <w:r w:rsidRPr="00635D1D">
              <w:rPr>
                <w:b/>
                <w:i/>
              </w:rPr>
              <w:t>ułatwia</w:t>
            </w:r>
            <w:r w:rsidRPr="00635D1D">
              <w:t xml:space="preserve"> transgraniczny handel kosmetykami. </w:t>
            </w:r>
            <w:r w:rsidRPr="00635D1D">
              <w:rPr>
                <w:b/>
                <w:i/>
              </w:rPr>
              <w:t>Nazwy INCI są aktualizowane przez Radę ds. Produktów Higieny Osobistej (PCPC) jako międzynarodowy standard przemysłowy i są powszechnie uznawane przez organy regulacyjne i zainteresowane strony na całym świecie.</w:t>
            </w:r>
            <w:r w:rsidRPr="00635D1D">
              <w:t xml:space="preserve"> Niniejsze rozporządzenie powinno umożliwiać </w:t>
            </w:r>
            <w:r w:rsidRPr="00635D1D">
              <w:rPr>
                <w:b/>
                <w:i/>
              </w:rPr>
              <w:t>bezpośrednie</w:t>
            </w:r>
            <w:r w:rsidRPr="00635D1D">
              <w:t xml:space="preserve"> stosowanie </w:t>
            </w:r>
            <w:r w:rsidRPr="00635D1D">
              <w:rPr>
                <w:b/>
                <w:i/>
              </w:rPr>
              <w:t>nomenklatury uznanej</w:t>
            </w:r>
            <w:r w:rsidRPr="00635D1D">
              <w:t xml:space="preserve"> na szczeblu międzynarodowym </w:t>
            </w:r>
            <w:r w:rsidRPr="00635D1D">
              <w:rPr>
                <w:b/>
                <w:bCs/>
                <w:i/>
                <w:iCs/>
              </w:rPr>
              <w:t>takiej jak INCI</w:t>
            </w:r>
            <w:r w:rsidRPr="00635D1D">
              <w:t xml:space="preserve"> na etykietach produktów kosmetycznych bez konieczności podjęcia jakichkolwiek dodatkowych </w:t>
            </w:r>
            <w:r w:rsidRPr="00635D1D">
              <w:rPr>
                <w:b/>
                <w:i/>
              </w:rPr>
              <w:t>dalszych</w:t>
            </w:r>
            <w:r w:rsidRPr="00635D1D">
              <w:t xml:space="preserve"> działań regulacyjnych ze strony Komisji</w:t>
            </w:r>
            <w:r w:rsidRPr="00635D1D">
              <w:rPr>
                <w:b/>
                <w:i/>
              </w:rPr>
              <w:t>. Gdy wspólna nazwa składnika nie istnieje w INCI, należy zastosować inną ogólnie przyjętą nomenklaturę, na przykład nazwy ustanowione w uznanych międzynarodowych dokumentach referencyjnych dla substancji chemicznych lub substancji leczniczych bądź w innych wiarygodnych źródłach powszechnie wykorzystywanych przez przemysł i organy regulacyjne. Takie podejście zapewnia elastyczność, pozwala uniknąć zbędnych obciążeń administracyjnych i gwarantuje, że nazwy składników stosowane na etykietach produktów kosmetycznych pozostaną aktualne, spójne na szczeblu międzynarodowym i łatwo zrozumiałe dla konsumentów</w:t>
            </w:r>
            <w:r w:rsidRPr="00635D1D">
              <w:t>. Ponieważ przyjęcie przez Komisję słownika wspólnych nazw składników spowolniłoby proces wprowadzania nowych nazw, należy znieść przepis zobowiązujący Komisję do przyjęcia takiego słownika.</w:t>
            </w:r>
          </w:p>
        </w:tc>
      </w:tr>
    </w:tbl>
    <w:p w14:paraId="250618DF"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75F4EA6A"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4FD1E8AE" w14:textId="77777777" w:rsidR="008144C7" w:rsidRPr="00635D1D" w:rsidRDefault="008144C7" w:rsidP="008144C7">
      <w:pPr>
        <w:pStyle w:val="AmJustText"/>
      </w:pPr>
      <w:r w:rsidRPr="00635D1D">
        <w:t>Komisja proponuje skreślenie art. 33 i zmianę art. 19 w taki sposób, aby opierał się na nomenklaturze uznanej na szczeblu międzynarodowym do celów etykietowania kosmetyków oraz aby zastąpić istniejący wykaz terminologiczny. Nie określono w nim jednak, która nomenklatura powinna mieć zastosowanie. Należy zatem uzupełnić wniosek, podobnie jak w podejściu ogólnym Rady (motyw 25), i doprecyzować, że chodzi o Międzynarodowe nazewnictwo składników kosmetycznych (INCI).</w:t>
      </w:r>
    </w:p>
    <w:p w14:paraId="42D844EF" w14:textId="77777777" w:rsidR="008144C7" w:rsidRPr="00635D1D" w:rsidRDefault="008144C7" w:rsidP="008144C7">
      <w:r w:rsidRPr="00635D1D">
        <w:rPr>
          <w:rStyle w:val="HideTWBExt"/>
        </w:rPr>
        <w:t>&lt;/Amend&gt;</w:t>
      </w:r>
    </w:p>
    <w:p w14:paraId="24FDB886"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227</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349CA7A6" w14:textId="77777777" w:rsidR="008144C7" w:rsidRPr="00635D1D" w:rsidRDefault="008144C7" w:rsidP="008144C7">
      <w:pPr>
        <w:pStyle w:val="NormalBold"/>
      </w:pPr>
      <w:r w:rsidRPr="00635D1D">
        <w:rPr>
          <w:rStyle w:val="HideTWBExt"/>
          <w:b w:val="0"/>
        </w:rPr>
        <w:t>&lt;RepeatBlock-By&gt;&lt;Members&gt;</w:t>
      </w:r>
      <w:proofErr w:type="spellStart"/>
      <w:r w:rsidRPr="00635D1D">
        <w:t>Idoia</w:t>
      </w:r>
      <w:proofErr w:type="spellEnd"/>
      <w:r w:rsidRPr="00635D1D">
        <w:t xml:space="preserve"> </w:t>
      </w:r>
      <w:proofErr w:type="spellStart"/>
      <w:r w:rsidRPr="00635D1D">
        <w:t>Mendia</w:t>
      </w:r>
      <w:proofErr w:type="spellEnd"/>
      <w:r w:rsidRPr="00635D1D">
        <w:t xml:space="preserve">, Kristian </w:t>
      </w:r>
      <w:proofErr w:type="spellStart"/>
      <w:r w:rsidRPr="00635D1D">
        <w:t>Vigenin</w:t>
      </w:r>
      <w:proofErr w:type="spellEnd"/>
      <w:r w:rsidRPr="00635D1D">
        <w:t xml:space="preserve">, François </w:t>
      </w:r>
      <w:proofErr w:type="spellStart"/>
      <w:r w:rsidRPr="00635D1D">
        <w:t>Kalfon</w:t>
      </w:r>
      <w:proofErr w:type="spellEnd"/>
      <w:r w:rsidRPr="00635D1D">
        <w:t xml:space="preserve">, </w:t>
      </w:r>
      <w:proofErr w:type="spellStart"/>
      <w:r w:rsidRPr="00635D1D">
        <w:t>Elisabeth</w:t>
      </w:r>
      <w:proofErr w:type="spellEnd"/>
      <w:r w:rsidRPr="00635D1D">
        <w:t xml:space="preserve"> Grossmann, </w:t>
      </w:r>
      <w:proofErr w:type="spellStart"/>
      <w:r w:rsidRPr="00635D1D">
        <w:t>Adnan</w:t>
      </w:r>
      <w:proofErr w:type="spellEnd"/>
      <w:r w:rsidRPr="00635D1D">
        <w:t xml:space="preserve"> </w:t>
      </w:r>
      <w:proofErr w:type="spellStart"/>
      <w:r w:rsidRPr="00635D1D">
        <w:t>Dibrani</w:t>
      </w:r>
      <w:proofErr w:type="spellEnd"/>
      <w:r w:rsidRPr="00635D1D">
        <w:t xml:space="preserve">, </w:t>
      </w:r>
      <w:proofErr w:type="spellStart"/>
      <w:r w:rsidRPr="00635D1D">
        <w:t>Sakis</w:t>
      </w:r>
      <w:proofErr w:type="spellEnd"/>
      <w:r w:rsidRPr="00635D1D">
        <w:t xml:space="preserve"> </w:t>
      </w:r>
      <w:proofErr w:type="spellStart"/>
      <w:r w:rsidRPr="00635D1D">
        <w:t>Arnaoutoglou</w:t>
      </w:r>
      <w:proofErr w:type="spellEnd"/>
      <w:r w:rsidRPr="00635D1D">
        <w:t xml:space="preserve">, </w:t>
      </w:r>
      <w:proofErr w:type="spellStart"/>
      <w:r w:rsidRPr="00635D1D">
        <w:t>César</w:t>
      </w:r>
      <w:proofErr w:type="spellEnd"/>
      <w:r w:rsidRPr="00635D1D">
        <w:t xml:space="preserve"> </w:t>
      </w:r>
      <w:proofErr w:type="spellStart"/>
      <w:r w:rsidRPr="00635D1D">
        <w:t>Luena</w:t>
      </w:r>
      <w:proofErr w:type="spellEnd"/>
      <w:r w:rsidRPr="00635D1D">
        <w:t xml:space="preserve">, Christophe </w:t>
      </w:r>
      <w:proofErr w:type="spellStart"/>
      <w:r w:rsidRPr="00635D1D">
        <w:t>Clergeau</w:t>
      </w:r>
      <w:proofErr w:type="spellEnd"/>
      <w:r w:rsidRPr="00635D1D">
        <w:t xml:space="preserve">, </w:t>
      </w:r>
      <w:proofErr w:type="spellStart"/>
      <w:r w:rsidRPr="00635D1D">
        <w:t>Tiemo</w:t>
      </w:r>
      <w:proofErr w:type="spellEnd"/>
      <w:r w:rsidRPr="00635D1D">
        <w:t xml:space="preserve"> </w:t>
      </w:r>
      <w:proofErr w:type="spellStart"/>
      <w:r w:rsidRPr="00635D1D">
        <w:t>Wölken</w:t>
      </w:r>
      <w:proofErr w:type="spellEnd"/>
      <w:r w:rsidRPr="00635D1D">
        <w:t xml:space="preserve">, </w:t>
      </w:r>
      <w:proofErr w:type="spellStart"/>
      <w:r w:rsidRPr="00635D1D">
        <w:t>Annalisa</w:t>
      </w:r>
      <w:proofErr w:type="spellEnd"/>
      <w:r w:rsidRPr="00635D1D">
        <w:t xml:space="preserve"> Corrado, </w:t>
      </w:r>
      <w:proofErr w:type="spellStart"/>
      <w:r w:rsidRPr="00635D1D">
        <w:t>Heléne</w:t>
      </w:r>
      <w:proofErr w:type="spellEnd"/>
      <w:r w:rsidRPr="00635D1D">
        <w:t xml:space="preserve"> </w:t>
      </w:r>
      <w:proofErr w:type="spellStart"/>
      <w:r w:rsidRPr="00635D1D">
        <w:t>Fritzon</w:t>
      </w:r>
      <w:proofErr w:type="spellEnd"/>
      <w:r w:rsidRPr="00635D1D">
        <w:t xml:space="preserve">, Marta Temido, </w:t>
      </w:r>
      <w:proofErr w:type="spellStart"/>
      <w:r w:rsidRPr="00635D1D">
        <w:t>Christel</w:t>
      </w:r>
      <w:proofErr w:type="spellEnd"/>
      <w:r w:rsidRPr="00635D1D">
        <w:t xml:space="preserve"> </w:t>
      </w:r>
      <w:proofErr w:type="spellStart"/>
      <w:r w:rsidRPr="00635D1D">
        <w:t>Schaldemose</w:t>
      </w:r>
      <w:proofErr w:type="spellEnd"/>
      <w:r w:rsidRPr="00635D1D">
        <w:rPr>
          <w:rStyle w:val="HideTWBExt"/>
          <w:b w:val="0"/>
        </w:rPr>
        <w:t>&lt;/Members&gt;</w:t>
      </w:r>
    </w:p>
    <w:p w14:paraId="78D86344" w14:textId="77777777" w:rsidR="008144C7" w:rsidRPr="00635D1D" w:rsidRDefault="008144C7" w:rsidP="008144C7">
      <w:pPr>
        <w:pStyle w:val="NormalBold"/>
      </w:pPr>
      <w:r w:rsidRPr="00635D1D">
        <w:rPr>
          <w:rStyle w:val="HideTWBExt"/>
          <w:b w:val="0"/>
        </w:rPr>
        <w:t>&lt;/RepeatBlock-By&gt;</w:t>
      </w:r>
    </w:p>
    <w:p w14:paraId="20653159"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522F0BB" w14:textId="77777777" w:rsidR="008144C7" w:rsidRPr="00635D1D" w:rsidRDefault="008144C7" w:rsidP="008144C7">
      <w:pPr>
        <w:pStyle w:val="NormalBold"/>
      </w:pPr>
      <w:r w:rsidRPr="00635D1D">
        <w:rPr>
          <w:rStyle w:val="HideTWBExt"/>
          <w:b w:val="0"/>
        </w:rPr>
        <w:t>&lt;Article&gt;</w:t>
      </w:r>
      <w:r w:rsidRPr="00635D1D">
        <w:t>Motyw 25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1622692" w14:textId="77777777" w:rsidTr="00C5582D">
        <w:trPr>
          <w:trHeight w:val="240"/>
          <w:jc w:val="center"/>
        </w:trPr>
        <w:tc>
          <w:tcPr>
            <w:tcW w:w="9752" w:type="dxa"/>
            <w:gridSpan w:val="2"/>
            <w:tcBorders>
              <w:top w:val="nil"/>
              <w:left w:val="nil"/>
              <w:bottom w:val="nil"/>
              <w:right w:val="nil"/>
            </w:tcBorders>
          </w:tcPr>
          <w:p w14:paraId="087A2821" w14:textId="77777777" w:rsidR="008144C7" w:rsidRPr="00635D1D" w:rsidRDefault="008144C7" w:rsidP="00C5582D"/>
        </w:tc>
      </w:tr>
      <w:tr w:rsidR="008144C7" w:rsidRPr="00635D1D" w14:paraId="7E454444" w14:textId="77777777" w:rsidTr="00C5582D">
        <w:trPr>
          <w:trHeight w:val="240"/>
          <w:jc w:val="center"/>
        </w:trPr>
        <w:tc>
          <w:tcPr>
            <w:tcW w:w="4876" w:type="dxa"/>
            <w:tcBorders>
              <w:top w:val="nil"/>
              <w:left w:val="nil"/>
              <w:bottom w:val="nil"/>
              <w:right w:val="nil"/>
            </w:tcBorders>
            <w:hideMark/>
          </w:tcPr>
          <w:p w14:paraId="3D6E8BCD"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54F60C5E" w14:textId="77777777" w:rsidR="008144C7" w:rsidRPr="00635D1D" w:rsidRDefault="008144C7" w:rsidP="00C5582D">
            <w:pPr>
              <w:pStyle w:val="AmColumnHeading"/>
            </w:pPr>
            <w:r w:rsidRPr="00635D1D">
              <w:t>Poprawka</w:t>
            </w:r>
          </w:p>
        </w:tc>
      </w:tr>
      <w:tr w:rsidR="008144C7" w:rsidRPr="00635D1D" w14:paraId="1ABAFA88" w14:textId="77777777" w:rsidTr="00C5582D">
        <w:trPr>
          <w:jc w:val="center"/>
        </w:trPr>
        <w:tc>
          <w:tcPr>
            <w:tcW w:w="4876" w:type="dxa"/>
            <w:tcBorders>
              <w:top w:val="nil"/>
              <w:left w:val="nil"/>
              <w:bottom w:val="nil"/>
              <w:right w:val="nil"/>
            </w:tcBorders>
          </w:tcPr>
          <w:p w14:paraId="4258E7E7" w14:textId="77777777" w:rsidR="008144C7" w:rsidRPr="00635D1D" w:rsidRDefault="008144C7" w:rsidP="00C5582D">
            <w:pPr>
              <w:pStyle w:val="Normal6a"/>
            </w:pPr>
          </w:p>
        </w:tc>
        <w:tc>
          <w:tcPr>
            <w:tcW w:w="4876" w:type="dxa"/>
            <w:tcBorders>
              <w:top w:val="nil"/>
              <w:left w:val="nil"/>
              <w:bottom w:val="nil"/>
              <w:right w:val="nil"/>
            </w:tcBorders>
            <w:hideMark/>
          </w:tcPr>
          <w:p w14:paraId="67C564DA" w14:textId="77777777" w:rsidR="008144C7" w:rsidRPr="00635D1D" w:rsidRDefault="008144C7" w:rsidP="00C5582D">
            <w:pPr>
              <w:pStyle w:val="Normal6a"/>
            </w:pPr>
            <w:r w:rsidRPr="00635D1D">
              <w:rPr>
                <w:b/>
                <w:i/>
              </w:rPr>
              <w:t>(25a)</w:t>
            </w:r>
            <w:r w:rsidRPr="00635D1D">
              <w:tab/>
            </w:r>
            <w:r w:rsidRPr="00635D1D">
              <w:rPr>
                <w:b/>
                <w:i/>
              </w:rPr>
              <w:t xml:space="preserve">Aby zapewnić wysoki poziom ochrony zdrowia ludzkiego, wszystkie podmioty wprowadzające produkty kosmetyczne do obrotu w Unii, zarówno w </w:t>
            </w:r>
            <w:proofErr w:type="spellStart"/>
            <w:r w:rsidRPr="00635D1D">
              <w:rPr>
                <w:b/>
                <w:i/>
              </w:rPr>
              <w:t>internecie</w:t>
            </w:r>
            <w:proofErr w:type="spellEnd"/>
            <w:r w:rsidRPr="00635D1D">
              <w:rPr>
                <w:b/>
                <w:i/>
              </w:rPr>
              <w:t xml:space="preserve">, jak i poza nim, powinny podlegać równoważnym obowiązkom i skutecznemu egzekwowaniu przepisów. Jest to szczególnie ważne z uwagi na rosnącą sprzedaż kosmetyków za pośrednictwem internetowych platform handlowych, w tym produktów pochodzących z państw trzecich, które nie podlegają takim samym wymogom w zakresie zdrowia i bezpieczeństwa. W związku z tym konieczne jest wprowadzenie wymogu, aby informacje na etykiecie, o których mowa w art. 19, były podawane w jasny i widoczny sposób w przypadku sprzedaży na odległość, w tym za pośrednictwem internetowych platform handlowych. Wymóg ten uprości egzekwowanie rozporządzenia (WE) nr 1223/2009, a tym samym przyczyni się do uczciwej konkurencji i wysokiego poziomu ochrony zdrowia ludzkiego. Ponadto należy wzmocnić nadzór po wprowadzeniu do obrotu, w szczególności w odniesieniu do sprzedaży przez </w:t>
            </w:r>
            <w:proofErr w:type="spellStart"/>
            <w:r w:rsidRPr="00635D1D">
              <w:rPr>
                <w:b/>
                <w:i/>
              </w:rPr>
              <w:t>internet</w:t>
            </w:r>
            <w:proofErr w:type="spellEnd"/>
            <w:r w:rsidRPr="00635D1D">
              <w:rPr>
                <w:b/>
                <w:i/>
              </w:rPr>
              <w:t xml:space="preserve"> i przywozu, a produkty kosmetyczne uznane za niezgodne z wymogami za pośrednictwem unijnego systemu wczesnego ostrzegania (</w:t>
            </w:r>
            <w:proofErr w:type="spellStart"/>
            <w:r w:rsidRPr="00635D1D">
              <w:rPr>
                <w:b/>
                <w:i/>
              </w:rPr>
              <w:t>Safety</w:t>
            </w:r>
            <w:proofErr w:type="spellEnd"/>
            <w:r w:rsidRPr="00635D1D">
              <w:rPr>
                <w:b/>
                <w:i/>
              </w:rPr>
              <w:t xml:space="preserve"> </w:t>
            </w:r>
            <w:proofErr w:type="spellStart"/>
            <w:r w:rsidRPr="00635D1D">
              <w:rPr>
                <w:b/>
                <w:i/>
              </w:rPr>
              <w:t>Gate</w:t>
            </w:r>
            <w:proofErr w:type="spellEnd"/>
            <w:r w:rsidRPr="00635D1D">
              <w:rPr>
                <w:b/>
                <w:i/>
              </w:rPr>
              <w:t xml:space="preserve">) nie powinny być wystawiane ani oferowane do sprzedaży. W tym celu platformy internetowe powinny weryfikować tożsamość osoby odpowiedzialnej przed zezwoleniem na wprowadzenie produktów do obrotu w Unii, a sprzedaż przez </w:t>
            </w:r>
            <w:proofErr w:type="spellStart"/>
            <w:r w:rsidRPr="00635D1D">
              <w:rPr>
                <w:b/>
                <w:i/>
              </w:rPr>
              <w:t>internet</w:t>
            </w:r>
            <w:proofErr w:type="spellEnd"/>
            <w:r w:rsidRPr="00635D1D">
              <w:rPr>
                <w:b/>
                <w:i/>
              </w:rPr>
              <w:t>, oferowanie do sprzedaży i promocja – w tym za pośrednictwem mediów społecznościowych – zakazanych kosmetyków, w szczególności produktów z dodatkiem rtęci, powinny być wyraźnie zakazane.</w:t>
            </w:r>
          </w:p>
        </w:tc>
      </w:tr>
    </w:tbl>
    <w:p w14:paraId="1229E623"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6C6E7F10" w14:textId="77777777" w:rsidR="008144C7" w:rsidRPr="00E90719" w:rsidRDefault="008144C7" w:rsidP="008144C7">
      <w:pPr>
        <w:rPr>
          <w:lang w:val="en-GB"/>
        </w:rPr>
      </w:pPr>
      <w:r w:rsidRPr="00E90719">
        <w:rPr>
          <w:rStyle w:val="HideTWBExt"/>
          <w:lang w:val="en-GB"/>
        </w:rPr>
        <w:t>&lt;/Amend&gt;</w:t>
      </w:r>
    </w:p>
    <w:p w14:paraId="78899E41"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228</w:t>
      </w:r>
      <w:r w:rsidRPr="00E90719">
        <w:rPr>
          <w:rStyle w:val="HideTWBExt"/>
          <w:b w:val="0"/>
          <w:lang w:val="en-GB"/>
        </w:rPr>
        <w:t>&lt;/NumAm&gt;</w:t>
      </w:r>
    </w:p>
    <w:p w14:paraId="52891E7F"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Sander Smit</w:t>
      </w:r>
      <w:r w:rsidRPr="00E90719">
        <w:rPr>
          <w:rStyle w:val="HideTWBExt"/>
          <w:b w:val="0"/>
          <w:lang w:val="en-GB"/>
        </w:rPr>
        <w:t>&lt;/Members&gt;</w:t>
      </w:r>
    </w:p>
    <w:p w14:paraId="7163C3C7" w14:textId="77777777" w:rsidR="008144C7" w:rsidRPr="00635D1D" w:rsidRDefault="008144C7" w:rsidP="008144C7">
      <w:pPr>
        <w:pStyle w:val="NormalBold"/>
      </w:pPr>
      <w:r w:rsidRPr="00635D1D">
        <w:rPr>
          <w:rStyle w:val="HideTWBExt"/>
          <w:b w:val="0"/>
        </w:rPr>
        <w:t>&lt;/RepeatBlock-By&gt;</w:t>
      </w:r>
    </w:p>
    <w:p w14:paraId="1B5A9ABD"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7DEEF86F" w14:textId="77777777" w:rsidR="008144C7" w:rsidRPr="00635D1D" w:rsidRDefault="008144C7" w:rsidP="008144C7">
      <w:pPr>
        <w:pStyle w:val="NormalBold"/>
      </w:pPr>
      <w:r w:rsidRPr="00635D1D">
        <w:rPr>
          <w:rStyle w:val="HideTWBExt"/>
          <w:b w:val="0"/>
        </w:rPr>
        <w:t>&lt;Article&gt;</w:t>
      </w:r>
      <w:r w:rsidRPr="00635D1D">
        <w:t>Motyw 26</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DDDDF11" w14:textId="77777777" w:rsidTr="00C5582D">
        <w:trPr>
          <w:trHeight w:val="240"/>
          <w:jc w:val="center"/>
        </w:trPr>
        <w:tc>
          <w:tcPr>
            <w:tcW w:w="9752" w:type="dxa"/>
            <w:gridSpan w:val="2"/>
            <w:tcBorders>
              <w:top w:val="nil"/>
              <w:left w:val="nil"/>
              <w:bottom w:val="nil"/>
              <w:right w:val="nil"/>
            </w:tcBorders>
          </w:tcPr>
          <w:p w14:paraId="53BDA7DE" w14:textId="77777777" w:rsidR="008144C7" w:rsidRPr="00635D1D" w:rsidRDefault="008144C7" w:rsidP="00C5582D"/>
        </w:tc>
      </w:tr>
      <w:tr w:rsidR="008144C7" w:rsidRPr="00635D1D" w14:paraId="24CD0D71" w14:textId="77777777" w:rsidTr="00C5582D">
        <w:trPr>
          <w:trHeight w:val="240"/>
          <w:jc w:val="center"/>
        </w:trPr>
        <w:tc>
          <w:tcPr>
            <w:tcW w:w="4876" w:type="dxa"/>
            <w:tcBorders>
              <w:top w:val="nil"/>
              <w:left w:val="nil"/>
              <w:bottom w:val="nil"/>
              <w:right w:val="nil"/>
            </w:tcBorders>
            <w:hideMark/>
          </w:tcPr>
          <w:p w14:paraId="33C36CD6"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B332987" w14:textId="77777777" w:rsidR="008144C7" w:rsidRPr="00635D1D" w:rsidRDefault="008144C7" w:rsidP="00C5582D">
            <w:pPr>
              <w:pStyle w:val="AmColumnHeading"/>
            </w:pPr>
            <w:r w:rsidRPr="00635D1D">
              <w:t>Poprawka</w:t>
            </w:r>
          </w:p>
        </w:tc>
      </w:tr>
      <w:tr w:rsidR="008144C7" w:rsidRPr="00635D1D" w14:paraId="1B7A71F0" w14:textId="77777777" w:rsidTr="00C5582D">
        <w:trPr>
          <w:jc w:val="center"/>
        </w:trPr>
        <w:tc>
          <w:tcPr>
            <w:tcW w:w="4876" w:type="dxa"/>
            <w:tcBorders>
              <w:top w:val="nil"/>
              <w:left w:val="nil"/>
              <w:bottom w:val="nil"/>
              <w:right w:val="nil"/>
            </w:tcBorders>
            <w:hideMark/>
          </w:tcPr>
          <w:p w14:paraId="69896304" w14:textId="77777777" w:rsidR="008144C7" w:rsidRPr="00635D1D" w:rsidRDefault="008144C7" w:rsidP="00C5582D">
            <w:pPr>
              <w:pStyle w:val="Normal6a"/>
            </w:pPr>
            <w:r w:rsidRPr="00635D1D">
              <w:t>(26)</w:t>
            </w:r>
            <w:r w:rsidRPr="00635D1D">
              <w:tab/>
            </w:r>
            <w:r w:rsidRPr="00635D1D">
              <w:rPr>
                <w:b/>
                <w:bCs/>
                <w:i/>
                <w:iCs/>
              </w:rPr>
              <w:t>Zgodnie z celem Komisji, jakim jest zracjonalizowanie i uproszczenie wymogów sprawozdawczych oraz promowanie zasady „domyślnej cyfrowości” w celu wspierania transformacji cyfrowej, podmioty gospodarcze zajmujące się produktami nawozowymi UE</w:t>
            </w:r>
            <w:r w:rsidRPr="00635D1D">
              <w:t xml:space="preserve"> zgodnie z rozporządzeniem (UE) 2019/1009 </w:t>
            </w:r>
            <w:r w:rsidRPr="00635D1D">
              <w:rPr>
                <w:b/>
                <w:bCs/>
                <w:i/>
                <w:iCs/>
              </w:rPr>
              <w:t>powinny podać kontakt elektroniczny, za pośrednictwem którego można się z nimi skontaktować, a także sporządzić deklarację zgodności UE w formie elektronicznej i udostępnić ją za pośrednictwem adresu internetowego lub na nośniku danych oraz przekazywać organom, na ich wniosek, wszystkie istotne informacje i dokumentację w formie elektronicznej</w:t>
            </w:r>
            <w:r w:rsidRPr="00635D1D">
              <w:t xml:space="preserve">. </w:t>
            </w:r>
            <w:r w:rsidRPr="00635D1D">
              <w:rPr>
                <w:b/>
                <w:i/>
              </w:rPr>
              <w:t>Dokumenty i korespondencja kierowane do jednostek notyfikowanych i otrzymywane od nich w związku z ocenami zgodności produktów nawozowych UE również powinny być przekazywane w formie elektronicznej. W przypadku stosowania etykiety cyfrowej producenci powinni korzystać z tego samego nośnika danych na potrzeby etykiety cyfrowej w celu zapewnienia dostępu do deklaracji zgodności UE, aby uniknąć istnienia wielu nośników danych obejmujących ten sam produkt. W przypadku gdy cyfrowy paszport produktu jest wymagany dla produktów nawozowych UE na podstawie innych przepisów UE, należy w nim podać informacje zawarte na etykietach cyfrowych oraz udostępnić deklarację zgodności UE.</w:t>
            </w:r>
          </w:p>
        </w:tc>
        <w:tc>
          <w:tcPr>
            <w:tcW w:w="4876" w:type="dxa"/>
            <w:tcBorders>
              <w:top w:val="nil"/>
              <w:left w:val="nil"/>
              <w:bottom w:val="nil"/>
              <w:right w:val="nil"/>
            </w:tcBorders>
            <w:hideMark/>
          </w:tcPr>
          <w:p w14:paraId="56A88EC8" w14:textId="77777777" w:rsidR="008144C7" w:rsidRPr="00635D1D" w:rsidRDefault="008144C7" w:rsidP="00C5582D">
            <w:pPr>
              <w:pStyle w:val="Normal6a"/>
            </w:pPr>
            <w:r w:rsidRPr="00635D1D">
              <w:t>(26)</w:t>
            </w:r>
            <w:r w:rsidRPr="00635D1D">
              <w:tab/>
            </w:r>
            <w:r w:rsidRPr="00635D1D">
              <w:rPr>
                <w:b/>
                <w:bCs/>
                <w:i/>
                <w:iCs/>
              </w:rPr>
              <w:t>Rozwiązania cyfrowe dotyczące deklaracji zgodności UE powinny pozostać dobrowolne i nie wpływać na charakter deklaracji jako wewnętrznego dokumentu zgodności;</w:t>
            </w:r>
            <w:r w:rsidRPr="00635D1D">
              <w:rPr>
                <w:b/>
                <w:i/>
              </w:rPr>
              <w:t xml:space="preserve"> </w:t>
            </w:r>
            <w:r w:rsidRPr="00635D1D">
              <w:rPr>
                <w:b/>
                <w:bCs/>
                <w:i/>
                <w:iCs/>
              </w:rPr>
              <w:t>powinny być one udostępniane właściwym organom i odpowiednim podmiotom gospodarczym na ich wniosek,</w:t>
            </w:r>
            <w:r w:rsidRPr="00635D1D">
              <w:t xml:space="preserve"> zgodnie z rozporządzeniem (UE) 2019/1009.</w:t>
            </w:r>
          </w:p>
        </w:tc>
      </w:tr>
    </w:tbl>
    <w:p w14:paraId="4371D183"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{NL}</w:t>
      </w:r>
      <w:r w:rsidRPr="00E90719">
        <w:rPr>
          <w:lang w:val="en-GB"/>
        </w:rPr>
        <w:t>nl</w:t>
      </w:r>
      <w:r w:rsidRPr="00E90719">
        <w:rPr>
          <w:rStyle w:val="HideTWBExt"/>
          <w:lang w:val="en-GB"/>
        </w:rPr>
        <w:t>&lt;/Original&gt;</w:t>
      </w:r>
    </w:p>
    <w:p w14:paraId="007F79D1" w14:textId="77777777" w:rsidR="008144C7" w:rsidRPr="00E90719" w:rsidRDefault="008144C7" w:rsidP="008144C7">
      <w:pPr>
        <w:rPr>
          <w:lang w:val="en-GB"/>
        </w:rPr>
      </w:pPr>
      <w:r w:rsidRPr="00E90719">
        <w:rPr>
          <w:rStyle w:val="HideTWBExt"/>
          <w:lang w:val="en-GB"/>
        </w:rPr>
        <w:t>&lt;/Amend&gt;</w:t>
      </w:r>
    </w:p>
    <w:p w14:paraId="33AD9AF4"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229</w:t>
      </w:r>
      <w:r w:rsidRPr="00E90719">
        <w:rPr>
          <w:rStyle w:val="HideTWBExt"/>
          <w:b w:val="0"/>
          <w:lang w:val="en-GB"/>
        </w:rPr>
        <w:t>&lt;/NumAm&gt;</w:t>
      </w:r>
    </w:p>
    <w:p w14:paraId="261E43C1"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Katrin Langensiepen</w:t>
      </w:r>
      <w:r w:rsidRPr="00E90719">
        <w:rPr>
          <w:rStyle w:val="HideTWBExt"/>
          <w:b w:val="0"/>
          <w:lang w:val="en-GB"/>
        </w:rPr>
        <w:t>&lt;/Members&gt;</w:t>
      </w:r>
    </w:p>
    <w:p w14:paraId="721A1708" w14:textId="77777777" w:rsidR="008144C7" w:rsidRPr="00E90719" w:rsidRDefault="008144C7" w:rsidP="008144C7">
      <w:pPr>
        <w:rPr>
          <w:lang w:val="en-GB"/>
        </w:rPr>
      </w:pPr>
      <w:r w:rsidRPr="00E90719">
        <w:rPr>
          <w:rStyle w:val="HideTWBExt"/>
          <w:lang w:val="en-GB"/>
        </w:rPr>
        <w:t>&lt;AuNomDe&gt;</w:t>
      </w:r>
      <w:r w:rsidRPr="00E90719">
        <w:rPr>
          <w:rStyle w:val="HideTWBInt"/>
          <w:lang w:val="en-GB"/>
        </w:rPr>
        <w:t>{Verts/</w:t>
      </w:r>
      <w:proofErr w:type="gramStart"/>
      <w:r w:rsidRPr="00E90719">
        <w:rPr>
          <w:rStyle w:val="HideTWBInt"/>
          <w:lang w:val="en-GB"/>
        </w:rPr>
        <w:t>ALE}</w:t>
      </w:r>
      <w:r w:rsidRPr="00E90719">
        <w:rPr>
          <w:lang w:val="en-GB"/>
        </w:rPr>
        <w:t>w</w:t>
      </w:r>
      <w:proofErr w:type="gramEnd"/>
      <w:r w:rsidRPr="00E90719">
        <w:rPr>
          <w:lang w:val="en-GB"/>
        </w:rPr>
        <w:t xml:space="preserve"> imieniu grupy Verts/ALE</w:t>
      </w:r>
      <w:r w:rsidRPr="00E90719">
        <w:rPr>
          <w:rStyle w:val="HideTWBExt"/>
          <w:lang w:val="en-GB"/>
        </w:rPr>
        <w:t>&lt;/AuNomDe&gt;</w:t>
      </w:r>
    </w:p>
    <w:p w14:paraId="6DF27887" w14:textId="77777777" w:rsidR="008144C7" w:rsidRPr="00635D1D" w:rsidRDefault="008144C7" w:rsidP="008144C7">
      <w:pPr>
        <w:pStyle w:val="NormalBold"/>
      </w:pPr>
      <w:r w:rsidRPr="00635D1D">
        <w:rPr>
          <w:rStyle w:val="HideTWBExt"/>
          <w:b w:val="0"/>
        </w:rPr>
        <w:t>&lt;/RepeatBlock-By&gt;</w:t>
      </w:r>
    </w:p>
    <w:p w14:paraId="0A06BF2B"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FE08C4B" w14:textId="77777777" w:rsidR="008144C7" w:rsidRPr="00635D1D" w:rsidRDefault="008144C7" w:rsidP="008144C7">
      <w:pPr>
        <w:pStyle w:val="NormalBold"/>
      </w:pPr>
      <w:r w:rsidRPr="00635D1D">
        <w:rPr>
          <w:rStyle w:val="HideTWBExt"/>
          <w:b w:val="0"/>
        </w:rPr>
        <w:t>&lt;Article&gt;</w:t>
      </w:r>
      <w:r w:rsidRPr="00635D1D">
        <w:t>Motyw 26</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8A80761" w14:textId="77777777" w:rsidTr="00C5582D">
        <w:trPr>
          <w:trHeight w:val="240"/>
          <w:jc w:val="center"/>
        </w:trPr>
        <w:tc>
          <w:tcPr>
            <w:tcW w:w="9752" w:type="dxa"/>
            <w:gridSpan w:val="2"/>
            <w:tcBorders>
              <w:top w:val="nil"/>
              <w:left w:val="nil"/>
              <w:bottom w:val="nil"/>
              <w:right w:val="nil"/>
            </w:tcBorders>
          </w:tcPr>
          <w:p w14:paraId="2472F183" w14:textId="77777777" w:rsidR="008144C7" w:rsidRPr="00635D1D" w:rsidRDefault="008144C7" w:rsidP="00C5582D"/>
        </w:tc>
      </w:tr>
      <w:tr w:rsidR="008144C7" w:rsidRPr="00635D1D" w14:paraId="1488F2EA" w14:textId="77777777" w:rsidTr="00C5582D">
        <w:trPr>
          <w:trHeight w:val="240"/>
          <w:jc w:val="center"/>
        </w:trPr>
        <w:tc>
          <w:tcPr>
            <w:tcW w:w="4876" w:type="dxa"/>
            <w:tcBorders>
              <w:top w:val="nil"/>
              <w:left w:val="nil"/>
              <w:bottom w:val="nil"/>
              <w:right w:val="nil"/>
            </w:tcBorders>
            <w:hideMark/>
          </w:tcPr>
          <w:p w14:paraId="112FF772"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83496C5" w14:textId="77777777" w:rsidR="008144C7" w:rsidRPr="00635D1D" w:rsidRDefault="008144C7" w:rsidP="00C5582D">
            <w:pPr>
              <w:pStyle w:val="AmColumnHeading"/>
            </w:pPr>
            <w:r w:rsidRPr="00635D1D">
              <w:t>Poprawka</w:t>
            </w:r>
          </w:p>
        </w:tc>
      </w:tr>
      <w:tr w:rsidR="008144C7" w:rsidRPr="00635D1D" w14:paraId="15A58C9C" w14:textId="77777777" w:rsidTr="00C5582D">
        <w:trPr>
          <w:jc w:val="center"/>
        </w:trPr>
        <w:tc>
          <w:tcPr>
            <w:tcW w:w="4876" w:type="dxa"/>
            <w:tcBorders>
              <w:top w:val="nil"/>
              <w:left w:val="nil"/>
              <w:bottom w:val="nil"/>
              <w:right w:val="nil"/>
            </w:tcBorders>
            <w:hideMark/>
          </w:tcPr>
          <w:p w14:paraId="64DBAB7C" w14:textId="77777777" w:rsidR="008144C7" w:rsidRPr="00635D1D" w:rsidRDefault="008144C7" w:rsidP="00C5582D">
            <w:pPr>
              <w:pStyle w:val="Normal6a"/>
            </w:pPr>
            <w:r w:rsidRPr="00635D1D">
              <w:t>(26)</w:t>
            </w:r>
            <w:r w:rsidRPr="00635D1D">
              <w:tab/>
              <w:t xml:space="preserve">Zgodnie z celem Komisji, jakim jest zracjonalizowanie i uproszczenie wymogów sprawozdawczych oraz promowanie zasady „domyślnej cyfrowości” w celu wspierania transformacji cyfrowej, podmioty gospodarcze zajmujące się produktami nawozowymi UE zgodnie z rozporządzeniem (UE) 2019/1009 powinny podać kontakt elektroniczny, za pośrednictwem którego </w:t>
            </w:r>
            <w:r w:rsidRPr="00635D1D">
              <w:rPr>
                <w:b/>
                <w:bCs/>
                <w:i/>
                <w:iCs/>
              </w:rPr>
              <w:t>można</w:t>
            </w:r>
            <w:r w:rsidRPr="00635D1D">
              <w:t xml:space="preserve"> się </w:t>
            </w:r>
            <w:r w:rsidRPr="00635D1D">
              <w:rPr>
                <w:b/>
                <w:i/>
              </w:rPr>
              <w:t>z nimi</w:t>
            </w:r>
            <w:r w:rsidRPr="00635D1D">
              <w:t xml:space="preserve"> skontaktować, a także sporządzić deklarację zgodności UE w formie elektronicznej i udostępnić ją za pośrednictwem adresu internetowego lub na nośniku danych oraz przekazywać organom, na ich wniosek, wszystkie istotne informacje i dokumentację w formie elektronicznej. Dokumenty i korespondencja kierowane do jednostek notyfikowanych i otrzymywane od nich w związku z ocenami zgodności produktów nawozowych UE również powinny być przekazywane w formie elektronicznej. W przypadku stosowania etykiety cyfrowej producenci powinni korzystać z tego samego nośnika danych na potrzeby etykiety cyfrowej w celu zapewnienia dostępu do deklaracji zgodności UE, aby uniknąć istnienia wielu nośników danych obejmujących ten sam produkt. W przypadku gdy cyfrowy paszport produktu jest wymagany dla produktów nawozowych UE na podstawie innych przepisów UE, należy w nim podać informacje zawarte na etykietach cyfrowych oraz udostępnić deklarację zgodności UE.</w:t>
            </w:r>
          </w:p>
        </w:tc>
        <w:tc>
          <w:tcPr>
            <w:tcW w:w="4876" w:type="dxa"/>
            <w:tcBorders>
              <w:top w:val="nil"/>
              <w:left w:val="nil"/>
              <w:bottom w:val="nil"/>
              <w:right w:val="nil"/>
            </w:tcBorders>
            <w:hideMark/>
          </w:tcPr>
          <w:p w14:paraId="5A4EA1E4" w14:textId="77777777" w:rsidR="008144C7" w:rsidRPr="00635D1D" w:rsidRDefault="008144C7" w:rsidP="00C5582D">
            <w:pPr>
              <w:pStyle w:val="Normal6a"/>
            </w:pPr>
            <w:r w:rsidRPr="00635D1D">
              <w:t>(26)</w:t>
            </w:r>
            <w:r w:rsidRPr="00635D1D">
              <w:tab/>
              <w:t xml:space="preserve">Zgodnie z celem Komisji, jakim jest zracjonalizowanie i uproszczenie wymogów sprawozdawczych oraz promowanie zasady „domyślnej cyfrowości” w celu wspierania transformacji cyfrowej, podmioty gospodarcze zajmujące się produktami nawozowymi UE zgodnie z rozporządzeniem (UE) 2019/1009 powinny podać kontakt elektroniczny, za pośrednictwem którego </w:t>
            </w:r>
            <w:r w:rsidRPr="00635D1D">
              <w:rPr>
                <w:b/>
                <w:i/>
              </w:rPr>
              <w:t>użytkownicy i właściwe organy mogą</w:t>
            </w:r>
            <w:r w:rsidRPr="00635D1D">
              <w:t xml:space="preserve"> się skontaktować </w:t>
            </w:r>
            <w:r w:rsidRPr="00635D1D">
              <w:rPr>
                <w:b/>
                <w:bCs/>
                <w:i/>
                <w:iCs/>
              </w:rPr>
              <w:t>z podmiotami gospodarczymi, a te mogą odpowiednio odpowiedzieć na wszelkie ich zapytania</w:t>
            </w:r>
            <w:r w:rsidRPr="00635D1D">
              <w:t>, a także sporządzić deklarację zgodności UE w formie elektronicznej i udostępnić ją za pośrednictwem adresu internetowego lub na nośniku danych oraz przekazywać organom, na ich wniosek, wszystkie istotne informacje i dokumentację w formie elektronicznej. Dokumenty i korespondencja kierowane do jednostek notyfikowanych i otrzymywane od nich w związku z ocenami zgodności produktów nawozowych UE również powinny być przekazywane w formie elektronicznej. W przypadku stosowania etykiety cyfrowej producenci powinni korzystać z tego samego nośnika danych na potrzeby etykiety cyfrowej w celu zapewnienia dostępu do deklaracji zgodności UE, aby uniknąć istnienia wielu nośników danych obejmujących ten sam produkt. W przypadku gdy cyfrowy paszport produktu jest wymagany dla produktów nawozowych UE na podstawie innych przepisów UE, należy w nim podać informacje zawarte na etykietach cyfrowych oraz udostępnić deklarację zgodności UE.</w:t>
            </w:r>
          </w:p>
        </w:tc>
      </w:tr>
    </w:tbl>
    <w:p w14:paraId="0B0FFBEA"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7F3FFF2B" w14:textId="77777777" w:rsidR="008144C7" w:rsidRPr="00E90719" w:rsidRDefault="008144C7" w:rsidP="008144C7">
      <w:pPr>
        <w:rPr>
          <w:lang w:val="en-GB"/>
        </w:rPr>
      </w:pPr>
      <w:r w:rsidRPr="00E90719">
        <w:rPr>
          <w:rStyle w:val="HideTWBExt"/>
          <w:lang w:val="en-GB"/>
        </w:rPr>
        <w:t>&lt;/Amend&gt;</w:t>
      </w:r>
    </w:p>
    <w:p w14:paraId="11728BD6"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230</w:t>
      </w:r>
      <w:r w:rsidRPr="00E90719">
        <w:rPr>
          <w:rStyle w:val="HideTWBExt"/>
          <w:b w:val="0"/>
          <w:lang w:val="en-GB"/>
        </w:rPr>
        <w:t>&lt;/NumAm&gt;</w:t>
      </w:r>
    </w:p>
    <w:p w14:paraId="726B444B"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Idoia Mendia, Kristian Vigenin, François Kalfon, Elisabeth Grossmann, Adnan Dibrani, Sakis Arnaoutoglou, César Luena, Christophe Clergeau, Tiemo Wölken, Annalisa Corrado, Heléne Fritzon, Marta Temido, Christel Schaldemose</w:t>
      </w:r>
      <w:r w:rsidRPr="00E90719">
        <w:rPr>
          <w:rStyle w:val="HideTWBExt"/>
          <w:b w:val="0"/>
          <w:lang w:val="en-GB"/>
        </w:rPr>
        <w:t>&lt;/Members&gt;</w:t>
      </w:r>
    </w:p>
    <w:p w14:paraId="1827D842" w14:textId="77777777" w:rsidR="008144C7" w:rsidRPr="00635D1D" w:rsidRDefault="008144C7" w:rsidP="008144C7">
      <w:pPr>
        <w:pStyle w:val="NormalBold"/>
      </w:pPr>
      <w:r w:rsidRPr="00635D1D">
        <w:rPr>
          <w:rStyle w:val="HideTWBExt"/>
          <w:b w:val="0"/>
        </w:rPr>
        <w:t>&lt;/RepeatBlock-By&gt;</w:t>
      </w:r>
    </w:p>
    <w:p w14:paraId="4BA00DF4"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6442966" w14:textId="77777777" w:rsidR="008144C7" w:rsidRPr="00635D1D" w:rsidRDefault="008144C7" w:rsidP="008144C7">
      <w:pPr>
        <w:pStyle w:val="NormalBold"/>
      </w:pPr>
      <w:r w:rsidRPr="00635D1D">
        <w:rPr>
          <w:rStyle w:val="HideTWBExt"/>
          <w:b w:val="0"/>
        </w:rPr>
        <w:t>&lt;Article&gt;</w:t>
      </w:r>
      <w:r w:rsidRPr="00635D1D">
        <w:t>Motyw 26</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705E4CF" w14:textId="77777777" w:rsidTr="00C5582D">
        <w:trPr>
          <w:trHeight w:val="240"/>
          <w:jc w:val="center"/>
        </w:trPr>
        <w:tc>
          <w:tcPr>
            <w:tcW w:w="9752" w:type="dxa"/>
            <w:gridSpan w:val="2"/>
            <w:tcBorders>
              <w:top w:val="nil"/>
              <w:left w:val="nil"/>
              <w:bottom w:val="nil"/>
              <w:right w:val="nil"/>
            </w:tcBorders>
          </w:tcPr>
          <w:p w14:paraId="0FF50D24" w14:textId="77777777" w:rsidR="008144C7" w:rsidRPr="00635D1D" w:rsidRDefault="008144C7" w:rsidP="00C5582D"/>
        </w:tc>
      </w:tr>
      <w:tr w:rsidR="008144C7" w:rsidRPr="00635D1D" w14:paraId="74A7C77B" w14:textId="77777777" w:rsidTr="00C5582D">
        <w:trPr>
          <w:trHeight w:val="240"/>
          <w:jc w:val="center"/>
        </w:trPr>
        <w:tc>
          <w:tcPr>
            <w:tcW w:w="4876" w:type="dxa"/>
            <w:tcBorders>
              <w:top w:val="nil"/>
              <w:left w:val="nil"/>
              <w:bottom w:val="nil"/>
              <w:right w:val="nil"/>
            </w:tcBorders>
            <w:hideMark/>
          </w:tcPr>
          <w:p w14:paraId="4827C505"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8BE3944" w14:textId="77777777" w:rsidR="008144C7" w:rsidRPr="00635D1D" w:rsidRDefault="008144C7" w:rsidP="00C5582D">
            <w:pPr>
              <w:pStyle w:val="AmColumnHeading"/>
            </w:pPr>
            <w:r w:rsidRPr="00635D1D">
              <w:t>Poprawka</w:t>
            </w:r>
          </w:p>
        </w:tc>
      </w:tr>
      <w:tr w:rsidR="008144C7" w:rsidRPr="00635D1D" w14:paraId="6C42C6CE" w14:textId="77777777" w:rsidTr="00C5582D">
        <w:trPr>
          <w:jc w:val="center"/>
        </w:trPr>
        <w:tc>
          <w:tcPr>
            <w:tcW w:w="4876" w:type="dxa"/>
            <w:tcBorders>
              <w:top w:val="nil"/>
              <w:left w:val="nil"/>
              <w:bottom w:val="nil"/>
              <w:right w:val="nil"/>
            </w:tcBorders>
            <w:hideMark/>
          </w:tcPr>
          <w:p w14:paraId="639CBB75" w14:textId="77777777" w:rsidR="008144C7" w:rsidRPr="00635D1D" w:rsidRDefault="008144C7" w:rsidP="00C5582D">
            <w:pPr>
              <w:pStyle w:val="Normal6a"/>
            </w:pPr>
            <w:r w:rsidRPr="00635D1D">
              <w:t>(26)</w:t>
            </w:r>
            <w:r w:rsidRPr="00635D1D">
              <w:tab/>
              <w:t>Zgodnie z celem Komisji, jakim jest zracjonalizowanie i uproszczenie wymogów sprawozdawczych oraz promowanie zasady „domyślnej cyfrowości” w celu wspierania transformacji cyfrowej, podmioty gospodarcze zajmujące się produktami nawozowymi UE zgodnie z rozporządzeniem (UE) 2019/1009 powinny podać kontakt elektroniczny, za pośrednictwem którego można się z nimi skontaktować, a także sporządzić deklarację zgodności UE w formie elektronicznej i udostępnić ją za pośrednictwem adresu internetowego lub na nośniku danych oraz przekazywać organom, na ich wniosek, wszystkie istotne informacje i dokumentację w formie elektronicznej. Dokumenty i korespondencja kierowane do jednostek notyfikowanych i otrzymywane od nich w związku z ocenami zgodności produktów nawozowych UE również powinny być przekazywane w formie elektronicznej. W przypadku stosowania etykiety cyfrowej producenci powinni korzystać z tego samego nośnika danych na potrzeby etykiety cyfrowej w celu zapewnienia dostępu do deklaracji zgodności UE, aby uniknąć istnienia wielu nośników danych obejmujących ten sam produkt. W przypadku gdy cyfrowy paszport produktu jest wymagany dla produktów nawozowych UE na podstawie innych przepisów UE, należy w nim podać informacje zawarte na etykietach cyfrowych oraz udostępnić deklarację zgodności UE.</w:t>
            </w:r>
          </w:p>
        </w:tc>
        <w:tc>
          <w:tcPr>
            <w:tcW w:w="4876" w:type="dxa"/>
            <w:tcBorders>
              <w:top w:val="nil"/>
              <w:left w:val="nil"/>
              <w:bottom w:val="nil"/>
              <w:right w:val="nil"/>
            </w:tcBorders>
            <w:hideMark/>
          </w:tcPr>
          <w:p w14:paraId="0ED0686D" w14:textId="77777777" w:rsidR="008144C7" w:rsidRPr="00635D1D" w:rsidRDefault="008144C7" w:rsidP="00C5582D">
            <w:pPr>
              <w:pStyle w:val="Normal6a"/>
            </w:pPr>
            <w:r w:rsidRPr="00635D1D">
              <w:t>(26)</w:t>
            </w:r>
            <w:r w:rsidRPr="00635D1D">
              <w:tab/>
              <w:t xml:space="preserve">Zgodnie z celem Komisji, jakim jest zracjonalizowanie i uproszczenie wymogów sprawozdawczych oraz promowanie zasady „domyślnej cyfrowości” w celu wspierania transformacji cyfrowej, podmioty gospodarcze zajmujące się produktami nawozowymi UE zgodnie z rozporządzeniem (UE) 2019/1009 powinny podać kontakt elektroniczny, za pośrednictwem którego można się z nimi skontaktować, a także sporządzić deklarację zgodności UE w formie elektronicznej i udostępnić ją za pośrednictwem adresu internetowego lub na nośniku danych oraz przekazywać organom, na ich wniosek, </w:t>
            </w:r>
            <w:r w:rsidRPr="00635D1D">
              <w:rPr>
                <w:b/>
                <w:i/>
              </w:rPr>
              <w:t>szybko i bez zbędnej zwłoki</w:t>
            </w:r>
            <w:r w:rsidRPr="00635D1D">
              <w:t xml:space="preserve"> wszystkie istotne informacje i dokumentację w formie elektronicznej. Dokumenty i korespondencja kierowane do jednostek notyfikowanych</w:t>
            </w:r>
            <w:r w:rsidRPr="00635D1D">
              <w:rPr>
                <w:b/>
                <w:i/>
              </w:rPr>
              <w:t>, organów krajowych lub EFSA</w:t>
            </w:r>
            <w:r w:rsidRPr="00635D1D">
              <w:t xml:space="preserve"> i otrzymywane od nich w związku z ocenami zgodności produktów nawozowych UE również powinny być przekazywane w formie elektronicznej. W przypadku stosowania etykiety cyfrowej producenci powinni korzystać z tego samego nośnika danych na potrzeby etykiety cyfrowej w celu zapewnienia dostępu do deklaracji zgodności UE, aby uniknąć istnienia wielu nośników danych obejmujących ten sam produkt. W przypadku gdy cyfrowy paszport produktu jest wymagany dla produktów nawozowych UE na podstawie innych przepisów UE, należy w nim podać informacje zawarte na etykietach cyfrowych oraz udostępnić deklarację zgodności UE.</w:t>
            </w:r>
          </w:p>
        </w:tc>
      </w:tr>
    </w:tbl>
    <w:p w14:paraId="58D1C94A"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032410DA" w14:textId="77777777" w:rsidR="008144C7" w:rsidRPr="00E90719" w:rsidRDefault="008144C7" w:rsidP="008144C7">
      <w:pPr>
        <w:rPr>
          <w:lang w:val="en-GB"/>
        </w:rPr>
      </w:pPr>
      <w:r w:rsidRPr="00E90719">
        <w:rPr>
          <w:rStyle w:val="HideTWBExt"/>
          <w:lang w:val="en-GB"/>
        </w:rPr>
        <w:t>&lt;/Amend&gt;</w:t>
      </w:r>
    </w:p>
    <w:p w14:paraId="438946E2"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231</w:t>
      </w:r>
      <w:r w:rsidRPr="00E90719">
        <w:rPr>
          <w:rStyle w:val="HideTWBExt"/>
          <w:b w:val="0"/>
          <w:lang w:val="en-GB"/>
        </w:rPr>
        <w:t>&lt;/NumAm&gt;</w:t>
      </w:r>
    </w:p>
    <w:p w14:paraId="04711C21"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Idoia Mendia, Kristian Vigenin, François Kalfon, Elisabeth Grossmann, Adnan Dibrani, Sakis Arnaoutoglou, César Luena, Christophe Clergeau, Tiemo Wölken, Annalisa Corrado, Heléne Fritzon, Marta Temido</w:t>
      </w:r>
      <w:r w:rsidRPr="00E90719">
        <w:rPr>
          <w:rStyle w:val="HideTWBExt"/>
          <w:b w:val="0"/>
          <w:lang w:val="en-GB"/>
        </w:rPr>
        <w:t>&lt;/Members&gt;</w:t>
      </w:r>
    </w:p>
    <w:p w14:paraId="0250D12B" w14:textId="77777777" w:rsidR="008144C7" w:rsidRPr="00635D1D" w:rsidRDefault="008144C7" w:rsidP="008144C7">
      <w:pPr>
        <w:pStyle w:val="NormalBold"/>
      </w:pPr>
      <w:r w:rsidRPr="00635D1D">
        <w:rPr>
          <w:rStyle w:val="HideTWBExt"/>
          <w:b w:val="0"/>
        </w:rPr>
        <w:t>&lt;/RepeatBlock-By&gt;</w:t>
      </w:r>
    </w:p>
    <w:p w14:paraId="7175146B"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39D36C0" w14:textId="77777777" w:rsidR="008144C7" w:rsidRPr="00635D1D" w:rsidRDefault="008144C7" w:rsidP="008144C7">
      <w:pPr>
        <w:pStyle w:val="NormalBold"/>
      </w:pPr>
      <w:r w:rsidRPr="00635D1D">
        <w:rPr>
          <w:rStyle w:val="HideTWBExt"/>
          <w:b w:val="0"/>
        </w:rPr>
        <w:t>&lt;Article&gt;</w:t>
      </w:r>
      <w:r w:rsidRPr="00635D1D">
        <w:t>Motyw 26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03E54CAD" w14:textId="77777777" w:rsidTr="00C5582D">
        <w:trPr>
          <w:trHeight w:val="240"/>
          <w:jc w:val="center"/>
        </w:trPr>
        <w:tc>
          <w:tcPr>
            <w:tcW w:w="9752" w:type="dxa"/>
            <w:gridSpan w:val="2"/>
            <w:tcBorders>
              <w:top w:val="nil"/>
              <w:left w:val="nil"/>
              <w:bottom w:val="nil"/>
              <w:right w:val="nil"/>
            </w:tcBorders>
          </w:tcPr>
          <w:p w14:paraId="314A211E" w14:textId="77777777" w:rsidR="008144C7" w:rsidRPr="00635D1D" w:rsidRDefault="008144C7" w:rsidP="00C5582D"/>
        </w:tc>
      </w:tr>
      <w:tr w:rsidR="008144C7" w:rsidRPr="00635D1D" w14:paraId="0C58A7C3" w14:textId="77777777" w:rsidTr="00C5582D">
        <w:trPr>
          <w:trHeight w:val="240"/>
          <w:jc w:val="center"/>
        </w:trPr>
        <w:tc>
          <w:tcPr>
            <w:tcW w:w="4876" w:type="dxa"/>
            <w:tcBorders>
              <w:top w:val="nil"/>
              <w:left w:val="nil"/>
              <w:bottom w:val="nil"/>
              <w:right w:val="nil"/>
            </w:tcBorders>
            <w:hideMark/>
          </w:tcPr>
          <w:p w14:paraId="0EBB34FC"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EEC5A80" w14:textId="77777777" w:rsidR="008144C7" w:rsidRPr="00635D1D" w:rsidRDefault="008144C7" w:rsidP="00C5582D">
            <w:pPr>
              <w:pStyle w:val="AmColumnHeading"/>
            </w:pPr>
            <w:r w:rsidRPr="00635D1D">
              <w:t>Poprawka</w:t>
            </w:r>
          </w:p>
        </w:tc>
      </w:tr>
      <w:tr w:rsidR="008144C7" w:rsidRPr="00635D1D" w14:paraId="5D442503" w14:textId="77777777" w:rsidTr="00C5582D">
        <w:trPr>
          <w:jc w:val="center"/>
        </w:trPr>
        <w:tc>
          <w:tcPr>
            <w:tcW w:w="4876" w:type="dxa"/>
            <w:tcBorders>
              <w:top w:val="nil"/>
              <w:left w:val="nil"/>
              <w:bottom w:val="nil"/>
              <w:right w:val="nil"/>
            </w:tcBorders>
          </w:tcPr>
          <w:p w14:paraId="40288D5A" w14:textId="77777777" w:rsidR="008144C7" w:rsidRPr="00635D1D" w:rsidRDefault="008144C7" w:rsidP="00C5582D">
            <w:pPr>
              <w:pStyle w:val="Normal6a"/>
            </w:pPr>
          </w:p>
        </w:tc>
        <w:tc>
          <w:tcPr>
            <w:tcW w:w="4876" w:type="dxa"/>
            <w:tcBorders>
              <w:top w:val="nil"/>
              <w:left w:val="nil"/>
              <w:bottom w:val="nil"/>
              <w:right w:val="nil"/>
            </w:tcBorders>
            <w:hideMark/>
          </w:tcPr>
          <w:p w14:paraId="6EC3814C" w14:textId="77777777" w:rsidR="008144C7" w:rsidRPr="00635D1D" w:rsidRDefault="008144C7" w:rsidP="00C5582D">
            <w:pPr>
              <w:pStyle w:val="Normal6a"/>
            </w:pPr>
            <w:r w:rsidRPr="00635D1D">
              <w:rPr>
                <w:b/>
                <w:i/>
              </w:rPr>
              <w:t>(26a)</w:t>
            </w:r>
            <w:r w:rsidRPr="00635D1D">
              <w:tab/>
            </w:r>
            <w:r w:rsidRPr="00635D1D">
              <w:rPr>
                <w:b/>
                <w:i/>
              </w:rPr>
              <w:t>Chociaż uproszczenie ma na celu zmniejszenie obciążeń administracyjnych i może ułatwić dostęp do rynku podmiotom handlującym nawozami, ułatwiając im wejście na rynek UE i prowadzenie działalności poza rynkami krajowymi z korzyścią dla jednolitego rynku, nie powinno ono osłabiać wysokiego poziomu ochrony konsumentów, zdrowia i środowiska ani zarządzania ryzykiem. Złagodzenie wymogów sektorowych dotyczących produktów nawozowych może zwiększać ryzyko wprowadzenia na rynek chemikaliów podlegających niższym poziomom kontroli, co budzi obawy dotyczące identyfikowalności, bezpieczeństwa i wpływu na reputację. Przeniesienie obowiązków z powrotem do ogólnych ram dotyczących chemikaliów, w szczególności rozporządzenia REACH, może powodować niepewność co do wymogów w zakresie rejestracji, zgłaszania i etykietowania, co sprawia, że konieczne jest zapewnienie stałego dostosowania do horyzontalnych przepisów dotyczących chemikaliów, środowiska i bezpieczeństwa.</w:t>
            </w:r>
          </w:p>
        </w:tc>
      </w:tr>
    </w:tbl>
    <w:p w14:paraId="1A4CCD38"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0F698AC1" w14:textId="77777777" w:rsidR="008144C7" w:rsidRPr="00E90719" w:rsidRDefault="008144C7" w:rsidP="008144C7">
      <w:pPr>
        <w:rPr>
          <w:lang w:val="en-GB"/>
        </w:rPr>
      </w:pPr>
      <w:r w:rsidRPr="00E90719">
        <w:rPr>
          <w:rStyle w:val="HideTWBExt"/>
          <w:lang w:val="en-GB"/>
        </w:rPr>
        <w:t>&lt;/Amend&gt;</w:t>
      </w:r>
    </w:p>
    <w:p w14:paraId="2F26000E"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232</w:t>
      </w:r>
      <w:r w:rsidRPr="00E90719">
        <w:rPr>
          <w:rStyle w:val="HideTWBExt"/>
          <w:b w:val="0"/>
          <w:lang w:val="en-GB"/>
        </w:rPr>
        <w:t>&lt;/NumAm&gt;</w:t>
      </w:r>
    </w:p>
    <w:p w14:paraId="5FDCD7E0"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Anne-Sophie Frigout, Mathilde Androuët, Silvia Sardone, Marie-Luce Brasier-Clain, Valérie Deloge, Antonín Staněk, Virginie Joron</w:t>
      </w:r>
      <w:r w:rsidRPr="00E90719">
        <w:rPr>
          <w:rStyle w:val="HideTWBExt"/>
          <w:b w:val="0"/>
          <w:lang w:val="en-GB"/>
        </w:rPr>
        <w:t>&lt;/Members&gt;</w:t>
      </w:r>
    </w:p>
    <w:p w14:paraId="36528E75" w14:textId="77777777" w:rsidR="008144C7" w:rsidRPr="00635D1D" w:rsidRDefault="008144C7" w:rsidP="008144C7">
      <w:pPr>
        <w:pStyle w:val="NormalBold"/>
      </w:pPr>
      <w:r w:rsidRPr="00635D1D">
        <w:rPr>
          <w:rStyle w:val="HideTWBExt"/>
          <w:b w:val="0"/>
        </w:rPr>
        <w:t>&lt;/RepeatBlock-By&gt;</w:t>
      </w:r>
    </w:p>
    <w:p w14:paraId="182FEF6E"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2010909" w14:textId="77777777" w:rsidR="008144C7" w:rsidRPr="00635D1D" w:rsidRDefault="008144C7" w:rsidP="008144C7">
      <w:pPr>
        <w:pStyle w:val="NormalBold"/>
      </w:pPr>
      <w:r w:rsidRPr="00635D1D">
        <w:rPr>
          <w:rStyle w:val="HideTWBExt"/>
          <w:b w:val="0"/>
        </w:rPr>
        <w:t>&lt;Article&gt;</w:t>
      </w:r>
      <w:r w:rsidRPr="00635D1D">
        <w:t>Motyw 26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1308D32" w14:textId="77777777" w:rsidTr="00C5582D">
        <w:trPr>
          <w:trHeight w:val="240"/>
          <w:jc w:val="center"/>
        </w:trPr>
        <w:tc>
          <w:tcPr>
            <w:tcW w:w="9752" w:type="dxa"/>
            <w:gridSpan w:val="2"/>
            <w:tcBorders>
              <w:top w:val="nil"/>
              <w:left w:val="nil"/>
              <w:bottom w:val="nil"/>
              <w:right w:val="nil"/>
            </w:tcBorders>
          </w:tcPr>
          <w:p w14:paraId="7CC448FA" w14:textId="77777777" w:rsidR="008144C7" w:rsidRPr="00635D1D" w:rsidRDefault="008144C7" w:rsidP="00C5582D"/>
        </w:tc>
      </w:tr>
      <w:tr w:rsidR="008144C7" w:rsidRPr="00635D1D" w14:paraId="2FCD72E5" w14:textId="77777777" w:rsidTr="00C5582D">
        <w:trPr>
          <w:trHeight w:val="240"/>
          <w:jc w:val="center"/>
        </w:trPr>
        <w:tc>
          <w:tcPr>
            <w:tcW w:w="4876" w:type="dxa"/>
            <w:tcBorders>
              <w:top w:val="nil"/>
              <w:left w:val="nil"/>
              <w:bottom w:val="nil"/>
              <w:right w:val="nil"/>
            </w:tcBorders>
            <w:hideMark/>
          </w:tcPr>
          <w:p w14:paraId="0EA570A3"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BDEDCE7" w14:textId="77777777" w:rsidR="008144C7" w:rsidRPr="00635D1D" w:rsidRDefault="008144C7" w:rsidP="00C5582D">
            <w:pPr>
              <w:pStyle w:val="AmColumnHeading"/>
            </w:pPr>
            <w:r w:rsidRPr="00635D1D">
              <w:t>Poprawka</w:t>
            </w:r>
          </w:p>
        </w:tc>
      </w:tr>
      <w:tr w:rsidR="008144C7" w:rsidRPr="00635D1D" w14:paraId="1483713E" w14:textId="77777777" w:rsidTr="00C5582D">
        <w:trPr>
          <w:jc w:val="center"/>
        </w:trPr>
        <w:tc>
          <w:tcPr>
            <w:tcW w:w="4876" w:type="dxa"/>
            <w:tcBorders>
              <w:top w:val="nil"/>
              <w:left w:val="nil"/>
              <w:bottom w:val="nil"/>
              <w:right w:val="nil"/>
            </w:tcBorders>
          </w:tcPr>
          <w:p w14:paraId="77BD8119" w14:textId="77777777" w:rsidR="008144C7" w:rsidRPr="00635D1D" w:rsidRDefault="008144C7" w:rsidP="00C5582D">
            <w:pPr>
              <w:pStyle w:val="Normal6a"/>
            </w:pPr>
          </w:p>
        </w:tc>
        <w:tc>
          <w:tcPr>
            <w:tcW w:w="4876" w:type="dxa"/>
            <w:tcBorders>
              <w:top w:val="nil"/>
              <w:left w:val="nil"/>
              <w:bottom w:val="nil"/>
              <w:right w:val="nil"/>
            </w:tcBorders>
            <w:hideMark/>
          </w:tcPr>
          <w:p w14:paraId="3C0E87FB" w14:textId="77777777" w:rsidR="008144C7" w:rsidRPr="00635D1D" w:rsidRDefault="008144C7" w:rsidP="00C5582D">
            <w:pPr>
              <w:pStyle w:val="Normal6a"/>
            </w:pPr>
            <w:r w:rsidRPr="00635D1D">
              <w:rPr>
                <w:b/>
                <w:i/>
              </w:rPr>
              <w:t>(26a)</w:t>
            </w:r>
            <w:r w:rsidRPr="00635D1D">
              <w:tab/>
            </w:r>
            <w:r w:rsidRPr="00635D1D">
              <w:rPr>
                <w:b/>
                <w:i/>
              </w:rPr>
              <w:t>Nawozy objęte rozporządzeniem (UE) 2019/1009 stanowią istotny element kosztów produkcji rolnej i mają bezpośredni wpływ na dochody i konkurencyjność rolników. Wzrost obciążeń regulacyjnych i administracyjnych dla producentów ma wpływ na cały łańcuch dostaw, zwiększając koszty ponoszone przez rolników i pogłębiając różnicę między kosztami produkcji rolnej w Unii a takimi kosztami w państwach trzecich. Wszelka zmiana rozporządzenia (UE) 2019/1009 powinna zatem priorytetowo traktować uproszczenie przepisów dla unijnych producentów nawozów, co przyniosłoby bezpośrednie korzyści unijnym rolnikom.</w:t>
            </w:r>
          </w:p>
        </w:tc>
      </w:tr>
    </w:tbl>
    <w:p w14:paraId="119C0ED3"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{FR}</w:t>
      </w:r>
      <w:r w:rsidRPr="00E90719">
        <w:rPr>
          <w:lang w:val="en-GB"/>
        </w:rPr>
        <w:t>fr</w:t>
      </w:r>
      <w:r w:rsidRPr="00E90719">
        <w:rPr>
          <w:rStyle w:val="HideTWBExt"/>
          <w:lang w:val="en-GB"/>
        </w:rPr>
        <w:t>&lt;/Original&gt;</w:t>
      </w:r>
    </w:p>
    <w:p w14:paraId="2AF16A14" w14:textId="77777777" w:rsidR="008144C7" w:rsidRPr="00E90719" w:rsidRDefault="008144C7" w:rsidP="008144C7">
      <w:pPr>
        <w:rPr>
          <w:lang w:val="en-GB"/>
        </w:rPr>
      </w:pPr>
      <w:r w:rsidRPr="00E90719">
        <w:rPr>
          <w:rStyle w:val="HideTWBExt"/>
          <w:lang w:val="en-GB"/>
        </w:rPr>
        <w:t>&lt;/Amend&gt;</w:t>
      </w:r>
    </w:p>
    <w:p w14:paraId="5A2D11BB"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233</w:t>
      </w:r>
      <w:r w:rsidRPr="00E90719">
        <w:rPr>
          <w:rStyle w:val="HideTWBExt"/>
          <w:b w:val="0"/>
          <w:lang w:val="en-GB"/>
        </w:rPr>
        <w:t>&lt;/NumAm&gt;</w:t>
      </w:r>
    </w:p>
    <w:p w14:paraId="0E0E24AE"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Per Clausen, Anja Hazekamp</w:t>
      </w:r>
      <w:r w:rsidRPr="00E90719">
        <w:rPr>
          <w:rStyle w:val="HideTWBExt"/>
          <w:b w:val="0"/>
          <w:lang w:val="en-GB"/>
        </w:rPr>
        <w:t>&lt;/Members&gt;</w:t>
      </w:r>
    </w:p>
    <w:p w14:paraId="4FA1D059" w14:textId="77777777" w:rsidR="008144C7" w:rsidRPr="00635D1D" w:rsidRDefault="008144C7" w:rsidP="008144C7">
      <w:pPr>
        <w:pStyle w:val="NormalBold"/>
      </w:pPr>
      <w:r w:rsidRPr="00635D1D">
        <w:rPr>
          <w:rStyle w:val="HideTWBExt"/>
          <w:b w:val="0"/>
        </w:rPr>
        <w:t>&lt;/RepeatBlock-By&gt;</w:t>
      </w:r>
    </w:p>
    <w:p w14:paraId="0DC2B576"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1B81C27" w14:textId="77777777" w:rsidR="008144C7" w:rsidRPr="00635D1D" w:rsidRDefault="008144C7" w:rsidP="008144C7">
      <w:pPr>
        <w:pStyle w:val="NormalBold"/>
      </w:pPr>
      <w:r w:rsidRPr="00635D1D">
        <w:rPr>
          <w:rStyle w:val="HideTWBExt"/>
          <w:b w:val="0"/>
        </w:rPr>
        <w:t>&lt;Article&gt;</w:t>
      </w:r>
      <w:r w:rsidRPr="00635D1D">
        <w:t>Motyw 26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DC08F77" w14:textId="77777777" w:rsidTr="00C5582D">
        <w:trPr>
          <w:trHeight w:val="240"/>
          <w:jc w:val="center"/>
        </w:trPr>
        <w:tc>
          <w:tcPr>
            <w:tcW w:w="9752" w:type="dxa"/>
            <w:gridSpan w:val="2"/>
            <w:tcBorders>
              <w:top w:val="nil"/>
              <w:left w:val="nil"/>
              <w:bottom w:val="nil"/>
              <w:right w:val="nil"/>
            </w:tcBorders>
          </w:tcPr>
          <w:p w14:paraId="0F1CC50F" w14:textId="77777777" w:rsidR="008144C7" w:rsidRPr="00635D1D" w:rsidRDefault="008144C7" w:rsidP="00C5582D"/>
        </w:tc>
      </w:tr>
      <w:tr w:rsidR="008144C7" w:rsidRPr="00635D1D" w14:paraId="24B132E4" w14:textId="77777777" w:rsidTr="00C5582D">
        <w:trPr>
          <w:trHeight w:val="240"/>
          <w:jc w:val="center"/>
        </w:trPr>
        <w:tc>
          <w:tcPr>
            <w:tcW w:w="4876" w:type="dxa"/>
            <w:tcBorders>
              <w:top w:val="nil"/>
              <w:left w:val="nil"/>
              <w:bottom w:val="nil"/>
              <w:right w:val="nil"/>
            </w:tcBorders>
            <w:hideMark/>
          </w:tcPr>
          <w:p w14:paraId="3F4CAFDB"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C034669" w14:textId="77777777" w:rsidR="008144C7" w:rsidRPr="00635D1D" w:rsidRDefault="008144C7" w:rsidP="00C5582D">
            <w:pPr>
              <w:pStyle w:val="AmColumnHeading"/>
            </w:pPr>
            <w:r w:rsidRPr="00635D1D">
              <w:t>Poprawka</w:t>
            </w:r>
          </w:p>
        </w:tc>
      </w:tr>
      <w:tr w:rsidR="008144C7" w:rsidRPr="00635D1D" w14:paraId="7055B858" w14:textId="77777777" w:rsidTr="00C5582D">
        <w:trPr>
          <w:jc w:val="center"/>
        </w:trPr>
        <w:tc>
          <w:tcPr>
            <w:tcW w:w="4876" w:type="dxa"/>
            <w:tcBorders>
              <w:top w:val="nil"/>
              <w:left w:val="nil"/>
              <w:bottom w:val="nil"/>
              <w:right w:val="nil"/>
            </w:tcBorders>
          </w:tcPr>
          <w:p w14:paraId="3CFA1B56" w14:textId="77777777" w:rsidR="008144C7" w:rsidRPr="00635D1D" w:rsidRDefault="008144C7" w:rsidP="00C5582D">
            <w:pPr>
              <w:pStyle w:val="Normal6a"/>
            </w:pPr>
          </w:p>
        </w:tc>
        <w:tc>
          <w:tcPr>
            <w:tcW w:w="4876" w:type="dxa"/>
            <w:tcBorders>
              <w:top w:val="nil"/>
              <w:left w:val="nil"/>
              <w:bottom w:val="nil"/>
              <w:right w:val="nil"/>
            </w:tcBorders>
            <w:hideMark/>
          </w:tcPr>
          <w:p w14:paraId="61F78928" w14:textId="77777777" w:rsidR="008144C7" w:rsidRPr="00635D1D" w:rsidRDefault="008144C7" w:rsidP="00C5582D">
            <w:pPr>
              <w:pStyle w:val="Normal6a"/>
            </w:pPr>
            <w:r w:rsidRPr="00635D1D">
              <w:rPr>
                <w:b/>
                <w:i/>
              </w:rPr>
              <w:t>(26a)</w:t>
            </w:r>
            <w:r w:rsidRPr="00635D1D">
              <w:tab/>
            </w:r>
            <w:r w:rsidRPr="00635D1D">
              <w:rPr>
                <w:b/>
                <w:i/>
              </w:rPr>
              <w:t>Parlament Europejski wezwał Unię i jej państwa członkowskie do nieudzielania patentów na materiał biologiczny. W związku z tym procesy o charakterze zasadniczo biologicznym, jak również gatunki lub organizmy, w tym mikroorganizmy, ich części, informacje genetyczne i zawarte w nich cechy procesu, nie powinny podlegać przepisom patentowym.</w:t>
            </w:r>
          </w:p>
        </w:tc>
      </w:tr>
    </w:tbl>
    <w:p w14:paraId="238DE8A1"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16222841" w14:textId="77777777" w:rsidR="008144C7" w:rsidRPr="00E90719" w:rsidRDefault="008144C7" w:rsidP="008144C7">
      <w:pPr>
        <w:rPr>
          <w:lang w:val="en-GB"/>
        </w:rPr>
      </w:pPr>
      <w:r w:rsidRPr="00E90719">
        <w:rPr>
          <w:rStyle w:val="HideTWBExt"/>
          <w:lang w:val="en-GB"/>
        </w:rPr>
        <w:t>&lt;/Amend&gt;</w:t>
      </w:r>
    </w:p>
    <w:p w14:paraId="070A79AB"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234</w:t>
      </w:r>
      <w:r w:rsidRPr="00E90719">
        <w:rPr>
          <w:rStyle w:val="HideTWBExt"/>
          <w:b w:val="0"/>
          <w:lang w:val="en-GB"/>
        </w:rPr>
        <w:t>&lt;/NumAm&gt;</w:t>
      </w:r>
    </w:p>
    <w:p w14:paraId="37EA57BC"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Anne-Sophie Frigout, Mathilde Androuët, Silvia Sardone, Marie-Luce Brasier-Clain, Valérie Deloge, Antonín Staněk, Virginie Joron</w:t>
      </w:r>
      <w:r w:rsidRPr="00E90719">
        <w:rPr>
          <w:rStyle w:val="HideTWBExt"/>
          <w:b w:val="0"/>
          <w:lang w:val="en-GB"/>
        </w:rPr>
        <w:t>&lt;/Members&gt;</w:t>
      </w:r>
    </w:p>
    <w:p w14:paraId="34348D22" w14:textId="77777777" w:rsidR="008144C7" w:rsidRPr="00635D1D" w:rsidRDefault="008144C7" w:rsidP="008144C7">
      <w:pPr>
        <w:pStyle w:val="NormalBold"/>
      </w:pPr>
      <w:r w:rsidRPr="00635D1D">
        <w:rPr>
          <w:rStyle w:val="HideTWBExt"/>
          <w:b w:val="0"/>
        </w:rPr>
        <w:t>&lt;/RepeatBlock-By&gt;</w:t>
      </w:r>
    </w:p>
    <w:p w14:paraId="5F170FEA"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2CA778D" w14:textId="77777777" w:rsidR="008144C7" w:rsidRPr="00635D1D" w:rsidRDefault="008144C7" w:rsidP="008144C7">
      <w:pPr>
        <w:pStyle w:val="NormalBold"/>
      </w:pPr>
      <w:r w:rsidRPr="00635D1D">
        <w:rPr>
          <w:rStyle w:val="HideTWBExt"/>
          <w:b w:val="0"/>
        </w:rPr>
        <w:t>&lt;Article&gt;</w:t>
      </w:r>
      <w:r w:rsidRPr="00635D1D">
        <w:t>Motyw 27</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004051C1" w14:textId="77777777" w:rsidTr="00C5582D">
        <w:trPr>
          <w:trHeight w:val="240"/>
          <w:jc w:val="center"/>
        </w:trPr>
        <w:tc>
          <w:tcPr>
            <w:tcW w:w="9752" w:type="dxa"/>
            <w:gridSpan w:val="2"/>
            <w:tcBorders>
              <w:top w:val="nil"/>
              <w:left w:val="nil"/>
              <w:bottom w:val="nil"/>
              <w:right w:val="nil"/>
            </w:tcBorders>
          </w:tcPr>
          <w:p w14:paraId="7C591324" w14:textId="77777777" w:rsidR="008144C7" w:rsidRPr="00635D1D" w:rsidRDefault="008144C7" w:rsidP="00C5582D"/>
        </w:tc>
      </w:tr>
      <w:tr w:rsidR="008144C7" w:rsidRPr="00635D1D" w14:paraId="4321E632" w14:textId="77777777" w:rsidTr="00C5582D">
        <w:trPr>
          <w:trHeight w:val="240"/>
          <w:jc w:val="center"/>
        </w:trPr>
        <w:tc>
          <w:tcPr>
            <w:tcW w:w="4876" w:type="dxa"/>
            <w:tcBorders>
              <w:top w:val="nil"/>
              <w:left w:val="nil"/>
              <w:bottom w:val="nil"/>
              <w:right w:val="nil"/>
            </w:tcBorders>
            <w:hideMark/>
          </w:tcPr>
          <w:p w14:paraId="3E8D0E63"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46DCB6D" w14:textId="77777777" w:rsidR="008144C7" w:rsidRPr="00635D1D" w:rsidRDefault="008144C7" w:rsidP="00C5582D">
            <w:pPr>
              <w:pStyle w:val="AmColumnHeading"/>
            </w:pPr>
            <w:r w:rsidRPr="00635D1D">
              <w:t>Poprawka</w:t>
            </w:r>
          </w:p>
        </w:tc>
      </w:tr>
      <w:tr w:rsidR="008144C7" w:rsidRPr="00635D1D" w14:paraId="03A3ED7D" w14:textId="77777777" w:rsidTr="00C5582D">
        <w:trPr>
          <w:jc w:val="center"/>
        </w:trPr>
        <w:tc>
          <w:tcPr>
            <w:tcW w:w="4876" w:type="dxa"/>
            <w:tcBorders>
              <w:top w:val="nil"/>
              <w:left w:val="nil"/>
              <w:bottom w:val="nil"/>
              <w:right w:val="nil"/>
            </w:tcBorders>
            <w:hideMark/>
          </w:tcPr>
          <w:p w14:paraId="0688DE97" w14:textId="77777777" w:rsidR="008144C7" w:rsidRPr="00635D1D" w:rsidRDefault="008144C7" w:rsidP="00C5582D">
            <w:pPr>
              <w:pStyle w:val="Normal6a"/>
            </w:pPr>
            <w:r w:rsidRPr="00635D1D">
              <w:t>(27)</w:t>
            </w:r>
            <w:r w:rsidRPr="00635D1D">
              <w:tab/>
              <w:t>Zgodnie z rozporządzeniem (UE) 2019/1009 wyłącznie mikroorganizmy wymienione w wykazie pozytywnym w załączniku II do tego rozporządzenia mogą być stosowane jako materiał składowy w biostymulatorach mikrobiologicznych. Komisja jest uprawniona do dodawania nowych mikroorganizmów lub szczepów mikroorganizmów do tego wykazu po przeprowadzeniu oceny prowadzącej do konkluzji, że żaden ze szczepów nie stanowi zagrożenia dla zdrowia ludzkiego, zwierząt lub roślin, dla bezpieczeństwa ani dla środowiska oraz że zapewnia on efektywność agronomiczną. Biorąc pod uwagę dużą liczbę mikroorganizmów na rynku, proces oceny nowych mikroorganizmów lub szczepów mikroorganizmów, a następnie włączenia ich do wykazu pozytywnego nie nadąża za postępem naukowym. Obecny mechanizm spowalnia rozwój biostymulatorów mikrobiologicznych i opóźnia dostęp rolników do tych innowacyjnych produktów nawozowych</w:t>
            </w:r>
            <w:r w:rsidRPr="00635D1D">
              <w:rPr>
                <w:b/>
                <w:i/>
              </w:rPr>
              <w:t>, które mogą stymulować procesy odżywiania roślin, a tym samym ograniczać</w:t>
            </w:r>
            <w:r w:rsidRPr="00635D1D">
              <w:t xml:space="preserve"> stosowanie tradycyjnych nawozów.</w:t>
            </w:r>
          </w:p>
        </w:tc>
        <w:tc>
          <w:tcPr>
            <w:tcW w:w="4876" w:type="dxa"/>
            <w:tcBorders>
              <w:top w:val="nil"/>
              <w:left w:val="nil"/>
              <w:bottom w:val="nil"/>
              <w:right w:val="nil"/>
            </w:tcBorders>
            <w:hideMark/>
          </w:tcPr>
          <w:p w14:paraId="4BCFF2D7" w14:textId="77777777" w:rsidR="008144C7" w:rsidRPr="00635D1D" w:rsidRDefault="008144C7" w:rsidP="00C5582D">
            <w:pPr>
              <w:pStyle w:val="Normal6a"/>
            </w:pPr>
            <w:r w:rsidRPr="00635D1D">
              <w:t>(27)</w:t>
            </w:r>
            <w:r w:rsidRPr="00635D1D">
              <w:tab/>
              <w:t>Zgodnie z rozporządzeniem (UE) 2019/1009 wyłącznie mikroorganizmy wymienione w wykazie pozytywnym w załączniku II do tego rozporządzenia mogą być stosowane jako materiał składowy w biostymulatorach mikrobiologicznych. Komisja jest uprawniona do dodawania nowych mikroorganizmów lub szczepów mikroorganizmów do tego wykazu po przeprowadzeniu oceny prowadzącej do konkluzji, że żaden ze szczepów nie stanowi zagrożenia dla zdrowia ludzkiego, zwierząt lub roślin, dla bezpieczeństwa ani dla środowiska oraz że zapewnia on efektywność agronomiczną. Biorąc pod uwagę dużą liczbę mikroorganizmów na rynku, proces oceny nowych mikroorganizmów lub szczepów mikroorganizmów, a następnie włączenia ich do wykazu pozytywnego nie nadąża za postępem naukowym. Obecny mechanizm spowalnia rozwój biostymulatorów mikrobiologicznych i opóźnia dostęp rolników do tych innowacyjnych produktów nawozowych</w:t>
            </w:r>
            <w:r w:rsidRPr="00635D1D">
              <w:rPr>
                <w:b/>
                <w:i/>
              </w:rPr>
              <w:t>.</w:t>
            </w:r>
            <w:r w:rsidRPr="00635D1D">
              <w:t xml:space="preserve"> Stosowanie tradycyjnych nawozów </w:t>
            </w:r>
            <w:r w:rsidRPr="00635D1D">
              <w:rPr>
                <w:b/>
                <w:i/>
              </w:rPr>
              <w:t>musi pozostać realną i dostępną opcją, aby nie wpływać na konkurencyjność i produkcję w UE</w:t>
            </w:r>
            <w:r w:rsidRPr="00635D1D">
              <w:t>.</w:t>
            </w:r>
          </w:p>
        </w:tc>
      </w:tr>
    </w:tbl>
    <w:p w14:paraId="42DA7D8C"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{FR}</w:t>
      </w:r>
      <w:r w:rsidRPr="00E90719">
        <w:rPr>
          <w:lang w:val="en-GB"/>
        </w:rPr>
        <w:t>fr</w:t>
      </w:r>
      <w:r w:rsidRPr="00E90719">
        <w:rPr>
          <w:rStyle w:val="HideTWBExt"/>
          <w:lang w:val="en-GB"/>
        </w:rPr>
        <w:t>&lt;/Original&gt;</w:t>
      </w:r>
    </w:p>
    <w:p w14:paraId="530F32FC" w14:textId="77777777" w:rsidR="008144C7" w:rsidRPr="00E90719" w:rsidRDefault="008144C7" w:rsidP="008144C7">
      <w:pPr>
        <w:rPr>
          <w:lang w:val="en-GB"/>
        </w:rPr>
      </w:pPr>
      <w:r w:rsidRPr="00E90719">
        <w:rPr>
          <w:rStyle w:val="HideTWBExt"/>
          <w:lang w:val="en-GB"/>
        </w:rPr>
        <w:t>&lt;/Amend&gt;</w:t>
      </w:r>
    </w:p>
    <w:p w14:paraId="0E6179A5"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235</w:t>
      </w:r>
      <w:r w:rsidRPr="00E90719">
        <w:rPr>
          <w:rStyle w:val="HideTWBExt"/>
          <w:b w:val="0"/>
          <w:lang w:val="en-GB"/>
        </w:rPr>
        <w:t>&lt;/NumAm&gt;</w:t>
      </w:r>
    </w:p>
    <w:p w14:paraId="4C847034"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Idoia Mendia, Kristian Vigenin, François Kalfon, Elisabeth Grossmann, Adnan Dibrani, Sakis Arnaoutoglou, César Luena, Christophe Clergeau, Tiemo Wölken, Annalisa Corrado, Heléne Fritzon, Marta Temido</w:t>
      </w:r>
      <w:r w:rsidRPr="00E90719">
        <w:rPr>
          <w:rStyle w:val="HideTWBExt"/>
          <w:b w:val="0"/>
          <w:lang w:val="en-GB"/>
        </w:rPr>
        <w:t>&lt;/Members&gt;</w:t>
      </w:r>
    </w:p>
    <w:p w14:paraId="0FD15CC0" w14:textId="77777777" w:rsidR="008144C7" w:rsidRPr="00635D1D" w:rsidRDefault="008144C7" w:rsidP="008144C7">
      <w:pPr>
        <w:pStyle w:val="NormalBold"/>
      </w:pPr>
      <w:r w:rsidRPr="00635D1D">
        <w:rPr>
          <w:rStyle w:val="HideTWBExt"/>
          <w:b w:val="0"/>
        </w:rPr>
        <w:t>&lt;/RepeatBlock-By&gt;</w:t>
      </w:r>
    </w:p>
    <w:p w14:paraId="6DDFEDC4"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2B16500" w14:textId="77777777" w:rsidR="008144C7" w:rsidRPr="00635D1D" w:rsidRDefault="008144C7" w:rsidP="008144C7">
      <w:pPr>
        <w:pStyle w:val="NormalBold"/>
      </w:pPr>
      <w:r w:rsidRPr="00635D1D">
        <w:rPr>
          <w:rStyle w:val="HideTWBExt"/>
          <w:b w:val="0"/>
        </w:rPr>
        <w:t>&lt;Article&gt;</w:t>
      </w:r>
      <w:r w:rsidRPr="00635D1D">
        <w:t>Motyw 28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056BBCDA" w14:textId="77777777" w:rsidTr="00C5582D">
        <w:trPr>
          <w:trHeight w:val="240"/>
          <w:jc w:val="center"/>
        </w:trPr>
        <w:tc>
          <w:tcPr>
            <w:tcW w:w="9752" w:type="dxa"/>
            <w:gridSpan w:val="2"/>
            <w:tcBorders>
              <w:top w:val="nil"/>
              <w:left w:val="nil"/>
              <w:bottom w:val="nil"/>
              <w:right w:val="nil"/>
            </w:tcBorders>
          </w:tcPr>
          <w:p w14:paraId="2A7C80F3" w14:textId="77777777" w:rsidR="008144C7" w:rsidRPr="00635D1D" w:rsidRDefault="008144C7" w:rsidP="00C5582D"/>
        </w:tc>
      </w:tr>
      <w:tr w:rsidR="008144C7" w:rsidRPr="00635D1D" w14:paraId="6F4F1C84" w14:textId="77777777" w:rsidTr="00C5582D">
        <w:trPr>
          <w:trHeight w:val="240"/>
          <w:jc w:val="center"/>
        </w:trPr>
        <w:tc>
          <w:tcPr>
            <w:tcW w:w="4876" w:type="dxa"/>
            <w:tcBorders>
              <w:top w:val="nil"/>
              <w:left w:val="nil"/>
              <w:bottom w:val="nil"/>
              <w:right w:val="nil"/>
            </w:tcBorders>
            <w:hideMark/>
          </w:tcPr>
          <w:p w14:paraId="1138B11E"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6EF8F09" w14:textId="77777777" w:rsidR="008144C7" w:rsidRPr="00635D1D" w:rsidRDefault="008144C7" w:rsidP="00C5582D">
            <w:pPr>
              <w:pStyle w:val="AmColumnHeading"/>
            </w:pPr>
            <w:r w:rsidRPr="00635D1D">
              <w:t>Poprawka</w:t>
            </w:r>
          </w:p>
        </w:tc>
      </w:tr>
      <w:tr w:rsidR="008144C7" w:rsidRPr="00635D1D" w14:paraId="6B707FEF" w14:textId="77777777" w:rsidTr="00C5582D">
        <w:trPr>
          <w:jc w:val="center"/>
        </w:trPr>
        <w:tc>
          <w:tcPr>
            <w:tcW w:w="4876" w:type="dxa"/>
            <w:tcBorders>
              <w:top w:val="nil"/>
              <w:left w:val="nil"/>
              <w:bottom w:val="nil"/>
              <w:right w:val="nil"/>
            </w:tcBorders>
            <w:hideMark/>
          </w:tcPr>
          <w:p w14:paraId="4905E266" w14:textId="77777777" w:rsidR="008144C7" w:rsidRPr="00635D1D" w:rsidRDefault="008144C7" w:rsidP="00C5582D">
            <w:pPr>
              <w:pStyle w:val="Normal6a"/>
            </w:pPr>
            <w:r w:rsidRPr="00635D1D">
              <w:t>(28)</w:t>
            </w:r>
            <w:r w:rsidRPr="00635D1D">
              <w:tab/>
              <w:t xml:space="preserve">W celu przyspieszenia oceny mikroorganizmów i otwarcia jednolitego rynku dla większej ilości biostymulatorów mikrobiologicznych należy przekazać Komisji uprawnienia do przyjmowania aktów zgodnie z art. 290 Traktatu o funkcjonowaniu Unii Europejskiej w odniesieniu do kategorii materiałów składowych (CMC) 7 określonej w załączniku II do rozporządzenia (UE) 2019/1009, aby umożliwić Komisji wprowadzenie ogólnych kryteriów i metodyki oceny mikroorganizmów. Te kryteria i metodyka powinny umożliwiać producentom i jednostkom notyfikowanym wykazanie i sprawdzenie, czy mikroorganizmy stosowane w biostymulatorach mikrobiologicznych, inne niż wymienione w CMC 7, nie stanowią zagrożenia dla zdrowia ludzkiego, zwierząt lub roślin, dla bezpieczeństwa lub dla środowiska oraz czy zapewniają efektywność agronomiczną. </w:t>
            </w:r>
            <w:r w:rsidRPr="00635D1D">
              <w:rPr>
                <w:b/>
                <w:bCs/>
                <w:i/>
                <w:iCs/>
              </w:rPr>
              <w:t>Aby doprecyzować</w:t>
            </w:r>
            <w:r w:rsidRPr="00635D1D">
              <w:t xml:space="preserve"> i </w:t>
            </w:r>
            <w:r w:rsidRPr="00635D1D">
              <w:rPr>
                <w:b/>
                <w:bCs/>
                <w:i/>
                <w:iCs/>
              </w:rPr>
              <w:t>zweryfikować wprowadzane kryteria</w:t>
            </w:r>
            <w:r w:rsidRPr="00635D1D">
              <w:t xml:space="preserve"> i </w:t>
            </w:r>
            <w:r w:rsidRPr="00635D1D">
              <w:rPr>
                <w:b/>
                <w:bCs/>
                <w:i/>
                <w:iCs/>
              </w:rPr>
              <w:t>metodykę,</w:t>
            </w:r>
            <w:r w:rsidRPr="00635D1D">
              <w:t xml:space="preserve"> szczególnie ważne jest, aby w czasie prac przygotowawczych Komisja </w:t>
            </w:r>
            <w:r w:rsidRPr="00635D1D">
              <w:rPr>
                <w:b/>
                <w:bCs/>
                <w:i/>
                <w:iCs/>
              </w:rPr>
              <w:t>prowadziła stosowne konsultacje</w:t>
            </w:r>
            <w:r w:rsidRPr="00635D1D">
              <w:t>, w tym na poziomie ekspertów, oraz aby konsultacje te prowadzone były zgodnie z zasadami określonymi w Porozumieniu międzyinstytucjonalnym z dnia 13 kwietnia 2016 r. w sprawie lepszego stanowienia prawa</w:t>
            </w:r>
            <w:r w:rsidRPr="00635D1D">
              <w:rPr>
                <w:vertAlign w:val="superscript"/>
              </w:rPr>
              <w:t>13</w:t>
            </w:r>
            <w:r w:rsidRPr="00635D1D">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hideMark/>
          </w:tcPr>
          <w:p w14:paraId="01CB3302" w14:textId="77777777" w:rsidR="008144C7" w:rsidRPr="00635D1D" w:rsidRDefault="008144C7" w:rsidP="00C5582D">
            <w:pPr>
              <w:pStyle w:val="Normal6a"/>
            </w:pPr>
            <w:r w:rsidRPr="00635D1D">
              <w:t>(28)</w:t>
            </w:r>
            <w:r w:rsidRPr="00635D1D">
              <w:tab/>
              <w:t>W celu przyspieszenia oceny mikroorganizmów i otwarcia jednolitego rynku dla większej ilości biostymulatorów mikrobiologicznych należy przekazać Komisji uprawnienia do przyjmowania aktów zgodnie z art. 290 Traktatu o funkcjonowaniu Unii Europejskiej w odniesieniu do kategorii materiałów składowych (CMC) 7 określonej w załączniku II do rozporządzenia (UE) 2019/1009, aby umożliwić Komisji wprowadzenie ogólnych kryteriów i metodyki oceny mikroorganizmów. Te kryteria i metodyka powinny umożliwiać producentom i jednostkom notyfikowanym</w:t>
            </w:r>
            <w:r w:rsidRPr="00635D1D">
              <w:rPr>
                <w:b/>
                <w:i/>
              </w:rPr>
              <w:t>, w porozumieniu z odpowiednimi organami krajowymi, EFSA i JRC, dokładne</w:t>
            </w:r>
            <w:r w:rsidRPr="00635D1D">
              <w:t xml:space="preserve"> wykazanie i sprawdzenie, czy mikroorganizmy stosowane w biostymulatorach mikrobiologicznych, inne niż wymienione w CMC 7, nie stanowią zagrożenia dla zdrowia ludzkiego, zwierząt lub roślin, dla bezpieczeństwa lub dla środowiska oraz czy zapewniają efektywność agronomiczną. </w:t>
            </w:r>
            <w:r w:rsidRPr="00635D1D">
              <w:rPr>
                <w:b/>
                <w:i/>
              </w:rPr>
              <w:t>Ocena ta wymaga niezależności, obiektywizmu, bezstronności, uczciwości zawodowej i specjalistycznej wiedzy fachowej, w odniesieniu do których jednostki oceniające zgodność będą musiały być specjalnie akredytowane i notyfikowane. Krajowe jednostki odpowiedzialne za akredytację i notyfikację powinny dokładnie weryfikować techniczne i naukowe kompetencje jednostek oceniających zgodność w zakresie oceny mikroorganizmów oraz to, czy spełniają one rygorystyczne wymogi dotyczące jednostek notyfikowanych określone w rozporządzeniu, w tym w zakresie niezależności, obiektywizmu, bezstronności i uczciwości zawodowej.</w:t>
            </w:r>
            <w:r w:rsidRPr="00635D1D">
              <w:t xml:space="preserve"> </w:t>
            </w:r>
            <w:r w:rsidRPr="00635D1D">
              <w:rPr>
                <w:b/>
                <w:bCs/>
                <w:i/>
                <w:iCs/>
              </w:rPr>
              <w:t>W celu doprecyzowania</w:t>
            </w:r>
            <w:r w:rsidRPr="00635D1D">
              <w:t xml:space="preserve"> i </w:t>
            </w:r>
            <w:r w:rsidRPr="00635D1D">
              <w:rPr>
                <w:b/>
                <w:bCs/>
                <w:i/>
                <w:iCs/>
              </w:rPr>
              <w:t>zweryfikowania wprowadzanych kryteriów</w:t>
            </w:r>
            <w:r w:rsidRPr="00635D1D">
              <w:t xml:space="preserve"> i </w:t>
            </w:r>
            <w:r w:rsidRPr="00635D1D">
              <w:rPr>
                <w:b/>
                <w:bCs/>
                <w:i/>
                <w:iCs/>
              </w:rPr>
              <w:t>metodyki</w:t>
            </w:r>
            <w:r w:rsidRPr="00635D1D">
              <w:t xml:space="preserve"> szczególnie ważne jest, aby w czasie prac przygotowawczych Komisja </w:t>
            </w:r>
            <w:r w:rsidRPr="00635D1D">
              <w:rPr>
                <w:b/>
                <w:i/>
              </w:rPr>
              <w:t>zaprosiła EFSA i JRC jako niezależne organy naukowe do przeglądu, wniesienia wkładu i prowadzenia stosownych konsultacji</w:t>
            </w:r>
            <w:r w:rsidRPr="00635D1D">
              <w:t>, w tym na poziomie ekspertów, oraz aby konsultacje te prowadzone były zgodnie z zasadami określonymi w Porozumieniu międzyinstytucjonalnym z dnia 13 kwietnia 2016 r. w sprawie lepszego stanowienia prawa</w:t>
            </w:r>
            <w:r w:rsidRPr="00635D1D">
              <w:rPr>
                <w:vertAlign w:val="superscript"/>
              </w:rPr>
              <w:t>13</w:t>
            </w:r>
            <w:r w:rsidRPr="00635D1D">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r w:rsidR="008144C7" w:rsidRPr="00635D1D" w14:paraId="7C64943E" w14:textId="77777777" w:rsidTr="00C5582D">
        <w:trPr>
          <w:jc w:val="center"/>
        </w:trPr>
        <w:tc>
          <w:tcPr>
            <w:tcW w:w="4876" w:type="dxa"/>
            <w:tcBorders>
              <w:top w:val="nil"/>
              <w:left w:val="nil"/>
              <w:bottom w:val="nil"/>
              <w:right w:val="nil"/>
            </w:tcBorders>
            <w:hideMark/>
          </w:tcPr>
          <w:p w14:paraId="55E8D41C"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601E104F" w14:textId="77777777" w:rsidR="008144C7" w:rsidRPr="00635D1D" w:rsidRDefault="008144C7" w:rsidP="00C5582D">
            <w:pPr>
              <w:pStyle w:val="Normal6a"/>
            </w:pPr>
            <w:r w:rsidRPr="00635D1D">
              <w:rPr>
                <w:b/>
                <w:i/>
              </w:rPr>
              <w:t>_________________</w:t>
            </w:r>
          </w:p>
        </w:tc>
      </w:tr>
      <w:tr w:rsidR="008144C7" w:rsidRPr="00635D1D" w14:paraId="15B6D37F" w14:textId="77777777" w:rsidTr="00C5582D">
        <w:trPr>
          <w:jc w:val="center"/>
        </w:trPr>
        <w:tc>
          <w:tcPr>
            <w:tcW w:w="4876" w:type="dxa"/>
            <w:tcBorders>
              <w:top w:val="nil"/>
              <w:left w:val="nil"/>
              <w:bottom w:val="nil"/>
              <w:right w:val="nil"/>
            </w:tcBorders>
            <w:hideMark/>
          </w:tcPr>
          <w:p w14:paraId="3997FDCB" w14:textId="77777777" w:rsidR="008144C7" w:rsidRPr="00635D1D" w:rsidRDefault="008144C7" w:rsidP="00C5582D">
            <w:pPr>
              <w:pStyle w:val="Normal6a"/>
            </w:pPr>
            <w:r w:rsidRPr="00635D1D">
              <w:rPr>
                <w:vertAlign w:val="superscript"/>
              </w:rPr>
              <w:t>13</w:t>
            </w:r>
            <w:r w:rsidRPr="00635D1D">
              <w:t xml:space="preserve"> Dz.U. L 123 z </w:t>
            </w:r>
            <w:proofErr w:type="gramStart"/>
            <w:r w:rsidRPr="00635D1D">
              <w:t>12.5.2016</w:t>
            </w:r>
            <w:proofErr w:type="gramEnd"/>
            <w:r w:rsidRPr="00635D1D">
              <w:t>, s. 1, ELI: http://data.europa.eu/eli/agree_interinstit/2016/512/oj.</w:t>
            </w:r>
          </w:p>
        </w:tc>
        <w:tc>
          <w:tcPr>
            <w:tcW w:w="4876" w:type="dxa"/>
            <w:tcBorders>
              <w:top w:val="nil"/>
              <w:left w:val="nil"/>
              <w:bottom w:val="nil"/>
              <w:right w:val="nil"/>
            </w:tcBorders>
            <w:hideMark/>
          </w:tcPr>
          <w:p w14:paraId="16F0248C" w14:textId="77777777" w:rsidR="008144C7" w:rsidRPr="00635D1D" w:rsidRDefault="008144C7" w:rsidP="00C5582D">
            <w:pPr>
              <w:pStyle w:val="Normal6a"/>
            </w:pPr>
            <w:r w:rsidRPr="00635D1D">
              <w:rPr>
                <w:vertAlign w:val="superscript"/>
              </w:rPr>
              <w:t>13</w:t>
            </w:r>
            <w:r w:rsidRPr="00635D1D">
              <w:t xml:space="preserve"> Dz.U. L 123 z </w:t>
            </w:r>
            <w:proofErr w:type="gramStart"/>
            <w:r w:rsidRPr="00635D1D">
              <w:t>12.5.2016</w:t>
            </w:r>
            <w:proofErr w:type="gramEnd"/>
            <w:r w:rsidRPr="00635D1D">
              <w:t>, s. 1, ELI: http://data.europa.eu/eli/agree_interinstit/2016/512/oj.</w:t>
            </w:r>
          </w:p>
        </w:tc>
      </w:tr>
    </w:tbl>
    <w:p w14:paraId="21DC714D"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20F3595D" w14:textId="77777777" w:rsidR="008144C7" w:rsidRPr="00E90719" w:rsidRDefault="008144C7" w:rsidP="008144C7">
      <w:pPr>
        <w:rPr>
          <w:lang w:val="en-GB"/>
        </w:rPr>
      </w:pPr>
      <w:r w:rsidRPr="00E90719">
        <w:rPr>
          <w:rStyle w:val="HideTWBExt"/>
          <w:lang w:val="en-GB"/>
        </w:rPr>
        <w:t>&lt;/Amend&gt;</w:t>
      </w:r>
    </w:p>
    <w:p w14:paraId="69BB8DFC"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236</w:t>
      </w:r>
      <w:r w:rsidRPr="00E90719">
        <w:rPr>
          <w:rStyle w:val="HideTWBExt"/>
          <w:b w:val="0"/>
          <w:lang w:val="en-GB"/>
        </w:rPr>
        <w:t>&lt;/NumAm&gt;</w:t>
      </w:r>
    </w:p>
    <w:p w14:paraId="5B42F255"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Katrin Langensiepen</w:t>
      </w:r>
      <w:r w:rsidRPr="00E90719">
        <w:rPr>
          <w:rStyle w:val="HideTWBExt"/>
          <w:b w:val="0"/>
          <w:lang w:val="en-GB"/>
        </w:rPr>
        <w:t>&lt;/Members&gt;</w:t>
      </w:r>
    </w:p>
    <w:p w14:paraId="32579566" w14:textId="77777777" w:rsidR="008144C7" w:rsidRPr="00E90719" w:rsidRDefault="008144C7" w:rsidP="008144C7">
      <w:pPr>
        <w:rPr>
          <w:lang w:val="en-GB"/>
        </w:rPr>
      </w:pPr>
      <w:r w:rsidRPr="00E90719">
        <w:rPr>
          <w:rStyle w:val="HideTWBExt"/>
          <w:lang w:val="en-GB"/>
        </w:rPr>
        <w:t>&lt;AuNomDe&gt;</w:t>
      </w:r>
      <w:r w:rsidRPr="00E90719">
        <w:rPr>
          <w:rStyle w:val="HideTWBInt"/>
          <w:lang w:val="en-GB"/>
        </w:rPr>
        <w:t>{Verts/</w:t>
      </w:r>
      <w:proofErr w:type="gramStart"/>
      <w:r w:rsidRPr="00E90719">
        <w:rPr>
          <w:rStyle w:val="HideTWBInt"/>
          <w:lang w:val="en-GB"/>
        </w:rPr>
        <w:t>ALE}</w:t>
      </w:r>
      <w:r w:rsidRPr="00E90719">
        <w:rPr>
          <w:lang w:val="en-GB"/>
        </w:rPr>
        <w:t>w</w:t>
      </w:r>
      <w:proofErr w:type="gramEnd"/>
      <w:r w:rsidRPr="00E90719">
        <w:rPr>
          <w:lang w:val="en-GB"/>
        </w:rPr>
        <w:t xml:space="preserve"> imieniu grupy Verts/ALE</w:t>
      </w:r>
      <w:r w:rsidRPr="00E90719">
        <w:rPr>
          <w:rStyle w:val="HideTWBExt"/>
          <w:lang w:val="en-GB"/>
        </w:rPr>
        <w:t>&lt;/AuNomDe&gt;</w:t>
      </w:r>
    </w:p>
    <w:p w14:paraId="650B40D2" w14:textId="77777777" w:rsidR="008144C7" w:rsidRPr="00635D1D" w:rsidRDefault="008144C7" w:rsidP="008144C7">
      <w:pPr>
        <w:pStyle w:val="NormalBold"/>
      </w:pPr>
      <w:r w:rsidRPr="00635D1D">
        <w:rPr>
          <w:rStyle w:val="HideTWBExt"/>
          <w:b w:val="0"/>
        </w:rPr>
        <w:t>&lt;/RepeatBlock-By&gt;</w:t>
      </w:r>
    </w:p>
    <w:p w14:paraId="7BC29F2A"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7460F728" w14:textId="77777777" w:rsidR="008144C7" w:rsidRPr="00635D1D" w:rsidRDefault="008144C7" w:rsidP="008144C7">
      <w:pPr>
        <w:pStyle w:val="NormalBold"/>
      </w:pPr>
      <w:r w:rsidRPr="00635D1D">
        <w:rPr>
          <w:rStyle w:val="HideTWBExt"/>
          <w:b w:val="0"/>
        </w:rPr>
        <w:t>&lt;Article&gt;</w:t>
      </w:r>
      <w:r w:rsidRPr="00635D1D">
        <w:t>Motyw 28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E356199" w14:textId="77777777" w:rsidTr="00C5582D">
        <w:trPr>
          <w:trHeight w:val="240"/>
          <w:jc w:val="center"/>
        </w:trPr>
        <w:tc>
          <w:tcPr>
            <w:tcW w:w="9752" w:type="dxa"/>
            <w:gridSpan w:val="2"/>
            <w:tcBorders>
              <w:top w:val="nil"/>
              <w:left w:val="nil"/>
              <w:bottom w:val="nil"/>
              <w:right w:val="nil"/>
            </w:tcBorders>
          </w:tcPr>
          <w:p w14:paraId="46F69EC2" w14:textId="77777777" w:rsidR="008144C7" w:rsidRPr="00635D1D" w:rsidRDefault="008144C7" w:rsidP="00C5582D"/>
        </w:tc>
      </w:tr>
      <w:tr w:rsidR="008144C7" w:rsidRPr="00635D1D" w14:paraId="3B1FC84A" w14:textId="77777777" w:rsidTr="00C5582D">
        <w:trPr>
          <w:trHeight w:val="240"/>
          <w:jc w:val="center"/>
        </w:trPr>
        <w:tc>
          <w:tcPr>
            <w:tcW w:w="4876" w:type="dxa"/>
            <w:tcBorders>
              <w:top w:val="nil"/>
              <w:left w:val="nil"/>
              <w:bottom w:val="nil"/>
              <w:right w:val="nil"/>
            </w:tcBorders>
            <w:hideMark/>
          </w:tcPr>
          <w:p w14:paraId="60EE24B7"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B035D51" w14:textId="77777777" w:rsidR="008144C7" w:rsidRPr="00635D1D" w:rsidRDefault="008144C7" w:rsidP="00C5582D">
            <w:pPr>
              <w:pStyle w:val="AmColumnHeading"/>
            </w:pPr>
            <w:r w:rsidRPr="00635D1D">
              <w:t>Poprawka</w:t>
            </w:r>
          </w:p>
        </w:tc>
      </w:tr>
      <w:tr w:rsidR="008144C7" w:rsidRPr="00635D1D" w14:paraId="43C9B067" w14:textId="77777777" w:rsidTr="00C5582D">
        <w:trPr>
          <w:jc w:val="center"/>
        </w:trPr>
        <w:tc>
          <w:tcPr>
            <w:tcW w:w="4876" w:type="dxa"/>
            <w:tcBorders>
              <w:top w:val="nil"/>
              <w:left w:val="nil"/>
              <w:bottom w:val="nil"/>
              <w:right w:val="nil"/>
            </w:tcBorders>
            <w:hideMark/>
          </w:tcPr>
          <w:p w14:paraId="4D538CE2" w14:textId="77777777" w:rsidR="008144C7" w:rsidRPr="00635D1D" w:rsidRDefault="008144C7" w:rsidP="00C5582D">
            <w:pPr>
              <w:pStyle w:val="Normal6a"/>
            </w:pPr>
            <w:r w:rsidRPr="00635D1D">
              <w:t>(28)</w:t>
            </w:r>
            <w:r w:rsidRPr="00635D1D">
              <w:tab/>
              <w:t xml:space="preserve">W celu przyspieszenia oceny mikroorganizmów i otwarcia jednolitego rynku dla większej ilości biostymulatorów mikrobiologicznych należy przekazać Komisji uprawnienia do przyjmowania aktów zgodnie z art. 290 Traktatu o funkcjonowaniu Unii Europejskiej w odniesieniu do kategorii materiałów składowych (CMC) 7 określonej w załączniku II do rozporządzenia (UE) 2019/1009, aby umożliwić Komisji wprowadzenie ogólnych kryteriów i metodyki oceny mikroorganizmów. Te kryteria i metodyka powinny umożliwiać producentom i jednostkom notyfikowanym wykazanie i sprawdzenie, czy mikroorganizmy stosowane w biostymulatorach mikrobiologicznych, inne niż wymienione w CMC 7, nie stanowią zagrożenia dla zdrowia ludzkiego, zwierząt lub roślin, dla bezpieczeństwa lub dla środowiska oraz czy zapewniają efektywność agronomiczną. </w:t>
            </w:r>
            <w:r w:rsidRPr="00635D1D">
              <w:rPr>
                <w:b/>
                <w:bCs/>
                <w:i/>
                <w:iCs/>
              </w:rPr>
              <w:t>Aby doprecyzować</w:t>
            </w:r>
            <w:r w:rsidRPr="00635D1D">
              <w:t xml:space="preserve"> i </w:t>
            </w:r>
            <w:r w:rsidRPr="00635D1D">
              <w:rPr>
                <w:b/>
                <w:bCs/>
                <w:i/>
                <w:iCs/>
              </w:rPr>
              <w:t>zweryfikować wprowadzane kryteria</w:t>
            </w:r>
            <w:r w:rsidRPr="00635D1D">
              <w:t xml:space="preserve"> i </w:t>
            </w:r>
            <w:r w:rsidRPr="00635D1D">
              <w:rPr>
                <w:b/>
                <w:bCs/>
                <w:i/>
                <w:iCs/>
              </w:rPr>
              <w:t>metodykę,</w:t>
            </w:r>
            <w:r w:rsidRPr="00635D1D">
              <w:t xml:space="preserve"> szczególnie ważne jest, aby </w:t>
            </w:r>
            <w:r w:rsidRPr="00635D1D">
              <w:rPr>
                <w:b/>
                <w:i/>
              </w:rPr>
              <w:t>w czasie prac przygotowawczych</w:t>
            </w:r>
            <w:r w:rsidRPr="00635D1D">
              <w:t xml:space="preserve"> Komisja prowadziła stosowne konsultacje, w tym na poziomie ekspertów</w:t>
            </w:r>
            <w:r w:rsidRPr="00635D1D">
              <w:rPr>
                <w:b/>
                <w:bCs/>
                <w:i/>
                <w:iCs/>
              </w:rPr>
              <w:t>, oraz aby</w:t>
            </w:r>
            <w:r w:rsidRPr="00635D1D">
              <w:t xml:space="preserve"> konsultacje te prowadzone </w:t>
            </w:r>
            <w:r w:rsidRPr="00635D1D">
              <w:rPr>
                <w:b/>
                <w:bCs/>
                <w:i/>
                <w:iCs/>
              </w:rPr>
              <w:t>były</w:t>
            </w:r>
            <w:r w:rsidRPr="00635D1D">
              <w:t xml:space="preserve"> zgodnie z zasadami określonymi w Porozumieniu międzyinstytucjonalnym z dnia 13 kwietnia 2016 r. w sprawie lepszego stanowienia prawa</w:t>
            </w:r>
            <w:r w:rsidRPr="00635D1D">
              <w:rPr>
                <w:b/>
                <w:i/>
                <w:vertAlign w:val="superscript"/>
              </w:rPr>
              <w:t>13</w:t>
            </w:r>
            <w:r w:rsidRPr="00635D1D">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hideMark/>
          </w:tcPr>
          <w:p w14:paraId="19509751" w14:textId="77777777" w:rsidR="008144C7" w:rsidRPr="00635D1D" w:rsidRDefault="008144C7" w:rsidP="00C5582D">
            <w:pPr>
              <w:pStyle w:val="Normal6a"/>
            </w:pPr>
            <w:r w:rsidRPr="00635D1D">
              <w:t>(28)</w:t>
            </w:r>
            <w:r w:rsidRPr="00635D1D">
              <w:tab/>
              <w:t xml:space="preserve">W celu przyspieszenia oceny mikroorganizmów i otwarcia jednolitego rynku dla większej ilości biostymulatorów mikrobiologicznych należy przekazać Komisji uprawnienia do przyjmowania aktów zgodnie z art. 290 Traktatu o funkcjonowaniu Unii Europejskiej w odniesieniu do kategorii materiałów składowych (CMC) 7 określonej w załączniku II do rozporządzenia (UE) 2019/1009, aby umożliwić Komisji wprowadzenie ogólnych kryteriów i metodyki oceny mikroorganizmów. Te kryteria i metodyka powinny umożliwiać producentom </w:t>
            </w:r>
            <w:r w:rsidRPr="00635D1D">
              <w:rPr>
                <w:b/>
                <w:bCs/>
                <w:i/>
                <w:iCs/>
              </w:rPr>
              <w:t>dokumentowanie</w:t>
            </w:r>
            <w:r w:rsidRPr="00635D1D">
              <w:t xml:space="preserve"> i </w:t>
            </w:r>
            <w:r w:rsidRPr="00635D1D">
              <w:rPr>
                <w:b/>
                <w:i/>
              </w:rPr>
              <w:t>wykazanie zgodności, a</w:t>
            </w:r>
            <w:r w:rsidRPr="00635D1D">
              <w:t xml:space="preserve"> jednostkom notyfikowanym wykazanie i sprawdzenie, czy mikroorganizmy stosowane w biostymulatorach mikrobiologicznych, inne niż wymienione w CMC 7, nie stanowią zagrożenia dla zdrowia ludzkiego, zwierząt lub roślin, dla bezpieczeństwa lub dla środowiska oraz czy zapewniają efektywność agronomiczną. </w:t>
            </w:r>
            <w:r w:rsidRPr="00635D1D">
              <w:rPr>
                <w:b/>
                <w:i/>
              </w:rPr>
              <w:t>Weryfikacja zgodności mikroorganizmów z kryteriami i metodyką określonymi w niniejszym rozporządzeniu będzie wymagała szczególnych kompetencji i wiedzy technicznej od jednostek oceniających zgodność, w związku z czym wymagana będzie akredytacja i notyfikacja zgodnie z rozporządzeniem (UE) nr 765/2008. Kompetencje te powinny być zatem kontrolowane przez krajowe organy odpowiedzialne za akredytację i notyfikację, a także takie aspekty, jak: niezależność, obiektywizm, bezstronność i uczciwość zawodowa.</w:t>
            </w:r>
            <w:r w:rsidRPr="00635D1D">
              <w:t xml:space="preserve"> </w:t>
            </w:r>
            <w:r w:rsidRPr="00635D1D">
              <w:rPr>
                <w:b/>
                <w:bCs/>
                <w:i/>
                <w:iCs/>
              </w:rPr>
              <w:t>W celu doprecyzowania</w:t>
            </w:r>
            <w:r w:rsidRPr="00635D1D">
              <w:t xml:space="preserve"> i </w:t>
            </w:r>
            <w:r w:rsidRPr="00635D1D">
              <w:rPr>
                <w:b/>
                <w:bCs/>
                <w:i/>
                <w:iCs/>
              </w:rPr>
              <w:t>zweryfikowania wprowadzanych kryteriów</w:t>
            </w:r>
            <w:r w:rsidRPr="00635D1D">
              <w:t xml:space="preserve"> i </w:t>
            </w:r>
            <w:r w:rsidRPr="00635D1D">
              <w:rPr>
                <w:b/>
                <w:bCs/>
                <w:i/>
                <w:iCs/>
              </w:rPr>
              <w:t>metodyki</w:t>
            </w:r>
            <w:r w:rsidRPr="00635D1D">
              <w:t xml:space="preserve"> szczególnie ważne jest, aby Komisja </w:t>
            </w:r>
            <w:r w:rsidRPr="00635D1D">
              <w:rPr>
                <w:b/>
                <w:i/>
              </w:rPr>
              <w:t>zaangażowała odpowiednie niezależne organy naukowe, w szczególności Europejski Urząd ds. Bezpieczeństwa Żywności i ECHA, w swoje prace przygotowawcze, a także</w:t>
            </w:r>
            <w:r w:rsidRPr="00635D1D">
              <w:t xml:space="preserve"> prowadziła stosowne konsultacje, w tym na poziomie ekspertów</w:t>
            </w:r>
            <w:r w:rsidRPr="00635D1D">
              <w:rPr>
                <w:b/>
                <w:i/>
              </w:rPr>
              <w:t>.</w:t>
            </w:r>
            <w:r w:rsidRPr="00635D1D">
              <w:t xml:space="preserve"> Konsultacje te </w:t>
            </w:r>
            <w:r w:rsidRPr="00635D1D">
              <w:rPr>
                <w:b/>
                <w:i/>
              </w:rPr>
              <w:t>powinny być</w:t>
            </w:r>
            <w:r w:rsidRPr="00635D1D">
              <w:t xml:space="preserve"> prowadzone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r w:rsidR="008144C7" w:rsidRPr="00635D1D" w14:paraId="6F88E90E" w14:textId="77777777" w:rsidTr="00C5582D">
        <w:trPr>
          <w:jc w:val="center"/>
        </w:trPr>
        <w:tc>
          <w:tcPr>
            <w:tcW w:w="4876" w:type="dxa"/>
            <w:tcBorders>
              <w:top w:val="nil"/>
              <w:left w:val="nil"/>
              <w:bottom w:val="nil"/>
              <w:right w:val="nil"/>
            </w:tcBorders>
            <w:hideMark/>
          </w:tcPr>
          <w:p w14:paraId="2B813F2E"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tcPr>
          <w:p w14:paraId="1861806F" w14:textId="77777777" w:rsidR="008144C7" w:rsidRPr="00635D1D" w:rsidRDefault="008144C7" w:rsidP="00C5582D"/>
        </w:tc>
      </w:tr>
      <w:tr w:rsidR="008144C7" w:rsidRPr="00635D1D" w14:paraId="0E77F4AA" w14:textId="77777777" w:rsidTr="00C5582D">
        <w:trPr>
          <w:jc w:val="center"/>
        </w:trPr>
        <w:tc>
          <w:tcPr>
            <w:tcW w:w="4876" w:type="dxa"/>
            <w:tcBorders>
              <w:top w:val="nil"/>
              <w:left w:val="nil"/>
              <w:bottom w:val="nil"/>
              <w:right w:val="nil"/>
            </w:tcBorders>
            <w:hideMark/>
          </w:tcPr>
          <w:p w14:paraId="7261A9E8" w14:textId="77777777" w:rsidR="008144C7" w:rsidRPr="00635D1D" w:rsidRDefault="008144C7" w:rsidP="00C5582D">
            <w:pPr>
              <w:pStyle w:val="Normal6a"/>
            </w:pPr>
            <w:r w:rsidRPr="00635D1D">
              <w:rPr>
                <w:b/>
                <w:i/>
                <w:vertAlign w:val="superscript"/>
              </w:rPr>
              <w:t>13</w:t>
            </w:r>
            <w:r w:rsidRPr="00635D1D">
              <w:t xml:space="preserve"> </w:t>
            </w:r>
            <w:r w:rsidRPr="00635D1D">
              <w:rPr>
                <w:b/>
                <w:i/>
              </w:rPr>
              <w:t xml:space="preserve">Dz.U. L 123 z </w:t>
            </w:r>
            <w:proofErr w:type="gramStart"/>
            <w:r w:rsidRPr="00635D1D">
              <w:rPr>
                <w:b/>
                <w:i/>
              </w:rPr>
              <w:t>12.5.2016</w:t>
            </w:r>
            <w:proofErr w:type="gramEnd"/>
            <w:r w:rsidRPr="00635D1D">
              <w:rPr>
                <w:b/>
                <w:i/>
              </w:rPr>
              <w:t>, s. 1, ELI: http://data.europa.eu/eli/agree_interinstit/2016/512/oj.</w:t>
            </w:r>
          </w:p>
        </w:tc>
        <w:tc>
          <w:tcPr>
            <w:tcW w:w="4876" w:type="dxa"/>
            <w:tcBorders>
              <w:top w:val="nil"/>
              <w:left w:val="nil"/>
              <w:bottom w:val="nil"/>
              <w:right w:val="nil"/>
            </w:tcBorders>
          </w:tcPr>
          <w:p w14:paraId="27C011CF" w14:textId="77777777" w:rsidR="008144C7" w:rsidRPr="00635D1D" w:rsidRDefault="008144C7" w:rsidP="00C5582D"/>
        </w:tc>
      </w:tr>
    </w:tbl>
    <w:p w14:paraId="2AF1D5A8"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1A9E54D7" w14:textId="77777777" w:rsidR="008144C7" w:rsidRPr="00E90719" w:rsidRDefault="008144C7" w:rsidP="008144C7">
      <w:pPr>
        <w:rPr>
          <w:lang w:val="en-GB"/>
        </w:rPr>
      </w:pPr>
      <w:r w:rsidRPr="00E90719">
        <w:rPr>
          <w:rStyle w:val="HideTWBExt"/>
          <w:lang w:val="en-GB"/>
        </w:rPr>
        <w:t>&lt;/Amend&gt;</w:t>
      </w:r>
    </w:p>
    <w:p w14:paraId="1A8DD679"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237</w:t>
      </w:r>
      <w:r w:rsidRPr="00E90719">
        <w:rPr>
          <w:rStyle w:val="HideTWBExt"/>
          <w:b w:val="0"/>
          <w:lang w:val="en-GB"/>
        </w:rPr>
        <w:t>&lt;/NumAm&gt;</w:t>
      </w:r>
    </w:p>
    <w:p w14:paraId="4E69AFAE"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Salvatore De Meo, Flavio Tosi, Massimiliano Salini, Letizia Moratti</w:t>
      </w:r>
      <w:r w:rsidRPr="00E90719">
        <w:rPr>
          <w:rStyle w:val="HideTWBExt"/>
          <w:b w:val="0"/>
          <w:lang w:val="en-GB"/>
        </w:rPr>
        <w:t>&lt;/Members&gt;</w:t>
      </w:r>
    </w:p>
    <w:p w14:paraId="47858A3D" w14:textId="77777777" w:rsidR="008144C7" w:rsidRPr="00635D1D" w:rsidRDefault="008144C7" w:rsidP="008144C7">
      <w:pPr>
        <w:pStyle w:val="NormalBold"/>
      </w:pPr>
      <w:r w:rsidRPr="00635D1D">
        <w:rPr>
          <w:rStyle w:val="HideTWBExt"/>
          <w:b w:val="0"/>
        </w:rPr>
        <w:t>&lt;/RepeatBlock-By&gt;</w:t>
      </w:r>
    </w:p>
    <w:p w14:paraId="691532CE"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D4AF135" w14:textId="77777777" w:rsidR="008144C7" w:rsidRPr="00635D1D" w:rsidRDefault="008144C7" w:rsidP="008144C7">
      <w:pPr>
        <w:pStyle w:val="NormalBold"/>
      </w:pPr>
      <w:r w:rsidRPr="00635D1D">
        <w:rPr>
          <w:rStyle w:val="HideTWBExt"/>
          <w:b w:val="0"/>
        </w:rPr>
        <w:t>&lt;Article&gt;</w:t>
      </w:r>
      <w:r w:rsidRPr="00635D1D">
        <w:t>Motyw 28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00697E80" w14:textId="77777777" w:rsidTr="00C5582D">
        <w:trPr>
          <w:trHeight w:val="240"/>
          <w:jc w:val="center"/>
        </w:trPr>
        <w:tc>
          <w:tcPr>
            <w:tcW w:w="9752" w:type="dxa"/>
            <w:gridSpan w:val="2"/>
            <w:tcBorders>
              <w:top w:val="nil"/>
              <w:left w:val="nil"/>
              <w:bottom w:val="nil"/>
              <w:right w:val="nil"/>
            </w:tcBorders>
          </w:tcPr>
          <w:p w14:paraId="6F147F6D" w14:textId="77777777" w:rsidR="008144C7" w:rsidRPr="00635D1D" w:rsidRDefault="008144C7" w:rsidP="00C5582D"/>
        </w:tc>
      </w:tr>
      <w:tr w:rsidR="008144C7" w:rsidRPr="00635D1D" w14:paraId="5482074A" w14:textId="77777777" w:rsidTr="00C5582D">
        <w:trPr>
          <w:trHeight w:val="240"/>
          <w:jc w:val="center"/>
        </w:trPr>
        <w:tc>
          <w:tcPr>
            <w:tcW w:w="4876" w:type="dxa"/>
            <w:tcBorders>
              <w:top w:val="nil"/>
              <w:left w:val="nil"/>
              <w:bottom w:val="nil"/>
              <w:right w:val="nil"/>
            </w:tcBorders>
            <w:hideMark/>
          </w:tcPr>
          <w:p w14:paraId="6A269863"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5B10E64" w14:textId="77777777" w:rsidR="008144C7" w:rsidRPr="00635D1D" w:rsidRDefault="008144C7" w:rsidP="00C5582D">
            <w:pPr>
              <w:pStyle w:val="AmColumnHeading"/>
            </w:pPr>
            <w:r w:rsidRPr="00635D1D">
              <w:t>Poprawka</w:t>
            </w:r>
          </w:p>
        </w:tc>
      </w:tr>
      <w:tr w:rsidR="008144C7" w:rsidRPr="00635D1D" w14:paraId="5292D9D7" w14:textId="77777777" w:rsidTr="00C5582D">
        <w:trPr>
          <w:jc w:val="center"/>
        </w:trPr>
        <w:tc>
          <w:tcPr>
            <w:tcW w:w="4876" w:type="dxa"/>
            <w:tcBorders>
              <w:top w:val="nil"/>
              <w:left w:val="nil"/>
              <w:bottom w:val="nil"/>
              <w:right w:val="nil"/>
            </w:tcBorders>
            <w:hideMark/>
          </w:tcPr>
          <w:p w14:paraId="1B5E907B" w14:textId="77777777" w:rsidR="008144C7" w:rsidRPr="00635D1D" w:rsidRDefault="008144C7" w:rsidP="00C5582D">
            <w:pPr>
              <w:pStyle w:val="Normal6a"/>
            </w:pPr>
            <w:r w:rsidRPr="00635D1D">
              <w:t>(28)</w:t>
            </w:r>
            <w:r w:rsidRPr="00635D1D">
              <w:tab/>
              <w:t xml:space="preserve">W celu przyspieszenia oceny mikroorganizmów i otwarcia jednolitego rynku dla większej ilości biostymulatorów mikrobiologicznych należy przekazać Komisji uprawnienia do przyjmowania aktów zgodnie z art. 290 Traktatu o funkcjonowaniu Unii Europejskiej w odniesieniu do kategorii materiałów składowych (CMC) 7 określonej w załączniku II do rozporządzenia (UE) 2019/1009, aby umożliwić Komisji wprowadzenie ogólnych kryteriów i metodyki oceny mikroorganizmów. Te kryteria i metodyka powinny umożliwiać producentom i jednostkom notyfikowanym wykazanie i sprawdzenie, czy mikroorganizmy stosowane w biostymulatorach mikrobiologicznych, inne niż wymienione w CMC 7, nie stanowią zagrożenia dla zdrowia ludzkiego, zwierząt lub roślin, dla bezpieczeństwa lub dla środowiska oraz czy zapewniają efektywność agronomiczną. </w:t>
            </w:r>
            <w:r w:rsidRPr="00635D1D">
              <w:rPr>
                <w:b/>
                <w:bCs/>
                <w:i/>
                <w:iCs/>
              </w:rPr>
              <w:t>Aby doprecyzować</w:t>
            </w:r>
            <w:r w:rsidRPr="00635D1D">
              <w:t xml:space="preserve"> i </w:t>
            </w:r>
            <w:r w:rsidRPr="00635D1D">
              <w:rPr>
                <w:b/>
                <w:bCs/>
                <w:i/>
                <w:iCs/>
              </w:rPr>
              <w:t>zweryfikować wprowadzane kryteria</w:t>
            </w:r>
            <w:r w:rsidRPr="00635D1D">
              <w:t xml:space="preserve"> i </w:t>
            </w:r>
            <w:r w:rsidRPr="00635D1D">
              <w:rPr>
                <w:b/>
                <w:bCs/>
                <w:i/>
                <w:iCs/>
              </w:rPr>
              <w:t>metodykę,</w:t>
            </w:r>
            <w:r w:rsidRPr="00635D1D">
              <w:t xml:space="preserve">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635D1D">
              <w:rPr>
                <w:vertAlign w:val="superscript"/>
              </w:rPr>
              <w:t>13</w:t>
            </w:r>
            <w:r w:rsidRPr="00635D1D">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hideMark/>
          </w:tcPr>
          <w:p w14:paraId="15D9760F" w14:textId="77777777" w:rsidR="008144C7" w:rsidRPr="00635D1D" w:rsidRDefault="008144C7" w:rsidP="00C5582D">
            <w:pPr>
              <w:pStyle w:val="Normal6a"/>
            </w:pPr>
            <w:r w:rsidRPr="00635D1D">
              <w:t>(28)</w:t>
            </w:r>
            <w:r w:rsidRPr="00635D1D">
              <w:tab/>
              <w:t xml:space="preserve">W celu przyspieszenia oceny mikroorganizmów i otwarcia jednolitego rynku dla większej ilości biostymulatorów mikrobiologicznych należy przekazać Komisji uprawnienia do przyjmowania aktów zgodnie z art. 290 Traktatu o funkcjonowaniu Unii Europejskiej w odniesieniu do kategorii materiałów składowych (CMC) 7 określonej w załączniku II do rozporządzenia (UE) 2019/1009, aby umożliwić Komisji wprowadzenie ogólnych kryteriów i metodyki oceny mikroorganizmów </w:t>
            </w:r>
            <w:r w:rsidRPr="00635D1D">
              <w:rPr>
                <w:b/>
                <w:i/>
              </w:rPr>
              <w:t>z uwzględnieniem badań technicznych zleconych przez Komisję Europejską w związku z niniejszym rozporządzeniem</w:t>
            </w:r>
            <w:r w:rsidRPr="00635D1D">
              <w:t xml:space="preserve">. Te kryteria i metodyka powinny </w:t>
            </w:r>
            <w:r w:rsidRPr="00635D1D">
              <w:rPr>
                <w:b/>
                <w:i/>
              </w:rPr>
              <w:t>określać szczegółowe sposoby usuwania danych objętych ochroną w sprawozdaniach z testów i badań dotyczących mikroorganizmów oraz</w:t>
            </w:r>
            <w:r w:rsidRPr="00635D1D">
              <w:t xml:space="preserve"> umożliwiać producentom i jednostkom notyfikowanym wykazanie i sprawdzenie, czy mikroorganizmy stosowane w biostymulatorach mikrobiologicznych, inne niż wymienione w CMC 7, nie stanowią zagrożenia dla zdrowia ludzkiego, zwierząt lub roślin, dla bezpieczeństwa lub dla środowiska oraz czy zapewniają efektywność agronomiczną. </w:t>
            </w:r>
            <w:r w:rsidRPr="00635D1D">
              <w:rPr>
                <w:b/>
                <w:bCs/>
                <w:i/>
                <w:iCs/>
              </w:rPr>
              <w:t>W celu doprecyzowania</w:t>
            </w:r>
            <w:r w:rsidRPr="00635D1D">
              <w:t xml:space="preserve"> i </w:t>
            </w:r>
            <w:r w:rsidRPr="00635D1D">
              <w:rPr>
                <w:b/>
                <w:bCs/>
                <w:i/>
                <w:iCs/>
              </w:rPr>
              <w:t>zweryfikowania wprowadzanych kryteriów</w:t>
            </w:r>
            <w:r w:rsidRPr="00635D1D">
              <w:t xml:space="preserve"> i </w:t>
            </w:r>
            <w:r w:rsidRPr="00635D1D">
              <w:rPr>
                <w:b/>
                <w:bCs/>
                <w:i/>
                <w:iCs/>
              </w:rPr>
              <w:t>metodyki</w:t>
            </w:r>
            <w:r w:rsidRPr="00635D1D">
              <w:t xml:space="preserve">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635D1D">
              <w:rPr>
                <w:vertAlign w:val="superscript"/>
              </w:rPr>
              <w:t>13</w:t>
            </w:r>
            <w:r w:rsidRPr="00635D1D">
              <w:t xml:space="preserve">.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 </w:t>
            </w:r>
            <w:r w:rsidRPr="00635D1D">
              <w:rPr>
                <w:b/>
                <w:i/>
              </w:rPr>
              <w:t>Uprawnienie to powinno uzupełniać istniejące podejście oparte na wykazie w odniesieniu do mikroorganizmów w ramach CMC 7 w załączniku II i pozostawać bez uszczerbku dla tego podejścia.</w:t>
            </w:r>
          </w:p>
        </w:tc>
      </w:tr>
      <w:tr w:rsidR="008144C7" w:rsidRPr="00635D1D" w14:paraId="7E14C05B" w14:textId="77777777" w:rsidTr="00C5582D">
        <w:trPr>
          <w:jc w:val="center"/>
        </w:trPr>
        <w:tc>
          <w:tcPr>
            <w:tcW w:w="4876" w:type="dxa"/>
            <w:tcBorders>
              <w:top w:val="nil"/>
              <w:left w:val="nil"/>
              <w:bottom w:val="nil"/>
              <w:right w:val="nil"/>
            </w:tcBorders>
            <w:hideMark/>
          </w:tcPr>
          <w:p w14:paraId="66BBF661"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53E7C8F2" w14:textId="77777777" w:rsidR="008144C7" w:rsidRPr="00635D1D" w:rsidRDefault="008144C7" w:rsidP="00C5582D">
            <w:pPr>
              <w:pStyle w:val="Normal6a"/>
            </w:pPr>
            <w:r w:rsidRPr="00635D1D">
              <w:rPr>
                <w:b/>
                <w:i/>
              </w:rPr>
              <w:t>_________________</w:t>
            </w:r>
          </w:p>
        </w:tc>
      </w:tr>
      <w:tr w:rsidR="008144C7" w:rsidRPr="00635D1D" w14:paraId="23B61197" w14:textId="77777777" w:rsidTr="00C5582D">
        <w:trPr>
          <w:jc w:val="center"/>
        </w:trPr>
        <w:tc>
          <w:tcPr>
            <w:tcW w:w="4876" w:type="dxa"/>
            <w:tcBorders>
              <w:top w:val="nil"/>
              <w:left w:val="nil"/>
              <w:bottom w:val="nil"/>
              <w:right w:val="nil"/>
            </w:tcBorders>
            <w:hideMark/>
          </w:tcPr>
          <w:p w14:paraId="7D245818" w14:textId="77777777" w:rsidR="008144C7" w:rsidRPr="00635D1D" w:rsidRDefault="008144C7" w:rsidP="00C5582D">
            <w:pPr>
              <w:pStyle w:val="Normal6a"/>
            </w:pPr>
            <w:r w:rsidRPr="00635D1D">
              <w:rPr>
                <w:vertAlign w:val="superscript"/>
              </w:rPr>
              <w:t>13</w:t>
            </w:r>
            <w:r w:rsidRPr="00635D1D">
              <w:t xml:space="preserve"> Dz.U. L 123 z </w:t>
            </w:r>
            <w:proofErr w:type="gramStart"/>
            <w:r w:rsidRPr="00635D1D">
              <w:t>12.5.2016</w:t>
            </w:r>
            <w:proofErr w:type="gramEnd"/>
            <w:r w:rsidRPr="00635D1D">
              <w:t>, s. 1, ELI: http://data.europa.eu/eli/agree_interinstit/2016/512/oj.</w:t>
            </w:r>
          </w:p>
        </w:tc>
        <w:tc>
          <w:tcPr>
            <w:tcW w:w="4876" w:type="dxa"/>
            <w:tcBorders>
              <w:top w:val="nil"/>
              <w:left w:val="nil"/>
              <w:bottom w:val="nil"/>
              <w:right w:val="nil"/>
            </w:tcBorders>
            <w:hideMark/>
          </w:tcPr>
          <w:p w14:paraId="7654866E" w14:textId="77777777" w:rsidR="008144C7" w:rsidRPr="00635D1D" w:rsidRDefault="008144C7" w:rsidP="00C5582D">
            <w:pPr>
              <w:pStyle w:val="Normal6a"/>
            </w:pPr>
            <w:r w:rsidRPr="00635D1D">
              <w:rPr>
                <w:vertAlign w:val="superscript"/>
              </w:rPr>
              <w:t>13</w:t>
            </w:r>
            <w:r w:rsidRPr="00635D1D">
              <w:t xml:space="preserve"> Dz.U. L 123 z </w:t>
            </w:r>
            <w:proofErr w:type="gramStart"/>
            <w:r w:rsidRPr="00635D1D">
              <w:t>12.5.2016</w:t>
            </w:r>
            <w:proofErr w:type="gramEnd"/>
            <w:r w:rsidRPr="00635D1D">
              <w:t>, s. 1, ELI: http://data.europa.eu/eli/agree_interinstit/2016/512/oj.</w:t>
            </w:r>
          </w:p>
        </w:tc>
      </w:tr>
    </w:tbl>
    <w:p w14:paraId="1ACD896D"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5A1DDD95" w14:textId="77777777" w:rsidR="008144C7" w:rsidRPr="00E90719" w:rsidRDefault="008144C7" w:rsidP="008144C7">
      <w:pPr>
        <w:rPr>
          <w:lang w:val="en-GB"/>
        </w:rPr>
      </w:pPr>
      <w:r w:rsidRPr="00E90719">
        <w:rPr>
          <w:rStyle w:val="HideTWBExt"/>
          <w:lang w:val="en-GB"/>
        </w:rPr>
        <w:t>&lt;/Amend&gt;</w:t>
      </w:r>
    </w:p>
    <w:p w14:paraId="58ACB151"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238</w:t>
      </w:r>
      <w:r w:rsidRPr="00E90719">
        <w:rPr>
          <w:rStyle w:val="HideTWBExt"/>
          <w:b w:val="0"/>
          <w:lang w:val="en-GB"/>
        </w:rPr>
        <w:t>&lt;/NumAm&gt;</w:t>
      </w:r>
    </w:p>
    <w:p w14:paraId="741B51FB"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Sander Smit</w:t>
      </w:r>
      <w:r w:rsidRPr="00E90719">
        <w:rPr>
          <w:rStyle w:val="HideTWBExt"/>
          <w:b w:val="0"/>
          <w:lang w:val="en-GB"/>
        </w:rPr>
        <w:t>&lt;/Members&gt;</w:t>
      </w:r>
    </w:p>
    <w:p w14:paraId="5724F70E" w14:textId="77777777" w:rsidR="008144C7" w:rsidRPr="00635D1D" w:rsidRDefault="008144C7" w:rsidP="008144C7">
      <w:pPr>
        <w:pStyle w:val="NormalBold"/>
      </w:pPr>
      <w:r w:rsidRPr="00635D1D">
        <w:rPr>
          <w:rStyle w:val="HideTWBExt"/>
          <w:b w:val="0"/>
        </w:rPr>
        <w:t>&lt;/RepeatBlock-By&gt;</w:t>
      </w:r>
    </w:p>
    <w:p w14:paraId="4026AB14"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67DF3B0" w14:textId="77777777" w:rsidR="008144C7" w:rsidRPr="00635D1D" w:rsidRDefault="008144C7" w:rsidP="008144C7">
      <w:pPr>
        <w:pStyle w:val="NormalBold"/>
      </w:pPr>
      <w:r w:rsidRPr="00635D1D">
        <w:rPr>
          <w:rStyle w:val="HideTWBExt"/>
          <w:b w:val="0"/>
        </w:rPr>
        <w:t>&lt;Article&gt;</w:t>
      </w:r>
      <w:r w:rsidRPr="00635D1D">
        <w:t>Motyw 28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7D2E186" w14:textId="77777777" w:rsidTr="00C5582D">
        <w:trPr>
          <w:trHeight w:val="240"/>
          <w:jc w:val="center"/>
        </w:trPr>
        <w:tc>
          <w:tcPr>
            <w:tcW w:w="9752" w:type="dxa"/>
            <w:gridSpan w:val="2"/>
            <w:tcBorders>
              <w:top w:val="nil"/>
              <w:left w:val="nil"/>
              <w:bottom w:val="nil"/>
              <w:right w:val="nil"/>
            </w:tcBorders>
          </w:tcPr>
          <w:p w14:paraId="48FA5D1C" w14:textId="77777777" w:rsidR="008144C7" w:rsidRPr="00635D1D" w:rsidRDefault="008144C7" w:rsidP="00C5582D"/>
        </w:tc>
      </w:tr>
      <w:tr w:rsidR="008144C7" w:rsidRPr="00635D1D" w14:paraId="4FF70E86" w14:textId="77777777" w:rsidTr="00C5582D">
        <w:trPr>
          <w:trHeight w:val="240"/>
          <w:jc w:val="center"/>
        </w:trPr>
        <w:tc>
          <w:tcPr>
            <w:tcW w:w="4876" w:type="dxa"/>
            <w:tcBorders>
              <w:top w:val="nil"/>
              <w:left w:val="nil"/>
              <w:bottom w:val="nil"/>
              <w:right w:val="nil"/>
            </w:tcBorders>
            <w:hideMark/>
          </w:tcPr>
          <w:p w14:paraId="0022B02B"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DCD16F8" w14:textId="77777777" w:rsidR="008144C7" w:rsidRPr="00635D1D" w:rsidRDefault="008144C7" w:rsidP="00C5582D">
            <w:pPr>
              <w:pStyle w:val="AmColumnHeading"/>
            </w:pPr>
            <w:r w:rsidRPr="00635D1D">
              <w:t>Poprawka</w:t>
            </w:r>
          </w:p>
        </w:tc>
      </w:tr>
      <w:tr w:rsidR="008144C7" w:rsidRPr="00635D1D" w14:paraId="0A640A58" w14:textId="77777777" w:rsidTr="00C5582D">
        <w:trPr>
          <w:jc w:val="center"/>
        </w:trPr>
        <w:tc>
          <w:tcPr>
            <w:tcW w:w="4876" w:type="dxa"/>
            <w:tcBorders>
              <w:top w:val="nil"/>
              <w:left w:val="nil"/>
              <w:bottom w:val="nil"/>
              <w:right w:val="nil"/>
            </w:tcBorders>
            <w:hideMark/>
          </w:tcPr>
          <w:p w14:paraId="53F4F828" w14:textId="77777777" w:rsidR="008144C7" w:rsidRPr="00635D1D" w:rsidRDefault="008144C7" w:rsidP="00C5582D">
            <w:pPr>
              <w:pStyle w:val="Normal6a"/>
            </w:pPr>
            <w:r w:rsidRPr="00635D1D">
              <w:t>(28)</w:t>
            </w:r>
            <w:r w:rsidRPr="00635D1D">
              <w:tab/>
              <w:t>W celu przyspieszenia oceny mikroorganizmów i otwarcia jednolitego rynku dla większej ilości biostymulatorów mikrobiologicznych należy przekazać Komisji uprawnienia do przyjmowania aktów zgodnie z art. 290 Traktatu o funkcjonowaniu Unii Europejskiej w odniesieniu do kategorii materiałów składowych (CMC) 7 określonej w załączniku II do rozporządzenia (UE) 2019/1009, aby umożliwić Komisji wprowadzenie ogólnych kryteriów i metodyki oceny mikroorganizmów. Te kryteria i metodyka powinny umożliwiać producentom i jednostkom notyfikowanym wykazanie i sprawdzenie, czy mikroorganizmy stosowane w biostymulatorach mikrobiologicznych, inne niż wymienione w CMC 7, nie stanowią zagrożenia dla zdrowia ludzkiego, zwierząt lub roślin, dla bezpieczeństwa lub dla środowiska oraz czy zapewniają efektywność agronomiczną. Aby doprecyzować i zweryfikować wprowadzane kryteria i metodykę,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635D1D">
              <w:rPr>
                <w:vertAlign w:val="superscript"/>
              </w:rPr>
              <w:t>13</w:t>
            </w:r>
            <w:r w:rsidRPr="00635D1D">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hideMark/>
          </w:tcPr>
          <w:p w14:paraId="77E0E953" w14:textId="77777777" w:rsidR="008144C7" w:rsidRPr="00635D1D" w:rsidRDefault="008144C7" w:rsidP="00C5582D">
            <w:pPr>
              <w:pStyle w:val="Normal6a"/>
            </w:pPr>
            <w:r w:rsidRPr="00635D1D">
              <w:t>(28)</w:t>
            </w:r>
            <w:r w:rsidRPr="00635D1D">
              <w:tab/>
              <w:t>W celu przyspieszenia oceny mikroorganizmów i otwarcia jednolitego rynku dla większej ilości biostymulatorów mikrobiologicznych należy przekazać Komisji uprawnienia do przyjmowania aktów zgodnie z art. 290 Traktatu o funkcjonowaniu Unii Europejskiej w odniesieniu do kategorii materiałów składowych (CMC) 7 określonej w załączniku II do rozporządzenia (UE) 2019/1009, aby umożliwić Komisji wprowadzenie ogólnych kryteriów i metodyki oceny mikroorganizmów. Te kryteria i metodyka powinny umożliwiać producentom i jednostkom notyfikowanym wykazanie i sprawdzenie, czy mikroorganizmy stosowane w biostymulatorach mikrobiologicznych, inne niż wymienione w CMC 7, nie stanowią zagrożenia dla zdrowia ludzkiego, zwierząt lub roślin, dla bezpieczeństwa lub dla środowiska oraz czy zapewniają efektywność agronomiczną. Aby doprecyzować i zweryfikować wprowadzane kryteria i metodykę,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635D1D">
              <w:rPr>
                <w:vertAlign w:val="superscript"/>
              </w:rPr>
              <w:t>13</w:t>
            </w:r>
            <w:r w:rsidRPr="00635D1D">
              <w:t xml:space="preserve">.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 </w:t>
            </w:r>
            <w:r w:rsidRPr="00635D1D">
              <w:rPr>
                <w:b/>
                <w:i/>
              </w:rPr>
              <w:t>Aby zapewnić pewność prawa i skuteczne wdrożenie, procedurę oceny nowych materiałów opartą na kryteriach należy przeprowadzać w drodze przekazania uprawnień określonych w art. 42 ust. 1 rozporządzenia (UE) 2019/1009.</w:t>
            </w:r>
          </w:p>
        </w:tc>
      </w:tr>
      <w:tr w:rsidR="008144C7" w:rsidRPr="00635D1D" w14:paraId="33FFB092" w14:textId="77777777" w:rsidTr="00C5582D">
        <w:trPr>
          <w:jc w:val="center"/>
        </w:trPr>
        <w:tc>
          <w:tcPr>
            <w:tcW w:w="4876" w:type="dxa"/>
            <w:tcBorders>
              <w:top w:val="nil"/>
              <w:left w:val="nil"/>
              <w:bottom w:val="nil"/>
              <w:right w:val="nil"/>
            </w:tcBorders>
            <w:hideMark/>
          </w:tcPr>
          <w:p w14:paraId="3AED88BE"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45A3B265" w14:textId="77777777" w:rsidR="008144C7" w:rsidRPr="00635D1D" w:rsidRDefault="008144C7" w:rsidP="00C5582D">
            <w:pPr>
              <w:pStyle w:val="Normal6a"/>
            </w:pPr>
            <w:r w:rsidRPr="00635D1D">
              <w:rPr>
                <w:b/>
                <w:i/>
              </w:rPr>
              <w:t>_________________</w:t>
            </w:r>
          </w:p>
        </w:tc>
      </w:tr>
      <w:tr w:rsidR="008144C7" w:rsidRPr="00635D1D" w14:paraId="704FB780" w14:textId="77777777" w:rsidTr="00C5582D">
        <w:trPr>
          <w:jc w:val="center"/>
        </w:trPr>
        <w:tc>
          <w:tcPr>
            <w:tcW w:w="4876" w:type="dxa"/>
            <w:tcBorders>
              <w:top w:val="nil"/>
              <w:left w:val="nil"/>
              <w:bottom w:val="nil"/>
              <w:right w:val="nil"/>
            </w:tcBorders>
            <w:hideMark/>
          </w:tcPr>
          <w:p w14:paraId="7325AFBF" w14:textId="77777777" w:rsidR="008144C7" w:rsidRPr="00635D1D" w:rsidRDefault="008144C7" w:rsidP="00C5582D">
            <w:pPr>
              <w:pStyle w:val="Normal6a"/>
            </w:pPr>
            <w:r w:rsidRPr="00635D1D">
              <w:rPr>
                <w:vertAlign w:val="superscript"/>
              </w:rPr>
              <w:t>13</w:t>
            </w:r>
            <w:r w:rsidRPr="00635D1D">
              <w:t xml:space="preserve"> Dz.U. L 123 z </w:t>
            </w:r>
            <w:proofErr w:type="gramStart"/>
            <w:r w:rsidRPr="00635D1D">
              <w:t>12.5.2016</w:t>
            </w:r>
            <w:proofErr w:type="gramEnd"/>
            <w:r w:rsidRPr="00635D1D">
              <w:t>, s. 1, ELI: https://eur-lex.europa.eu/eli/agree_interinstit/2016/512/oj.</w:t>
            </w:r>
          </w:p>
        </w:tc>
        <w:tc>
          <w:tcPr>
            <w:tcW w:w="4876" w:type="dxa"/>
            <w:tcBorders>
              <w:top w:val="nil"/>
              <w:left w:val="nil"/>
              <w:bottom w:val="nil"/>
              <w:right w:val="nil"/>
            </w:tcBorders>
            <w:hideMark/>
          </w:tcPr>
          <w:p w14:paraId="07D42302" w14:textId="77777777" w:rsidR="008144C7" w:rsidRPr="00635D1D" w:rsidRDefault="008144C7" w:rsidP="00C5582D">
            <w:pPr>
              <w:pStyle w:val="Normal6a"/>
            </w:pPr>
            <w:r w:rsidRPr="00635D1D">
              <w:rPr>
                <w:vertAlign w:val="superscript"/>
              </w:rPr>
              <w:t>13</w:t>
            </w:r>
            <w:r w:rsidRPr="00635D1D">
              <w:t xml:space="preserve"> Dz.U. L 123 z </w:t>
            </w:r>
            <w:proofErr w:type="gramStart"/>
            <w:r w:rsidRPr="00635D1D">
              <w:t>12.5.2016</w:t>
            </w:r>
            <w:proofErr w:type="gramEnd"/>
            <w:r w:rsidRPr="00635D1D">
              <w:t>, s. 1, ELI: https://eur-lex.europa.eu/eli/agree_interinstit/2016/512/oj.</w:t>
            </w:r>
          </w:p>
        </w:tc>
      </w:tr>
    </w:tbl>
    <w:p w14:paraId="3D3F970C"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{NL}</w:t>
      </w:r>
      <w:r w:rsidRPr="00E90719">
        <w:rPr>
          <w:lang w:val="en-GB"/>
        </w:rPr>
        <w:t>nl</w:t>
      </w:r>
      <w:r w:rsidRPr="00E90719">
        <w:rPr>
          <w:rStyle w:val="HideTWBExt"/>
          <w:lang w:val="en-GB"/>
        </w:rPr>
        <w:t>&lt;/Original&gt;</w:t>
      </w:r>
    </w:p>
    <w:p w14:paraId="4B92706A" w14:textId="77777777" w:rsidR="008144C7" w:rsidRPr="00E90719" w:rsidRDefault="008144C7" w:rsidP="008144C7">
      <w:pPr>
        <w:rPr>
          <w:lang w:val="en-GB"/>
        </w:rPr>
      </w:pPr>
      <w:r w:rsidRPr="00E90719">
        <w:rPr>
          <w:rStyle w:val="HideTWBExt"/>
          <w:lang w:val="en-GB"/>
        </w:rPr>
        <w:t>&lt;/Amend&gt;</w:t>
      </w:r>
    </w:p>
    <w:p w14:paraId="58B27EBF"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239</w:t>
      </w:r>
      <w:r w:rsidRPr="00E90719">
        <w:rPr>
          <w:rStyle w:val="HideTWBExt"/>
          <w:b w:val="0"/>
          <w:lang w:val="en-GB"/>
        </w:rPr>
        <w:t>&lt;/NumAm&gt;</w:t>
      </w:r>
    </w:p>
    <w:p w14:paraId="52B53D47"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Daniel Buda</w:t>
      </w:r>
      <w:r w:rsidRPr="00E90719">
        <w:rPr>
          <w:rStyle w:val="HideTWBExt"/>
          <w:b w:val="0"/>
          <w:lang w:val="en-GB"/>
        </w:rPr>
        <w:t>&lt;/Members&gt;</w:t>
      </w:r>
    </w:p>
    <w:p w14:paraId="0DFCA91C" w14:textId="77777777" w:rsidR="008144C7" w:rsidRPr="00635D1D" w:rsidRDefault="008144C7" w:rsidP="008144C7">
      <w:pPr>
        <w:pStyle w:val="NormalBold"/>
      </w:pPr>
      <w:r w:rsidRPr="00635D1D">
        <w:rPr>
          <w:rStyle w:val="HideTWBExt"/>
          <w:b w:val="0"/>
        </w:rPr>
        <w:t>&lt;/RepeatBlock-By&gt;</w:t>
      </w:r>
    </w:p>
    <w:p w14:paraId="30F04242"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C2AA277" w14:textId="77777777" w:rsidR="008144C7" w:rsidRPr="00635D1D" w:rsidRDefault="008144C7" w:rsidP="008144C7">
      <w:pPr>
        <w:pStyle w:val="NormalBold"/>
      </w:pPr>
      <w:r w:rsidRPr="00635D1D">
        <w:rPr>
          <w:rStyle w:val="HideTWBExt"/>
          <w:b w:val="0"/>
        </w:rPr>
        <w:t>&lt;Article&gt;</w:t>
      </w:r>
      <w:r w:rsidRPr="00635D1D">
        <w:t>Motyw 28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29F4A21" w14:textId="77777777" w:rsidTr="00C5582D">
        <w:trPr>
          <w:trHeight w:val="240"/>
          <w:jc w:val="center"/>
        </w:trPr>
        <w:tc>
          <w:tcPr>
            <w:tcW w:w="9752" w:type="dxa"/>
            <w:gridSpan w:val="2"/>
            <w:tcBorders>
              <w:top w:val="nil"/>
              <w:left w:val="nil"/>
              <w:bottom w:val="nil"/>
              <w:right w:val="nil"/>
            </w:tcBorders>
          </w:tcPr>
          <w:p w14:paraId="5AA76374" w14:textId="77777777" w:rsidR="008144C7" w:rsidRPr="00635D1D" w:rsidRDefault="008144C7" w:rsidP="00C5582D"/>
        </w:tc>
      </w:tr>
      <w:tr w:rsidR="008144C7" w:rsidRPr="00635D1D" w14:paraId="671B2128" w14:textId="77777777" w:rsidTr="00C5582D">
        <w:trPr>
          <w:trHeight w:val="240"/>
          <w:jc w:val="center"/>
        </w:trPr>
        <w:tc>
          <w:tcPr>
            <w:tcW w:w="4876" w:type="dxa"/>
            <w:tcBorders>
              <w:top w:val="nil"/>
              <w:left w:val="nil"/>
              <w:bottom w:val="nil"/>
              <w:right w:val="nil"/>
            </w:tcBorders>
            <w:hideMark/>
          </w:tcPr>
          <w:p w14:paraId="13EBD0E6"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58B9B329" w14:textId="77777777" w:rsidR="008144C7" w:rsidRPr="00635D1D" w:rsidRDefault="008144C7" w:rsidP="00C5582D">
            <w:pPr>
              <w:pStyle w:val="AmColumnHeading"/>
            </w:pPr>
            <w:r w:rsidRPr="00635D1D">
              <w:t>Poprawka</w:t>
            </w:r>
          </w:p>
        </w:tc>
      </w:tr>
      <w:tr w:rsidR="008144C7" w:rsidRPr="00635D1D" w14:paraId="373DE27C" w14:textId="77777777" w:rsidTr="00C5582D">
        <w:trPr>
          <w:jc w:val="center"/>
        </w:trPr>
        <w:tc>
          <w:tcPr>
            <w:tcW w:w="4876" w:type="dxa"/>
            <w:tcBorders>
              <w:top w:val="nil"/>
              <w:left w:val="nil"/>
              <w:bottom w:val="nil"/>
              <w:right w:val="nil"/>
            </w:tcBorders>
            <w:hideMark/>
          </w:tcPr>
          <w:p w14:paraId="16D3DFA3" w14:textId="77777777" w:rsidR="008144C7" w:rsidRPr="00635D1D" w:rsidRDefault="008144C7" w:rsidP="00C5582D">
            <w:pPr>
              <w:pStyle w:val="Normal6a"/>
            </w:pPr>
            <w:r w:rsidRPr="00635D1D">
              <w:t>(28)</w:t>
            </w:r>
            <w:r w:rsidRPr="00635D1D">
              <w:tab/>
              <w:t>W celu przyspieszenia oceny mikroorganizmów i otwarcia jednolitego rynku dla większej ilości biostymulatorów mikrobiologicznych należy przekazać Komisji uprawnienia do przyjmowania aktów zgodnie z art. 290 Traktatu o funkcjonowaniu Unii Europejskiej w odniesieniu do kategorii materiałów składowych (CMC) 7 określonej w załączniku II do rozporządzenia (UE) 2019/1009, aby umożliwić Komisji wprowadzenie ogólnych kryteriów i metodyki oceny mikroorganizmów. Te kryteria i metodyka powinny umożliwiać producentom i jednostkom notyfikowanym wykazanie i sprawdzenie, czy mikroorganizmy stosowane w biostymulatorach mikrobiologicznych, inne niż wymienione w CMC 7, nie stanowią zagrożenia dla zdrowia ludzkiego, zwierząt lub roślin, dla bezpieczeństwa lub dla środowiska oraz czy zapewniają efektywność agronomiczną. Aby doprecyzować i zweryfikować wprowadzane kryteria i metodykę, szczególnie ważne jest, aby w czasie prac przygotowawczych Komisja prowadziła stosowne konsultacje</w:t>
            </w:r>
            <w:r w:rsidRPr="00635D1D">
              <w:rPr>
                <w:b/>
                <w:bCs/>
                <w:i/>
                <w:iCs/>
              </w:rPr>
              <w:t>, w tym na poziomie</w:t>
            </w:r>
            <w:r w:rsidRPr="00635D1D">
              <w:t xml:space="preserve"> ekspertów, oraz aby konsultacje te prowadzone były zgodnie z zasadami określonymi w Porozumieniu międzyinstytucjonalnym z dnia 13 kwietnia 2016 r. w sprawie lepszego stanowienia prawa</w:t>
            </w:r>
            <w:r w:rsidRPr="00635D1D">
              <w:rPr>
                <w:vertAlign w:val="superscript"/>
              </w:rPr>
              <w:t>13</w:t>
            </w:r>
            <w:r w:rsidRPr="00635D1D">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hideMark/>
          </w:tcPr>
          <w:p w14:paraId="59373D77" w14:textId="77777777" w:rsidR="008144C7" w:rsidRPr="00635D1D" w:rsidRDefault="008144C7" w:rsidP="00C5582D">
            <w:pPr>
              <w:pStyle w:val="Normal6a"/>
            </w:pPr>
            <w:r w:rsidRPr="00635D1D">
              <w:t>(28)</w:t>
            </w:r>
            <w:r w:rsidRPr="00635D1D">
              <w:tab/>
              <w:t xml:space="preserve">W celu przyspieszenia oceny mikroorganizmów i otwarcia jednolitego rynku dla większej ilości biostymulatorów mikrobiologicznych należy przekazać Komisji uprawnienia do przyjmowania aktów zgodnie z art. 290 Traktatu o funkcjonowaniu Unii Europejskiej w odniesieniu do kategorii materiałów składowych (CMC) 7 określonej w załączniku II do rozporządzenia (UE) 2019/1009, aby umożliwić Komisji wprowadzenie ogólnych kryteriów i metodyki oceny mikroorganizmów </w:t>
            </w:r>
            <w:r w:rsidRPr="00635D1D">
              <w:rPr>
                <w:b/>
                <w:bCs/>
                <w:i/>
                <w:iCs/>
              </w:rPr>
              <w:t>oraz zapewnienie wspólnych kryteriów minimalnych na całym terytorium UE</w:t>
            </w:r>
            <w:r w:rsidRPr="00635D1D">
              <w:t>. Te kryteria i metodyka powinny umożliwiać producentom i jednostkom notyfikowanym wykazanie i sprawdzenie, czy mikroorganizmy stosowane w biostymulatorach mikrobiologicznych, inne niż wymienione w CMC 7, nie stanowią zagrożenia dla zdrowia ludzkiego, zwierząt lub roślin, dla bezpieczeństwa lub dla środowiska oraz czy zapewniają efektywność agronomiczną. Aby doprecyzować i zweryfikować wprowadzane kryteria i metodykę, szczególnie ważne jest, aby w czasie prac przygotowawczych Komisja prowadziła stosowne konsultacje</w:t>
            </w:r>
            <w:r w:rsidRPr="00635D1D">
              <w:rPr>
                <w:b/>
                <w:bCs/>
                <w:i/>
                <w:iCs/>
              </w:rPr>
              <w:t xml:space="preserve"> wraz z organizacjami naukowymi, takimi jak EFSA czy JRC, do udziału w których zaprosi także</w:t>
            </w:r>
            <w:r w:rsidRPr="00635D1D">
              <w:t xml:space="preserve"> ekspertów, oraz aby konsultacje te prowadzone były zgodnie z zasadami określonymi w Porozumieniu międzyinstytucjonalnym z dnia 13 kwietnia 2016 r. w sprawie lepszego stanowienia prawa</w:t>
            </w:r>
            <w:r w:rsidRPr="00635D1D">
              <w:rPr>
                <w:vertAlign w:val="superscript"/>
              </w:rPr>
              <w:t>13</w:t>
            </w:r>
            <w:r w:rsidRPr="00635D1D">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r w:rsidR="008144C7" w:rsidRPr="00635D1D" w14:paraId="74761022" w14:textId="77777777" w:rsidTr="00C5582D">
        <w:trPr>
          <w:jc w:val="center"/>
        </w:trPr>
        <w:tc>
          <w:tcPr>
            <w:tcW w:w="4876" w:type="dxa"/>
            <w:tcBorders>
              <w:top w:val="nil"/>
              <w:left w:val="nil"/>
              <w:bottom w:val="nil"/>
              <w:right w:val="nil"/>
            </w:tcBorders>
            <w:hideMark/>
          </w:tcPr>
          <w:p w14:paraId="5C268A3C"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4D91FBCF" w14:textId="77777777" w:rsidR="008144C7" w:rsidRPr="00635D1D" w:rsidRDefault="008144C7" w:rsidP="00C5582D">
            <w:pPr>
              <w:pStyle w:val="Normal6a"/>
            </w:pPr>
            <w:r w:rsidRPr="00635D1D">
              <w:rPr>
                <w:b/>
                <w:i/>
              </w:rPr>
              <w:t>_________________</w:t>
            </w:r>
          </w:p>
        </w:tc>
      </w:tr>
      <w:tr w:rsidR="008144C7" w:rsidRPr="00635D1D" w14:paraId="3E0FD74A" w14:textId="77777777" w:rsidTr="00C5582D">
        <w:trPr>
          <w:jc w:val="center"/>
        </w:trPr>
        <w:tc>
          <w:tcPr>
            <w:tcW w:w="4876" w:type="dxa"/>
            <w:tcBorders>
              <w:top w:val="nil"/>
              <w:left w:val="nil"/>
              <w:bottom w:val="nil"/>
              <w:right w:val="nil"/>
            </w:tcBorders>
            <w:hideMark/>
          </w:tcPr>
          <w:p w14:paraId="7055E3AE" w14:textId="77777777" w:rsidR="008144C7" w:rsidRPr="00635D1D" w:rsidRDefault="008144C7" w:rsidP="00C5582D">
            <w:pPr>
              <w:pStyle w:val="Normal6a"/>
            </w:pPr>
            <w:r w:rsidRPr="00635D1D">
              <w:rPr>
                <w:vertAlign w:val="superscript"/>
              </w:rPr>
              <w:t>13</w:t>
            </w:r>
            <w:r w:rsidRPr="00635D1D">
              <w:t xml:space="preserve"> Dz.U. L 123 z </w:t>
            </w:r>
            <w:proofErr w:type="gramStart"/>
            <w:r w:rsidRPr="00635D1D">
              <w:t>12.5.2016</w:t>
            </w:r>
            <w:proofErr w:type="gramEnd"/>
            <w:r w:rsidRPr="00635D1D">
              <w:t>, s. 1, ELI: https://eur-lex.europa.eu/eli/agree_interinstit/2016/512/oj.</w:t>
            </w:r>
          </w:p>
        </w:tc>
        <w:tc>
          <w:tcPr>
            <w:tcW w:w="4876" w:type="dxa"/>
            <w:tcBorders>
              <w:top w:val="nil"/>
              <w:left w:val="nil"/>
              <w:bottom w:val="nil"/>
              <w:right w:val="nil"/>
            </w:tcBorders>
            <w:hideMark/>
          </w:tcPr>
          <w:p w14:paraId="2A0C89D1" w14:textId="77777777" w:rsidR="008144C7" w:rsidRPr="00635D1D" w:rsidRDefault="008144C7" w:rsidP="00C5582D">
            <w:pPr>
              <w:pStyle w:val="Normal6a"/>
            </w:pPr>
            <w:r w:rsidRPr="00635D1D">
              <w:rPr>
                <w:vertAlign w:val="superscript"/>
              </w:rPr>
              <w:t>13</w:t>
            </w:r>
            <w:r w:rsidRPr="00635D1D">
              <w:t xml:space="preserve"> Dz.U. L 123 z </w:t>
            </w:r>
            <w:proofErr w:type="gramStart"/>
            <w:r w:rsidRPr="00635D1D">
              <w:t>12.5.2016</w:t>
            </w:r>
            <w:proofErr w:type="gramEnd"/>
            <w:r w:rsidRPr="00635D1D">
              <w:t>, s. 1, ELI: https://eur-lex.europa.eu/eli/agree_interinstit/2016/512/oj.</w:t>
            </w:r>
          </w:p>
        </w:tc>
      </w:tr>
    </w:tbl>
    <w:p w14:paraId="00C30CDA"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{RO}</w:t>
      </w:r>
      <w:r w:rsidRPr="00635D1D">
        <w:t>ro</w:t>
      </w:r>
      <w:r w:rsidRPr="00635D1D">
        <w:rPr>
          <w:rStyle w:val="HideTWBExt"/>
        </w:rPr>
        <w:t>&lt;/</w:t>
      </w:r>
      <w:proofErr w:type="spellStart"/>
      <w:r w:rsidRPr="00635D1D">
        <w:rPr>
          <w:rStyle w:val="HideTWBExt"/>
        </w:rPr>
        <w:t>Original</w:t>
      </w:r>
      <w:proofErr w:type="spellEnd"/>
      <w:r w:rsidRPr="00635D1D">
        <w:rPr>
          <w:rStyle w:val="HideTWBExt"/>
        </w:rPr>
        <w:t>&gt;</w:t>
      </w:r>
    </w:p>
    <w:p w14:paraId="55D0A7F0" w14:textId="77777777" w:rsidR="008144C7" w:rsidRPr="00635D1D" w:rsidRDefault="008144C7" w:rsidP="008144C7">
      <w:r w:rsidRPr="00635D1D">
        <w:rPr>
          <w:rStyle w:val="HideTWBExt"/>
        </w:rPr>
        <w:t>&lt;/Amend&gt;</w:t>
      </w:r>
    </w:p>
    <w:p w14:paraId="4E21F0E9"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240</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07240C3D" w14:textId="77777777" w:rsidR="008144C7" w:rsidRPr="00635D1D" w:rsidRDefault="008144C7" w:rsidP="008144C7">
      <w:pPr>
        <w:pStyle w:val="NormalBold"/>
      </w:pPr>
      <w:r w:rsidRPr="00635D1D">
        <w:rPr>
          <w:rStyle w:val="HideTWBExt"/>
          <w:b w:val="0"/>
        </w:rPr>
        <w:t>&lt;RepeatBlock-By&gt;&lt;Members&gt;</w:t>
      </w:r>
      <w:r w:rsidRPr="00635D1D">
        <w:t xml:space="preserve">Per </w:t>
      </w:r>
      <w:proofErr w:type="spellStart"/>
      <w:r w:rsidRPr="00635D1D">
        <w:t>Clausen</w:t>
      </w:r>
      <w:proofErr w:type="spellEnd"/>
      <w:r w:rsidRPr="00635D1D">
        <w:t xml:space="preserve">, </w:t>
      </w:r>
      <w:proofErr w:type="spellStart"/>
      <w:r w:rsidRPr="00635D1D">
        <w:t>Anja</w:t>
      </w:r>
      <w:proofErr w:type="spellEnd"/>
      <w:r w:rsidRPr="00635D1D">
        <w:t xml:space="preserve"> </w:t>
      </w:r>
      <w:proofErr w:type="spellStart"/>
      <w:r w:rsidRPr="00635D1D">
        <w:t>Hazekamp</w:t>
      </w:r>
      <w:proofErr w:type="spellEnd"/>
      <w:r w:rsidRPr="00635D1D">
        <w:rPr>
          <w:rStyle w:val="HideTWBExt"/>
          <w:b w:val="0"/>
        </w:rPr>
        <w:t>&lt;/Members&gt;</w:t>
      </w:r>
    </w:p>
    <w:p w14:paraId="0CF641BA" w14:textId="77777777" w:rsidR="008144C7" w:rsidRPr="00635D1D" w:rsidRDefault="008144C7" w:rsidP="008144C7">
      <w:pPr>
        <w:pStyle w:val="NormalBold"/>
      </w:pPr>
      <w:r w:rsidRPr="00635D1D">
        <w:rPr>
          <w:rStyle w:val="HideTWBExt"/>
          <w:b w:val="0"/>
        </w:rPr>
        <w:t>&lt;/RepeatBlock-By&gt;</w:t>
      </w:r>
    </w:p>
    <w:p w14:paraId="5E442D92"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7895324C" w14:textId="77777777" w:rsidR="008144C7" w:rsidRPr="00635D1D" w:rsidRDefault="008144C7" w:rsidP="008144C7">
      <w:pPr>
        <w:pStyle w:val="NormalBold"/>
      </w:pPr>
      <w:r w:rsidRPr="00635D1D">
        <w:rPr>
          <w:rStyle w:val="HideTWBExt"/>
          <w:b w:val="0"/>
        </w:rPr>
        <w:t>&lt;Article&gt;</w:t>
      </w:r>
      <w:r w:rsidRPr="00635D1D">
        <w:t>Motyw 28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0193525" w14:textId="77777777" w:rsidTr="00C5582D">
        <w:trPr>
          <w:trHeight w:val="240"/>
          <w:jc w:val="center"/>
        </w:trPr>
        <w:tc>
          <w:tcPr>
            <w:tcW w:w="9752" w:type="dxa"/>
            <w:gridSpan w:val="2"/>
            <w:tcBorders>
              <w:top w:val="nil"/>
              <w:left w:val="nil"/>
              <w:bottom w:val="nil"/>
              <w:right w:val="nil"/>
            </w:tcBorders>
          </w:tcPr>
          <w:p w14:paraId="0EB77BE8" w14:textId="77777777" w:rsidR="008144C7" w:rsidRPr="00635D1D" w:rsidRDefault="008144C7" w:rsidP="00C5582D"/>
        </w:tc>
      </w:tr>
      <w:tr w:rsidR="008144C7" w:rsidRPr="00635D1D" w14:paraId="7014B451" w14:textId="77777777" w:rsidTr="00C5582D">
        <w:trPr>
          <w:trHeight w:val="240"/>
          <w:jc w:val="center"/>
        </w:trPr>
        <w:tc>
          <w:tcPr>
            <w:tcW w:w="4876" w:type="dxa"/>
            <w:tcBorders>
              <w:top w:val="nil"/>
              <w:left w:val="nil"/>
              <w:bottom w:val="nil"/>
              <w:right w:val="nil"/>
            </w:tcBorders>
            <w:hideMark/>
          </w:tcPr>
          <w:p w14:paraId="52189951"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4BEA034" w14:textId="77777777" w:rsidR="008144C7" w:rsidRPr="00635D1D" w:rsidRDefault="008144C7" w:rsidP="00C5582D">
            <w:pPr>
              <w:pStyle w:val="AmColumnHeading"/>
            </w:pPr>
            <w:r w:rsidRPr="00635D1D">
              <w:t>Poprawka</w:t>
            </w:r>
          </w:p>
        </w:tc>
      </w:tr>
      <w:tr w:rsidR="008144C7" w:rsidRPr="00635D1D" w14:paraId="58226EB7" w14:textId="77777777" w:rsidTr="00C5582D">
        <w:trPr>
          <w:jc w:val="center"/>
        </w:trPr>
        <w:tc>
          <w:tcPr>
            <w:tcW w:w="4876" w:type="dxa"/>
            <w:tcBorders>
              <w:top w:val="nil"/>
              <w:left w:val="nil"/>
              <w:bottom w:val="nil"/>
              <w:right w:val="nil"/>
            </w:tcBorders>
            <w:hideMark/>
          </w:tcPr>
          <w:p w14:paraId="655687ED" w14:textId="77777777" w:rsidR="008144C7" w:rsidRPr="00635D1D" w:rsidRDefault="008144C7" w:rsidP="00C5582D">
            <w:pPr>
              <w:pStyle w:val="Normal6a"/>
            </w:pPr>
            <w:r w:rsidRPr="00635D1D">
              <w:t>(28)</w:t>
            </w:r>
            <w:r w:rsidRPr="00635D1D">
              <w:tab/>
              <w:t xml:space="preserve">W celu przyspieszenia oceny mikroorganizmów i otwarcia jednolitego rynku dla większej ilości biostymulatorów mikrobiologicznych należy przekazać Komisji uprawnienia do przyjmowania aktów zgodnie z art. 290 Traktatu o funkcjonowaniu Unii Europejskiej w odniesieniu do kategorii materiałów składowych (CMC) 7 określonej w załączniku II do rozporządzenia (UE) 2019/1009, aby umożliwić Komisji wprowadzenie ogólnych kryteriów i metodyki oceny mikroorganizmów. Te kryteria i metodyka powinny umożliwiać producentom i jednostkom notyfikowanym wykazanie i sprawdzenie, czy mikroorganizmy stosowane w biostymulatorach mikrobiologicznych, inne niż wymienione w CMC 7, nie stanowią zagrożenia dla zdrowia ludzkiego, zwierząt lub roślin, dla bezpieczeństwa lub dla środowiska oraz czy zapewniają efektywność agronomiczną. </w:t>
            </w:r>
            <w:r w:rsidRPr="00635D1D">
              <w:rPr>
                <w:b/>
                <w:bCs/>
                <w:i/>
                <w:iCs/>
              </w:rPr>
              <w:t>Aby doprecyzować</w:t>
            </w:r>
            <w:r w:rsidRPr="00635D1D">
              <w:t xml:space="preserve"> i </w:t>
            </w:r>
            <w:r w:rsidRPr="00635D1D">
              <w:rPr>
                <w:b/>
                <w:bCs/>
                <w:i/>
                <w:iCs/>
              </w:rPr>
              <w:t>zweryfikować wprowadzane kryteria</w:t>
            </w:r>
            <w:r w:rsidRPr="00635D1D">
              <w:t xml:space="preserve"> i </w:t>
            </w:r>
            <w:r w:rsidRPr="00635D1D">
              <w:rPr>
                <w:b/>
                <w:bCs/>
                <w:i/>
                <w:iCs/>
              </w:rPr>
              <w:t>metodykę,</w:t>
            </w:r>
            <w:r w:rsidRPr="00635D1D">
              <w:t xml:space="preserve"> szczególnie ważne jest, aby w czasie prac przygotowawczych Komisja prowadziła stosowne konsultacje, w tym na poziomie ekspertów</w:t>
            </w:r>
            <w:r w:rsidRPr="00635D1D">
              <w:rPr>
                <w:b/>
                <w:bCs/>
                <w:i/>
                <w:iCs/>
              </w:rPr>
              <w:t>,</w:t>
            </w:r>
            <w:r w:rsidRPr="00635D1D">
              <w:t xml:space="preserve"> oraz aby konsultacje te prowadzone były zgodnie z zasadami określonymi w Porozumieniu międzyinstytucjonalnym z dnia 13 kwietnia 2016 r. w sprawie lepszego stanowienia prawa</w:t>
            </w:r>
            <w:r w:rsidRPr="00635D1D">
              <w:rPr>
                <w:vertAlign w:val="superscript"/>
              </w:rPr>
              <w:t>13</w:t>
            </w:r>
            <w:r w:rsidRPr="00635D1D">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hideMark/>
          </w:tcPr>
          <w:p w14:paraId="43A97CB8" w14:textId="77777777" w:rsidR="008144C7" w:rsidRPr="00635D1D" w:rsidRDefault="008144C7" w:rsidP="00C5582D">
            <w:pPr>
              <w:pStyle w:val="Normal6a"/>
            </w:pPr>
            <w:r w:rsidRPr="00635D1D">
              <w:t>(28)</w:t>
            </w:r>
            <w:r w:rsidRPr="00635D1D">
              <w:tab/>
              <w:t xml:space="preserve">W celu przyspieszenia oceny mikroorganizmów i otwarcia jednolitego rynku dla większej ilości biostymulatorów mikrobiologicznych należy przekazać Komisji uprawnienia do przyjmowania aktów zgodnie z art. 290 Traktatu o funkcjonowaniu Unii Europejskiej w odniesieniu do kategorii materiałów składowych (CMC) 7 określonej w załączniku II do rozporządzenia (UE) 2019/1009, aby umożliwić Komisji wprowadzenie ogólnych kryteriów i metodyki oceny mikroorganizmów. Te kryteria i metodyka powinny umożliwiać producentom i jednostkom notyfikowanym wykazanie i sprawdzenie, czy mikroorganizmy stosowane w biostymulatorach mikrobiologicznych, inne niż wymienione w CMC 7, </w:t>
            </w:r>
            <w:r w:rsidRPr="00635D1D">
              <w:rPr>
                <w:b/>
                <w:i/>
              </w:rPr>
              <w:t>są zgodne z wymogami i</w:t>
            </w:r>
            <w:r w:rsidRPr="00635D1D">
              <w:t xml:space="preserve"> nie stanowią zagrożenia dla zdrowia ludzkiego, zwierząt lub roślin, dla bezpieczeństwa lub dla środowiska oraz czy zapewniają efektywność agronomiczną. </w:t>
            </w:r>
            <w:r w:rsidRPr="00635D1D">
              <w:rPr>
                <w:b/>
                <w:bCs/>
                <w:i/>
                <w:iCs/>
              </w:rPr>
              <w:t>W celu doprecyzowania</w:t>
            </w:r>
            <w:r w:rsidRPr="00635D1D">
              <w:t xml:space="preserve"> i </w:t>
            </w:r>
            <w:r w:rsidRPr="00635D1D">
              <w:rPr>
                <w:b/>
                <w:bCs/>
                <w:i/>
                <w:iCs/>
              </w:rPr>
              <w:t>zweryfikowania wprowadzanych kryteriów</w:t>
            </w:r>
            <w:r w:rsidRPr="00635D1D">
              <w:t xml:space="preserve"> i </w:t>
            </w:r>
            <w:r w:rsidRPr="00635D1D">
              <w:rPr>
                <w:b/>
                <w:bCs/>
                <w:i/>
                <w:iCs/>
              </w:rPr>
              <w:t>metodyki</w:t>
            </w:r>
            <w:r w:rsidRPr="00635D1D">
              <w:t xml:space="preserve"> szczególnie ważne jest, aby w czasie prac przygotowawczych Komisja prowadziła stosowne konsultacje, w tym na poziomie ekspertów oraz </w:t>
            </w:r>
            <w:r w:rsidRPr="00635D1D">
              <w:rPr>
                <w:b/>
                <w:i/>
              </w:rPr>
              <w:t>z JRC, ECHA i Europejskim Urzędem ds. Bezpieczeństwa Żywności (EFSA), a także</w:t>
            </w:r>
            <w:r w:rsidRPr="00635D1D">
              <w:t xml:space="preserve"> aby konsultacje te prowadzone były zgodnie z zasadami określonymi w Porozumieniu międzyinstytucjonalnym z dnia 13 kwietnia 2016 r. w sprawie lepszego stanowienia prawa</w:t>
            </w:r>
            <w:r w:rsidRPr="00635D1D">
              <w:rPr>
                <w:vertAlign w:val="superscript"/>
              </w:rPr>
              <w:t>13</w:t>
            </w:r>
            <w:r w:rsidRPr="00635D1D">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r w:rsidR="008144C7" w:rsidRPr="00635D1D" w14:paraId="72B9A40C" w14:textId="77777777" w:rsidTr="00C5582D">
        <w:trPr>
          <w:jc w:val="center"/>
        </w:trPr>
        <w:tc>
          <w:tcPr>
            <w:tcW w:w="4876" w:type="dxa"/>
            <w:tcBorders>
              <w:top w:val="nil"/>
              <w:left w:val="nil"/>
              <w:bottom w:val="nil"/>
              <w:right w:val="nil"/>
            </w:tcBorders>
            <w:hideMark/>
          </w:tcPr>
          <w:p w14:paraId="3BFE5472"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26FA7DD2" w14:textId="77777777" w:rsidR="008144C7" w:rsidRPr="00635D1D" w:rsidRDefault="008144C7" w:rsidP="00C5582D">
            <w:pPr>
              <w:pStyle w:val="Normal6a"/>
            </w:pPr>
            <w:r w:rsidRPr="00635D1D">
              <w:rPr>
                <w:b/>
                <w:i/>
              </w:rPr>
              <w:t>_________________</w:t>
            </w:r>
          </w:p>
        </w:tc>
      </w:tr>
      <w:tr w:rsidR="008144C7" w:rsidRPr="00635D1D" w14:paraId="7E67EC88" w14:textId="77777777" w:rsidTr="00C5582D">
        <w:trPr>
          <w:jc w:val="center"/>
        </w:trPr>
        <w:tc>
          <w:tcPr>
            <w:tcW w:w="4876" w:type="dxa"/>
            <w:tcBorders>
              <w:top w:val="nil"/>
              <w:left w:val="nil"/>
              <w:bottom w:val="nil"/>
              <w:right w:val="nil"/>
            </w:tcBorders>
            <w:hideMark/>
          </w:tcPr>
          <w:p w14:paraId="56D75A7E" w14:textId="77777777" w:rsidR="008144C7" w:rsidRPr="00635D1D" w:rsidRDefault="008144C7" w:rsidP="00C5582D">
            <w:pPr>
              <w:pStyle w:val="Normal6a"/>
            </w:pPr>
            <w:r w:rsidRPr="00635D1D">
              <w:rPr>
                <w:vertAlign w:val="superscript"/>
              </w:rPr>
              <w:t>13</w:t>
            </w:r>
            <w:r w:rsidRPr="00635D1D">
              <w:t xml:space="preserve"> Dz.U. L 123 z </w:t>
            </w:r>
            <w:proofErr w:type="gramStart"/>
            <w:r w:rsidRPr="00635D1D">
              <w:t>12.5.2016</w:t>
            </w:r>
            <w:proofErr w:type="gramEnd"/>
            <w:r w:rsidRPr="00635D1D">
              <w:t>, s. 1, ELI: http://data.europa.eu/eli/agree_interinstit/2016/512/oj.</w:t>
            </w:r>
          </w:p>
        </w:tc>
        <w:tc>
          <w:tcPr>
            <w:tcW w:w="4876" w:type="dxa"/>
            <w:tcBorders>
              <w:top w:val="nil"/>
              <w:left w:val="nil"/>
              <w:bottom w:val="nil"/>
              <w:right w:val="nil"/>
            </w:tcBorders>
            <w:hideMark/>
          </w:tcPr>
          <w:p w14:paraId="1EB7709D" w14:textId="77777777" w:rsidR="008144C7" w:rsidRPr="00635D1D" w:rsidRDefault="008144C7" w:rsidP="00C5582D">
            <w:pPr>
              <w:pStyle w:val="Normal6a"/>
            </w:pPr>
            <w:r w:rsidRPr="00635D1D">
              <w:rPr>
                <w:vertAlign w:val="superscript"/>
              </w:rPr>
              <w:t>13</w:t>
            </w:r>
            <w:r w:rsidRPr="00635D1D">
              <w:t xml:space="preserve"> Dz.U. L 123 z </w:t>
            </w:r>
            <w:proofErr w:type="gramStart"/>
            <w:r w:rsidRPr="00635D1D">
              <w:t>12.5.2016</w:t>
            </w:r>
            <w:proofErr w:type="gramEnd"/>
            <w:r w:rsidRPr="00635D1D">
              <w:t>, s. 1, ELI: http://data.europa.eu/eli/agree_interinstit/2016/512/oj.</w:t>
            </w:r>
          </w:p>
        </w:tc>
      </w:tr>
    </w:tbl>
    <w:p w14:paraId="73EA11C4"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75B88FD9" w14:textId="77777777" w:rsidR="008144C7" w:rsidRPr="00E90719" w:rsidRDefault="008144C7" w:rsidP="008144C7">
      <w:pPr>
        <w:rPr>
          <w:lang w:val="en-GB"/>
        </w:rPr>
      </w:pPr>
      <w:r w:rsidRPr="00E90719">
        <w:rPr>
          <w:rStyle w:val="HideTWBExt"/>
          <w:lang w:val="en-GB"/>
        </w:rPr>
        <w:t>&lt;/Amend&gt;</w:t>
      </w:r>
    </w:p>
    <w:p w14:paraId="4C3814D2"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241</w:t>
      </w:r>
      <w:r w:rsidRPr="00E90719">
        <w:rPr>
          <w:rStyle w:val="HideTWBExt"/>
          <w:b w:val="0"/>
          <w:lang w:val="en-GB"/>
        </w:rPr>
        <w:t>&lt;/NumAm&gt;</w:t>
      </w:r>
    </w:p>
    <w:p w14:paraId="1E8391A2"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Anne-Sophie Frigout, Mathilde Androuët, Silvia Sardone, Marie-Luce Brasier-Clain, Valérie Deloge, Antonín Staněk, Virginie Joron</w:t>
      </w:r>
      <w:r w:rsidRPr="00E90719">
        <w:rPr>
          <w:rStyle w:val="HideTWBExt"/>
          <w:b w:val="0"/>
          <w:lang w:val="en-GB"/>
        </w:rPr>
        <w:t>&lt;/Members&gt;</w:t>
      </w:r>
    </w:p>
    <w:p w14:paraId="3876C96C" w14:textId="77777777" w:rsidR="008144C7" w:rsidRPr="00635D1D" w:rsidRDefault="008144C7" w:rsidP="008144C7">
      <w:pPr>
        <w:pStyle w:val="NormalBold"/>
      </w:pPr>
      <w:r w:rsidRPr="00635D1D">
        <w:rPr>
          <w:rStyle w:val="HideTWBExt"/>
          <w:b w:val="0"/>
        </w:rPr>
        <w:t>&lt;/RepeatBlock-By&gt;</w:t>
      </w:r>
    </w:p>
    <w:p w14:paraId="4019F858"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3F592614" w14:textId="77777777" w:rsidR="008144C7" w:rsidRPr="00635D1D" w:rsidRDefault="008144C7" w:rsidP="008144C7">
      <w:pPr>
        <w:pStyle w:val="NormalBold"/>
      </w:pPr>
      <w:r w:rsidRPr="00635D1D">
        <w:rPr>
          <w:rStyle w:val="HideTWBExt"/>
          <w:b w:val="0"/>
        </w:rPr>
        <w:t>&lt;Article&gt;</w:t>
      </w:r>
      <w:r w:rsidRPr="00635D1D">
        <w:t>Motyw 28</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2E47F2C" w14:textId="77777777" w:rsidTr="00C5582D">
        <w:trPr>
          <w:trHeight w:val="240"/>
          <w:jc w:val="center"/>
        </w:trPr>
        <w:tc>
          <w:tcPr>
            <w:tcW w:w="9752" w:type="dxa"/>
            <w:gridSpan w:val="2"/>
            <w:tcBorders>
              <w:top w:val="nil"/>
              <w:left w:val="nil"/>
              <w:bottom w:val="nil"/>
              <w:right w:val="nil"/>
            </w:tcBorders>
          </w:tcPr>
          <w:p w14:paraId="5A16AC80" w14:textId="77777777" w:rsidR="008144C7" w:rsidRPr="00635D1D" w:rsidRDefault="008144C7" w:rsidP="00C5582D"/>
        </w:tc>
      </w:tr>
      <w:tr w:rsidR="008144C7" w:rsidRPr="00635D1D" w14:paraId="202B2B50" w14:textId="77777777" w:rsidTr="00C5582D">
        <w:trPr>
          <w:trHeight w:val="240"/>
          <w:jc w:val="center"/>
        </w:trPr>
        <w:tc>
          <w:tcPr>
            <w:tcW w:w="4876" w:type="dxa"/>
            <w:tcBorders>
              <w:top w:val="nil"/>
              <w:left w:val="nil"/>
              <w:bottom w:val="nil"/>
              <w:right w:val="nil"/>
            </w:tcBorders>
            <w:hideMark/>
          </w:tcPr>
          <w:p w14:paraId="02EF7834"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7E325BA" w14:textId="77777777" w:rsidR="008144C7" w:rsidRPr="00635D1D" w:rsidRDefault="008144C7" w:rsidP="00C5582D">
            <w:pPr>
              <w:pStyle w:val="AmColumnHeading"/>
            </w:pPr>
            <w:r w:rsidRPr="00635D1D">
              <w:t>Poprawka</w:t>
            </w:r>
          </w:p>
        </w:tc>
      </w:tr>
      <w:tr w:rsidR="008144C7" w:rsidRPr="00635D1D" w14:paraId="76B6D684" w14:textId="77777777" w:rsidTr="00C5582D">
        <w:trPr>
          <w:jc w:val="center"/>
        </w:trPr>
        <w:tc>
          <w:tcPr>
            <w:tcW w:w="4876" w:type="dxa"/>
            <w:tcBorders>
              <w:top w:val="nil"/>
              <w:left w:val="nil"/>
              <w:bottom w:val="nil"/>
              <w:right w:val="nil"/>
            </w:tcBorders>
            <w:hideMark/>
          </w:tcPr>
          <w:p w14:paraId="33296545" w14:textId="77777777" w:rsidR="008144C7" w:rsidRPr="00635D1D" w:rsidRDefault="008144C7" w:rsidP="00C5582D">
            <w:pPr>
              <w:pStyle w:val="Normal6a"/>
            </w:pPr>
            <w:r w:rsidRPr="00635D1D">
              <w:t>(28)</w:t>
            </w:r>
            <w:r w:rsidRPr="00635D1D">
              <w:tab/>
              <w:t>W celu przyspieszenia oceny mikroorganizmów i otwarcia jednolitego rynku dla większej ilości biostymulatorów mikrobiologicznych należy przekazać Komisji uprawnienia do przyjmowania aktów zgodnie z art. 290 Traktatu o funkcjonowaniu Unii Europejskiej w odniesieniu do kategorii materiałów składowych (CMC) 7 określonej w załączniku II do rozporządzenia (UE) 2019/1009, aby umożliwić Komisji wprowadzenie ogólnych kryteriów i metodyki oceny mikroorganizmów. Te kryteria i metodyka powinny umożliwiać producentom i jednostkom notyfikowanym wykazanie i sprawdzenie, czy mikroorganizmy stosowane w biostymulatorach mikrobiologicznych, inne niż wymienione w CMC 7, nie stanowią zagrożenia dla zdrowia ludzkiego, zwierząt lub roślin, dla bezpieczeństwa lub dla środowiska oraz czy zapewniają efektywność agronomiczną. Aby doprecyzować i zweryfikować wprowadzane kryteria i metodykę,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635D1D">
              <w:rPr>
                <w:vertAlign w:val="superscript"/>
              </w:rPr>
              <w:t>13</w:t>
            </w:r>
            <w:r w:rsidRPr="00635D1D">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hideMark/>
          </w:tcPr>
          <w:p w14:paraId="561ECD4D" w14:textId="77777777" w:rsidR="008144C7" w:rsidRPr="00635D1D" w:rsidRDefault="008144C7" w:rsidP="00C5582D">
            <w:pPr>
              <w:pStyle w:val="Normal6a"/>
            </w:pPr>
            <w:r w:rsidRPr="00635D1D">
              <w:t>(28)</w:t>
            </w:r>
            <w:r w:rsidRPr="00635D1D">
              <w:tab/>
              <w:t xml:space="preserve">W celu przyspieszenia oceny mikroorganizmów i otwarcia jednolitego rynku dla większej ilości biostymulatorów mikrobiologicznych należy przekazać Komisji uprawnienia do przyjmowania aktów zgodnie z art. 290 Traktatu o funkcjonowaniu Unii Europejskiej w odniesieniu do kategorii materiałów składowych (CMC) 7 określonej w załączniku II do rozporządzenia (UE) 2019/1009, aby umożliwić Komisji wprowadzenie ogólnych kryteriów i metodyki oceny mikroorganizmów. Te kryteria i metodyka powinny umożliwiać producentom i jednostkom notyfikowanym wykazanie i sprawdzenie, czy mikroorganizmy stosowane w biostymulatorach mikrobiologicznych, inne niż wymienione w CMC 7, nie stanowią zagrożenia dla zdrowia ludzkiego, zwierząt lub roślin, dla bezpieczeństwa lub dla środowiska oraz czy zapewniają efektywność agronomiczną </w:t>
            </w:r>
            <w:r w:rsidRPr="00635D1D">
              <w:rPr>
                <w:b/>
                <w:i/>
              </w:rPr>
              <w:t>bez wpływu na konkurencyjność i produkcję w UE</w:t>
            </w:r>
            <w:r w:rsidRPr="00635D1D">
              <w:t>. Aby doprecyzować i zweryfikować wprowadzane kryteria i metodykę,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635D1D">
              <w:rPr>
                <w:vertAlign w:val="superscript"/>
              </w:rPr>
              <w:t>13</w:t>
            </w:r>
            <w:r w:rsidRPr="00635D1D">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r w:rsidR="008144C7" w:rsidRPr="00635D1D" w14:paraId="2EAD7A5F" w14:textId="77777777" w:rsidTr="00C5582D">
        <w:trPr>
          <w:jc w:val="center"/>
        </w:trPr>
        <w:tc>
          <w:tcPr>
            <w:tcW w:w="4876" w:type="dxa"/>
            <w:tcBorders>
              <w:top w:val="nil"/>
              <w:left w:val="nil"/>
              <w:bottom w:val="nil"/>
              <w:right w:val="nil"/>
            </w:tcBorders>
            <w:hideMark/>
          </w:tcPr>
          <w:p w14:paraId="5F507419" w14:textId="77777777" w:rsidR="008144C7" w:rsidRPr="00635D1D" w:rsidRDefault="008144C7" w:rsidP="00C5582D">
            <w:pPr>
              <w:pStyle w:val="Normal6a"/>
            </w:pPr>
            <w:r w:rsidRPr="00635D1D">
              <w:rPr>
                <w:b/>
                <w:i/>
              </w:rPr>
              <w:t>_________________</w:t>
            </w:r>
          </w:p>
        </w:tc>
        <w:tc>
          <w:tcPr>
            <w:tcW w:w="4876" w:type="dxa"/>
            <w:tcBorders>
              <w:top w:val="nil"/>
              <w:left w:val="nil"/>
              <w:bottom w:val="nil"/>
              <w:right w:val="nil"/>
            </w:tcBorders>
            <w:hideMark/>
          </w:tcPr>
          <w:p w14:paraId="2C82BD86" w14:textId="77777777" w:rsidR="008144C7" w:rsidRPr="00635D1D" w:rsidRDefault="008144C7" w:rsidP="00C5582D">
            <w:pPr>
              <w:pStyle w:val="Normal6a"/>
            </w:pPr>
            <w:r w:rsidRPr="00635D1D">
              <w:rPr>
                <w:b/>
                <w:i/>
              </w:rPr>
              <w:t>_________________</w:t>
            </w:r>
          </w:p>
        </w:tc>
      </w:tr>
      <w:tr w:rsidR="008144C7" w:rsidRPr="00635D1D" w14:paraId="799A3A52" w14:textId="77777777" w:rsidTr="00C5582D">
        <w:trPr>
          <w:jc w:val="center"/>
        </w:trPr>
        <w:tc>
          <w:tcPr>
            <w:tcW w:w="4876" w:type="dxa"/>
            <w:tcBorders>
              <w:top w:val="nil"/>
              <w:left w:val="nil"/>
              <w:bottom w:val="nil"/>
              <w:right w:val="nil"/>
            </w:tcBorders>
            <w:hideMark/>
          </w:tcPr>
          <w:p w14:paraId="503C6D4C" w14:textId="77777777" w:rsidR="008144C7" w:rsidRPr="00635D1D" w:rsidRDefault="008144C7" w:rsidP="00C5582D">
            <w:pPr>
              <w:pStyle w:val="Normal6a"/>
            </w:pPr>
            <w:r w:rsidRPr="00635D1D">
              <w:rPr>
                <w:vertAlign w:val="superscript"/>
              </w:rPr>
              <w:t>13</w:t>
            </w:r>
            <w:r w:rsidRPr="00635D1D">
              <w:t xml:space="preserve"> Dz.U. L 123 z </w:t>
            </w:r>
            <w:proofErr w:type="gramStart"/>
            <w:r w:rsidRPr="00635D1D">
              <w:t>12.5.2016</w:t>
            </w:r>
            <w:proofErr w:type="gramEnd"/>
            <w:r w:rsidRPr="00635D1D">
              <w:t>, s. 1, ELI: http://data.europa.eu/eli/agree_interinstit/2016/512/oj.</w:t>
            </w:r>
          </w:p>
        </w:tc>
        <w:tc>
          <w:tcPr>
            <w:tcW w:w="4876" w:type="dxa"/>
            <w:tcBorders>
              <w:top w:val="nil"/>
              <w:left w:val="nil"/>
              <w:bottom w:val="nil"/>
              <w:right w:val="nil"/>
            </w:tcBorders>
            <w:hideMark/>
          </w:tcPr>
          <w:p w14:paraId="3939CDD5" w14:textId="77777777" w:rsidR="008144C7" w:rsidRPr="00635D1D" w:rsidRDefault="008144C7" w:rsidP="00C5582D">
            <w:pPr>
              <w:pStyle w:val="Normal6a"/>
            </w:pPr>
            <w:r w:rsidRPr="00635D1D">
              <w:rPr>
                <w:vertAlign w:val="superscript"/>
              </w:rPr>
              <w:t>13</w:t>
            </w:r>
            <w:r w:rsidRPr="00635D1D">
              <w:t xml:space="preserve"> Dz.U. L 123 z </w:t>
            </w:r>
            <w:proofErr w:type="gramStart"/>
            <w:r w:rsidRPr="00635D1D">
              <w:t>12.5.2016</w:t>
            </w:r>
            <w:proofErr w:type="gramEnd"/>
            <w:r w:rsidRPr="00635D1D">
              <w:t>, s. 1, ELI: http://data.europa.eu/eli/agree_interinstit/2016/512/oj.</w:t>
            </w:r>
          </w:p>
        </w:tc>
      </w:tr>
    </w:tbl>
    <w:p w14:paraId="2CBC42BE"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{FR}</w:t>
      </w:r>
      <w:r w:rsidRPr="00E90719">
        <w:rPr>
          <w:lang w:val="en-GB"/>
        </w:rPr>
        <w:t>fr</w:t>
      </w:r>
      <w:r w:rsidRPr="00E90719">
        <w:rPr>
          <w:rStyle w:val="HideTWBExt"/>
          <w:lang w:val="en-GB"/>
        </w:rPr>
        <w:t>&lt;/Original&gt;</w:t>
      </w:r>
    </w:p>
    <w:p w14:paraId="4D593CAD" w14:textId="77777777" w:rsidR="008144C7" w:rsidRPr="00E90719" w:rsidRDefault="008144C7" w:rsidP="008144C7">
      <w:pPr>
        <w:rPr>
          <w:lang w:val="en-GB"/>
        </w:rPr>
      </w:pPr>
      <w:r w:rsidRPr="00E90719">
        <w:rPr>
          <w:rStyle w:val="HideTWBExt"/>
          <w:lang w:val="en-GB"/>
        </w:rPr>
        <w:t>&lt;/Amend&gt;</w:t>
      </w:r>
    </w:p>
    <w:p w14:paraId="41208A2E"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242</w:t>
      </w:r>
      <w:r w:rsidRPr="00E90719">
        <w:rPr>
          <w:rStyle w:val="HideTWBExt"/>
          <w:b w:val="0"/>
          <w:lang w:val="en-GB"/>
        </w:rPr>
        <w:t>&lt;/NumAm&gt;</w:t>
      </w:r>
    </w:p>
    <w:p w14:paraId="1861E0C7"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Per Clausen, Anja Hazekamp</w:t>
      </w:r>
      <w:r w:rsidRPr="00E90719">
        <w:rPr>
          <w:rStyle w:val="HideTWBExt"/>
          <w:b w:val="0"/>
          <w:lang w:val="en-GB"/>
        </w:rPr>
        <w:t>&lt;/Members&gt;</w:t>
      </w:r>
    </w:p>
    <w:p w14:paraId="7DF8F281" w14:textId="77777777" w:rsidR="008144C7" w:rsidRPr="00635D1D" w:rsidRDefault="008144C7" w:rsidP="008144C7">
      <w:pPr>
        <w:pStyle w:val="NormalBold"/>
      </w:pPr>
      <w:r w:rsidRPr="00635D1D">
        <w:rPr>
          <w:rStyle w:val="HideTWBExt"/>
          <w:b w:val="0"/>
        </w:rPr>
        <w:t>&lt;/RepeatBlock-By&gt;</w:t>
      </w:r>
    </w:p>
    <w:p w14:paraId="527C3241"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1A0B6F7" w14:textId="77777777" w:rsidR="008144C7" w:rsidRPr="00635D1D" w:rsidRDefault="008144C7" w:rsidP="008144C7">
      <w:pPr>
        <w:pStyle w:val="NormalBold"/>
      </w:pPr>
      <w:r w:rsidRPr="00635D1D">
        <w:rPr>
          <w:rStyle w:val="HideTWBExt"/>
          <w:b w:val="0"/>
        </w:rPr>
        <w:t>&lt;Article&gt;</w:t>
      </w:r>
      <w:r w:rsidRPr="00635D1D">
        <w:t>Motyw 29</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6E92C43" w14:textId="77777777" w:rsidTr="00C5582D">
        <w:trPr>
          <w:trHeight w:val="240"/>
          <w:jc w:val="center"/>
        </w:trPr>
        <w:tc>
          <w:tcPr>
            <w:tcW w:w="9752" w:type="dxa"/>
            <w:gridSpan w:val="2"/>
            <w:tcBorders>
              <w:top w:val="nil"/>
              <w:left w:val="nil"/>
              <w:bottom w:val="nil"/>
              <w:right w:val="nil"/>
            </w:tcBorders>
          </w:tcPr>
          <w:p w14:paraId="0D97E2EC" w14:textId="77777777" w:rsidR="008144C7" w:rsidRPr="00635D1D" w:rsidRDefault="008144C7" w:rsidP="00C5582D"/>
        </w:tc>
      </w:tr>
      <w:tr w:rsidR="008144C7" w:rsidRPr="00635D1D" w14:paraId="656424B5" w14:textId="77777777" w:rsidTr="00C5582D">
        <w:trPr>
          <w:trHeight w:val="240"/>
          <w:jc w:val="center"/>
        </w:trPr>
        <w:tc>
          <w:tcPr>
            <w:tcW w:w="4876" w:type="dxa"/>
            <w:tcBorders>
              <w:top w:val="nil"/>
              <w:left w:val="nil"/>
              <w:bottom w:val="nil"/>
              <w:right w:val="nil"/>
            </w:tcBorders>
            <w:hideMark/>
          </w:tcPr>
          <w:p w14:paraId="0A53D1FC"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CAB5EE4" w14:textId="77777777" w:rsidR="008144C7" w:rsidRPr="00635D1D" w:rsidRDefault="008144C7" w:rsidP="00C5582D">
            <w:pPr>
              <w:pStyle w:val="AmColumnHeading"/>
            </w:pPr>
            <w:r w:rsidRPr="00635D1D">
              <w:t>Poprawka</w:t>
            </w:r>
          </w:p>
        </w:tc>
      </w:tr>
      <w:tr w:rsidR="008144C7" w:rsidRPr="00635D1D" w14:paraId="44128BE0" w14:textId="77777777" w:rsidTr="00C5582D">
        <w:trPr>
          <w:jc w:val="center"/>
        </w:trPr>
        <w:tc>
          <w:tcPr>
            <w:tcW w:w="4876" w:type="dxa"/>
            <w:tcBorders>
              <w:top w:val="nil"/>
              <w:left w:val="nil"/>
              <w:bottom w:val="nil"/>
              <w:right w:val="nil"/>
            </w:tcBorders>
            <w:hideMark/>
          </w:tcPr>
          <w:p w14:paraId="4DE12E09" w14:textId="77777777" w:rsidR="008144C7" w:rsidRPr="00635D1D" w:rsidRDefault="008144C7" w:rsidP="00C5582D">
            <w:pPr>
              <w:pStyle w:val="Normal6a"/>
            </w:pPr>
            <w:r w:rsidRPr="00635D1D">
              <w:rPr>
                <w:b/>
                <w:i/>
              </w:rPr>
              <w:t>(29)</w:t>
            </w:r>
            <w:r w:rsidRPr="00635D1D">
              <w:tab/>
            </w:r>
            <w:r w:rsidRPr="00635D1D">
              <w:rPr>
                <w:b/>
                <w:i/>
              </w:rPr>
              <w:t>W przypadkach korzystania z uprawnienia do zmiany kategorii materiałów składowych określonego w załączniku II do rozporządzenia (UE) 2019/1009 obecnie Komisja może to uczynić jedynie w drodze oddzielnych aktów delegowanych w odniesieniu do każdej kategorii materiałów składowych. Z uwagi na konieczność wprowadzania dodatkowych materiałów do różnych kategorii materiałów składowych w przyszłości oraz stały postęp naukowo-techniczny w sektorze produktów nawozowych, poszczególne kategorie materiałów składowych wymagają częstych zmian. W niektórych przypadkach, na przykład gdy nowy surowiec może być dopuszczony w wielu materiałach składowych (CMC), Komisja wprowadza tę samą zmianę we wszystkich odpowiednich CMC, z których każda wymaga przyjęcia oddzielnego aktu delegowanego. Aby przyspieszyć przyjmowanie odpowiednich aktów delegowanych, Komisja powinna mieć możliwość zmiany kilku kategorii materiałów składowych w drodze jednego aktu delegowanego.</w:t>
            </w:r>
          </w:p>
        </w:tc>
        <w:tc>
          <w:tcPr>
            <w:tcW w:w="4876" w:type="dxa"/>
            <w:tcBorders>
              <w:top w:val="nil"/>
              <w:left w:val="nil"/>
              <w:bottom w:val="nil"/>
              <w:right w:val="nil"/>
            </w:tcBorders>
            <w:hideMark/>
          </w:tcPr>
          <w:p w14:paraId="52AFF9E4" w14:textId="77777777" w:rsidR="008144C7" w:rsidRPr="00635D1D" w:rsidRDefault="008144C7" w:rsidP="00C5582D">
            <w:pPr>
              <w:pStyle w:val="Normal6a"/>
            </w:pPr>
            <w:r w:rsidRPr="00635D1D">
              <w:rPr>
                <w:b/>
                <w:i/>
              </w:rPr>
              <w:t>skreśla się</w:t>
            </w:r>
          </w:p>
        </w:tc>
      </w:tr>
    </w:tbl>
    <w:p w14:paraId="168CE75F"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3694D691" w14:textId="77777777" w:rsidR="008144C7" w:rsidRPr="00635D1D" w:rsidRDefault="008144C7" w:rsidP="008144C7">
      <w:r w:rsidRPr="00635D1D">
        <w:rPr>
          <w:rStyle w:val="HideTWBExt"/>
        </w:rPr>
        <w:t>&lt;/Amend&gt;</w:t>
      </w:r>
    </w:p>
    <w:p w14:paraId="4DD8C79B"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243</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106E558F"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Katrin Langensiepen</w:t>
      </w:r>
      <w:r w:rsidRPr="00E90719">
        <w:rPr>
          <w:rStyle w:val="HideTWBExt"/>
          <w:b w:val="0"/>
          <w:lang w:val="en-GB"/>
        </w:rPr>
        <w:t>&lt;/Members&gt;</w:t>
      </w:r>
    </w:p>
    <w:p w14:paraId="73D51707" w14:textId="77777777" w:rsidR="008144C7" w:rsidRPr="00E90719" w:rsidRDefault="008144C7" w:rsidP="008144C7">
      <w:pPr>
        <w:rPr>
          <w:lang w:val="en-GB"/>
        </w:rPr>
      </w:pPr>
      <w:r w:rsidRPr="00E90719">
        <w:rPr>
          <w:rStyle w:val="HideTWBExt"/>
          <w:lang w:val="en-GB"/>
        </w:rPr>
        <w:t>&lt;AuNomDe&gt;</w:t>
      </w:r>
      <w:r w:rsidRPr="00E90719">
        <w:rPr>
          <w:rStyle w:val="HideTWBInt"/>
          <w:lang w:val="en-GB"/>
        </w:rPr>
        <w:t>{Verts/</w:t>
      </w:r>
      <w:proofErr w:type="gramStart"/>
      <w:r w:rsidRPr="00E90719">
        <w:rPr>
          <w:rStyle w:val="HideTWBInt"/>
          <w:lang w:val="en-GB"/>
        </w:rPr>
        <w:t>ALE}</w:t>
      </w:r>
      <w:r w:rsidRPr="00E90719">
        <w:rPr>
          <w:lang w:val="en-GB"/>
        </w:rPr>
        <w:t>w</w:t>
      </w:r>
      <w:proofErr w:type="gramEnd"/>
      <w:r w:rsidRPr="00E90719">
        <w:rPr>
          <w:lang w:val="en-GB"/>
        </w:rPr>
        <w:t xml:space="preserve"> imieniu grupy Verts/ALE</w:t>
      </w:r>
      <w:r w:rsidRPr="00E90719">
        <w:rPr>
          <w:rStyle w:val="HideTWBExt"/>
          <w:lang w:val="en-GB"/>
        </w:rPr>
        <w:t>&lt;/AuNomDe&gt;</w:t>
      </w:r>
    </w:p>
    <w:p w14:paraId="50E15DB4" w14:textId="77777777" w:rsidR="008144C7" w:rsidRPr="00635D1D" w:rsidRDefault="008144C7" w:rsidP="008144C7">
      <w:pPr>
        <w:pStyle w:val="NormalBold"/>
      </w:pPr>
      <w:r w:rsidRPr="00635D1D">
        <w:rPr>
          <w:rStyle w:val="HideTWBExt"/>
          <w:b w:val="0"/>
        </w:rPr>
        <w:t>&lt;/RepeatBlock-By&gt;</w:t>
      </w:r>
    </w:p>
    <w:p w14:paraId="70D4AD76"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A0F775D" w14:textId="77777777" w:rsidR="008144C7" w:rsidRPr="00635D1D" w:rsidRDefault="008144C7" w:rsidP="008144C7">
      <w:pPr>
        <w:pStyle w:val="NormalBold"/>
      </w:pPr>
      <w:r w:rsidRPr="00635D1D">
        <w:rPr>
          <w:rStyle w:val="HideTWBExt"/>
          <w:b w:val="0"/>
        </w:rPr>
        <w:t>&lt;Article&gt;</w:t>
      </w:r>
      <w:r w:rsidRPr="00635D1D">
        <w:t>Motyw 29</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3936F64" w14:textId="77777777" w:rsidTr="00C5582D">
        <w:trPr>
          <w:trHeight w:val="240"/>
          <w:jc w:val="center"/>
        </w:trPr>
        <w:tc>
          <w:tcPr>
            <w:tcW w:w="9752" w:type="dxa"/>
            <w:gridSpan w:val="2"/>
            <w:tcBorders>
              <w:top w:val="nil"/>
              <w:left w:val="nil"/>
              <w:bottom w:val="nil"/>
              <w:right w:val="nil"/>
            </w:tcBorders>
          </w:tcPr>
          <w:p w14:paraId="2E62E90D" w14:textId="77777777" w:rsidR="008144C7" w:rsidRPr="00635D1D" w:rsidRDefault="008144C7" w:rsidP="00C5582D"/>
        </w:tc>
      </w:tr>
      <w:tr w:rsidR="008144C7" w:rsidRPr="00635D1D" w14:paraId="32D1DD89" w14:textId="77777777" w:rsidTr="00C5582D">
        <w:trPr>
          <w:trHeight w:val="240"/>
          <w:jc w:val="center"/>
        </w:trPr>
        <w:tc>
          <w:tcPr>
            <w:tcW w:w="4876" w:type="dxa"/>
            <w:tcBorders>
              <w:top w:val="nil"/>
              <w:left w:val="nil"/>
              <w:bottom w:val="nil"/>
              <w:right w:val="nil"/>
            </w:tcBorders>
            <w:hideMark/>
          </w:tcPr>
          <w:p w14:paraId="6A2516BC"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BE6081C" w14:textId="77777777" w:rsidR="008144C7" w:rsidRPr="00635D1D" w:rsidRDefault="008144C7" w:rsidP="00C5582D">
            <w:pPr>
              <w:pStyle w:val="AmColumnHeading"/>
            </w:pPr>
            <w:r w:rsidRPr="00635D1D">
              <w:t>Poprawka</w:t>
            </w:r>
          </w:p>
        </w:tc>
      </w:tr>
      <w:tr w:rsidR="008144C7" w:rsidRPr="00635D1D" w14:paraId="3FF45AD4" w14:textId="77777777" w:rsidTr="00C5582D">
        <w:trPr>
          <w:jc w:val="center"/>
        </w:trPr>
        <w:tc>
          <w:tcPr>
            <w:tcW w:w="4876" w:type="dxa"/>
            <w:tcBorders>
              <w:top w:val="nil"/>
              <w:left w:val="nil"/>
              <w:bottom w:val="nil"/>
              <w:right w:val="nil"/>
            </w:tcBorders>
            <w:hideMark/>
          </w:tcPr>
          <w:p w14:paraId="382C8F8F" w14:textId="77777777" w:rsidR="008144C7" w:rsidRPr="00635D1D" w:rsidRDefault="008144C7" w:rsidP="00C5582D">
            <w:pPr>
              <w:pStyle w:val="Normal6a"/>
            </w:pPr>
            <w:r w:rsidRPr="00635D1D">
              <w:rPr>
                <w:b/>
                <w:i/>
              </w:rPr>
              <w:t>(29)</w:t>
            </w:r>
            <w:r w:rsidRPr="00635D1D">
              <w:tab/>
            </w:r>
            <w:r w:rsidRPr="00635D1D">
              <w:rPr>
                <w:b/>
                <w:i/>
              </w:rPr>
              <w:t>W przypadkach korzystania z uprawnienia do zmiany kategorii materiałów składowych określonego w załączniku II do rozporządzenia (UE) 2019/1009 obecnie Komisja może to uczynić jedynie w drodze oddzielnych aktów delegowanych w odniesieniu do każdej kategorii materiałów składowych. Z uwagi na konieczność wprowadzania dodatkowych materiałów do różnych kategorii materiałów składowych w przyszłości oraz stały postęp naukowo-techniczny w sektorze produktów nawozowych, poszczególne kategorie materiałów składowych wymagają częstych zmian. W niektórych przypadkach, na przykład gdy nowy surowiec może być dopuszczony w wielu materiałach składowych (CMC), Komisja wprowadza tę samą zmianę we wszystkich odpowiednich CMC, z których każda wymaga przyjęcia oddzielnego aktu delegowanego. Aby przyspieszyć przyjmowanie odpowiednich aktów delegowanych, Komisja powinna mieć możliwość zmiany kilku kategorii materiałów składowych w drodze jednego aktu delegowanego.</w:t>
            </w:r>
          </w:p>
        </w:tc>
        <w:tc>
          <w:tcPr>
            <w:tcW w:w="4876" w:type="dxa"/>
            <w:tcBorders>
              <w:top w:val="nil"/>
              <w:left w:val="nil"/>
              <w:bottom w:val="nil"/>
              <w:right w:val="nil"/>
            </w:tcBorders>
            <w:hideMark/>
          </w:tcPr>
          <w:p w14:paraId="208C4308" w14:textId="77777777" w:rsidR="008144C7" w:rsidRPr="00635D1D" w:rsidRDefault="008144C7" w:rsidP="00C5582D">
            <w:pPr>
              <w:pStyle w:val="Normal6a"/>
            </w:pPr>
            <w:r w:rsidRPr="00635D1D">
              <w:rPr>
                <w:b/>
                <w:i/>
              </w:rPr>
              <w:t>skreśla się</w:t>
            </w:r>
          </w:p>
        </w:tc>
      </w:tr>
    </w:tbl>
    <w:p w14:paraId="1C4D5773"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5E20A7D9" w14:textId="77777777" w:rsidR="008144C7" w:rsidRPr="00635D1D" w:rsidRDefault="008144C7" w:rsidP="008144C7">
      <w:r w:rsidRPr="00635D1D">
        <w:rPr>
          <w:rStyle w:val="HideTWBExt"/>
        </w:rPr>
        <w:t>&lt;/Amend&gt;</w:t>
      </w:r>
    </w:p>
    <w:p w14:paraId="3D38A09E"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244</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4076964E" w14:textId="77777777" w:rsidR="008144C7" w:rsidRPr="00635D1D" w:rsidRDefault="008144C7" w:rsidP="008144C7">
      <w:pPr>
        <w:pStyle w:val="NormalBold"/>
      </w:pPr>
      <w:r w:rsidRPr="00635D1D">
        <w:rPr>
          <w:rStyle w:val="HideTWBExt"/>
          <w:b w:val="0"/>
        </w:rPr>
        <w:t>&lt;RepeatBlock-By&gt;&lt;Members&gt;</w:t>
      </w:r>
      <w:proofErr w:type="spellStart"/>
      <w:r w:rsidRPr="00635D1D">
        <w:t>Idoia</w:t>
      </w:r>
      <w:proofErr w:type="spellEnd"/>
      <w:r w:rsidRPr="00635D1D">
        <w:t xml:space="preserve"> </w:t>
      </w:r>
      <w:proofErr w:type="spellStart"/>
      <w:r w:rsidRPr="00635D1D">
        <w:t>Mendia</w:t>
      </w:r>
      <w:proofErr w:type="spellEnd"/>
      <w:r w:rsidRPr="00635D1D">
        <w:t xml:space="preserve">, Kristian </w:t>
      </w:r>
      <w:proofErr w:type="spellStart"/>
      <w:r w:rsidRPr="00635D1D">
        <w:t>Vigenin</w:t>
      </w:r>
      <w:proofErr w:type="spellEnd"/>
      <w:r w:rsidRPr="00635D1D">
        <w:t xml:space="preserve">, François </w:t>
      </w:r>
      <w:proofErr w:type="spellStart"/>
      <w:r w:rsidRPr="00635D1D">
        <w:t>Kalfon</w:t>
      </w:r>
      <w:proofErr w:type="spellEnd"/>
      <w:r w:rsidRPr="00635D1D">
        <w:t xml:space="preserve">, </w:t>
      </w:r>
      <w:proofErr w:type="spellStart"/>
      <w:r w:rsidRPr="00635D1D">
        <w:t>Elisabeth</w:t>
      </w:r>
      <w:proofErr w:type="spellEnd"/>
      <w:r w:rsidRPr="00635D1D">
        <w:t xml:space="preserve"> Grossmann, </w:t>
      </w:r>
      <w:proofErr w:type="spellStart"/>
      <w:r w:rsidRPr="00635D1D">
        <w:t>Adnan</w:t>
      </w:r>
      <w:proofErr w:type="spellEnd"/>
      <w:r w:rsidRPr="00635D1D">
        <w:t xml:space="preserve"> </w:t>
      </w:r>
      <w:proofErr w:type="spellStart"/>
      <w:r w:rsidRPr="00635D1D">
        <w:t>Dibrani</w:t>
      </w:r>
      <w:proofErr w:type="spellEnd"/>
      <w:r w:rsidRPr="00635D1D">
        <w:t xml:space="preserve">, </w:t>
      </w:r>
      <w:proofErr w:type="spellStart"/>
      <w:r w:rsidRPr="00635D1D">
        <w:t>Sakis</w:t>
      </w:r>
      <w:proofErr w:type="spellEnd"/>
      <w:r w:rsidRPr="00635D1D">
        <w:t xml:space="preserve"> </w:t>
      </w:r>
      <w:proofErr w:type="spellStart"/>
      <w:r w:rsidRPr="00635D1D">
        <w:t>Arnaoutoglou</w:t>
      </w:r>
      <w:proofErr w:type="spellEnd"/>
      <w:r w:rsidRPr="00635D1D">
        <w:t xml:space="preserve">, </w:t>
      </w:r>
      <w:proofErr w:type="spellStart"/>
      <w:r w:rsidRPr="00635D1D">
        <w:t>César</w:t>
      </w:r>
      <w:proofErr w:type="spellEnd"/>
      <w:r w:rsidRPr="00635D1D">
        <w:t xml:space="preserve"> </w:t>
      </w:r>
      <w:proofErr w:type="spellStart"/>
      <w:r w:rsidRPr="00635D1D">
        <w:t>Luena</w:t>
      </w:r>
      <w:proofErr w:type="spellEnd"/>
      <w:r w:rsidRPr="00635D1D">
        <w:t xml:space="preserve">, Christophe </w:t>
      </w:r>
      <w:proofErr w:type="spellStart"/>
      <w:r w:rsidRPr="00635D1D">
        <w:t>Clergeau</w:t>
      </w:r>
      <w:proofErr w:type="spellEnd"/>
      <w:r w:rsidRPr="00635D1D">
        <w:t xml:space="preserve">, </w:t>
      </w:r>
      <w:proofErr w:type="spellStart"/>
      <w:r w:rsidRPr="00635D1D">
        <w:t>Tiemo</w:t>
      </w:r>
      <w:proofErr w:type="spellEnd"/>
      <w:r w:rsidRPr="00635D1D">
        <w:t xml:space="preserve"> </w:t>
      </w:r>
      <w:proofErr w:type="spellStart"/>
      <w:r w:rsidRPr="00635D1D">
        <w:t>Wölken</w:t>
      </w:r>
      <w:proofErr w:type="spellEnd"/>
      <w:r w:rsidRPr="00635D1D">
        <w:t xml:space="preserve">, </w:t>
      </w:r>
      <w:proofErr w:type="spellStart"/>
      <w:r w:rsidRPr="00635D1D">
        <w:t>Annalisa</w:t>
      </w:r>
      <w:proofErr w:type="spellEnd"/>
      <w:r w:rsidRPr="00635D1D">
        <w:t xml:space="preserve"> Corrado, </w:t>
      </w:r>
      <w:proofErr w:type="spellStart"/>
      <w:r w:rsidRPr="00635D1D">
        <w:t>Heléne</w:t>
      </w:r>
      <w:proofErr w:type="spellEnd"/>
      <w:r w:rsidRPr="00635D1D">
        <w:t xml:space="preserve"> </w:t>
      </w:r>
      <w:proofErr w:type="spellStart"/>
      <w:r w:rsidRPr="00635D1D">
        <w:t>Fritzon</w:t>
      </w:r>
      <w:proofErr w:type="spellEnd"/>
      <w:r w:rsidRPr="00635D1D">
        <w:t>, Marta Temido</w:t>
      </w:r>
      <w:r w:rsidRPr="00635D1D">
        <w:rPr>
          <w:rStyle w:val="HideTWBExt"/>
          <w:b w:val="0"/>
        </w:rPr>
        <w:t>&lt;/</w:t>
      </w:r>
      <w:proofErr w:type="spellStart"/>
      <w:r w:rsidRPr="00635D1D">
        <w:rPr>
          <w:rStyle w:val="HideTWBExt"/>
          <w:b w:val="0"/>
        </w:rPr>
        <w:t>Members</w:t>
      </w:r>
      <w:proofErr w:type="spellEnd"/>
      <w:r w:rsidRPr="00635D1D">
        <w:rPr>
          <w:rStyle w:val="HideTWBExt"/>
          <w:b w:val="0"/>
        </w:rPr>
        <w:t>&gt;</w:t>
      </w:r>
    </w:p>
    <w:p w14:paraId="2070FE10" w14:textId="77777777" w:rsidR="008144C7" w:rsidRPr="00635D1D" w:rsidRDefault="008144C7" w:rsidP="008144C7">
      <w:pPr>
        <w:pStyle w:val="NormalBold"/>
      </w:pPr>
      <w:r w:rsidRPr="00635D1D">
        <w:rPr>
          <w:rStyle w:val="HideTWBExt"/>
          <w:b w:val="0"/>
        </w:rPr>
        <w:t>&lt;/RepeatBlock-By&gt;</w:t>
      </w:r>
    </w:p>
    <w:p w14:paraId="29CF697B"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50E59F8" w14:textId="77777777" w:rsidR="008144C7" w:rsidRPr="00635D1D" w:rsidRDefault="008144C7" w:rsidP="008144C7">
      <w:pPr>
        <w:pStyle w:val="NormalBold"/>
      </w:pPr>
      <w:r w:rsidRPr="00635D1D">
        <w:rPr>
          <w:rStyle w:val="HideTWBExt"/>
          <w:b w:val="0"/>
        </w:rPr>
        <w:t>&lt;Article&gt;</w:t>
      </w:r>
      <w:r w:rsidRPr="00635D1D">
        <w:t>Motyw 29</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C34839F" w14:textId="77777777" w:rsidTr="00C5582D">
        <w:trPr>
          <w:trHeight w:val="240"/>
          <w:jc w:val="center"/>
        </w:trPr>
        <w:tc>
          <w:tcPr>
            <w:tcW w:w="9752" w:type="dxa"/>
            <w:gridSpan w:val="2"/>
            <w:tcBorders>
              <w:top w:val="nil"/>
              <w:left w:val="nil"/>
              <w:bottom w:val="nil"/>
              <w:right w:val="nil"/>
            </w:tcBorders>
          </w:tcPr>
          <w:p w14:paraId="629E411B" w14:textId="77777777" w:rsidR="008144C7" w:rsidRPr="00635D1D" w:rsidRDefault="008144C7" w:rsidP="00C5582D"/>
        </w:tc>
      </w:tr>
      <w:tr w:rsidR="008144C7" w:rsidRPr="00635D1D" w14:paraId="1AFA6B5A" w14:textId="77777777" w:rsidTr="00C5582D">
        <w:trPr>
          <w:trHeight w:val="240"/>
          <w:jc w:val="center"/>
        </w:trPr>
        <w:tc>
          <w:tcPr>
            <w:tcW w:w="4876" w:type="dxa"/>
            <w:tcBorders>
              <w:top w:val="nil"/>
              <w:left w:val="nil"/>
              <w:bottom w:val="nil"/>
              <w:right w:val="nil"/>
            </w:tcBorders>
            <w:hideMark/>
          </w:tcPr>
          <w:p w14:paraId="35AA4A4C"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0F10FDD" w14:textId="77777777" w:rsidR="008144C7" w:rsidRPr="00635D1D" w:rsidRDefault="008144C7" w:rsidP="00C5582D">
            <w:pPr>
              <w:pStyle w:val="AmColumnHeading"/>
            </w:pPr>
            <w:r w:rsidRPr="00635D1D">
              <w:t>Poprawka</w:t>
            </w:r>
          </w:p>
        </w:tc>
      </w:tr>
      <w:tr w:rsidR="008144C7" w:rsidRPr="00635D1D" w14:paraId="560743D5" w14:textId="77777777" w:rsidTr="00C5582D">
        <w:trPr>
          <w:jc w:val="center"/>
        </w:trPr>
        <w:tc>
          <w:tcPr>
            <w:tcW w:w="4876" w:type="dxa"/>
            <w:tcBorders>
              <w:top w:val="nil"/>
              <w:left w:val="nil"/>
              <w:bottom w:val="nil"/>
              <w:right w:val="nil"/>
            </w:tcBorders>
            <w:hideMark/>
          </w:tcPr>
          <w:p w14:paraId="13F51BE9" w14:textId="77777777" w:rsidR="008144C7" w:rsidRPr="00635D1D" w:rsidRDefault="008144C7" w:rsidP="00C5582D">
            <w:pPr>
              <w:pStyle w:val="Normal6a"/>
            </w:pPr>
            <w:r w:rsidRPr="00635D1D">
              <w:t>(29)</w:t>
            </w:r>
            <w:r w:rsidRPr="00635D1D">
              <w:tab/>
              <w:t xml:space="preserve">W przypadkach korzystania z uprawnienia do zmiany kategorii materiałów składowych określonego w załączniku II do rozporządzenia (UE) 2019/1009 obecnie Komisja może to uczynić jedynie w drodze oddzielnych aktów delegowanych w odniesieniu do każdej kategorii materiałów składowych. </w:t>
            </w:r>
            <w:r w:rsidRPr="00635D1D">
              <w:rPr>
                <w:b/>
                <w:i/>
              </w:rPr>
              <w:t>Z uwagi na konieczność wprowadzania dodatkowych materiałów do różnych kategorii materiałów składowych w przyszłości oraz stały postęp naukowo-techniczny w sektorze produktów nawozowych, poszczególne kategorie materiałów składowych wymagają częstych zmian. W niektórych przypadkach, na przykład gdy nowy surowiec może być dopuszczony w wielu materiałach składowych (CMC), Komisja wprowadza tę samą zmianę we wszystkich odpowiednich CMC, z których każda wymaga przyjęcia oddzielnego aktu delegowanego.</w:t>
            </w:r>
            <w:r w:rsidRPr="00635D1D">
              <w:t xml:space="preserve"> Aby przyspieszyć przyjmowanie odpowiednich aktów delegowanych, Komisja powinna mieć możliwość zmiany kilku kategorii materiałów składowych w drodze jednego aktu delegowanego.</w:t>
            </w:r>
          </w:p>
        </w:tc>
        <w:tc>
          <w:tcPr>
            <w:tcW w:w="4876" w:type="dxa"/>
            <w:tcBorders>
              <w:top w:val="nil"/>
              <w:left w:val="nil"/>
              <w:bottom w:val="nil"/>
              <w:right w:val="nil"/>
            </w:tcBorders>
            <w:hideMark/>
          </w:tcPr>
          <w:p w14:paraId="3D3C86AC" w14:textId="77777777" w:rsidR="008144C7" w:rsidRPr="00635D1D" w:rsidRDefault="008144C7" w:rsidP="00C5582D">
            <w:pPr>
              <w:pStyle w:val="Normal6a"/>
            </w:pPr>
            <w:r w:rsidRPr="00635D1D">
              <w:t>(29)</w:t>
            </w:r>
            <w:r w:rsidRPr="00635D1D">
              <w:tab/>
              <w:t xml:space="preserve">W przypadkach korzystania z uprawnienia do zmiany kategorii materiałów składowych określonego w załączniku II do rozporządzenia (UE) 2019/1009 obecnie Komisja może to uczynić jedynie w drodze oddzielnych aktów delegowanych w odniesieniu do każdej kategorii materiałów składowych. Aby przyspieszyć przyjmowanie odpowiednich aktów delegowanych, Komisja powinna </w:t>
            </w:r>
            <w:r w:rsidRPr="00635D1D">
              <w:rPr>
                <w:b/>
                <w:i/>
              </w:rPr>
              <w:t>w drodze wyjątku</w:t>
            </w:r>
            <w:r w:rsidRPr="00635D1D">
              <w:t xml:space="preserve"> mieć możliwość zmiany kilku kategorii materiałów składowych w drodze jednego aktu delegowanego </w:t>
            </w:r>
            <w:r w:rsidRPr="00635D1D">
              <w:rPr>
                <w:b/>
                <w:i/>
              </w:rPr>
              <w:t>w odpowiednim czasie i bez zbędnej zwłoki w dwóch przypadkach – wprowadzenia lub usunięcia tego samego surowca lub wprowadzenia, zmiany lub usunięcia tych samych wymogów</w:t>
            </w:r>
            <w:r w:rsidRPr="00635D1D">
              <w:t xml:space="preserve">. </w:t>
            </w:r>
            <w:r w:rsidRPr="00635D1D">
              <w:rPr>
                <w:b/>
                <w:i/>
              </w:rPr>
              <w:t>Istotne jest, aby Komisja utrzymywała ścisłą współpracę międzyinstytucjonalną i prowadziła konsultacje międzyinstytucjonalne w pełnej zgodności z zasadami określonymi w Porozumieniu międzyinstytucjonalnym z dnia 13 kwietnia 2016 r. w sprawie lepszego stanowienia prawa.</w:t>
            </w:r>
          </w:p>
        </w:tc>
      </w:tr>
    </w:tbl>
    <w:p w14:paraId="6FC229ED"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06CF6A5A" w14:textId="77777777" w:rsidR="008144C7" w:rsidRPr="00E90719" w:rsidRDefault="008144C7" w:rsidP="008144C7">
      <w:pPr>
        <w:rPr>
          <w:lang w:val="en-GB"/>
        </w:rPr>
      </w:pPr>
      <w:r w:rsidRPr="00E90719">
        <w:rPr>
          <w:rStyle w:val="HideTWBExt"/>
          <w:lang w:val="en-GB"/>
        </w:rPr>
        <w:t>&lt;/Amend&gt;</w:t>
      </w:r>
    </w:p>
    <w:p w14:paraId="772A3A3B"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245</w:t>
      </w:r>
      <w:r w:rsidRPr="00E90719">
        <w:rPr>
          <w:rStyle w:val="HideTWBExt"/>
          <w:b w:val="0"/>
          <w:lang w:val="en-GB"/>
        </w:rPr>
        <w:t>&lt;/NumAm&gt;</w:t>
      </w:r>
    </w:p>
    <w:p w14:paraId="2A08D555"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Sander Smit</w:t>
      </w:r>
      <w:r w:rsidRPr="00E90719">
        <w:rPr>
          <w:rStyle w:val="HideTWBExt"/>
          <w:b w:val="0"/>
          <w:lang w:val="en-GB"/>
        </w:rPr>
        <w:t>&lt;/Members&gt;</w:t>
      </w:r>
    </w:p>
    <w:p w14:paraId="2FECE6EF" w14:textId="77777777" w:rsidR="008144C7" w:rsidRPr="00635D1D" w:rsidRDefault="008144C7" w:rsidP="008144C7">
      <w:pPr>
        <w:pStyle w:val="NormalBold"/>
      </w:pPr>
      <w:r w:rsidRPr="00635D1D">
        <w:rPr>
          <w:rStyle w:val="HideTWBExt"/>
          <w:b w:val="0"/>
        </w:rPr>
        <w:t>&lt;/RepeatBlock-By&gt;</w:t>
      </w:r>
    </w:p>
    <w:p w14:paraId="2E643C7C"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6713CD5" w14:textId="77777777" w:rsidR="008144C7" w:rsidRPr="00635D1D" w:rsidRDefault="008144C7" w:rsidP="008144C7">
      <w:pPr>
        <w:pStyle w:val="NormalBold"/>
      </w:pPr>
      <w:r w:rsidRPr="00635D1D">
        <w:rPr>
          <w:rStyle w:val="HideTWBExt"/>
          <w:b w:val="0"/>
        </w:rPr>
        <w:t>&lt;Article&gt;</w:t>
      </w:r>
      <w:r w:rsidRPr="00635D1D">
        <w:t>Motyw 29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EB92143" w14:textId="77777777" w:rsidTr="00C5582D">
        <w:trPr>
          <w:trHeight w:val="240"/>
          <w:jc w:val="center"/>
        </w:trPr>
        <w:tc>
          <w:tcPr>
            <w:tcW w:w="9752" w:type="dxa"/>
            <w:gridSpan w:val="2"/>
            <w:tcBorders>
              <w:top w:val="nil"/>
              <w:left w:val="nil"/>
              <w:bottom w:val="nil"/>
              <w:right w:val="nil"/>
            </w:tcBorders>
          </w:tcPr>
          <w:p w14:paraId="5137A4C6" w14:textId="77777777" w:rsidR="008144C7" w:rsidRPr="00635D1D" w:rsidRDefault="008144C7" w:rsidP="00C5582D"/>
        </w:tc>
      </w:tr>
      <w:tr w:rsidR="008144C7" w:rsidRPr="00635D1D" w14:paraId="0F1AF8CD" w14:textId="77777777" w:rsidTr="00C5582D">
        <w:trPr>
          <w:trHeight w:val="240"/>
          <w:jc w:val="center"/>
        </w:trPr>
        <w:tc>
          <w:tcPr>
            <w:tcW w:w="4876" w:type="dxa"/>
            <w:tcBorders>
              <w:top w:val="nil"/>
              <w:left w:val="nil"/>
              <w:bottom w:val="nil"/>
              <w:right w:val="nil"/>
            </w:tcBorders>
            <w:hideMark/>
          </w:tcPr>
          <w:p w14:paraId="7F3DDF4D"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03AC969F" w14:textId="77777777" w:rsidR="008144C7" w:rsidRPr="00635D1D" w:rsidRDefault="008144C7" w:rsidP="00C5582D">
            <w:pPr>
              <w:pStyle w:val="AmColumnHeading"/>
            </w:pPr>
            <w:r w:rsidRPr="00635D1D">
              <w:t>Poprawka</w:t>
            </w:r>
          </w:p>
        </w:tc>
      </w:tr>
      <w:tr w:rsidR="008144C7" w:rsidRPr="00635D1D" w14:paraId="4796FC22" w14:textId="77777777" w:rsidTr="00C5582D">
        <w:trPr>
          <w:jc w:val="center"/>
        </w:trPr>
        <w:tc>
          <w:tcPr>
            <w:tcW w:w="4876" w:type="dxa"/>
            <w:tcBorders>
              <w:top w:val="nil"/>
              <w:left w:val="nil"/>
              <w:bottom w:val="nil"/>
              <w:right w:val="nil"/>
            </w:tcBorders>
          </w:tcPr>
          <w:p w14:paraId="18C79C4E" w14:textId="77777777" w:rsidR="008144C7" w:rsidRPr="00635D1D" w:rsidRDefault="008144C7" w:rsidP="00C5582D">
            <w:pPr>
              <w:pStyle w:val="Normal6a"/>
            </w:pPr>
          </w:p>
        </w:tc>
        <w:tc>
          <w:tcPr>
            <w:tcW w:w="4876" w:type="dxa"/>
            <w:tcBorders>
              <w:top w:val="nil"/>
              <w:left w:val="nil"/>
              <w:bottom w:val="nil"/>
              <w:right w:val="nil"/>
            </w:tcBorders>
            <w:hideMark/>
          </w:tcPr>
          <w:p w14:paraId="3CC408EB" w14:textId="77777777" w:rsidR="008144C7" w:rsidRPr="00635D1D" w:rsidRDefault="008144C7" w:rsidP="00C5582D">
            <w:pPr>
              <w:pStyle w:val="Normal6a"/>
            </w:pPr>
            <w:r w:rsidRPr="00635D1D">
              <w:rPr>
                <w:b/>
                <w:i/>
              </w:rPr>
              <w:t>(29a)</w:t>
            </w:r>
            <w:r w:rsidRPr="00635D1D">
              <w:tab/>
            </w:r>
            <w:r w:rsidRPr="00635D1D">
              <w:rPr>
                <w:b/>
                <w:i/>
              </w:rPr>
              <w:t>Rozporządzenie (UE) 2019/1009 ma ułatwić wprowadzanie na rynek wewnętrzny bezpiecznych produktów nawozowych i ich swobodny przepływ, a jednocześnie wspierać recykling składników odżywczych i wykorzystanie surowców w obiegu zamkniętym, jak również zapewniać wysoki poziomu ochrony zdrowia ludzi, zwierząt i roślin oraz ochrony środowiska.</w:t>
            </w:r>
            <w:r w:rsidRPr="00635D1D">
              <w:rPr>
                <w:b/>
                <w:i/>
              </w:rPr>
              <w:br/>
              <w:t xml:space="preserve"> Skuteczne stosowanie rozporządzenia zależy między innymi od uznania punktów końcowych dla materiałów składowych pochodzących z produktów ubocznych pochodzenia zwierzęcego w rozumieniu rozporządzenia (WE) nr 1069/2009. W rozporządzenie delegowanym (UE) 2023/1605 ustanowiono określone punkty końcowe dla produktów ubocznych pochodzenia zwierzęcego przeznaczonych do nawożenia. Parametry przetwarzania i środki ograniczające ryzyko zawarte w tym rozporządzeniu pochodzą jednak w dużej mierze z ram dotyczących higieny pasz i zapobiegania oszustwom związanym z paszami i nie zawsze odzwierciedlają różne drogi narażenia i profile ryzyka produktów nawozowych stosowanych doglebowo.</w:t>
            </w:r>
            <w:r w:rsidRPr="00635D1D">
              <w:rPr>
                <w:b/>
                <w:i/>
              </w:rPr>
              <w:br/>
              <w:t xml:space="preserve"> Stosowanie do produktów nawozowych norm przetwarzania lub środków ograniczających ryzyko opracowanych dla zastosowań paszowych może zatem stwarzać niepotrzebne przeszkody w obrocie bezpiecznymi produktami nawozowymi, nie zapewniając przy tym dodatkowej ochrony zdrowia ludzi i zwierząt czy też ochrony środowiska.</w:t>
            </w:r>
            <w:r w:rsidRPr="00635D1D">
              <w:rPr>
                <w:b/>
                <w:i/>
              </w:rPr>
              <w:br/>
              <w:t xml:space="preserve"> Jeżeli w wyniku odpowiedniego przetwarzania wyeliminowano odpowiednie zagrożenia, to – biorąc pod uwagę warunki stosowania produktów nawozowych i wymogi oceny zgodności określone w rozporządzeniu (UE) 2019/1009 – brak zgodności z normami przetwarzania dotyczącymi pasz nie powinien sam w sobie uniemożliwiać uznania punktu końcowego.</w:t>
            </w:r>
          </w:p>
        </w:tc>
      </w:tr>
    </w:tbl>
    <w:p w14:paraId="06537940"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{NL}</w:t>
      </w:r>
      <w:proofErr w:type="spellStart"/>
      <w:r w:rsidRPr="00635D1D">
        <w:t>nl</w:t>
      </w:r>
      <w:proofErr w:type="spellEnd"/>
      <w:r w:rsidRPr="00635D1D">
        <w:rPr>
          <w:rStyle w:val="HideTWBExt"/>
        </w:rPr>
        <w:t>&lt;/Original&gt;</w:t>
      </w:r>
    </w:p>
    <w:p w14:paraId="4B5F3802"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1EF48191" w14:textId="77777777" w:rsidR="008144C7" w:rsidRPr="00635D1D" w:rsidRDefault="008144C7" w:rsidP="008144C7">
      <w:pPr>
        <w:pStyle w:val="AmJustText"/>
      </w:pPr>
      <w:r w:rsidRPr="00635D1D">
        <w:t>Od czasu przyjęcia rozporządzenia delegowanego (UE) 2023/1605 właściwe organy coraz częściej traktują je jako wyczerpujący wykaz dozwolonych metod nawożenia, mimo że art. 5 rozporządzenia (WE) nr 1069/2009 opiera się na zasadzie eliminacji ryzyka, a nie na zamkniętych wykazach. Motyw ten przywraca jasność prawa, zapobiega niepotrzebnemu blokowaniu bezpiecznych materiałów i wspiera skuteczne stosowanie rozporządzenia w sprawie produktów nawozowych bez obniżania norm bezpieczeństwa.</w:t>
      </w:r>
    </w:p>
    <w:p w14:paraId="251B4D2D" w14:textId="77777777" w:rsidR="008144C7" w:rsidRPr="00635D1D" w:rsidRDefault="008144C7" w:rsidP="008144C7">
      <w:r w:rsidRPr="00635D1D">
        <w:rPr>
          <w:rStyle w:val="HideTWBExt"/>
        </w:rPr>
        <w:t>&lt;/Amend&gt;</w:t>
      </w:r>
    </w:p>
    <w:p w14:paraId="056E1D24"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246</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6C60AF1D" w14:textId="77777777" w:rsidR="008144C7" w:rsidRPr="00635D1D" w:rsidRDefault="008144C7" w:rsidP="008144C7">
      <w:pPr>
        <w:pStyle w:val="NormalBold"/>
      </w:pPr>
      <w:r w:rsidRPr="00635D1D">
        <w:rPr>
          <w:rStyle w:val="HideTWBExt"/>
          <w:b w:val="0"/>
        </w:rPr>
        <w:t>&lt;RepeatBlock-By&gt;&lt;Members&gt;</w:t>
      </w:r>
      <w:proofErr w:type="spellStart"/>
      <w:r w:rsidRPr="00635D1D">
        <w:t>Idoia</w:t>
      </w:r>
      <w:proofErr w:type="spellEnd"/>
      <w:r w:rsidRPr="00635D1D">
        <w:t xml:space="preserve"> </w:t>
      </w:r>
      <w:proofErr w:type="spellStart"/>
      <w:r w:rsidRPr="00635D1D">
        <w:t>Mendia</w:t>
      </w:r>
      <w:proofErr w:type="spellEnd"/>
      <w:r w:rsidRPr="00635D1D">
        <w:t xml:space="preserve">, Kristian </w:t>
      </w:r>
      <w:proofErr w:type="spellStart"/>
      <w:r w:rsidRPr="00635D1D">
        <w:t>Vigenin</w:t>
      </w:r>
      <w:proofErr w:type="spellEnd"/>
      <w:r w:rsidRPr="00635D1D">
        <w:t xml:space="preserve">, François </w:t>
      </w:r>
      <w:proofErr w:type="spellStart"/>
      <w:r w:rsidRPr="00635D1D">
        <w:t>Kalfon</w:t>
      </w:r>
      <w:proofErr w:type="spellEnd"/>
      <w:r w:rsidRPr="00635D1D">
        <w:t xml:space="preserve">, </w:t>
      </w:r>
      <w:proofErr w:type="spellStart"/>
      <w:r w:rsidRPr="00635D1D">
        <w:t>Elisabeth</w:t>
      </w:r>
      <w:proofErr w:type="spellEnd"/>
      <w:r w:rsidRPr="00635D1D">
        <w:t xml:space="preserve"> Grossmann, </w:t>
      </w:r>
      <w:proofErr w:type="spellStart"/>
      <w:r w:rsidRPr="00635D1D">
        <w:t>Adnan</w:t>
      </w:r>
      <w:proofErr w:type="spellEnd"/>
      <w:r w:rsidRPr="00635D1D">
        <w:t xml:space="preserve"> </w:t>
      </w:r>
      <w:proofErr w:type="spellStart"/>
      <w:r w:rsidRPr="00635D1D">
        <w:t>Dibrani</w:t>
      </w:r>
      <w:proofErr w:type="spellEnd"/>
      <w:r w:rsidRPr="00635D1D">
        <w:t xml:space="preserve">, </w:t>
      </w:r>
      <w:proofErr w:type="spellStart"/>
      <w:r w:rsidRPr="00635D1D">
        <w:t>Sakis</w:t>
      </w:r>
      <w:proofErr w:type="spellEnd"/>
      <w:r w:rsidRPr="00635D1D">
        <w:t xml:space="preserve"> </w:t>
      </w:r>
      <w:proofErr w:type="spellStart"/>
      <w:r w:rsidRPr="00635D1D">
        <w:t>Arnaoutoglou</w:t>
      </w:r>
      <w:proofErr w:type="spellEnd"/>
      <w:r w:rsidRPr="00635D1D">
        <w:t xml:space="preserve">, </w:t>
      </w:r>
      <w:proofErr w:type="spellStart"/>
      <w:r w:rsidRPr="00635D1D">
        <w:t>César</w:t>
      </w:r>
      <w:proofErr w:type="spellEnd"/>
      <w:r w:rsidRPr="00635D1D">
        <w:t xml:space="preserve"> </w:t>
      </w:r>
      <w:proofErr w:type="spellStart"/>
      <w:r w:rsidRPr="00635D1D">
        <w:t>Luena</w:t>
      </w:r>
      <w:proofErr w:type="spellEnd"/>
      <w:r w:rsidRPr="00635D1D">
        <w:t xml:space="preserve">, Christophe </w:t>
      </w:r>
      <w:proofErr w:type="spellStart"/>
      <w:r w:rsidRPr="00635D1D">
        <w:t>Clergeau</w:t>
      </w:r>
      <w:proofErr w:type="spellEnd"/>
      <w:r w:rsidRPr="00635D1D">
        <w:t xml:space="preserve">, </w:t>
      </w:r>
      <w:proofErr w:type="spellStart"/>
      <w:r w:rsidRPr="00635D1D">
        <w:t>Tiemo</w:t>
      </w:r>
      <w:proofErr w:type="spellEnd"/>
      <w:r w:rsidRPr="00635D1D">
        <w:t xml:space="preserve"> </w:t>
      </w:r>
      <w:proofErr w:type="spellStart"/>
      <w:r w:rsidRPr="00635D1D">
        <w:t>Wölken</w:t>
      </w:r>
      <w:proofErr w:type="spellEnd"/>
      <w:r w:rsidRPr="00635D1D">
        <w:t xml:space="preserve">, </w:t>
      </w:r>
      <w:proofErr w:type="spellStart"/>
      <w:r w:rsidRPr="00635D1D">
        <w:t>Annalisa</w:t>
      </w:r>
      <w:proofErr w:type="spellEnd"/>
      <w:r w:rsidRPr="00635D1D">
        <w:t xml:space="preserve"> Corrado, </w:t>
      </w:r>
      <w:proofErr w:type="spellStart"/>
      <w:r w:rsidRPr="00635D1D">
        <w:t>Heléne</w:t>
      </w:r>
      <w:proofErr w:type="spellEnd"/>
      <w:r w:rsidRPr="00635D1D">
        <w:t xml:space="preserve"> </w:t>
      </w:r>
      <w:proofErr w:type="spellStart"/>
      <w:r w:rsidRPr="00635D1D">
        <w:t>Fritzon</w:t>
      </w:r>
      <w:proofErr w:type="spellEnd"/>
      <w:r w:rsidRPr="00635D1D">
        <w:t>, Marta Temido</w:t>
      </w:r>
      <w:r w:rsidRPr="00635D1D">
        <w:rPr>
          <w:rStyle w:val="HideTWBExt"/>
          <w:b w:val="0"/>
        </w:rPr>
        <w:t>&lt;/</w:t>
      </w:r>
      <w:proofErr w:type="spellStart"/>
      <w:r w:rsidRPr="00635D1D">
        <w:rPr>
          <w:rStyle w:val="HideTWBExt"/>
          <w:b w:val="0"/>
        </w:rPr>
        <w:t>Members</w:t>
      </w:r>
      <w:proofErr w:type="spellEnd"/>
      <w:r w:rsidRPr="00635D1D">
        <w:rPr>
          <w:rStyle w:val="HideTWBExt"/>
          <w:b w:val="0"/>
        </w:rPr>
        <w:t>&gt;</w:t>
      </w:r>
    </w:p>
    <w:p w14:paraId="542ADED9" w14:textId="77777777" w:rsidR="008144C7" w:rsidRPr="00635D1D" w:rsidRDefault="008144C7" w:rsidP="008144C7">
      <w:pPr>
        <w:pStyle w:val="NormalBold"/>
      </w:pPr>
      <w:r w:rsidRPr="00635D1D">
        <w:rPr>
          <w:rStyle w:val="HideTWBExt"/>
          <w:b w:val="0"/>
        </w:rPr>
        <w:t>&lt;/RepeatBlock-By&gt;</w:t>
      </w:r>
    </w:p>
    <w:p w14:paraId="0BB419A8"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748E7F3" w14:textId="77777777" w:rsidR="008144C7" w:rsidRPr="00635D1D" w:rsidRDefault="008144C7" w:rsidP="008144C7">
      <w:pPr>
        <w:pStyle w:val="NormalBold"/>
      </w:pPr>
      <w:r w:rsidRPr="00635D1D">
        <w:rPr>
          <w:rStyle w:val="HideTWBExt"/>
          <w:b w:val="0"/>
        </w:rPr>
        <w:t>&lt;Article&gt;</w:t>
      </w:r>
      <w:r w:rsidRPr="00635D1D">
        <w:t>Motyw 30</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9936BBC" w14:textId="77777777" w:rsidTr="00C5582D">
        <w:trPr>
          <w:trHeight w:val="240"/>
          <w:jc w:val="center"/>
        </w:trPr>
        <w:tc>
          <w:tcPr>
            <w:tcW w:w="9752" w:type="dxa"/>
            <w:gridSpan w:val="2"/>
            <w:tcBorders>
              <w:top w:val="nil"/>
              <w:left w:val="nil"/>
              <w:bottom w:val="nil"/>
              <w:right w:val="nil"/>
            </w:tcBorders>
          </w:tcPr>
          <w:p w14:paraId="62F7054E" w14:textId="77777777" w:rsidR="008144C7" w:rsidRPr="00635D1D" w:rsidRDefault="008144C7" w:rsidP="00C5582D"/>
        </w:tc>
      </w:tr>
      <w:tr w:rsidR="008144C7" w:rsidRPr="00635D1D" w14:paraId="3041684B" w14:textId="77777777" w:rsidTr="00C5582D">
        <w:trPr>
          <w:trHeight w:val="240"/>
          <w:jc w:val="center"/>
        </w:trPr>
        <w:tc>
          <w:tcPr>
            <w:tcW w:w="4876" w:type="dxa"/>
            <w:tcBorders>
              <w:top w:val="nil"/>
              <w:left w:val="nil"/>
              <w:bottom w:val="nil"/>
              <w:right w:val="nil"/>
            </w:tcBorders>
            <w:hideMark/>
          </w:tcPr>
          <w:p w14:paraId="6798E270"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F33C60A" w14:textId="77777777" w:rsidR="008144C7" w:rsidRPr="00635D1D" w:rsidRDefault="008144C7" w:rsidP="00C5582D">
            <w:pPr>
              <w:pStyle w:val="AmColumnHeading"/>
            </w:pPr>
            <w:r w:rsidRPr="00635D1D">
              <w:t>Poprawka</w:t>
            </w:r>
          </w:p>
        </w:tc>
      </w:tr>
      <w:tr w:rsidR="008144C7" w:rsidRPr="00635D1D" w14:paraId="6EDCCBAA" w14:textId="77777777" w:rsidTr="00C5582D">
        <w:trPr>
          <w:jc w:val="center"/>
        </w:trPr>
        <w:tc>
          <w:tcPr>
            <w:tcW w:w="4876" w:type="dxa"/>
            <w:tcBorders>
              <w:top w:val="nil"/>
              <w:left w:val="nil"/>
              <w:bottom w:val="nil"/>
              <w:right w:val="nil"/>
            </w:tcBorders>
            <w:hideMark/>
          </w:tcPr>
          <w:p w14:paraId="584AC60F" w14:textId="77777777" w:rsidR="008144C7" w:rsidRPr="00635D1D" w:rsidRDefault="008144C7" w:rsidP="00C5582D">
            <w:pPr>
              <w:pStyle w:val="Normal6a"/>
            </w:pPr>
            <w:r w:rsidRPr="00635D1D">
              <w:rPr>
                <w:b/>
                <w:i/>
              </w:rPr>
              <w:t>(30)</w:t>
            </w:r>
            <w:r w:rsidRPr="00635D1D">
              <w:tab/>
            </w:r>
            <w:r w:rsidRPr="00635D1D">
              <w:rPr>
                <w:b/>
                <w:i/>
              </w:rPr>
              <w:t>Substancje chemiczne w postaci własnej lub w mieszaninach, jeżeli są produkowane lub importowane w ilościach powyżej 1 tony na przedsiębiorstwo rocznie, muszą zostać zarejestrowane zgodnie z rozporządzeniem (WE) nr 1907/2006, przy czym wymogi dotyczące przekazania informacji zależą od rzeczywistej ilości danej substancji. Zgodnie z rozporządzeniem (UE) 2019/1009, które wykracza poza wymogi rozporządzenia (WE) nr 1907/2006, wszystkie substancje stosowane w produktach nawozowych UE, niezależnie od ilości, w jakiej są produkowane lub importowane, należy rejestrować przy spełnieniu co najmniej wymogów dotyczących przekazania informacji określonych w rozporządzeniu (WE) nr 1907/2006 w odniesieniu do substancji produkowanych lub importowanych w ilościach 10–100 ton na przedsiębiorstwo rocznie, wraz z przedstawieniem raportu bezpieczeństwa chemicznego dotyczącego ich stosowania w produkcie nawozowym, zgodnie z art. 14 tego rozporządzenia. Te szeroko zakrojone wymogi dotyczące przekazania informacji mogą uniemożliwiać producentom, zwłaszcza małym i średnim przedsiębiorstwom, stosowanie substancji, które nie są jeszcze zarejestrowane zgodnie z tymi wymogami, lub zmuszać ich do wprowadzania swoich produktów do obrotu wyłącznie na rynkach krajowych zgodnie z przepisami krajowymi. Dla zachowania proporcjonalności oraz z uwagi na ogólny obowiązek producentów i importerów substancji i produktów nawozowych UE na podstawie, odpowiednio, rozporządzenia (WE) nr 1907/2006 i rozporządzenia (UE) 2019/1009, zgodnie z którym należy zapewnić bezpieczeństwo produktów wprowadzanych do obrotu, rejestracji substancji stosowanych w produktach nawozowych UE należy dokonywać wyłącznie zgodnie z wymogami, w tym z odpowiednimi klasyfikacjami, określonymi w rozporządzeniu (WE) nr 1907/2006.</w:t>
            </w:r>
          </w:p>
        </w:tc>
        <w:tc>
          <w:tcPr>
            <w:tcW w:w="4876" w:type="dxa"/>
            <w:tcBorders>
              <w:top w:val="nil"/>
              <w:left w:val="nil"/>
              <w:bottom w:val="nil"/>
              <w:right w:val="nil"/>
            </w:tcBorders>
            <w:hideMark/>
          </w:tcPr>
          <w:p w14:paraId="479D0BDC" w14:textId="77777777" w:rsidR="008144C7" w:rsidRPr="00635D1D" w:rsidRDefault="008144C7" w:rsidP="00C5582D">
            <w:pPr>
              <w:pStyle w:val="Normal6a"/>
            </w:pPr>
            <w:r w:rsidRPr="00635D1D">
              <w:rPr>
                <w:b/>
                <w:i/>
              </w:rPr>
              <w:t>skreśla się</w:t>
            </w:r>
          </w:p>
        </w:tc>
      </w:tr>
    </w:tbl>
    <w:p w14:paraId="277E234F"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2D1D4C91" w14:textId="77777777" w:rsidR="008144C7" w:rsidRPr="00635D1D" w:rsidRDefault="008144C7" w:rsidP="008144C7">
      <w:r w:rsidRPr="00635D1D">
        <w:rPr>
          <w:rStyle w:val="HideTWBExt"/>
        </w:rPr>
        <w:t>&lt;/Amend&gt;</w:t>
      </w:r>
    </w:p>
    <w:p w14:paraId="70897950"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247</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64FFF6C2"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Per Clausen, Anja Hazekamp</w:t>
      </w:r>
      <w:r w:rsidRPr="00E90719">
        <w:rPr>
          <w:rStyle w:val="HideTWBExt"/>
          <w:b w:val="0"/>
          <w:lang w:val="en-GB"/>
        </w:rPr>
        <w:t>&lt;/Members&gt;</w:t>
      </w:r>
    </w:p>
    <w:p w14:paraId="4AAA64B1" w14:textId="77777777" w:rsidR="008144C7" w:rsidRPr="00635D1D" w:rsidRDefault="008144C7" w:rsidP="008144C7">
      <w:pPr>
        <w:pStyle w:val="NormalBold"/>
      </w:pPr>
      <w:r w:rsidRPr="00635D1D">
        <w:rPr>
          <w:rStyle w:val="HideTWBExt"/>
          <w:b w:val="0"/>
        </w:rPr>
        <w:t>&lt;/RepeatBlock-By&gt;</w:t>
      </w:r>
    </w:p>
    <w:p w14:paraId="05E5A994"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6A74CFC" w14:textId="77777777" w:rsidR="008144C7" w:rsidRPr="00635D1D" w:rsidRDefault="008144C7" w:rsidP="008144C7">
      <w:pPr>
        <w:pStyle w:val="NormalBold"/>
      </w:pPr>
      <w:r w:rsidRPr="00635D1D">
        <w:rPr>
          <w:rStyle w:val="HideTWBExt"/>
          <w:b w:val="0"/>
        </w:rPr>
        <w:t>&lt;Article&gt;</w:t>
      </w:r>
      <w:r w:rsidRPr="00635D1D">
        <w:t>Motyw 30</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109B3B7" w14:textId="77777777" w:rsidTr="00C5582D">
        <w:trPr>
          <w:trHeight w:val="240"/>
          <w:jc w:val="center"/>
        </w:trPr>
        <w:tc>
          <w:tcPr>
            <w:tcW w:w="9752" w:type="dxa"/>
            <w:gridSpan w:val="2"/>
            <w:tcBorders>
              <w:top w:val="nil"/>
              <w:left w:val="nil"/>
              <w:bottom w:val="nil"/>
              <w:right w:val="nil"/>
            </w:tcBorders>
          </w:tcPr>
          <w:p w14:paraId="6B413E8E" w14:textId="77777777" w:rsidR="008144C7" w:rsidRPr="00635D1D" w:rsidRDefault="008144C7" w:rsidP="00C5582D"/>
        </w:tc>
      </w:tr>
      <w:tr w:rsidR="008144C7" w:rsidRPr="00635D1D" w14:paraId="4C2B73DF" w14:textId="77777777" w:rsidTr="00C5582D">
        <w:trPr>
          <w:trHeight w:val="240"/>
          <w:jc w:val="center"/>
        </w:trPr>
        <w:tc>
          <w:tcPr>
            <w:tcW w:w="4876" w:type="dxa"/>
            <w:tcBorders>
              <w:top w:val="nil"/>
              <w:left w:val="nil"/>
              <w:bottom w:val="nil"/>
              <w:right w:val="nil"/>
            </w:tcBorders>
            <w:hideMark/>
          </w:tcPr>
          <w:p w14:paraId="2C403D23"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7763065" w14:textId="77777777" w:rsidR="008144C7" w:rsidRPr="00635D1D" w:rsidRDefault="008144C7" w:rsidP="00C5582D">
            <w:pPr>
              <w:pStyle w:val="AmColumnHeading"/>
            </w:pPr>
            <w:r w:rsidRPr="00635D1D">
              <w:t>Poprawka</w:t>
            </w:r>
          </w:p>
        </w:tc>
      </w:tr>
      <w:tr w:rsidR="008144C7" w:rsidRPr="00635D1D" w14:paraId="571F4E20" w14:textId="77777777" w:rsidTr="00C5582D">
        <w:trPr>
          <w:jc w:val="center"/>
        </w:trPr>
        <w:tc>
          <w:tcPr>
            <w:tcW w:w="4876" w:type="dxa"/>
            <w:tcBorders>
              <w:top w:val="nil"/>
              <w:left w:val="nil"/>
              <w:bottom w:val="nil"/>
              <w:right w:val="nil"/>
            </w:tcBorders>
            <w:hideMark/>
          </w:tcPr>
          <w:p w14:paraId="3A092268" w14:textId="77777777" w:rsidR="008144C7" w:rsidRPr="00635D1D" w:rsidRDefault="008144C7" w:rsidP="00C5582D">
            <w:pPr>
              <w:pStyle w:val="Normal6a"/>
            </w:pPr>
            <w:r w:rsidRPr="00635D1D">
              <w:t>(30)</w:t>
            </w:r>
            <w:r w:rsidRPr="00635D1D">
              <w:tab/>
              <w:t xml:space="preserve">Substancje chemiczne w postaci własnej lub w mieszaninach, jeżeli są produkowane lub importowane w ilościach powyżej 1 tony na przedsiębiorstwo rocznie, muszą zostać zarejestrowane zgodnie z rozporządzeniem (WE) nr 1907/2006, przy czym wymogi dotyczące przekazania informacji zależą od rzeczywistej ilości danej substancji. Zgodnie z rozporządzeniem (UE) 2019/1009, które wykracza poza wymogi rozporządzenia (WE) nr 1907/2006, wszystkie substancje stosowane w produktach nawozowych UE, niezależnie od ilości, w jakiej są produkowane lub importowane, należy rejestrować przy spełnieniu co najmniej wymogów dotyczących przekazania informacji określonych w rozporządzeniu (WE) nr 1907/2006 w odniesieniu do substancji produkowanych lub importowanych w ilościach 10–100 ton na przedsiębiorstwo rocznie, wraz z przedstawieniem raportu bezpieczeństwa chemicznego dotyczącego ich stosowania w produkcie nawozowym, zgodnie z art. 14 tego rozporządzenia. </w:t>
            </w:r>
            <w:r w:rsidRPr="00635D1D">
              <w:rPr>
                <w:b/>
                <w:i/>
              </w:rPr>
              <w:t>Te szeroko zakrojone wymogi dotyczące przekazania informacji mogą uniemożliwiać producentom, zwłaszcza małym i średnim przedsiębiorstwom, stosowanie substancji, które nie są jeszcze zarejestrowane zgodnie z tymi wymogami, lub zmuszać ich do wprowadzania swoich produktów do obrotu wyłącznie na rynkach krajowych zgodnie z przepisami krajowymi. Dla zachowania proporcjonalności oraz z uwagi na ogólny obowiązek producentów i importerów substancji i produktów nawozowych UE na podstawie, odpowiednio, rozporządzenia (WE) nr 1907/2006 i rozporządzenia (UE) 2019/1009, zgodnie z którym należy zapewnić bezpieczeństwo produktów wprowadzanych do obrotu, rejestracji substancji stosowanych w produktach nawozowych UE należy dokonywać wyłącznie zgodnie z wymogami, w tym z odpowiednimi klasyfikacjami, określonymi w rozporządzeniu (WE) nr 1907/2006.</w:t>
            </w:r>
          </w:p>
        </w:tc>
        <w:tc>
          <w:tcPr>
            <w:tcW w:w="4876" w:type="dxa"/>
            <w:tcBorders>
              <w:top w:val="nil"/>
              <w:left w:val="nil"/>
              <w:bottom w:val="nil"/>
              <w:right w:val="nil"/>
            </w:tcBorders>
            <w:hideMark/>
          </w:tcPr>
          <w:p w14:paraId="0B79B4F2" w14:textId="77777777" w:rsidR="008144C7" w:rsidRPr="00635D1D" w:rsidRDefault="008144C7" w:rsidP="00C5582D">
            <w:pPr>
              <w:pStyle w:val="Normal6a"/>
            </w:pPr>
            <w:r w:rsidRPr="00635D1D">
              <w:t>(30)</w:t>
            </w:r>
            <w:r w:rsidRPr="00635D1D">
              <w:tab/>
              <w:t>Substancje chemiczne w postaci własnej lub w mieszaninach, jeżeli są produkowane lub importowane w ilościach powyżej 1 tony na przedsiębiorstwo rocznie, muszą zostać zarejestrowane zgodnie z rozporządzeniem (WE) nr 1907/2006, przy czym wymogi dotyczące przekazania informacji zależą od rzeczywistej ilości danej substancji. Zgodnie z rozporządzeniem (UE) 2019/1009, które wykracza poza wymogi rozporządzenia (WE) nr 1907/2006, wszystkie substancje stosowane w produktach nawozowych UE, niezależnie od ilości, w jakiej są produkowane lub importowane, należy rejestrować przy spełnieniu co najmniej wymogów dotyczących przekazania informacji określonych w rozporządzeniu (WE) nr 1907/2006 w odniesieniu do substancji produkowanych lub importowanych w ilościach 10–100 ton na przedsiębiorstwo rocznie, wraz z przedstawieniem raportu bezpieczeństwa chemicznego dotyczącego ich stosowania w produkcie nawozowym, zgodnie z art. 14 tego rozporządzenia.</w:t>
            </w:r>
          </w:p>
        </w:tc>
      </w:tr>
    </w:tbl>
    <w:p w14:paraId="670513E3"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48D8EBBE" w14:textId="77777777" w:rsidR="008144C7" w:rsidRPr="00E90719" w:rsidRDefault="008144C7" w:rsidP="008144C7">
      <w:pPr>
        <w:rPr>
          <w:lang w:val="en-GB"/>
        </w:rPr>
      </w:pPr>
      <w:r w:rsidRPr="00E90719">
        <w:rPr>
          <w:rStyle w:val="HideTWBExt"/>
          <w:lang w:val="en-GB"/>
        </w:rPr>
        <w:t>&lt;/Amend&gt;</w:t>
      </w:r>
    </w:p>
    <w:p w14:paraId="0CA78A40"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248</w:t>
      </w:r>
      <w:r w:rsidRPr="00E90719">
        <w:rPr>
          <w:rStyle w:val="HideTWBExt"/>
          <w:b w:val="0"/>
          <w:lang w:val="en-GB"/>
        </w:rPr>
        <w:t>&lt;/NumAm&gt;</w:t>
      </w:r>
    </w:p>
    <w:p w14:paraId="126F7FD6"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Katrin Langensiepen</w:t>
      </w:r>
      <w:r w:rsidRPr="00E90719">
        <w:rPr>
          <w:rStyle w:val="HideTWBExt"/>
          <w:b w:val="0"/>
          <w:lang w:val="en-GB"/>
        </w:rPr>
        <w:t>&lt;/Members&gt;</w:t>
      </w:r>
    </w:p>
    <w:p w14:paraId="5A87EC43" w14:textId="77777777" w:rsidR="008144C7" w:rsidRPr="00E90719" w:rsidRDefault="008144C7" w:rsidP="008144C7">
      <w:pPr>
        <w:rPr>
          <w:lang w:val="en-GB"/>
        </w:rPr>
      </w:pPr>
      <w:r w:rsidRPr="00E90719">
        <w:rPr>
          <w:rStyle w:val="HideTWBExt"/>
          <w:lang w:val="en-GB"/>
        </w:rPr>
        <w:t>&lt;AuNomDe&gt;</w:t>
      </w:r>
      <w:r w:rsidRPr="00E90719">
        <w:rPr>
          <w:rStyle w:val="HideTWBInt"/>
          <w:lang w:val="en-GB"/>
        </w:rPr>
        <w:t>{Verts/</w:t>
      </w:r>
      <w:proofErr w:type="gramStart"/>
      <w:r w:rsidRPr="00E90719">
        <w:rPr>
          <w:rStyle w:val="HideTWBInt"/>
          <w:lang w:val="en-GB"/>
        </w:rPr>
        <w:t>ALE}</w:t>
      </w:r>
      <w:r w:rsidRPr="00E90719">
        <w:rPr>
          <w:lang w:val="en-GB"/>
        </w:rPr>
        <w:t>w</w:t>
      </w:r>
      <w:proofErr w:type="gramEnd"/>
      <w:r w:rsidRPr="00E90719">
        <w:rPr>
          <w:lang w:val="en-GB"/>
        </w:rPr>
        <w:t xml:space="preserve"> imieniu grupy Verts/ALE</w:t>
      </w:r>
      <w:r w:rsidRPr="00E90719">
        <w:rPr>
          <w:rStyle w:val="HideTWBExt"/>
          <w:lang w:val="en-GB"/>
        </w:rPr>
        <w:t>&lt;/AuNomDe&gt;</w:t>
      </w:r>
    </w:p>
    <w:p w14:paraId="2B7FB709" w14:textId="77777777" w:rsidR="008144C7" w:rsidRPr="00635D1D" w:rsidRDefault="008144C7" w:rsidP="008144C7">
      <w:pPr>
        <w:pStyle w:val="NormalBold"/>
      </w:pPr>
      <w:r w:rsidRPr="00635D1D">
        <w:rPr>
          <w:rStyle w:val="HideTWBExt"/>
          <w:b w:val="0"/>
        </w:rPr>
        <w:t>&lt;/RepeatBlock-By&gt;</w:t>
      </w:r>
    </w:p>
    <w:p w14:paraId="5D9D8EF0"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0816FA6" w14:textId="77777777" w:rsidR="008144C7" w:rsidRPr="00635D1D" w:rsidRDefault="008144C7" w:rsidP="008144C7">
      <w:pPr>
        <w:pStyle w:val="NormalBold"/>
      </w:pPr>
      <w:r w:rsidRPr="00635D1D">
        <w:rPr>
          <w:rStyle w:val="HideTWBExt"/>
          <w:b w:val="0"/>
        </w:rPr>
        <w:t>&lt;Article&gt;</w:t>
      </w:r>
      <w:r w:rsidRPr="00635D1D">
        <w:t>Motyw 30</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F592DCC" w14:textId="77777777" w:rsidTr="00C5582D">
        <w:trPr>
          <w:trHeight w:val="240"/>
          <w:jc w:val="center"/>
        </w:trPr>
        <w:tc>
          <w:tcPr>
            <w:tcW w:w="9752" w:type="dxa"/>
            <w:gridSpan w:val="2"/>
            <w:tcBorders>
              <w:top w:val="nil"/>
              <w:left w:val="nil"/>
              <w:bottom w:val="nil"/>
              <w:right w:val="nil"/>
            </w:tcBorders>
          </w:tcPr>
          <w:p w14:paraId="00A4DA59" w14:textId="77777777" w:rsidR="008144C7" w:rsidRPr="00635D1D" w:rsidRDefault="008144C7" w:rsidP="00C5582D"/>
        </w:tc>
      </w:tr>
      <w:tr w:rsidR="008144C7" w:rsidRPr="00635D1D" w14:paraId="4C4AFE95" w14:textId="77777777" w:rsidTr="00C5582D">
        <w:trPr>
          <w:trHeight w:val="240"/>
          <w:jc w:val="center"/>
        </w:trPr>
        <w:tc>
          <w:tcPr>
            <w:tcW w:w="4876" w:type="dxa"/>
            <w:tcBorders>
              <w:top w:val="nil"/>
              <w:left w:val="nil"/>
              <w:bottom w:val="nil"/>
              <w:right w:val="nil"/>
            </w:tcBorders>
            <w:hideMark/>
          </w:tcPr>
          <w:p w14:paraId="2B3EC98E"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2C72108" w14:textId="77777777" w:rsidR="008144C7" w:rsidRPr="00635D1D" w:rsidRDefault="008144C7" w:rsidP="00C5582D">
            <w:pPr>
              <w:pStyle w:val="AmColumnHeading"/>
            </w:pPr>
            <w:r w:rsidRPr="00635D1D">
              <w:t>Poprawka</w:t>
            </w:r>
          </w:p>
        </w:tc>
      </w:tr>
      <w:tr w:rsidR="008144C7" w:rsidRPr="00635D1D" w14:paraId="0443F61F" w14:textId="77777777" w:rsidTr="00C5582D">
        <w:trPr>
          <w:jc w:val="center"/>
        </w:trPr>
        <w:tc>
          <w:tcPr>
            <w:tcW w:w="4876" w:type="dxa"/>
            <w:tcBorders>
              <w:top w:val="nil"/>
              <w:left w:val="nil"/>
              <w:bottom w:val="nil"/>
              <w:right w:val="nil"/>
            </w:tcBorders>
            <w:hideMark/>
          </w:tcPr>
          <w:p w14:paraId="74156953" w14:textId="77777777" w:rsidR="008144C7" w:rsidRPr="00635D1D" w:rsidRDefault="008144C7" w:rsidP="00C5582D">
            <w:pPr>
              <w:pStyle w:val="Normal6a"/>
            </w:pPr>
            <w:r w:rsidRPr="00635D1D">
              <w:t>(30)</w:t>
            </w:r>
            <w:r w:rsidRPr="00635D1D">
              <w:tab/>
              <w:t xml:space="preserve">Substancje chemiczne w postaci własnej lub w mieszaninach, jeżeli są produkowane lub importowane w ilościach powyżej 1 tony na przedsiębiorstwo rocznie, muszą zostać zarejestrowane zgodnie z rozporządzeniem (WE) nr 1907/2006, przy czym wymogi dotyczące przekazania informacji zależą od rzeczywistej ilości danej substancji. Zgodnie z rozporządzeniem (UE) 2019/1009, które wykracza poza wymogi rozporządzenia (WE) nr 1907/2006, wszystkie substancje stosowane w produktach nawozowych UE, niezależnie od ilości, w jakiej są produkowane lub importowane, należy rejestrować przy spełnieniu co najmniej wymogów dotyczących przekazania informacji określonych w rozporządzeniu (WE) nr 1907/2006 w odniesieniu do substancji produkowanych lub importowanych w ilościach 10–100 ton na przedsiębiorstwo rocznie, wraz z przedstawieniem raportu bezpieczeństwa chemicznego dotyczącego ich stosowania w produkcie nawozowym, zgodnie z art. 14 tego rozporządzenia. </w:t>
            </w:r>
            <w:r w:rsidRPr="00635D1D">
              <w:rPr>
                <w:b/>
                <w:i/>
              </w:rPr>
              <w:t>Te szeroko zakrojone wymogi dotyczące przekazania informacji mogą uniemożliwiać producentom, zwłaszcza małym i średnim przedsiębiorstwom, stosowanie substancji, które nie są jeszcze zarejestrowane zgodnie z tymi wymogami, lub zmuszać ich do wprowadzania swoich produktów do obrotu wyłącznie na rynkach krajowych zgodnie z przepisami krajowymi. Dla zachowania proporcjonalności oraz z uwagi na ogólny obowiązek producentów i importerów substancji i produktów nawozowych UE na podstawie, odpowiednio, rozporządzenia (WE) nr 1907/2006 i rozporządzenia (UE) 2019/1009, zgodnie z którym należy zapewnić bezpieczeństwo produktów wprowadzanych do obrotu, rejestracji substancji stosowanych w produktach nawozowych UE należy dokonywać wyłącznie zgodnie z wymogami, w tym z odpowiednimi klasyfikacjami, określonymi w rozporządzeniu (WE) nr 1907/2006.</w:t>
            </w:r>
          </w:p>
        </w:tc>
        <w:tc>
          <w:tcPr>
            <w:tcW w:w="4876" w:type="dxa"/>
            <w:tcBorders>
              <w:top w:val="nil"/>
              <w:left w:val="nil"/>
              <w:bottom w:val="nil"/>
              <w:right w:val="nil"/>
            </w:tcBorders>
            <w:hideMark/>
          </w:tcPr>
          <w:p w14:paraId="74769521" w14:textId="77777777" w:rsidR="008144C7" w:rsidRPr="00635D1D" w:rsidRDefault="008144C7" w:rsidP="00C5582D">
            <w:pPr>
              <w:pStyle w:val="Normal6a"/>
            </w:pPr>
            <w:r w:rsidRPr="00635D1D">
              <w:t>(30)</w:t>
            </w:r>
            <w:r w:rsidRPr="00635D1D">
              <w:tab/>
              <w:t>Substancje chemiczne w postaci własnej lub w mieszaninach, jeżeli są produkowane lub importowane w ilościach powyżej 1 tony na przedsiębiorstwo rocznie, muszą zostać zarejestrowane zgodnie z rozporządzeniem (WE) nr 1907/2006, przy czym wymogi dotyczące przekazania informacji zależą od rzeczywistej ilości danej substancji. Zgodnie z rozporządzeniem (UE) 2019/1009, które wykracza poza wymogi rozporządzenia (WE) nr 1907/2006, wszystkie substancje stosowane w produktach nawozowych UE, niezależnie od ilości, w jakiej są produkowane lub importowane, należy rejestrować przy spełnieniu co najmniej wymogów dotyczących przekazania informacji określonych w rozporządzeniu (WE) nr 1907/2006 w odniesieniu do substancji produkowanych lub importowanych w ilościach 10–100 ton na przedsiębiorstwo rocznie, wraz z przedstawieniem raportu bezpieczeństwa chemicznego dotyczącego ich stosowania w produkcie nawozowym, zgodnie z art. 14 tego rozporządzenia. </w:t>
            </w:r>
          </w:p>
        </w:tc>
      </w:tr>
    </w:tbl>
    <w:p w14:paraId="3E45C2BA"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154C2DA5" w14:textId="77777777" w:rsidR="008144C7" w:rsidRPr="00E90719" w:rsidRDefault="008144C7" w:rsidP="008144C7">
      <w:pPr>
        <w:rPr>
          <w:lang w:val="en-GB"/>
        </w:rPr>
      </w:pPr>
      <w:r w:rsidRPr="00E90719">
        <w:rPr>
          <w:rStyle w:val="HideTWBExt"/>
          <w:lang w:val="en-GB"/>
        </w:rPr>
        <w:t>&lt;/Amend&gt;</w:t>
      </w:r>
    </w:p>
    <w:p w14:paraId="588F5A87"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249</w:t>
      </w:r>
      <w:r w:rsidRPr="00E90719">
        <w:rPr>
          <w:rStyle w:val="HideTWBExt"/>
          <w:b w:val="0"/>
          <w:lang w:val="en-GB"/>
        </w:rPr>
        <w:t>&lt;/NumAm&gt;</w:t>
      </w:r>
    </w:p>
    <w:p w14:paraId="0E90C4F0"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Per Clausen, Anja Hazekamp</w:t>
      </w:r>
      <w:r w:rsidRPr="00E90719">
        <w:rPr>
          <w:rStyle w:val="HideTWBExt"/>
          <w:b w:val="0"/>
          <w:lang w:val="en-GB"/>
        </w:rPr>
        <w:t>&lt;/Members&gt;</w:t>
      </w:r>
    </w:p>
    <w:p w14:paraId="62DFE122" w14:textId="77777777" w:rsidR="008144C7" w:rsidRPr="00635D1D" w:rsidRDefault="008144C7" w:rsidP="008144C7">
      <w:pPr>
        <w:pStyle w:val="NormalBold"/>
      </w:pPr>
      <w:r w:rsidRPr="00635D1D">
        <w:rPr>
          <w:rStyle w:val="HideTWBExt"/>
          <w:b w:val="0"/>
        </w:rPr>
        <w:t>&lt;/RepeatBlock-By&gt;</w:t>
      </w:r>
    </w:p>
    <w:p w14:paraId="41CCCD2A"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8E788BD" w14:textId="77777777" w:rsidR="008144C7" w:rsidRPr="00635D1D" w:rsidRDefault="008144C7" w:rsidP="008144C7">
      <w:pPr>
        <w:pStyle w:val="NormalBold"/>
      </w:pPr>
      <w:r w:rsidRPr="00635D1D">
        <w:rPr>
          <w:rStyle w:val="HideTWBExt"/>
          <w:b w:val="0"/>
        </w:rPr>
        <w:t>&lt;Article&gt;</w:t>
      </w:r>
      <w:r w:rsidRPr="00635D1D">
        <w:t>Motyw 33</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0AB40A9" w14:textId="77777777" w:rsidTr="00C5582D">
        <w:trPr>
          <w:trHeight w:val="240"/>
          <w:jc w:val="center"/>
        </w:trPr>
        <w:tc>
          <w:tcPr>
            <w:tcW w:w="9752" w:type="dxa"/>
            <w:gridSpan w:val="2"/>
            <w:tcBorders>
              <w:top w:val="nil"/>
              <w:left w:val="nil"/>
              <w:bottom w:val="nil"/>
              <w:right w:val="nil"/>
            </w:tcBorders>
          </w:tcPr>
          <w:p w14:paraId="1575BB9D" w14:textId="77777777" w:rsidR="008144C7" w:rsidRPr="00635D1D" w:rsidRDefault="008144C7" w:rsidP="00C5582D"/>
        </w:tc>
      </w:tr>
      <w:tr w:rsidR="008144C7" w:rsidRPr="00635D1D" w14:paraId="480931D0" w14:textId="77777777" w:rsidTr="00C5582D">
        <w:trPr>
          <w:trHeight w:val="240"/>
          <w:jc w:val="center"/>
        </w:trPr>
        <w:tc>
          <w:tcPr>
            <w:tcW w:w="4876" w:type="dxa"/>
            <w:tcBorders>
              <w:top w:val="nil"/>
              <w:left w:val="nil"/>
              <w:bottom w:val="nil"/>
              <w:right w:val="nil"/>
            </w:tcBorders>
            <w:hideMark/>
          </w:tcPr>
          <w:p w14:paraId="24DC904D"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C98ABF2" w14:textId="77777777" w:rsidR="008144C7" w:rsidRPr="00635D1D" w:rsidRDefault="008144C7" w:rsidP="00C5582D">
            <w:pPr>
              <w:pStyle w:val="AmColumnHeading"/>
            </w:pPr>
            <w:r w:rsidRPr="00635D1D">
              <w:t>Poprawka</w:t>
            </w:r>
          </w:p>
        </w:tc>
      </w:tr>
      <w:tr w:rsidR="008144C7" w:rsidRPr="00635D1D" w14:paraId="335F75C4" w14:textId="77777777" w:rsidTr="00C5582D">
        <w:trPr>
          <w:jc w:val="center"/>
        </w:trPr>
        <w:tc>
          <w:tcPr>
            <w:tcW w:w="4876" w:type="dxa"/>
            <w:tcBorders>
              <w:top w:val="nil"/>
              <w:left w:val="nil"/>
              <w:bottom w:val="nil"/>
              <w:right w:val="nil"/>
            </w:tcBorders>
            <w:hideMark/>
          </w:tcPr>
          <w:p w14:paraId="23C8DCAB" w14:textId="77777777" w:rsidR="008144C7" w:rsidRPr="00635D1D" w:rsidRDefault="008144C7" w:rsidP="00C5582D">
            <w:pPr>
              <w:pStyle w:val="Normal6a"/>
            </w:pPr>
            <w:r w:rsidRPr="00635D1D">
              <w:t>(33)</w:t>
            </w:r>
            <w:r w:rsidRPr="00635D1D">
              <w:tab/>
              <w:t xml:space="preserve">Należy zatem odpowiednio zmienić rozporządzenia (WE) nr 1272/2008, (WE) nr 1223/2009 </w:t>
            </w:r>
            <w:r w:rsidRPr="00635D1D">
              <w:rPr>
                <w:b/>
                <w:i/>
              </w:rPr>
              <w:t>oraz</w:t>
            </w:r>
            <w:r w:rsidRPr="00635D1D">
              <w:t xml:space="preserve"> (UE) 2019/1009,</w:t>
            </w:r>
          </w:p>
        </w:tc>
        <w:tc>
          <w:tcPr>
            <w:tcW w:w="4876" w:type="dxa"/>
            <w:tcBorders>
              <w:top w:val="nil"/>
              <w:left w:val="nil"/>
              <w:bottom w:val="nil"/>
              <w:right w:val="nil"/>
            </w:tcBorders>
            <w:hideMark/>
          </w:tcPr>
          <w:p w14:paraId="6BC6595F" w14:textId="77777777" w:rsidR="008144C7" w:rsidRPr="00635D1D" w:rsidRDefault="008144C7" w:rsidP="00C5582D">
            <w:pPr>
              <w:pStyle w:val="Normal6a"/>
            </w:pPr>
            <w:r w:rsidRPr="00635D1D">
              <w:t>(33)</w:t>
            </w:r>
            <w:r w:rsidRPr="00635D1D">
              <w:tab/>
              <w:t>Należy zatem odpowiednio zmienić rozporządzenia (WE) nr 1272/2008, (WE) nr 1223/2009</w:t>
            </w:r>
            <w:r w:rsidRPr="00635D1D">
              <w:rPr>
                <w:b/>
                <w:i/>
              </w:rPr>
              <w:t>,</w:t>
            </w:r>
            <w:r w:rsidRPr="00635D1D">
              <w:t xml:space="preserve"> (UE) nr 2019/1009</w:t>
            </w:r>
            <w:r w:rsidRPr="00635D1D">
              <w:rPr>
                <w:b/>
                <w:i/>
              </w:rPr>
              <w:t>, (WE) nr 1107/2009 oraz (UE) nr 528/2012</w:t>
            </w:r>
            <w:r w:rsidRPr="00635D1D">
              <w:t>,</w:t>
            </w:r>
          </w:p>
        </w:tc>
      </w:tr>
    </w:tbl>
    <w:p w14:paraId="7035BB8A"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58688715" w14:textId="77777777" w:rsidR="008144C7" w:rsidRPr="00E90719" w:rsidRDefault="008144C7" w:rsidP="008144C7">
      <w:pPr>
        <w:rPr>
          <w:lang w:val="en-GB"/>
        </w:rPr>
      </w:pPr>
      <w:r w:rsidRPr="00E90719">
        <w:rPr>
          <w:rStyle w:val="HideTWBExt"/>
          <w:lang w:val="en-GB"/>
        </w:rPr>
        <w:t>&lt;/Amend&gt;</w:t>
      </w:r>
    </w:p>
    <w:p w14:paraId="140454B4"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250</w:t>
      </w:r>
      <w:r w:rsidRPr="00E90719">
        <w:rPr>
          <w:rStyle w:val="HideTWBExt"/>
          <w:b w:val="0"/>
          <w:lang w:val="en-GB"/>
        </w:rPr>
        <w:t>&lt;/NumAm&gt;</w:t>
      </w:r>
    </w:p>
    <w:p w14:paraId="053247E0"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Andrea Wechsler, Stefan Köhler, Christine Schneider, Norbert Lins, Jens Gieseke, Dennis Radtke</w:t>
      </w:r>
      <w:r w:rsidRPr="00E90719">
        <w:rPr>
          <w:rStyle w:val="HideTWBExt"/>
          <w:b w:val="0"/>
          <w:lang w:val="en-GB"/>
        </w:rPr>
        <w:t>&lt;/Members&gt;</w:t>
      </w:r>
    </w:p>
    <w:p w14:paraId="74FBFE9D" w14:textId="77777777" w:rsidR="008144C7" w:rsidRPr="00635D1D" w:rsidRDefault="008144C7" w:rsidP="008144C7">
      <w:pPr>
        <w:pStyle w:val="NormalBold"/>
      </w:pPr>
      <w:r w:rsidRPr="00635D1D">
        <w:rPr>
          <w:rStyle w:val="HideTWBExt"/>
          <w:b w:val="0"/>
        </w:rPr>
        <w:t>&lt;/RepeatBlock-By&gt;</w:t>
      </w:r>
    </w:p>
    <w:p w14:paraId="0263CD9E"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9D3CE2F" w14:textId="77777777" w:rsidR="008144C7" w:rsidRPr="00635D1D" w:rsidRDefault="008144C7" w:rsidP="008144C7">
      <w:pPr>
        <w:pStyle w:val="NormalBold"/>
      </w:pPr>
      <w:r w:rsidRPr="00635D1D">
        <w:rPr>
          <w:rStyle w:val="HideTWBExt"/>
          <w:b w:val="0"/>
        </w:rPr>
        <w:t>&lt;Article&gt;</w:t>
      </w:r>
      <w:r w:rsidRPr="00635D1D">
        <w:t>Artykuł 1 – akapit 1 – punkt -1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p w14:paraId="5D99CC39"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703C8DCE" w14:textId="77777777" w:rsidR="008144C7" w:rsidRPr="00635D1D" w:rsidRDefault="008144C7" w:rsidP="008144C7">
      <w:r w:rsidRPr="00635D1D">
        <w:rPr>
          <w:rStyle w:val="HideTWBExt"/>
        </w:rPr>
        <w:t>&lt;Article2&gt;</w:t>
      </w:r>
      <w:r w:rsidRPr="00635D1D">
        <w:t>Artykuł 12</w:t>
      </w:r>
      <w:r w:rsidRPr="00635D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03600D86" w14:textId="77777777" w:rsidTr="00C5582D">
        <w:trPr>
          <w:trHeight w:val="240"/>
          <w:jc w:val="center"/>
        </w:trPr>
        <w:tc>
          <w:tcPr>
            <w:tcW w:w="9752" w:type="dxa"/>
            <w:gridSpan w:val="2"/>
            <w:tcBorders>
              <w:top w:val="nil"/>
              <w:left w:val="nil"/>
              <w:bottom w:val="nil"/>
              <w:right w:val="nil"/>
            </w:tcBorders>
          </w:tcPr>
          <w:p w14:paraId="5E1915A4" w14:textId="77777777" w:rsidR="008144C7" w:rsidRPr="00635D1D" w:rsidRDefault="008144C7" w:rsidP="00C5582D"/>
        </w:tc>
      </w:tr>
      <w:tr w:rsidR="008144C7" w:rsidRPr="00635D1D" w14:paraId="30EE5942" w14:textId="77777777" w:rsidTr="00C5582D">
        <w:trPr>
          <w:trHeight w:val="240"/>
          <w:jc w:val="center"/>
        </w:trPr>
        <w:tc>
          <w:tcPr>
            <w:tcW w:w="4876" w:type="dxa"/>
            <w:tcBorders>
              <w:top w:val="nil"/>
              <w:left w:val="nil"/>
              <w:bottom w:val="nil"/>
              <w:right w:val="nil"/>
            </w:tcBorders>
            <w:hideMark/>
          </w:tcPr>
          <w:p w14:paraId="16F37219" w14:textId="77777777" w:rsidR="008144C7" w:rsidRPr="00635D1D" w:rsidRDefault="008144C7" w:rsidP="00C5582D">
            <w:pPr>
              <w:pStyle w:val="AmColumnHeading"/>
            </w:pPr>
            <w:r w:rsidRPr="00635D1D">
              <w:t>Tekst obowiązujący</w:t>
            </w:r>
          </w:p>
        </w:tc>
        <w:tc>
          <w:tcPr>
            <w:tcW w:w="4876" w:type="dxa"/>
            <w:tcBorders>
              <w:top w:val="nil"/>
              <w:left w:val="nil"/>
              <w:bottom w:val="nil"/>
              <w:right w:val="nil"/>
            </w:tcBorders>
            <w:hideMark/>
          </w:tcPr>
          <w:p w14:paraId="146CE733" w14:textId="77777777" w:rsidR="008144C7" w:rsidRPr="00635D1D" w:rsidRDefault="008144C7" w:rsidP="00C5582D">
            <w:pPr>
              <w:pStyle w:val="AmColumnHeading"/>
            </w:pPr>
            <w:r w:rsidRPr="00635D1D">
              <w:t>Poprawka</w:t>
            </w:r>
          </w:p>
        </w:tc>
      </w:tr>
      <w:tr w:rsidR="008144C7" w:rsidRPr="00635D1D" w14:paraId="08895ED8" w14:textId="77777777" w:rsidTr="00C5582D">
        <w:trPr>
          <w:jc w:val="center"/>
        </w:trPr>
        <w:tc>
          <w:tcPr>
            <w:tcW w:w="4876" w:type="dxa"/>
            <w:tcBorders>
              <w:top w:val="nil"/>
              <w:left w:val="nil"/>
              <w:bottom w:val="nil"/>
              <w:right w:val="nil"/>
            </w:tcBorders>
          </w:tcPr>
          <w:p w14:paraId="42E308A0" w14:textId="77777777" w:rsidR="008144C7" w:rsidRPr="00635D1D" w:rsidRDefault="008144C7" w:rsidP="00C5582D">
            <w:pPr>
              <w:pStyle w:val="Normal6a"/>
            </w:pPr>
          </w:p>
        </w:tc>
        <w:tc>
          <w:tcPr>
            <w:tcW w:w="4876" w:type="dxa"/>
            <w:tcBorders>
              <w:top w:val="nil"/>
              <w:left w:val="nil"/>
              <w:bottom w:val="nil"/>
              <w:right w:val="nil"/>
            </w:tcBorders>
            <w:hideMark/>
          </w:tcPr>
          <w:p w14:paraId="1ACEBF30" w14:textId="77777777" w:rsidR="008144C7" w:rsidRPr="00635D1D" w:rsidRDefault="008144C7" w:rsidP="00C5582D">
            <w:pPr>
              <w:pStyle w:val="Normal6a"/>
            </w:pPr>
            <w:r w:rsidRPr="00635D1D">
              <w:rPr>
                <w:b/>
                <w:i/>
              </w:rPr>
              <w:t>-1)</w:t>
            </w:r>
            <w:r w:rsidRPr="00635D1D">
              <w:tab/>
            </w:r>
            <w:r w:rsidRPr="00635D1D">
              <w:rPr>
                <w:b/>
                <w:i/>
              </w:rPr>
              <w:t>art. 12 otrzymuje brzmienie:</w:t>
            </w:r>
          </w:p>
        </w:tc>
      </w:tr>
      <w:tr w:rsidR="008144C7" w:rsidRPr="00635D1D" w14:paraId="70205137" w14:textId="77777777" w:rsidTr="00C5582D">
        <w:trPr>
          <w:jc w:val="center"/>
        </w:trPr>
        <w:tc>
          <w:tcPr>
            <w:tcW w:w="4876" w:type="dxa"/>
            <w:tcBorders>
              <w:top w:val="nil"/>
              <w:left w:val="nil"/>
              <w:bottom w:val="nil"/>
              <w:right w:val="nil"/>
            </w:tcBorders>
            <w:hideMark/>
          </w:tcPr>
          <w:p w14:paraId="1908461C" w14:textId="77777777" w:rsidR="008144C7" w:rsidRPr="00635D1D" w:rsidRDefault="008144C7" w:rsidP="00C5582D">
            <w:pPr>
              <w:pStyle w:val="Normal6a"/>
            </w:pPr>
            <w:r w:rsidRPr="00635D1D">
              <w:t>Szczegółowe przypadki wymagające dalszej oceny W przypadku gdy w wyniku oceny dokonanej na mocy art. 9 zidentyfikowano następujące właściwości lub skutki, producenci, importerzy i dalsi użytkownicy uwzględniają je w celu dokonania klasyfikacji:</w:t>
            </w:r>
          </w:p>
        </w:tc>
        <w:tc>
          <w:tcPr>
            <w:tcW w:w="4876" w:type="dxa"/>
            <w:tcBorders>
              <w:top w:val="nil"/>
              <w:left w:val="nil"/>
              <w:bottom w:val="nil"/>
              <w:right w:val="nil"/>
            </w:tcBorders>
            <w:hideMark/>
          </w:tcPr>
          <w:p w14:paraId="6D765824" w14:textId="77777777" w:rsidR="008144C7" w:rsidRPr="00635D1D" w:rsidRDefault="008144C7" w:rsidP="00C5582D">
            <w:pPr>
              <w:pStyle w:val="Normal6a"/>
            </w:pPr>
            <w:r w:rsidRPr="00635D1D">
              <w:rPr>
                <w:b/>
                <w:bCs/>
                <w:i/>
                <w:iCs/>
              </w:rPr>
              <w:t>„</w:t>
            </w:r>
            <w:r w:rsidRPr="00635D1D">
              <w:t>Szczegółowe przypadki wymagające dalszej oceny W przypadku gdy w wyniku oceny dokonanej na mocy art. 9 zidentyfikowano następujące właściwości lub skutki, producenci, importerzy i dalsi użytkownicy uwzględniają je w celu dokonania klasyfikacji:</w:t>
            </w:r>
          </w:p>
        </w:tc>
      </w:tr>
      <w:tr w:rsidR="008144C7" w:rsidRPr="00635D1D" w14:paraId="5B989103" w14:textId="77777777" w:rsidTr="00C5582D">
        <w:trPr>
          <w:jc w:val="center"/>
        </w:trPr>
        <w:tc>
          <w:tcPr>
            <w:tcW w:w="4876" w:type="dxa"/>
            <w:tcBorders>
              <w:top w:val="nil"/>
              <w:left w:val="nil"/>
              <w:bottom w:val="nil"/>
              <w:right w:val="nil"/>
            </w:tcBorders>
            <w:hideMark/>
          </w:tcPr>
          <w:p w14:paraId="22D899CD" w14:textId="77777777" w:rsidR="008144C7" w:rsidRPr="00635D1D" w:rsidRDefault="008144C7" w:rsidP="00C5582D">
            <w:pPr>
              <w:pStyle w:val="Normal6a"/>
            </w:pPr>
            <w:r w:rsidRPr="00635D1D">
              <w:t>a) jeżeli odpowiednie i wiarygodne informacje wskazują, że w praktyce zagrożenia wynikające z właściwości fizycznych stwarzane przez daną substancję lub mieszaninę różnią się od zagrożeń wykazanych w badaniach;</w:t>
            </w:r>
          </w:p>
        </w:tc>
        <w:tc>
          <w:tcPr>
            <w:tcW w:w="4876" w:type="dxa"/>
            <w:tcBorders>
              <w:top w:val="nil"/>
              <w:left w:val="nil"/>
              <w:bottom w:val="nil"/>
              <w:right w:val="nil"/>
            </w:tcBorders>
            <w:hideMark/>
          </w:tcPr>
          <w:p w14:paraId="6A9119D3" w14:textId="77777777" w:rsidR="008144C7" w:rsidRPr="00635D1D" w:rsidRDefault="008144C7" w:rsidP="00C5582D">
            <w:pPr>
              <w:pStyle w:val="Normal6a"/>
            </w:pPr>
            <w:r w:rsidRPr="00635D1D">
              <w:t>a) jeżeli odpowiednie i wiarygodne informacje wskazują, że w praktyce zagrożenia wynikające z właściwości fizycznych stwarzane przez daną substancję lub mieszaninę różnią się od zagrożeń wykazanych w badaniach;</w:t>
            </w:r>
            <w:r w:rsidRPr="00635D1D">
              <w:rPr>
                <w:b/>
                <w:i/>
              </w:rPr>
              <w:t xml:space="preserve"> </w:t>
            </w:r>
            <w:r w:rsidRPr="00635D1D">
              <w:rPr>
                <w:b/>
                <w:bCs/>
                <w:i/>
                <w:iCs/>
              </w:rPr>
              <w:t>b)</w:t>
            </w:r>
            <w:r w:rsidRPr="00635D1D">
              <w:t xml:space="preserve"> jeżeli z jednoznacznych doświadczalnych danych naukowych wynika, że dana substancja lub mieszanina nie jest biologicznie dostępna i dane te uznano za odpowiednie i wiarygodne;</w:t>
            </w:r>
          </w:p>
        </w:tc>
      </w:tr>
      <w:tr w:rsidR="008144C7" w:rsidRPr="00635D1D" w14:paraId="708F2897" w14:textId="77777777" w:rsidTr="00C5582D">
        <w:trPr>
          <w:jc w:val="center"/>
        </w:trPr>
        <w:tc>
          <w:tcPr>
            <w:tcW w:w="4876" w:type="dxa"/>
            <w:tcBorders>
              <w:top w:val="nil"/>
              <w:left w:val="nil"/>
              <w:bottom w:val="nil"/>
              <w:right w:val="nil"/>
            </w:tcBorders>
            <w:hideMark/>
          </w:tcPr>
          <w:p w14:paraId="0700065F" w14:textId="77777777" w:rsidR="008144C7" w:rsidRPr="00635D1D" w:rsidRDefault="008144C7" w:rsidP="00C5582D">
            <w:pPr>
              <w:pStyle w:val="Normal6a"/>
            </w:pPr>
            <w:r w:rsidRPr="00635D1D">
              <w:rPr>
                <w:i/>
              </w:rPr>
              <w:t>b)</w:t>
            </w:r>
            <w:r w:rsidRPr="00635D1D">
              <w:t xml:space="preserve"> jeżeli z jednoznacznych doświadczalnych danych naukowych wynika, że dana substancja lub mieszanina nie jest biologicznie dostępna i dane te uznano za odpowiednie i wiarygodne;</w:t>
            </w:r>
          </w:p>
        </w:tc>
        <w:tc>
          <w:tcPr>
            <w:tcW w:w="4876" w:type="dxa"/>
            <w:tcBorders>
              <w:top w:val="nil"/>
              <w:left w:val="nil"/>
              <w:bottom w:val="nil"/>
              <w:right w:val="nil"/>
            </w:tcBorders>
            <w:hideMark/>
          </w:tcPr>
          <w:p w14:paraId="27011BAB" w14:textId="77777777" w:rsidR="008144C7" w:rsidRPr="00635D1D" w:rsidRDefault="008144C7" w:rsidP="00C5582D">
            <w:pPr>
              <w:pStyle w:val="Normal6a"/>
            </w:pPr>
            <w:r w:rsidRPr="00635D1D">
              <w:t>c) jeżeli odpowiednie i wiarygodne informacje naukowe wskazują na możliwość występowania działań synergistycznych lub antagonistycznych między substancjami w mieszaninie, dla której ocenę ustalono na podstawie informacji dotyczących substancji w mieszaninie</w:t>
            </w:r>
            <w:r w:rsidRPr="00635D1D">
              <w:rPr>
                <w:b/>
                <w:bCs/>
                <w:i/>
                <w:iCs/>
              </w:rPr>
              <w:t>;</w:t>
            </w:r>
          </w:p>
        </w:tc>
      </w:tr>
      <w:tr w:rsidR="008144C7" w:rsidRPr="00635D1D" w14:paraId="13FA408E" w14:textId="77777777" w:rsidTr="00C5582D">
        <w:trPr>
          <w:jc w:val="center"/>
        </w:trPr>
        <w:tc>
          <w:tcPr>
            <w:tcW w:w="4876" w:type="dxa"/>
            <w:tcBorders>
              <w:top w:val="nil"/>
              <w:left w:val="nil"/>
              <w:bottom w:val="nil"/>
              <w:right w:val="nil"/>
            </w:tcBorders>
            <w:hideMark/>
          </w:tcPr>
          <w:p w14:paraId="3F150EE8" w14:textId="77777777" w:rsidR="008144C7" w:rsidRPr="00635D1D" w:rsidRDefault="008144C7" w:rsidP="00C5582D">
            <w:pPr>
              <w:pStyle w:val="Normal6a"/>
            </w:pPr>
            <w:r w:rsidRPr="00635D1D">
              <w:t>c) jeżeli odpowiednie i wiarygodne informacje naukowe wskazują na możliwość występowania działań synergistycznych lub antagonistycznych między substancjami w mieszaninie, dla której ocenę ustalono na podstawie informacji dotyczących substancji w mieszaninie.</w:t>
            </w:r>
          </w:p>
        </w:tc>
        <w:tc>
          <w:tcPr>
            <w:tcW w:w="4876" w:type="dxa"/>
            <w:tcBorders>
              <w:top w:val="nil"/>
              <w:left w:val="nil"/>
              <w:bottom w:val="nil"/>
              <w:right w:val="nil"/>
            </w:tcBorders>
            <w:hideMark/>
          </w:tcPr>
          <w:p w14:paraId="25E9C368" w14:textId="77777777" w:rsidR="008144C7" w:rsidRPr="00635D1D" w:rsidRDefault="008144C7" w:rsidP="00C5582D">
            <w:pPr>
              <w:pStyle w:val="Normal6a"/>
            </w:pPr>
            <w:r w:rsidRPr="00635D1D">
              <w:rPr>
                <w:b/>
                <w:i/>
              </w:rPr>
              <w:t xml:space="preserve">d) </w:t>
            </w:r>
            <w:r w:rsidRPr="00635D1D">
              <w:rPr>
                <w:b/>
                <w:bCs/>
                <w:i/>
                <w:iCs/>
              </w:rPr>
              <w:t>jeżeli wiarygodne informacje naukowe wskazują, że potencjalne zagrożenia nie mogą wystąpić w rzeczywistych i zamierzonych warunkach zastosowania, ponieważ dana substancja nie byłaby dostępna biologicznie, byłaby związana fizycznie lub musiałaby zostać wchłonięta nieistotnymi drogami narażenia</w:t>
            </w:r>
            <w:r w:rsidRPr="00635D1D">
              <w:t>.</w:t>
            </w:r>
            <w:r w:rsidRPr="00635D1D">
              <w:rPr>
                <w:b/>
                <w:i/>
              </w:rPr>
              <w:t>”;</w:t>
            </w:r>
          </w:p>
        </w:tc>
      </w:tr>
    </w:tbl>
    <w:p w14:paraId="028B3DEA"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{DE}</w:t>
      </w:r>
      <w:r w:rsidRPr="00E90719">
        <w:rPr>
          <w:lang w:val="en-GB"/>
        </w:rPr>
        <w:t>de</w:t>
      </w:r>
      <w:r w:rsidRPr="00E90719">
        <w:rPr>
          <w:rStyle w:val="HideTWBExt"/>
          <w:lang w:val="en-GB"/>
        </w:rPr>
        <w:t>&lt;/Original&gt;</w:t>
      </w:r>
    </w:p>
    <w:p w14:paraId="32D2E192" w14:textId="77777777" w:rsidR="008144C7" w:rsidRPr="00E90719" w:rsidRDefault="008144C7" w:rsidP="008144C7">
      <w:pPr>
        <w:pStyle w:val="AmCrossRef"/>
        <w:rPr>
          <w:lang w:val="en-GB"/>
        </w:rPr>
      </w:pPr>
      <w:r w:rsidRPr="00E90719">
        <w:rPr>
          <w:lang w:val="en-GB"/>
        </w:rPr>
        <w:t>(https://eur-lex.europa.eu/legal-content/PL/TXT/HTML/?uri=CELEX:02008R1272-20200501#tocId1)</w:t>
      </w:r>
    </w:p>
    <w:p w14:paraId="5F247448"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148DE1A0" w14:textId="77777777" w:rsidR="008144C7" w:rsidRPr="00635D1D" w:rsidRDefault="008144C7" w:rsidP="008144C7">
      <w:pPr>
        <w:pStyle w:val="AmJustText"/>
      </w:pPr>
      <w:r w:rsidRPr="00635D1D">
        <w:t>Zaproponowane poprawki do artykułu 12 ustanawiają jednoznaczną podstawę prawną dla tego, aby klasyfikacji pod względem zagrożeń dokonywać tylko wtedy, gdy zagrożenia mogą faktycznie wystąpić w rzeczywistych warunkach zastosowania.</w:t>
      </w:r>
    </w:p>
    <w:p w14:paraId="22156715" w14:textId="77777777" w:rsidR="008144C7" w:rsidRPr="00635D1D" w:rsidRDefault="008144C7" w:rsidP="008144C7">
      <w:r w:rsidRPr="00635D1D">
        <w:rPr>
          <w:rStyle w:val="HideTWBExt"/>
        </w:rPr>
        <w:t>&lt;/Amend&gt;</w:t>
      </w:r>
    </w:p>
    <w:p w14:paraId="32EEFE8E"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251</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15A84B54" w14:textId="77777777" w:rsidR="008144C7" w:rsidRPr="00635D1D" w:rsidRDefault="008144C7" w:rsidP="008144C7">
      <w:pPr>
        <w:pStyle w:val="NormalBold"/>
      </w:pPr>
      <w:r w:rsidRPr="00635D1D">
        <w:rPr>
          <w:rStyle w:val="HideTWBExt"/>
          <w:b w:val="0"/>
        </w:rPr>
        <w:t>&lt;RepeatBlock-By&gt;&lt;Members&gt;</w:t>
      </w:r>
      <w:r w:rsidRPr="00635D1D">
        <w:t xml:space="preserve">Andrea Wechsler, Stefan Köhler, Christine Schneider, Norbert </w:t>
      </w:r>
      <w:proofErr w:type="spellStart"/>
      <w:r w:rsidRPr="00635D1D">
        <w:t>Lins</w:t>
      </w:r>
      <w:proofErr w:type="spellEnd"/>
      <w:r w:rsidRPr="00635D1D">
        <w:t xml:space="preserve">, </w:t>
      </w:r>
      <w:proofErr w:type="spellStart"/>
      <w:r w:rsidRPr="00635D1D">
        <w:t>Jens</w:t>
      </w:r>
      <w:proofErr w:type="spellEnd"/>
      <w:r w:rsidRPr="00635D1D">
        <w:t xml:space="preserve"> </w:t>
      </w:r>
      <w:proofErr w:type="spellStart"/>
      <w:r w:rsidRPr="00635D1D">
        <w:t>Gieseke</w:t>
      </w:r>
      <w:proofErr w:type="spellEnd"/>
      <w:r w:rsidRPr="00635D1D">
        <w:t xml:space="preserve">, </w:t>
      </w:r>
      <w:proofErr w:type="spellStart"/>
      <w:r w:rsidRPr="00635D1D">
        <w:t>Dennis</w:t>
      </w:r>
      <w:proofErr w:type="spellEnd"/>
      <w:r w:rsidRPr="00635D1D">
        <w:t xml:space="preserve"> Radtke</w:t>
      </w:r>
      <w:r w:rsidRPr="00635D1D">
        <w:rPr>
          <w:rStyle w:val="HideTWBExt"/>
          <w:b w:val="0"/>
        </w:rPr>
        <w:t>&lt;/</w:t>
      </w:r>
      <w:proofErr w:type="spellStart"/>
      <w:r w:rsidRPr="00635D1D">
        <w:rPr>
          <w:rStyle w:val="HideTWBExt"/>
          <w:b w:val="0"/>
        </w:rPr>
        <w:t>Members</w:t>
      </w:r>
      <w:proofErr w:type="spellEnd"/>
      <w:r w:rsidRPr="00635D1D">
        <w:rPr>
          <w:rStyle w:val="HideTWBExt"/>
          <w:b w:val="0"/>
        </w:rPr>
        <w:t>&gt;</w:t>
      </w:r>
    </w:p>
    <w:p w14:paraId="745EA2C4" w14:textId="77777777" w:rsidR="008144C7" w:rsidRPr="00635D1D" w:rsidRDefault="008144C7" w:rsidP="008144C7">
      <w:pPr>
        <w:pStyle w:val="NormalBold"/>
      </w:pPr>
      <w:r w:rsidRPr="00635D1D">
        <w:rPr>
          <w:rStyle w:val="HideTWBExt"/>
          <w:b w:val="0"/>
        </w:rPr>
        <w:t>&lt;/RepeatBlock-By&gt;</w:t>
      </w:r>
    </w:p>
    <w:p w14:paraId="6D971D74"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951ECD7" w14:textId="77777777" w:rsidR="008144C7" w:rsidRPr="00635D1D" w:rsidRDefault="008144C7" w:rsidP="008144C7">
      <w:pPr>
        <w:pStyle w:val="NormalBold"/>
      </w:pPr>
      <w:r w:rsidRPr="00635D1D">
        <w:rPr>
          <w:rStyle w:val="HideTWBExt"/>
          <w:b w:val="0"/>
        </w:rPr>
        <w:t>&lt;Article&gt;</w:t>
      </w:r>
      <w:r w:rsidRPr="00635D1D">
        <w:t>Artykuł 1 – akapit 1 – punkt -1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p w14:paraId="36F7DE21"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5E1172A6" w14:textId="77777777" w:rsidR="008144C7" w:rsidRPr="00635D1D" w:rsidRDefault="008144C7" w:rsidP="008144C7">
      <w:r w:rsidRPr="00635D1D">
        <w:rPr>
          <w:rStyle w:val="HideTWBExt"/>
        </w:rPr>
        <w:t>&lt;Article2&gt;</w:t>
      </w:r>
      <w:r w:rsidRPr="00635D1D">
        <w:t>Artykuł 36 – ustęp 1</w:t>
      </w:r>
      <w:r w:rsidRPr="00635D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60C2FD1F" w14:textId="77777777" w:rsidTr="00C5582D">
        <w:trPr>
          <w:trHeight w:val="240"/>
          <w:jc w:val="center"/>
        </w:trPr>
        <w:tc>
          <w:tcPr>
            <w:tcW w:w="9752" w:type="dxa"/>
            <w:gridSpan w:val="2"/>
            <w:tcBorders>
              <w:top w:val="nil"/>
              <w:left w:val="nil"/>
              <w:bottom w:val="nil"/>
              <w:right w:val="nil"/>
            </w:tcBorders>
          </w:tcPr>
          <w:p w14:paraId="5E684243" w14:textId="77777777" w:rsidR="008144C7" w:rsidRPr="00635D1D" w:rsidRDefault="008144C7" w:rsidP="00C5582D"/>
        </w:tc>
      </w:tr>
      <w:tr w:rsidR="008144C7" w:rsidRPr="00635D1D" w14:paraId="1196E63F" w14:textId="77777777" w:rsidTr="00C5582D">
        <w:trPr>
          <w:trHeight w:val="240"/>
          <w:jc w:val="center"/>
        </w:trPr>
        <w:tc>
          <w:tcPr>
            <w:tcW w:w="4876" w:type="dxa"/>
            <w:tcBorders>
              <w:top w:val="nil"/>
              <w:left w:val="nil"/>
              <w:bottom w:val="nil"/>
              <w:right w:val="nil"/>
            </w:tcBorders>
            <w:hideMark/>
          </w:tcPr>
          <w:p w14:paraId="337586F9" w14:textId="77777777" w:rsidR="008144C7" w:rsidRPr="00635D1D" w:rsidRDefault="008144C7" w:rsidP="00C5582D">
            <w:pPr>
              <w:pStyle w:val="AmColumnHeading"/>
            </w:pPr>
            <w:r w:rsidRPr="00635D1D">
              <w:t>Tekst obowiązujący</w:t>
            </w:r>
          </w:p>
        </w:tc>
        <w:tc>
          <w:tcPr>
            <w:tcW w:w="4876" w:type="dxa"/>
            <w:tcBorders>
              <w:top w:val="nil"/>
              <w:left w:val="nil"/>
              <w:bottom w:val="nil"/>
              <w:right w:val="nil"/>
            </w:tcBorders>
            <w:hideMark/>
          </w:tcPr>
          <w:p w14:paraId="3EC7C9D6" w14:textId="77777777" w:rsidR="008144C7" w:rsidRPr="00635D1D" w:rsidRDefault="008144C7" w:rsidP="00C5582D">
            <w:pPr>
              <w:pStyle w:val="AmColumnHeading"/>
            </w:pPr>
            <w:r w:rsidRPr="00635D1D">
              <w:t>Poprawka</w:t>
            </w:r>
          </w:p>
        </w:tc>
      </w:tr>
      <w:tr w:rsidR="008144C7" w:rsidRPr="00635D1D" w14:paraId="19C01A88" w14:textId="77777777" w:rsidTr="00C5582D">
        <w:trPr>
          <w:jc w:val="center"/>
        </w:trPr>
        <w:tc>
          <w:tcPr>
            <w:tcW w:w="4876" w:type="dxa"/>
            <w:tcBorders>
              <w:top w:val="nil"/>
              <w:left w:val="nil"/>
              <w:bottom w:val="nil"/>
              <w:right w:val="nil"/>
            </w:tcBorders>
          </w:tcPr>
          <w:p w14:paraId="650BA7A5" w14:textId="77777777" w:rsidR="008144C7" w:rsidRPr="00635D1D" w:rsidRDefault="008144C7" w:rsidP="00C5582D">
            <w:pPr>
              <w:pStyle w:val="Normal6a"/>
            </w:pPr>
          </w:p>
        </w:tc>
        <w:tc>
          <w:tcPr>
            <w:tcW w:w="4876" w:type="dxa"/>
            <w:tcBorders>
              <w:top w:val="nil"/>
              <w:left w:val="nil"/>
              <w:bottom w:val="nil"/>
              <w:right w:val="nil"/>
            </w:tcBorders>
            <w:hideMark/>
          </w:tcPr>
          <w:p w14:paraId="0B2B5DF4" w14:textId="77777777" w:rsidR="008144C7" w:rsidRPr="00635D1D" w:rsidRDefault="008144C7" w:rsidP="00C5582D">
            <w:pPr>
              <w:pStyle w:val="Normal6a"/>
            </w:pPr>
            <w:r w:rsidRPr="00635D1D">
              <w:rPr>
                <w:b/>
                <w:i/>
              </w:rPr>
              <w:t>-1a)</w:t>
            </w:r>
            <w:r w:rsidRPr="00635D1D">
              <w:tab/>
            </w:r>
            <w:r w:rsidRPr="00635D1D">
              <w:rPr>
                <w:b/>
                <w:i/>
              </w:rPr>
              <w:t>art. 36 ust. 1 otrzymuje brzmienie:</w:t>
            </w:r>
          </w:p>
        </w:tc>
      </w:tr>
      <w:tr w:rsidR="008144C7" w:rsidRPr="00635D1D" w14:paraId="6743017B" w14:textId="77777777" w:rsidTr="00C5582D">
        <w:trPr>
          <w:jc w:val="center"/>
        </w:trPr>
        <w:tc>
          <w:tcPr>
            <w:tcW w:w="4876" w:type="dxa"/>
            <w:tcBorders>
              <w:top w:val="nil"/>
              <w:left w:val="nil"/>
              <w:bottom w:val="nil"/>
              <w:right w:val="nil"/>
            </w:tcBorders>
            <w:hideMark/>
          </w:tcPr>
          <w:p w14:paraId="79C6926B" w14:textId="77777777" w:rsidR="008144C7" w:rsidRPr="00635D1D" w:rsidRDefault="008144C7" w:rsidP="00C5582D">
            <w:pPr>
              <w:pStyle w:val="Normal6a"/>
            </w:pPr>
            <w:r w:rsidRPr="00635D1D">
              <w:t>1. W typowych okolicznościach substancja podlega zharmonizowanej klasyfikacji i zharmonizowanemu oznakowaniu zgodnie z art. 37, jeżeli spełnia kryteria określone w załączniku I w odniesieniu do:</w:t>
            </w:r>
          </w:p>
        </w:tc>
        <w:tc>
          <w:tcPr>
            <w:tcW w:w="4876" w:type="dxa"/>
            <w:tcBorders>
              <w:top w:val="nil"/>
              <w:left w:val="nil"/>
              <w:bottom w:val="nil"/>
              <w:right w:val="nil"/>
            </w:tcBorders>
            <w:hideMark/>
          </w:tcPr>
          <w:p w14:paraId="51EC09DB" w14:textId="77777777" w:rsidR="008144C7" w:rsidRPr="00635D1D" w:rsidRDefault="008144C7" w:rsidP="00C5582D">
            <w:pPr>
              <w:pStyle w:val="Normal6a"/>
            </w:pPr>
            <w:r w:rsidRPr="00635D1D">
              <w:rPr>
                <w:b/>
                <w:bCs/>
                <w:i/>
                <w:iCs/>
              </w:rPr>
              <w:t>„</w:t>
            </w:r>
            <w:r w:rsidRPr="00635D1D">
              <w:t>1. W typowych okolicznościach</w:t>
            </w:r>
            <w:r w:rsidRPr="00635D1D">
              <w:rPr>
                <w:b/>
                <w:bCs/>
                <w:i/>
                <w:iCs/>
              </w:rPr>
              <w:t>, przy uwzględnieniu szczególnych przypadków określonych w art. 12 oraz pod warunkiem, że w realistycznych warunkach zastosowania istnieje istotna droga narażenia,</w:t>
            </w:r>
            <w:r w:rsidRPr="00635D1D">
              <w:t xml:space="preserve"> substancja podlega zharmonizowanej klasyfikacji i zharmonizowanemu oznakowaniu zgodnie z art. 37, jeżeli spełnia kryteria określone w załączniku I w odniesieniu do:</w:t>
            </w:r>
          </w:p>
        </w:tc>
      </w:tr>
      <w:tr w:rsidR="008144C7" w:rsidRPr="00635D1D" w14:paraId="02550BD4" w14:textId="77777777" w:rsidTr="00C5582D">
        <w:trPr>
          <w:jc w:val="center"/>
        </w:trPr>
        <w:tc>
          <w:tcPr>
            <w:tcW w:w="4876" w:type="dxa"/>
            <w:tcBorders>
              <w:top w:val="nil"/>
              <w:left w:val="nil"/>
              <w:bottom w:val="nil"/>
              <w:right w:val="nil"/>
            </w:tcBorders>
            <w:hideMark/>
          </w:tcPr>
          <w:p w14:paraId="109CAD3E" w14:textId="77777777" w:rsidR="008144C7" w:rsidRPr="00635D1D" w:rsidRDefault="008144C7" w:rsidP="00C5582D">
            <w:pPr>
              <w:pStyle w:val="Normal6a"/>
            </w:pPr>
            <w:r w:rsidRPr="00635D1D">
              <w:t>a) działania uczulającego na drogi oddechowe, kategoria 1, 1A lub 1B (załącznik I sekcja 3.4);</w:t>
            </w:r>
          </w:p>
        </w:tc>
        <w:tc>
          <w:tcPr>
            <w:tcW w:w="4876" w:type="dxa"/>
            <w:tcBorders>
              <w:top w:val="nil"/>
              <w:left w:val="nil"/>
              <w:bottom w:val="nil"/>
              <w:right w:val="nil"/>
            </w:tcBorders>
            <w:hideMark/>
          </w:tcPr>
          <w:p w14:paraId="65AEEA07" w14:textId="77777777" w:rsidR="008144C7" w:rsidRPr="00635D1D" w:rsidRDefault="008144C7" w:rsidP="00C5582D">
            <w:pPr>
              <w:pStyle w:val="Normal6a"/>
            </w:pPr>
            <w:r w:rsidRPr="00635D1D">
              <w:t>a) działania uczulającego na drogi oddechowe, kategoria 1, 1A lub 1B (załącznik I sekcja 3.4);</w:t>
            </w:r>
          </w:p>
        </w:tc>
      </w:tr>
      <w:tr w:rsidR="008144C7" w:rsidRPr="00635D1D" w14:paraId="70289C6C" w14:textId="77777777" w:rsidTr="00C5582D">
        <w:trPr>
          <w:jc w:val="center"/>
        </w:trPr>
        <w:tc>
          <w:tcPr>
            <w:tcW w:w="4876" w:type="dxa"/>
            <w:tcBorders>
              <w:top w:val="nil"/>
              <w:left w:val="nil"/>
              <w:bottom w:val="nil"/>
              <w:right w:val="nil"/>
            </w:tcBorders>
            <w:hideMark/>
          </w:tcPr>
          <w:p w14:paraId="13B36C1B" w14:textId="77777777" w:rsidR="008144C7" w:rsidRPr="00635D1D" w:rsidRDefault="008144C7" w:rsidP="00C5582D">
            <w:pPr>
              <w:pStyle w:val="Normal6a"/>
            </w:pPr>
            <w:r w:rsidRPr="00635D1D">
              <w:t>b) działania mutagennego na komórki rozrodcze, kategoria 1A, 1B lub 2 (załącznik I sekcja 3.5);</w:t>
            </w:r>
          </w:p>
        </w:tc>
        <w:tc>
          <w:tcPr>
            <w:tcW w:w="4876" w:type="dxa"/>
            <w:tcBorders>
              <w:top w:val="nil"/>
              <w:left w:val="nil"/>
              <w:bottom w:val="nil"/>
              <w:right w:val="nil"/>
            </w:tcBorders>
            <w:hideMark/>
          </w:tcPr>
          <w:p w14:paraId="6547021A" w14:textId="77777777" w:rsidR="008144C7" w:rsidRPr="00635D1D" w:rsidRDefault="008144C7" w:rsidP="00C5582D">
            <w:pPr>
              <w:pStyle w:val="Normal6a"/>
            </w:pPr>
            <w:r w:rsidRPr="00635D1D">
              <w:t>b) działania mutagennego na komórki rozrodcze, kategoria 1A, 1B lub 2 (załącznik I sekcja 3.5);</w:t>
            </w:r>
          </w:p>
        </w:tc>
      </w:tr>
      <w:tr w:rsidR="008144C7" w:rsidRPr="00635D1D" w14:paraId="13B570FF" w14:textId="77777777" w:rsidTr="00C5582D">
        <w:trPr>
          <w:jc w:val="center"/>
        </w:trPr>
        <w:tc>
          <w:tcPr>
            <w:tcW w:w="4876" w:type="dxa"/>
            <w:tcBorders>
              <w:top w:val="nil"/>
              <w:left w:val="nil"/>
              <w:bottom w:val="nil"/>
              <w:right w:val="nil"/>
            </w:tcBorders>
            <w:hideMark/>
          </w:tcPr>
          <w:p w14:paraId="6105DA89" w14:textId="77777777" w:rsidR="008144C7" w:rsidRPr="00635D1D" w:rsidRDefault="008144C7" w:rsidP="00C5582D">
            <w:pPr>
              <w:pStyle w:val="Normal6a"/>
            </w:pPr>
            <w:r w:rsidRPr="00635D1D">
              <w:t>c) rakotwórczości, kategoria 1A, 1B lub 2 (załącznik I sekcja 3.6);</w:t>
            </w:r>
          </w:p>
        </w:tc>
        <w:tc>
          <w:tcPr>
            <w:tcW w:w="4876" w:type="dxa"/>
            <w:tcBorders>
              <w:top w:val="nil"/>
              <w:left w:val="nil"/>
              <w:bottom w:val="nil"/>
              <w:right w:val="nil"/>
            </w:tcBorders>
            <w:hideMark/>
          </w:tcPr>
          <w:p w14:paraId="389DAAFD" w14:textId="77777777" w:rsidR="008144C7" w:rsidRPr="00635D1D" w:rsidRDefault="008144C7" w:rsidP="00C5582D">
            <w:pPr>
              <w:pStyle w:val="Normal6a"/>
            </w:pPr>
            <w:r w:rsidRPr="00635D1D">
              <w:t>c) rakotwórczości, kategoria 1A, 1B lub 2 (załącznik I sekcja 3.6);</w:t>
            </w:r>
          </w:p>
        </w:tc>
      </w:tr>
      <w:tr w:rsidR="008144C7" w:rsidRPr="00635D1D" w14:paraId="34E4102F" w14:textId="77777777" w:rsidTr="00C5582D">
        <w:trPr>
          <w:jc w:val="center"/>
        </w:trPr>
        <w:tc>
          <w:tcPr>
            <w:tcW w:w="4876" w:type="dxa"/>
            <w:tcBorders>
              <w:top w:val="nil"/>
              <w:left w:val="nil"/>
              <w:bottom w:val="nil"/>
              <w:right w:val="nil"/>
            </w:tcBorders>
            <w:hideMark/>
          </w:tcPr>
          <w:p w14:paraId="32BCAC3F" w14:textId="77777777" w:rsidR="008144C7" w:rsidRPr="00635D1D" w:rsidRDefault="008144C7" w:rsidP="00C5582D">
            <w:pPr>
              <w:pStyle w:val="Normal6a"/>
            </w:pPr>
            <w:r w:rsidRPr="00635D1D">
              <w:t>d) szkodliwego działania na rozrodczość, kategoria 1A, 1B lub 2 (załącznik I sekcja 3.7);</w:t>
            </w:r>
          </w:p>
        </w:tc>
        <w:tc>
          <w:tcPr>
            <w:tcW w:w="4876" w:type="dxa"/>
            <w:tcBorders>
              <w:top w:val="nil"/>
              <w:left w:val="nil"/>
              <w:bottom w:val="nil"/>
              <w:right w:val="nil"/>
            </w:tcBorders>
            <w:hideMark/>
          </w:tcPr>
          <w:p w14:paraId="0B28BCEA" w14:textId="77777777" w:rsidR="008144C7" w:rsidRPr="00635D1D" w:rsidRDefault="008144C7" w:rsidP="00C5582D">
            <w:pPr>
              <w:pStyle w:val="Normal6a"/>
            </w:pPr>
            <w:r w:rsidRPr="00635D1D">
              <w:t>d) szkodliwego działania na rozrodczość, kategoria 1A, 1B lub 2 (załącznik I sekcja 3.7);</w:t>
            </w:r>
          </w:p>
        </w:tc>
      </w:tr>
      <w:tr w:rsidR="008144C7" w:rsidRPr="00635D1D" w14:paraId="64852D36" w14:textId="77777777" w:rsidTr="00C5582D">
        <w:trPr>
          <w:jc w:val="center"/>
        </w:trPr>
        <w:tc>
          <w:tcPr>
            <w:tcW w:w="4876" w:type="dxa"/>
            <w:tcBorders>
              <w:top w:val="nil"/>
              <w:left w:val="nil"/>
              <w:bottom w:val="nil"/>
              <w:right w:val="nil"/>
            </w:tcBorders>
            <w:hideMark/>
          </w:tcPr>
          <w:p w14:paraId="2C4DB73D" w14:textId="77777777" w:rsidR="008144C7" w:rsidRPr="00635D1D" w:rsidRDefault="008144C7" w:rsidP="00C5582D">
            <w:pPr>
              <w:pStyle w:val="Normal6a"/>
            </w:pPr>
            <w:r w:rsidRPr="00635D1D">
              <w:t>e) właściwości zaburzających funkcjonowanie układu hormonalnego w odniesieniu do zdrowia ludzi, kategoria 1 lub 2 (załącznik I sekcja 3.11);</w:t>
            </w:r>
          </w:p>
        </w:tc>
        <w:tc>
          <w:tcPr>
            <w:tcW w:w="4876" w:type="dxa"/>
            <w:tcBorders>
              <w:top w:val="nil"/>
              <w:left w:val="nil"/>
              <w:bottom w:val="nil"/>
              <w:right w:val="nil"/>
            </w:tcBorders>
            <w:hideMark/>
          </w:tcPr>
          <w:p w14:paraId="3C7B62AC" w14:textId="77777777" w:rsidR="008144C7" w:rsidRPr="00635D1D" w:rsidRDefault="008144C7" w:rsidP="00C5582D">
            <w:pPr>
              <w:pStyle w:val="Normal6a"/>
            </w:pPr>
            <w:r w:rsidRPr="00635D1D">
              <w:t>e) właściwości zaburzających funkcjonowanie układu hormonalnego w odniesieniu do zdrowia ludzi, kategoria 1 lub 2 (załącznik I sekcja 3.11);</w:t>
            </w:r>
          </w:p>
        </w:tc>
      </w:tr>
      <w:tr w:rsidR="008144C7" w:rsidRPr="00635D1D" w14:paraId="179663BD" w14:textId="77777777" w:rsidTr="00C5582D">
        <w:trPr>
          <w:jc w:val="center"/>
        </w:trPr>
        <w:tc>
          <w:tcPr>
            <w:tcW w:w="4876" w:type="dxa"/>
            <w:tcBorders>
              <w:top w:val="nil"/>
              <w:left w:val="nil"/>
              <w:bottom w:val="nil"/>
              <w:right w:val="nil"/>
            </w:tcBorders>
            <w:hideMark/>
          </w:tcPr>
          <w:p w14:paraId="64244A74" w14:textId="77777777" w:rsidR="008144C7" w:rsidRPr="00635D1D" w:rsidRDefault="008144C7" w:rsidP="00C5582D">
            <w:pPr>
              <w:pStyle w:val="Normal6a"/>
            </w:pPr>
            <w:r w:rsidRPr="00635D1D">
              <w:t>f) właściwości zaburzających funkcjonowanie układu hormonalnego w odniesieniu do środowiska, kategoria 1 lub 2 (załącznik I sekcja 4.2); g) substancji trwałych, wykazujących zdolność do bioakumulacji i toksycznych (załącznik I sekcja 4.3);</w:t>
            </w:r>
          </w:p>
        </w:tc>
        <w:tc>
          <w:tcPr>
            <w:tcW w:w="4876" w:type="dxa"/>
            <w:tcBorders>
              <w:top w:val="nil"/>
              <w:left w:val="nil"/>
              <w:bottom w:val="nil"/>
              <w:right w:val="nil"/>
            </w:tcBorders>
            <w:hideMark/>
          </w:tcPr>
          <w:p w14:paraId="5F493C2D" w14:textId="77777777" w:rsidR="008144C7" w:rsidRPr="00635D1D" w:rsidRDefault="008144C7" w:rsidP="00C5582D">
            <w:pPr>
              <w:pStyle w:val="Normal6a"/>
            </w:pPr>
            <w:r w:rsidRPr="00635D1D">
              <w:t>f) właściwości zaburzających funkcjonowanie układu hormonalnego w odniesieniu do środowiska, kategoria 1 lub 2 (załącznik I sekcja 4.2); g) substancji trwałych, wykazujących zdolność do bioakumulacji i toksycznych (załącznik I sekcja 4.3);</w:t>
            </w:r>
          </w:p>
        </w:tc>
      </w:tr>
      <w:tr w:rsidR="008144C7" w:rsidRPr="00635D1D" w14:paraId="0A28CF66" w14:textId="77777777" w:rsidTr="00C5582D">
        <w:trPr>
          <w:jc w:val="center"/>
        </w:trPr>
        <w:tc>
          <w:tcPr>
            <w:tcW w:w="4876" w:type="dxa"/>
            <w:tcBorders>
              <w:top w:val="nil"/>
              <w:left w:val="nil"/>
              <w:bottom w:val="nil"/>
              <w:right w:val="nil"/>
            </w:tcBorders>
            <w:hideMark/>
          </w:tcPr>
          <w:p w14:paraId="7F7D17E2" w14:textId="77777777" w:rsidR="008144C7" w:rsidRPr="00635D1D" w:rsidRDefault="008144C7" w:rsidP="00C5582D">
            <w:pPr>
              <w:pStyle w:val="Normal6a"/>
            </w:pPr>
            <w:r w:rsidRPr="00635D1D">
              <w:t>h) substancji bardzo trwałych i wykazujących bardzo dużą zdolność do bioakumulacji (załącznik I sekcja 4.3);</w:t>
            </w:r>
          </w:p>
        </w:tc>
        <w:tc>
          <w:tcPr>
            <w:tcW w:w="4876" w:type="dxa"/>
            <w:tcBorders>
              <w:top w:val="nil"/>
              <w:left w:val="nil"/>
              <w:bottom w:val="nil"/>
              <w:right w:val="nil"/>
            </w:tcBorders>
            <w:hideMark/>
          </w:tcPr>
          <w:p w14:paraId="7D0A2B37" w14:textId="77777777" w:rsidR="008144C7" w:rsidRPr="00635D1D" w:rsidRDefault="008144C7" w:rsidP="00C5582D">
            <w:pPr>
              <w:pStyle w:val="Normal6a"/>
            </w:pPr>
            <w:r w:rsidRPr="00635D1D">
              <w:t>h) substancji bardzo trwałych i wykazujących bardzo dużą zdolność do bioakumulacji (załącznik I sekcja 4.3);</w:t>
            </w:r>
          </w:p>
        </w:tc>
      </w:tr>
      <w:tr w:rsidR="008144C7" w:rsidRPr="00635D1D" w14:paraId="06F00A1B" w14:textId="77777777" w:rsidTr="00C5582D">
        <w:trPr>
          <w:jc w:val="center"/>
        </w:trPr>
        <w:tc>
          <w:tcPr>
            <w:tcW w:w="4876" w:type="dxa"/>
            <w:tcBorders>
              <w:top w:val="nil"/>
              <w:left w:val="nil"/>
              <w:bottom w:val="nil"/>
              <w:right w:val="nil"/>
            </w:tcBorders>
            <w:hideMark/>
          </w:tcPr>
          <w:p w14:paraId="5AA93D9E" w14:textId="77777777" w:rsidR="008144C7" w:rsidRPr="00635D1D" w:rsidRDefault="008144C7" w:rsidP="00C5582D">
            <w:pPr>
              <w:pStyle w:val="Normal6a"/>
            </w:pPr>
            <w:r w:rsidRPr="00635D1D">
              <w:t>i) substancji trwałych, mobilnych i toksycznych (załącznik I sekcja 4.4);</w:t>
            </w:r>
          </w:p>
        </w:tc>
        <w:tc>
          <w:tcPr>
            <w:tcW w:w="4876" w:type="dxa"/>
            <w:tcBorders>
              <w:top w:val="nil"/>
              <w:left w:val="nil"/>
              <w:bottom w:val="nil"/>
              <w:right w:val="nil"/>
            </w:tcBorders>
            <w:hideMark/>
          </w:tcPr>
          <w:p w14:paraId="29ADADC4" w14:textId="77777777" w:rsidR="008144C7" w:rsidRPr="00635D1D" w:rsidRDefault="008144C7" w:rsidP="00C5582D">
            <w:pPr>
              <w:pStyle w:val="Normal6a"/>
            </w:pPr>
            <w:r w:rsidRPr="00635D1D">
              <w:t>i) substancji trwałych, mobilnych i toksycznych (załącznik I sekcja 4.4);</w:t>
            </w:r>
          </w:p>
        </w:tc>
      </w:tr>
      <w:tr w:rsidR="008144C7" w:rsidRPr="00635D1D" w14:paraId="0C6DF853" w14:textId="77777777" w:rsidTr="00C5582D">
        <w:trPr>
          <w:jc w:val="center"/>
        </w:trPr>
        <w:tc>
          <w:tcPr>
            <w:tcW w:w="4876" w:type="dxa"/>
            <w:tcBorders>
              <w:top w:val="nil"/>
              <w:left w:val="nil"/>
              <w:bottom w:val="nil"/>
              <w:right w:val="nil"/>
            </w:tcBorders>
            <w:hideMark/>
          </w:tcPr>
          <w:p w14:paraId="41C04F60" w14:textId="77777777" w:rsidR="008144C7" w:rsidRPr="00635D1D" w:rsidRDefault="008144C7" w:rsidP="00C5582D">
            <w:pPr>
              <w:pStyle w:val="Normal6a"/>
            </w:pPr>
            <w:r w:rsidRPr="00635D1D">
              <w:t>j) substancji bardzo trwałych i bardzo mobilnych (załącznik I sekcja 4.4).</w:t>
            </w:r>
          </w:p>
        </w:tc>
        <w:tc>
          <w:tcPr>
            <w:tcW w:w="4876" w:type="dxa"/>
            <w:tcBorders>
              <w:top w:val="nil"/>
              <w:left w:val="nil"/>
              <w:bottom w:val="nil"/>
              <w:right w:val="nil"/>
            </w:tcBorders>
            <w:hideMark/>
          </w:tcPr>
          <w:p w14:paraId="09B1FE1B" w14:textId="77777777" w:rsidR="008144C7" w:rsidRPr="00635D1D" w:rsidRDefault="008144C7" w:rsidP="00C5582D">
            <w:pPr>
              <w:pStyle w:val="Normal6a"/>
            </w:pPr>
            <w:r w:rsidRPr="00635D1D">
              <w:t>j) substancji bardzo trwałych i bardzo mobilnych (załącznik I sekcja 4.4).</w:t>
            </w:r>
            <w:r w:rsidRPr="00635D1D">
              <w:rPr>
                <w:b/>
                <w:bCs/>
                <w:i/>
                <w:iCs/>
              </w:rPr>
              <w:t>”;</w:t>
            </w:r>
          </w:p>
        </w:tc>
      </w:tr>
    </w:tbl>
    <w:p w14:paraId="71DC4990"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{DE}</w:t>
      </w:r>
      <w:r w:rsidRPr="00E90719">
        <w:rPr>
          <w:lang w:val="en-GB"/>
        </w:rPr>
        <w:t>de</w:t>
      </w:r>
      <w:r w:rsidRPr="00E90719">
        <w:rPr>
          <w:rStyle w:val="HideTWBExt"/>
          <w:lang w:val="en-GB"/>
        </w:rPr>
        <w:t>&lt;/Original&gt;</w:t>
      </w:r>
    </w:p>
    <w:p w14:paraId="2AFF091B" w14:textId="77777777" w:rsidR="008144C7" w:rsidRPr="00E90719" w:rsidRDefault="008144C7" w:rsidP="008144C7">
      <w:pPr>
        <w:pStyle w:val="AmCrossRef"/>
        <w:rPr>
          <w:lang w:val="en-GB"/>
        </w:rPr>
      </w:pPr>
      <w:r w:rsidRPr="00E90719">
        <w:rPr>
          <w:lang w:val="en-GB"/>
        </w:rPr>
        <w:t>(https://eur-lex.europa.eu/legal-content/PL/TXT/PDF/?uri=CELEX:02008R1272-20250901&amp;qid=1769779965164)</w:t>
      </w:r>
    </w:p>
    <w:p w14:paraId="150D2AF3"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35357376" w14:textId="77777777" w:rsidR="008144C7" w:rsidRPr="00635D1D" w:rsidRDefault="008144C7" w:rsidP="008144C7">
      <w:pPr>
        <w:pStyle w:val="AmJustText"/>
      </w:pPr>
      <w:r w:rsidRPr="00635D1D">
        <w:t>Poprawki do art. 36 gwarantują, że zharmonizowane klasyfikacje nie są uruchamiane automatycznie, lecz podlegają uprzedniej weryfikacji pod kątem przydatności w oparciu o rzeczywiste dane i istotne praktyczne scenariusze ryzyka. Ponadto gwarantuje się, że decyzja o konieczności zharmonizowanej klasyfikacji substancji ochrony roślin oraz biobójczych substancji czynnych będzie, tak jak to miało miejsce przed zmianą rozporządzenia (UE) 2024/2865, ponownie podlegać ocenie przez właściwe organy i Komisję.</w:t>
      </w:r>
    </w:p>
    <w:p w14:paraId="5E9B3EC5" w14:textId="77777777" w:rsidR="008144C7" w:rsidRPr="00635D1D" w:rsidRDefault="008144C7" w:rsidP="008144C7">
      <w:r w:rsidRPr="00635D1D">
        <w:rPr>
          <w:rStyle w:val="HideTWBExt"/>
        </w:rPr>
        <w:t>&lt;/Amend&gt;</w:t>
      </w:r>
    </w:p>
    <w:p w14:paraId="12E5D2D7"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252</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15D631FD" w14:textId="77777777" w:rsidR="008144C7" w:rsidRPr="00635D1D" w:rsidRDefault="008144C7" w:rsidP="008144C7">
      <w:pPr>
        <w:pStyle w:val="NormalBold"/>
      </w:pPr>
      <w:r w:rsidRPr="00635D1D">
        <w:rPr>
          <w:rStyle w:val="HideTWBExt"/>
          <w:b w:val="0"/>
        </w:rPr>
        <w:t>&lt;RepeatBlock-By&gt;&lt;Members&gt;</w:t>
      </w:r>
      <w:r w:rsidRPr="00635D1D">
        <w:t xml:space="preserve">Andrea Wechsler, Stefan Köhler, Christine Schneider, Norbert </w:t>
      </w:r>
      <w:proofErr w:type="spellStart"/>
      <w:r w:rsidRPr="00635D1D">
        <w:t>Lins</w:t>
      </w:r>
      <w:proofErr w:type="spellEnd"/>
      <w:r w:rsidRPr="00635D1D">
        <w:t xml:space="preserve">, </w:t>
      </w:r>
      <w:proofErr w:type="spellStart"/>
      <w:r w:rsidRPr="00635D1D">
        <w:t>Jens</w:t>
      </w:r>
      <w:proofErr w:type="spellEnd"/>
      <w:r w:rsidRPr="00635D1D">
        <w:t xml:space="preserve"> </w:t>
      </w:r>
      <w:proofErr w:type="spellStart"/>
      <w:r w:rsidRPr="00635D1D">
        <w:t>Gieseke</w:t>
      </w:r>
      <w:proofErr w:type="spellEnd"/>
      <w:r w:rsidRPr="00635D1D">
        <w:t xml:space="preserve">, </w:t>
      </w:r>
      <w:proofErr w:type="spellStart"/>
      <w:r w:rsidRPr="00635D1D">
        <w:t>Dennis</w:t>
      </w:r>
      <w:proofErr w:type="spellEnd"/>
      <w:r w:rsidRPr="00635D1D">
        <w:t xml:space="preserve"> Radtke</w:t>
      </w:r>
      <w:r w:rsidRPr="00635D1D">
        <w:rPr>
          <w:rStyle w:val="HideTWBExt"/>
          <w:b w:val="0"/>
        </w:rPr>
        <w:t>&lt;/</w:t>
      </w:r>
      <w:proofErr w:type="spellStart"/>
      <w:r w:rsidRPr="00635D1D">
        <w:rPr>
          <w:rStyle w:val="HideTWBExt"/>
          <w:b w:val="0"/>
        </w:rPr>
        <w:t>Members</w:t>
      </w:r>
      <w:proofErr w:type="spellEnd"/>
      <w:r w:rsidRPr="00635D1D">
        <w:rPr>
          <w:rStyle w:val="HideTWBExt"/>
          <w:b w:val="0"/>
        </w:rPr>
        <w:t>&gt;</w:t>
      </w:r>
    </w:p>
    <w:p w14:paraId="55486D02" w14:textId="77777777" w:rsidR="008144C7" w:rsidRPr="00635D1D" w:rsidRDefault="008144C7" w:rsidP="008144C7">
      <w:pPr>
        <w:pStyle w:val="NormalBold"/>
      </w:pPr>
      <w:r w:rsidRPr="00635D1D">
        <w:rPr>
          <w:rStyle w:val="HideTWBExt"/>
          <w:b w:val="0"/>
        </w:rPr>
        <w:t>&lt;/RepeatBlock-By&gt;</w:t>
      </w:r>
    </w:p>
    <w:p w14:paraId="568AC51C"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4B8A5C8" w14:textId="77777777" w:rsidR="008144C7" w:rsidRPr="00635D1D" w:rsidRDefault="008144C7" w:rsidP="008144C7">
      <w:pPr>
        <w:pStyle w:val="NormalBold"/>
      </w:pPr>
      <w:r w:rsidRPr="00635D1D">
        <w:rPr>
          <w:rStyle w:val="HideTWBExt"/>
          <w:b w:val="0"/>
        </w:rPr>
        <w:t>&lt;Article&gt;</w:t>
      </w:r>
      <w:r w:rsidRPr="00635D1D">
        <w:t>Artykuł 1 – akapit 1 – punkt -1 b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p w14:paraId="5ABC9EA1"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111E7071" w14:textId="77777777" w:rsidR="008144C7" w:rsidRPr="00635D1D" w:rsidRDefault="008144C7" w:rsidP="008144C7">
      <w:r w:rsidRPr="00635D1D">
        <w:rPr>
          <w:rStyle w:val="HideTWBExt"/>
        </w:rPr>
        <w:t>&lt;Article2&gt;</w:t>
      </w:r>
      <w:r w:rsidRPr="00635D1D">
        <w:t>Artykuł 36 – ustęp 2</w:t>
      </w:r>
      <w:r w:rsidRPr="00635D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539B2152" w14:textId="77777777" w:rsidTr="00C5582D">
        <w:trPr>
          <w:trHeight w:val="240"/>
          <w:jc w:val="center"/>
        </w:trPr>
        <w:tc>
          <w:tcPr>
            <w:tcW w:w="9752" w:type="dxa"/>
            <w:gridSpan w:val="2"/>
            <w:tcBorders>
              <w:top w:val="nil"/>
              <w:left w:val="nil"/>
              <w:bottom w:val="nil"/>
              <w:right w:val="nil"/>
            </w:tcBorders>
          </w:tcPr>
          <w:p w14:paraId="57CC4C62" w14:textId="77777777" w:rsidR="008144C7" w:rsidRPr="00635D1D" w:rsidRDefault="008144C7" w:rsidP="00C5582D"/>
        </w:tc>
      </w:tr>
      <w:tr w:rsidR="008144C7" w:rsidRPr="00635D1D" w14:paraId="203303A9" w14:textId="77777777" w:rsidTr="00C5582D">
        <w:trPr>
          <w:trHeight w:val="240"/>
          <w:jc w:val="center"/>
        </w:trPr>
        <w:tc>
          <w:tcPr>
            <w:tcW w:w="4876" w:type="dxa"/>
            <w:tcBorders>
              <w:top w:val="nil"/>
              <w:left w:val="nil"/>
              <w:bottom w:val="nil"/>
              <w:right w:val="nil"/>
            </w:tcBorders>
            <w:hideMark/>
          </w:tcPr>
          <w:p w14:paraId="015A18D7" w14:textId="77777777" w:rsidR="008144C7" w:rsidRPr="00635D1D" w:rsidRDefault="008144C7" w:rsidP="00C5582D">
            <w:pPr>
              <w:pStyle w:val="AmColumnHeading"/>
            </w:pPr>
            <w:r w:rsidRPr="00635D1D">
              <w:t>Tekst obowiązujący</w:t>
            </w:r>
          </w:p>
        </w:tc>
        <w:tc>
          <w:tcPr>
            <w:tcW w:w="4876" w:type="dxa"/>
            <w:tcBorders>
              <w:top w:val="nil"/>
              <w:left w:val="nil"/>
              <w:bottom w:val="nil"/>
              <w:right w:val="nil"/>
            </w:tcBorders>
            <w:hideMark/>
          </w:tcPr>
          <w:p w14:paraId="78779F9B" w14:textId="77777777" w:rsidR="008144C7" w:rsidRPr="00635D1D" w:rsidRDefault="008144C7" w:rsidP="00C5582D">
            <w:pPr>
              <w:pStyle w:val="AmColumnHeading"/>
            </w:pPr>
            <w:r w:rsidRPr="00635D1D">
              <w:t>Poprawka</w:t>
            </w:r>
          </w:p>
        </w:tc>
      </w:tr>
      <w:tr w:rsidR="008144C7" w:rsidRPr="00635D1D" w14:paraId="374754D7" w14:textId="77777777" w:rsidTr="00C5582D">
        <w:trPr>
          <w:jc w:val="center"/>
        </w:trPr>
        <w:tc>
          <w:tcPr>
            <w:tcW w:w="4876" w:type="dxa"/>
            <w:tcBorders>
              <w:top w:val="nil"/>
              <w:left w:val="nil"/>
              <w:bottom w:val="nil"/>
              <w:right w:val="nil"/>
            </w:tcBorders>
          </w:tcPr>
          <w:p w14:paraId="60201D45" w14:textId="77777777" w:rsidR="008144C7" w:rsidRPr="00635D1D" w:rsidRDefault="008144C7" w:rsidP="00C5582D">
            <w:pPr>
              <w:pStyle w:val="Normal6a"/>
            </w:pPr>
          </w:p>
        </w:tc>
        <w:tc>
          <w:tcPr>
            <w:tcW w:w="4876" w:type="dxa"/>
            <w:tcBorders>
              <w:top w:val="nil"/>
              <w:left w:val="nil"/>
              <w:bottom w:val="nil"/>
              <w:right w:val="nil"/>
            </w:tcBorders>
            <w:hideMark/>
          </w:tcPr>
          <w:p w14:paraId="4B0FC6B8" w14:textId="77777777" w:rsidR="008144C7" w:rsidRPr="00635D1D" w:rsidRDefault="008144C7" w:rsidP="00C5582D">
            <w:pPr>
              <w:pStyle w:val="Normal6a"/>
            </w:pPr>
            <w:r w:rsidRPr="00635D1D">
              <w:rPr>
                <w:b/>
                <w:i/>
              </w:rPr>
              <w:t>-1b)</w:t>
            </w:r>
            <w:r w:rsidRPr="00635D1D">
              <w:tab/>
            </w:r>
            <w:r w:rsidRPr="00635D1D">
              <w:rPr>
                <w:b/>
                <w:i/>
              </w:rPr>
              <w:t>art. 36 ust. 2 otrzymuje brzmienie:</w:t>
            </w:r>
          </w:p>
        </w:tc>
      </w:tr>
      <w:tr w:rsidR="008144C7" w:rsidRPr="00635D1D" w14:paraId="1A674934" w14:textId="77777777" w:rsidTr="00C5582D">
        <w:trPr>
          <w:jc w:val="center"/>
        </w:trPr>
        <w:tc>
          <w:tcPr>
            <w:tcW w:w="4876" w:type="dxa"/>
            <w:tcBorders>
              <w:top w:val="nil"/>
              <w:left w:val="nil"/>
              <w:bottom w:val="nil"/>
              <w:right w:val="nil"/>
            </w:tcBorders>
            <w:hideMark/>
          </w:tcPr>
          <w:p w14:paraId="468E8755" w14:textId="77777777" w:rsidR="008144C7" w:rsidRPr="00635D1D" w:rsidRDefault="008144C7" w:rsidP="00C5582D">
            <w:pPr>
              <w:pStyle w:val="Normal6a"/>
            </w:pPr>
            <w:r w:rsidRPr="00635D1D">
              <w:t xml:space="preserve">Substancje będące substancjami czynnymi wchodzącymi w zakres rozporządzenia (WE) nr 1107/2009 lub rozporządzenia (UE) nr 528/2012 podlegają zharmonizowanej klasyfikacji i </w:t>
            </w:r>
            <w:r w:rsidRPr="00635D1D">
              <w:rPr>
                <w:b/>
                <w:bCs/>
                <w:i/>
                <w:iCs/>
              </w:rPr>
              <w:t>zharmonizowanym</w:t>
            </w:r>
            <w:r w:rsidRPr="00635D1D">
              <w:t xml:space="preserve"> oznakowaniu. Do takich substancji zastosowanie mają procedury określone w art. 37 ust. 1, 4, 5 i 6.</w:t>
            </w:r>
          </w:p>
        </w:tc>
        <w:tc>
          <w:tcPr>
            <w:tcW w:w="4876" w:type="dxa"/>
            <w:tcBorders>
              <w:top w:val="nil"/>
              <w:left w:val="nil"/>
              <w:bottom w:val="nil"/>
              <w:right w:val="nil"/>
            </w:tcBorders>
            <w:hideMark/>
          </w:tcPr>
          <w:p w14:paraId="64EAAFCD" w14:textId="77777777" w:rsidR="008144C7" w:rsidRPr="00635D1D" w:rsidRDefault="008144C7" w:rsidP="00C5582D">
            <w:pPr>
              <w:pStyle w:val="Normal6a"/>
            </w:pPr>
            <w:r w:rsidRPr="00635D1D">
              <w:t xml:space="preserve">„Substancje będące substancjami czynnymi wchodzącymi w zakres rozporządzenia (WE) nr 1107/2009 lub rozporządzenia (UE) nr 528/2012 podlegają zharmonizowanej klasyfikacji i </w:t>
            </w:r>
            <w:r w:rsidRPr="00635D1D">
              <w:rPr>
                <w:b/>
                <w:bCs/>
                <w:i/>
                <w:iCs/>
              </w:rPr>
              <w:t>zharmonizowanemu</w:t>
            </w:r>
            <w:r w:rsidRPr="00635D1D">
              <w:t xml:space="preserve"> oznakowaniu</w:t>
            </w:r>
            <w:r w:rsidRPr="00635D1D">
              <w:rPr>
                <w:b/>
                <w:bCs/>
                <w:i/>
                <w:iCs/>
              </w:rPr>
              <w:t xml:space="preserve"> tylko wtedy, gdy właściwe organy, po konsultacji z Agencją, uznają, że zharmonizowana klasyfikacja jest konieczna i proporcjonalna do ochrony zdrowia i środowiska</w:t>
            </w:r>
            <w:r w:rsidRPr="00635D1D">
              <w:t>. Do takich substancji zastosowanie mają procedury określone w art. 37 ust. 1, 4, 5 i 6.</w:t>
            </w:r>
            <w:r w:rsidRPr="00635D1D">
              <w:rPr>
                <w:b/>
                <w:bCs/>
                <w:i/>
                <w:iCs/>
              </w:rPr>
              <w:t>”;</w:t>
            </w:r>
          </w:p>
        </w:tc>
      </w:tr>
    </w:tbl>
    <w:p w14:paraId="077021CB"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{DE}</w:t>
      </w:r>
      <w:r w:rsidRPr="00E90719">
        <w:rPr>
          <w:lang w:val="en-GB"/>
        </w:rPr>
        <w:t>de</w:t>
      </w:r>
      <w:r w:rsidRPr="00E90719">
        <w:rPr>
          <w:rStyle w:val="HideTWBExt"/>
          <w:lang w:val="en-GB"/>
        </w:rPr>
        <w:t>&lt;/Original&gt;</w:t>
      </w:r>
    </w:p>
    <w:p w14:paraId="73CD0A50" w14:textId="77777777" w:rsidR="008144C7" w:rsidRPr="00E90719" w:rsidRDefault="008144C7" w:rsidP="008144C7">
      <w:pPr>
        <w:pStyle w:val="AmCrossRef"/>
        <w:rPr>
          <w:lang w:val="en-GB"/>
        </w:rPr>
      </w:pPr>
      <w:r w:rsidRPr="00E90719">
        <w:rPr>
          <w:lang w:val="en-GB"/>
        </w:rPr>
        <w:t>(https://eur-lex.europa.eu/legal-content/PL/TXT/PDF/?uri=CELEX:02008R1272-20250901&amp;qid=1769779965164)</w:t>
      </w:r>
    </w:p>
    <w:p w14:paraId="1C11874A"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677FEED5" w14:textId="77777777" w:rsidR="008144C7" w:rsidRPr="00635D1D" w:rsidRDefault="008144C7" w:rsidP="008144C7">
      <w:pPr>
        <w:pStyle w:val="AmJustText"/>
      </w:pPr>
      <w:r w:rsidRPr="00635D1D">
        <w:t>Poprawki do art. 36 gwarantują, że zharmonizowane klasyfikacje nie są uruchamiane automatycznie, lecz podlegają uprzedniej weryfikacji pod kątem przydatności w oparciu o rzeczywiste dane i istotne praktyczne scenariusze ryzyka. Ponadto gwarantuje się, że decyzja o konieczności zharmonizowanej klasyfikacji substancji ochrony roślin oraz biobójczych substancji czynnych będzie, tak jak to miało miejsce przed zmianą rozporządzenia (UE) 2024/2865, ponownie podlegać ocenie przez właściwe organy i Komisję.</w:t>
      </w:r>
    </w:p>
    <w:p w14:paraId="31FA5020" w14:textId="77777777" w:rsidR="008144C7" w:rsidRPr="00635D1D" w:rsidRDefault="008144C7" w:rsidP="008144C7">
      <w:r w:rsidRPr="00635D1D">
        <w:rPr>
          <w:rStyle w:val="HideTWBExt"/>
        </w:rPr>
        <w:t>&lt;/Amend&gt;</w:t>
      </w:r>
    </w:p>
    <w:p w14:paraId="15257C39"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253</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5A1B43E3" w14:textId="77777777" w:rsidR="008144C7" w:rsidRPr="00635D1D" w:rsidRDefault="008144C7" w:rsidP="008144C7">
      <w:pPr>
        <w:pStyle w:val="NormalBold"/>
      </w:pPr>
      <w:r w:rsidRPr="00635D1D">
        <w:rPr>
          <w:rStyle w:val="HideTWBExt"/>
          <w:b w:val="0"/>
        </w:rPr>
        <w:t>&lt;RepeatBlock-By&gt;&lt;Members&gt;</w:t>
      </w:r>
      <w:r w:rsidRPr="00635D1D">
        <w:t xml:space="preserve">Andrea Wechsler, Stefan Köhler, Christine Schneider, Norbert </w:t>
      </w:r>
      <w:proofErr w:type="spellStart"/>
      <w:r w:rsidRPr="00635D1D">
        <w:t>Lins</w:t>
      </w:r>
      <w:proofErr w:type="spellEnd"/>
      <w:r w:rsidRPr="00635D1D">
        <w:t xml:space="preserve">, </w:t>
      </w:r>
      <w:proofErr w:type="spellStart"/>
      <w:r w:rsidRPr="00635D1D">
        <w:t>Jens</w:t>
      </w:r>
      <w:proofErr w:type="spellEnd"/>
      <w:r w:rsidRPr="00635D1D">
        <w:t xml:space="preserve"> </w:t>
      </w:r>
      <w:proofErr w:type="spellStart"/>
      <w:r w:rsidRPr="00635D1D">
        <w:t>Gieseke</w:t>
      </w:r>
      <w:proofErr w:type="spellEnd"/>
      <w:r w:rsidRPr="00635D1D">
        <w:t xml:space="preserve">, </w:t>
      </w:r>
      <w:proofErr w:type="spellStart"/>
      <w:r w:rsidRPr="00635D1D">
        <w:t>Dennis</w:t>
      </w:r>
      <w:proofErr w:type="spellEnd"/>
      <w:r w:rsidRPr="00635D1D">
        <w:t xml:space="preserve"> Radtke</w:t>
      </w:r>
      <w:r w:rsidRPr="00635D1D">
        <w:rPr>
          <w:rStyle w:val="HideTWBExt"/>
          <w:b w:val="0"/>
        </w:rPr>
        <w:t>&lt;/</w:t>
      </w:r>
      <w:proofErr w:type="spellStart"/>
      <w:r w:rsidRPr="00635D1D">
        <w:rPr>
          <w:rStyle w:val="HideTWBExt"/>
          <w:b w:val="0"/>
        </w:rPr>
        <w:t>Members</w:t>
      </w:r>
      <w:proofErr w:type="spellEnd"/>
      <w:r w:rsidRPr="00635D1D">
        <w:rPr>
          <w:rStyle w:val="HideTWBExt"/>
          <w:b w:val="0"/>
        </w:rPr>
        <w:t>&gt;</w:t>
      </w:r>
    </w:p>
    <w:p w14:paraId="6308499C" w14:textId="77777777" w:rsidR="008144C7" w:rsidRPr="00635D1D" w:rsidRDefault="008144C7" w:rsidP="008144C7">
      <w:pPr>
        <w:pStyle w:val="NormalBold"/>
      </w:pPr>
      <w:r w:rsidRPr="00635D1D">
        <w:rPr>
          <w:rStyle w:val="HideTWBExt"/>
          <w:b w:val="0"/>
        </w:rPr>
        <w:t>&lt;/RepeatBlock-By&gt;</w:t>
      </w:r>
    </w:p>
    <w:p w14:paraId="4FFCBFF6"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E5D157D" w14:textId="77777777" w:rsidR="008144C7" w:rsidRPr="00635D1D" w:rsidRDefault="008144C7" w:rsidP="008144C7">
      <w:pPr>
        <w:pStyle w:val="NormalBold"/>
      </w:pPr>
      <w:r w:rsidRPr="00635D1D">
        <w:rPr>
          <w:rStyle w:val="HideTWBExt"/>
          <w:b w:val="0"/>
        </w:rPr>
        <w:t>&lt;Article&gt;</w:t>
      </w:r>
      <w:r w:rsidRPr="00635D1D">
        <w:t>Artykuł 1 – akapit 1 – punkt -1 c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p w14:paraId="440E1D13"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6C7E325F" w14:textId="77777777" w:rsidR="008144C7" w:rsidRPr="00635D1D" w:rsidRDefault="008144C7" w:rsidP="008144C7">
      <w:r w:rsidRPr="00635D1D">
        <w:rPr>
          <w:rStyle w:val="HideTWBExt"/>
        </w:rPr>
        <w:t>&lt;Article2&gt;</w:t>
      </w:r>
      <w:r w:rsidRPr="00635D1D">
        <w:t>Artykuł 37 – ustęp 1</w:t>
      </w:r>
      <w:r w:rsidRPr="00635D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76D06CC" w14:textId="77777777" w:rsidTr="00C5582D">
        <w:trPr>
          <w:trHeight w:val="240"/>
          <w:jc w:val="center"/>
        </w:trPr>
        <w:tc>
          <w:tcPr>
            <w:tcW w:w="9752" w:type="dxa"/>
            <w:gridSpan w:val="2"/>
            <w:tcBorders>
              <w:top w:val="nil"/>
              <w:left w:val="nil"/>
              <w:bottom w:val="nil"/>
              <w:right w:val="nil"/>
            </w:tcBorders>
          </w:tcPr>
          <w:p w14:paraId="405F69DC" w14:textId="77777777" w:rsidR="008144C7" w:rsidRPr="00635D1D" w:rsidRDefault="008144C7" w:rsidP="00C5582D"/>
        </w:tc>
      </w:tr>
      <w:tr w:rsidR="008144C7" w:rsidRPr="00635D1D" w14:paraId="049A70CE" w14:textId="77777777" w:rsidTr="00C5582D">
        <w:trPr>
          <w:trHeight w:val="240"/>
          <w:jc w:val="center"/>
        </w:trPr>
        <w:tc>
          <w:tcPr>
            <w:tcW w:w="4876" w:type="dxa"/>
            <w:tcBorders>
              <w:top w:val="nil"/>
              <w:left w:val="nil"/>
              <w:bottom w:val="nil"/>
              <w:right w:val="nil"/>
            </w:tcBorders>
            <w:hideMark/>
          </w:tcPr>
          <w:p w14:paraId="1CAA8CD7" w14:textId="77777777" w:rsidR="008144C7" w:rsidRPr="00635D1D" w:rsidRDefault="008144C7" w:rsidP="00C5582D">
            <w:pPr>
              <w:pStyle w:val="AmColumnHeading"/>
            </w:pPr>
            <w:r w:rsidRPr="00635D1D">
              <w:t>Tekst obowiązujący</w:t>
            </w:r>
          </w:p>
        </w:tc>
        <w:tc>
          <w:tcPr>
            <w:tcW w:w="4876" w:type="dxa"/>
            <w:tcBorders>
              <w:top w:val="nil"/>
              <w:left w:val="nil"/>
              <w:bottom w:val="nil"/>
              <w:right w:val="nil"/>
            </w:tcBorders>
            <w:hideMark/>
          </w:tcPr>
          <w:p w14:paraId="55E9C795" w14:textId="77777777" w:rsidR="008144C7" w:rsidRPr="00635D1D" w:rsidRDefault="008144C7" w:rsidP="00C5582D">
            <w:pPr>
              <w:pStyle w:val="AmColumnHeading"/>
            </w:pPr>
            <w:r w:rsidRPr="00635D1D">
              <w:t>Poprawka</w:t>
            </w:r>
          </w:p>
        </w:tc>
      </w:tr>
      <w:tr w:rsidR="008144C7" w:rsidRPr="00635D1D" w14:paraId="089D3259" w14:textId="77777777" w:rsidTr="00C5582D">
        <w:trPr>
          <w:jc w:val="center"/>
        </w:trPr>
        <w:tc>
          <w:tcPr>
            <w:tcW w:w="4876" w:type="dxa"/>
            <w:tcBorders>
              <w:top w:val="nil"/>
              <w:left w:val="nil"/>
              <w:bottom w:val="nil"/>
              <w:right w:val="nil"/>
            </w:tcBorders>
          </w:tcPr>
          <w:p w14:paraId="33E641DD" w14:textId="77777777" w:rsidR="008144C7" w:rsidRPr="00635D1D" w:rsidRDefault="008144C7" w:rsidP="00C5582D">
            <w:pPr>
              <w:pStyle w:val="Normal6a"/>
            </w:pPr>
          </w:p>
        </w:tc>
        <w:tc>
          <w:tcPr>
            <w:tcW w:w="4876" w:type="dxa"/>
            <w:tcBorders>
              <w:top w:val="nil"/>
              <w:left w:val="nil"/>
              <w:bottom w:val="nil"/>
              <w:right w:val="nil"/>
            </w:tcBorders>
            <w:hideMark/>
          </w:tcPr>
          <w:p w14:paraId="23798983" w14:textId="77777777" w:rsidR="008144C7" w:rsidRPr="00635D1D" w:rsidRDefault="008144C7" w:rsidP="00C5582D">
            <w:pPr>
              <w:pStyle w:val="Normal6a"/>
            </w:pPr>
            <w:r w:rsidRPr="00635D1D">
              <w:rPr>
                <w:b/>
                <w:i/>
              </w:rPr>
              <w:t>-1c)</w:t>
            </w:r>
            <w:r w:rsidRPr="00635D1D">
              <w:tab/>
            </w:r>
            <w:r w:rsidRPr="00635D1D">
              <w:rPr>
                <w:b/>
                <w:i/>
              </w:rPr>
              <w:t>art. 37 ust. 1 otrzymuje brzmienie:</w:t>
            </w:r>
          </w:p>
        </w:tc>
      </w:tr>
      <w:tr w:rsidR="008144C7" w:rsidRPr="00635D1D" w14:paraId="323487A1" w14:textId="77777777" w:rsidTr="00C5582D">
        <w:trPr>
          <w:jc w:val="center"/>
        </w:trPr>
        <w:tc>
          <w:tcPr>
            <w:tcW w:w="4876" w:type="dxa"/>
            <w:tcBorders>
              <w:top w:val="nil"/>
              <w:left w:val="nil"/>
              <w:bottom w:val="nil"/>
              <w:right w:val="nil"/>
            </w:tcBorders>
            <w:hideMark/>
          </w:tcPr>
          <w:p w14:paraId="11A125F3" w14:textId="77777777" w:rsidR="008144C7" w:rsidRPr="00635D1D" w:rsidRDefault="008144C7" w:rsidP="00C5582D">
            <w:pPr>
              <w:pStyle w:val="Normal6a"/>
            </w:pPr>
            <w:r w:rsidRPr="00635D1D">
              <w:t>1. Właściwy organ państwa członkowskiego może przedłożyć Agencji wniosek o zharmonizowaną klasyfikację i zharmonizowane oznakowanie substancji lub grupy substancji oraz, w stosownych przypadkach, specyficzne stężenia graniczne</w:t>
            </w:r>
            <w:r w:rsidRPr="00635D1D">
              <w:rPr>
                <w:b/>
                <w:i/>
              </w:rPr>
              <w:t>,</w:t>
            </w:r>
            <w:r w:rsidRPr="00635D1D">
              <w:t xml:space="preserve"> współczynniki M lub </w:t>
            </w:r>
            <w:r w:rsidRPr="00635D1D">
              <w:rPr>
                <w:b/>
                <w:bCs/>
                <w:i/>
                <w:iCs/>
              </w:rPr>
              <w:t>oszacowaną toksyczność ostrą lub</w:t>
            </w:r>
            <w:r w:rsidRPr="00635D1D">
              <w:t xml:space="preserve"> wniosek o ich przegląd. Komisja może zwrócić się do Agencji lub do Europejskiego Urzędu ds. Bezpieczeństwa Żywności (zwanego dalej „Urzędem”) ustanowionego zgodnie z art. 1 ust. 2 rozporządzenia (WE) nr 178/2002 o przygotowanie wniosku o zharmonizowaną klasyfikację i zharmonizowane oznakowanie substancji lub grupy substancji oraz, w stosownych przypadkach, specyficzne stężenia graniczne, współczynniki M lub oszacowaną toksyczność ostrą lub wniosku o ich przegląd. Komisja może następnie przedłożyć wniosek Agencji. Komisja może następnie przedłożyć wniosek Agencji. </w:t>
            </w:r>
            <w:r w:rsidRPr="00635D1D">
              <w:rPr>
                <w:b/>
                <w:i/>
              </w:rPr>
              <w:t>Wnioski dotyczące zharmonizowanej klasyfikacji i zharmonizowanego oznakowania substancji lub grupy substancji, o których mowa w akapicie pierwszym i drugim, są zgodne</w:t>
            </w:r>
            <w:r w:rsidRPr="00635D1D">
              <w:t xml:space="preserve"> z formatem określonym w części 2 załącznika VI i </w:t>
            </w:r>
            <w:r w:rsidRPr="00635D1D">
              <w:rPr>
                <w:b/>
                <w:i/>
              </w:rPr>
              <w:t>zawierają</w:t>
            </w:r>
            <w:r w:rsidRPr="00635D1D">
              <w:t xml:space="preserve"> odpowiednie informacje </w:t>
            </w:r>
            <w:r w:rsidRPr="00635D1D">
              <w:rPr>
                <w:b/>
                <w:i/>
              </w:rPr>
              <w:t>przewidziane</w:t>
            </w:r>
            <w:r w:rsidRPr="00635D1D">
              <w:t xml:space="preserve"> w części 1 załącznika VI.</w:t>
            </w:r>
          </w:p>
        </w:tc>
        <w:tc>
          <w:tcPr>
            <w:tcW w:w="4876" w:type="dxa"/>
            <w:tcBorders>
              <w:top w:val="nil"/>
              <w:left w:val="nil"/>
              <w:bottom w:val="nil"/>
              <w:right w:val="nil"/>
            </w:tcBorders>
            <w:hideMark/>
          </w:tcPr>
          <w:p w14:paraId="6E3995CB" w14:textId="77777777" w:rsidR="008144C7" w:rsidRPr="00635D1D" w:rsidRDefault="008144C7" w:rsidP="00C5582D">
            <w:pPr>
              <w:pStyle w:val="Normal6a"/>
            </w:pPr>
            <w:r w:rsidRPr="00635D1D">
              <w:rPr>
                <w:b/>
                <w:bCs/>
                <w:i/>
                <w:iCs/>
              </w:rPr>
              <w:t>„</w:t>
            </w:r>
            <w:r w:rsidRPr="00635D1D">
              <w:t>1. Właściwy organ państwa członkowskiego może przedłożyć Agencji wniosek o zharmonizowaną klasyfikację i zharmonizowane oznakowanie substancji lub grupy substancji oraz, w stosownych przypadkach, specyficzne stężenia graniczne</w:t>
            </w:r>
            <w:r w:rsidRPr="00635D1D">
              <w:rPr>
                <w:b/>
                <w:bCs/>
                <w:i/>
                <w:iCs/>
              </w:rPr>
              <w:t xml:space="preserve"> lub</w:t>
            </w:r>
            <w:r w:rsidRPr="00635D1D">
              <w:t xml:space="preserve"> współczynniki M lub wniosek o ich przegląd.</w:t>
            </w:r>
          </w:p>
        </w:tc>
      </w:tr>
      <w:tr w:rsidR="008144C7" w:rsidRPr="00635D1D" w14:paraId="057095F4" w14:textId="77777777" w:rsidTr="00C5582D">
        <w:trPr>
          <w:jc w:val="center"/>
        </w:trPr>
        <w:tc>
          <w:tcPr>
            <w:tcW w:w="4876" w:type="dxa"/>
            <w:tcBorders>
              <w:top w:val="nil"/>
              <w:left w:val="nil"/>
              <w:bottom w:val="nil"/>
              <w:right w:val="nil"/>
            </w:tcBorders>
          </w:tcPr>
          <w:p w14:paraId="24440122" w14:textId="77777777" w:rsidR="008144C7" w:rsidRPr="00635D1D" w:rsidRDefault="008144C7" w:rsidP="00C5582D">
            <w:pPr>
              <w:pStyle w:val="Normal6a"/>
            </w:pPr>
          </w:p>
        </w:tc>
        <w:tc>
          <w:tcPr>
            <w:tcW w:w="4876" w:type="dxa"/>
            <w:tcBorders>
              <w:top w:val="nil"/>
              <w:left w:val="nil"/>
              <w:bottom w:val="nil"/>
              <w:right w:val="nil"/>
            </w:tcBorders>
            <w:hideMark/>
          </w:tcPr>
          <w:p w14:paraId="5FEC406E" w14:textId="77777777" w:rsidR="008144C7" w:rsidRPr="00635D1D" w:rsidRDefault="008144C7" w:rsidP="00C5582D">
            <w:pPr>
              <w:pStyle w:val="Normal6a"/>
            </w:pPr>
            <w:r w:rsidRPr="00635D1D">
              <w:t>Komisja może zwrócić się do Agencji lub do Europejskiego Urzędu ds. Bezpieczeństwa Żywności (zwanego dalej „Urzędem”) ustanowionego zgodnie z art. 1 ust. 2 rozporządzenia (WE) nr 178/2002 o przygotowanie wniosku o zharmonizowaną klasyfikację i zharmonizowane oznakowanie substancji lub grupy substancji oraz, w stosownych przypadkach, specyficzne stężenia graniczne, współczynniki M lub oszacowaną toksyczność ostrą lub wniosku o ich przegląd. Komisja może następnie przedłożyć wniosek Agencji. Komisja może następnie przedłożyć wniosek Agencji.</w:t>
            </w:r>
          </w:p>
        </w:tc>
      </w:tr>
      <w:tr w:rsidR="008144C7" w:rsidRPr="00635D1D" w14:paraId="00F7F104" w14:textId="77777777" w:rsidTr="00C5582D">
        <w:trPr>
          <w:jc w:val="center"/>
        </w:trPr>
        <w:tc>
          <w:tcPr>
            <w:tcW w:w="4876" w:type="dxa"/>
            <w:tcBorders>
              <w:top w:val="nil"/>
              <w:left w:val="nil"/>
              <w:bottom w:val="nil"/>
              <w:right w:val="nil"/>
            </w:tcBorders>
          </w:tcPr>
          <w:p w14:paraId="4B356AE3" w14:textId="77777777" w:rsidR="008144C7" w:rsidRPr="00635D1D" w:rsidRDefault="008144C7" w:rsidP="00C5582D">
            <w:pPr>
              <w:pStyle w:val="Normal6a"/>
            </w:pPr>
          </w:p>
        </w:tc>
        <w:tc>
          <w:tcPr>
            <w:tcW w:w="4876" w:type="dxa"/>
            <w:tcBorders>
              <w:top w:val="nil"/>
              <w:left w:val="nil"/>
              <w:bottom w:val="nil"/>
              <w:right w:val="nil"/>
            </w:tcBorders>
            <w:hideMark/>
          </w:tcPr>
          <w:p w14:paraId="5B52579C" w14:textId="77777777" w:rsidR="008144C7" w:rsidRPr="00635D1D" w:rsidRDefault="008144C7" w:rsidP="00C5582D">
            <w:pPr>
              <w:pStyle w:val="Normal6a"/>
            </w:pPr>
            <w:r w:rsidRPr="00635D1D">
              <w:rPr>
                <w:b/>
                <w:i/>
              </w:rPr>
              <w:t>Przed złożeniem wniosku właściwy organ systematycznie weryfikuje: a) czy dostępne informacje toksykologiczne i ekotoksykologiczne są istotne dla faktycznego i zamierzonego zastosowania substancji lub mieszaniny;</w:t>
            </w:r>
          </w:p>
        </w:tc>
      </w:tr>
      <w:tr w:rsidR="008144C7" w:rsidRPr="00635D1D" w14:paraId="5332C50A" w14:textId="77777777" w:rsidTr="00C5582D">
        <w:trPr>
          <w:jc w:val="center"/>
        </w:trPr>
        <w:tc>
          <w:tcPr>
            <w:tcW w:w="4876" w:type="dxa"/>
            <w:tcBorders>
              <w:top w:val="nil"/>
              <w:left w:val="nil"/>
              <w:bottom w:val="nil"/>
              <w:right w:val="nil"/>
            </w:tcBorders>
          </w:tcPr>
          <w:p w14:paraId="42E5C4CD" w14:textId="77777777" w:rsidR="008144C7" w:rsidRPr="00635D1D" w:rsidRDefault="008144C7" w:rsidP="00C5582D">
            <w:pPr>
              <w:pStyle w:val="Normal6a"/>
            </w:pPr>
          </w:p>
        </w:tc>
        <w:tc>
          <w:tcPr>
            <w:tcW w:w="4876" w:type="dxa"/>
            <w:tcBorders>
              <w:top w:val="nil"/>
              <w:left w:val="nil"/>
              <w:bottom w:val="nil"/>
              <w:right w:val="nil"/>
            </w:tcBorders>
            <w:hideMark/>
          </w:tcPr>
          <w:p w14:paraId="03BBB59C" w14:textId="77777777" w:rsidR="008144C7" w:rsidRPr="00635D1D" w:rsidRDefault="008144C7" w:rsidP="00C5582D">
            <w:pPr>
              <w:pStyle w:val="Normal6a"/>
            </w:pPr>
            <w:r w:rsidRPr="00635D1D">
              <w:rPr>
                <w:b/>
                <w:i/>
              </w:rPr>
              <w:t xml:space="preserve">b) </w:t>
            </w:r>
            <w:r w:rsidRPr="00635D1D">
              <w:rPr>
                <w:b/>
                <w:bCs/>
                <w:i/>
                <w:iCs/>
              </w:rPr>
              <w:t>czy dla danej kategorii zagrożenia istnieje co najmniej jedna rzeczywista i istotna ilościowo droga narażenia (doustna, skórna lub inhalacyjna), przy czym należy w szczególności sprawdzić, czy ilość, stężenie i długość przewidywanego narażenia są wystarczające, aby wywołać skutki opisane w danych toksykologicznych;</w:t>
            </w:r>
          </w:p>
        </w:tc>
      </w:tr>
      <w:tr w:rsidR="008144C7" w:rsidRPr="00635D1D" w14:paraId="5DEBB9BF" w14:textId="77777777" w:rsidTr="00C5582D">
        <w:trPr>
          <w:jc w:val="center"/>
        </w:trPr>
        <w:tc>
          <w:tcPr>
            <w:tcW w:w="4876" w:type="dxa"/>
            <w:tcBorders>
              <w:top w:val="nil"/>
              <w:left w:val="nil"/>
              <w:bottom w:val="nil"/>
              <w:right w:val="nil"/>
            </w:tcBorders>
          </w:tcPr>
          <w:p w14:paraId="5DBDE048" w14:textId="77777777" w:rsidR="008144C7" w:rsidRPr="00635D1D" w:rsidRDefault="008144C7" w:rsidP="00C5582D">
            <w:pPr>
              <w:pStyle w:val="Normal6a"/>
            </w:pPr>
          </w:p>
        </w:tc>
        <w:tc>
          <w:tcPr>
            <w:tcW w:w="4876" w:type="dxa"/>
            <w:tcBorders>
              <w:top w:val="nil"/>
              <w:left w:val="nil"/>
              <w:bottom w:val="nil"/>
              <w:right w:val="nil"/>
            </w:tcBorders>
            <w:hideMark/>
          </w:tcPr>
          <w:p w14:paraId="58520737" w14:textId="77777777" w:rsidR="008144C7" w:rsidRPr="00635D1D" w:rsidRDefault="008144C7" w:rsidP="00C5582D">
            <w:pPr>
              <w:pStyle w:val="Normal6a"/>
            </w:pPr>
            <w:r w:rsidRPr="00635D1D">
              <w:rPr>
                <w:b/>
                <w:i/>
              </w:rPr>
              <w:t>c) czy dowody naukowe pochodzące z ośrodków kontroli zatruć, badań medycyny pracy, danych z nadzoru rynku lub badań epidemiologicznych dostarczają wskazówek co do istotności zagrożeń w rzeczywistym kontekście zastosowania.</w:t>
            </w:r>
          </w:p>
        </w:tc>
      </w:tr>
      <w:tr w:rsidR="008144C7" w:rsidRPr="00635D1D" w14:paraId="3F4957C0" w14:textId="77777777" w:rsidTr="00C5582D">
        <w:trPr>
          <w:jc w:val="center"/>
        </w:trPr>
        <w:tc>
          <w:tcPr>
            <w:tcW w:w="4876" w:type="dxa"/>
            <w:tcBorders>
              <w:top w:val="nil"/>
              <w:left w:val="nil"/>
              <w:bottom w:val="nil"/>
              <w:right w:val="nil"/>
            </w:tcBorders>
          </w:tcPr>
          <w:p w14:paraId="3741BC63" w14:textId="77777777" w:rsidR="008144C7" w:rsidRPr="00635D1D" w:rsidRDefault="008144C7" w:rsidP="00C5582D">
            <w:pPr>
              <w:pStyle w:val="Normal6a"/>
            </w:pPr>
          </w:p>
        </w:tc>
        <w:tc>
          <w:tcPr>
            <w:tcW w:w="4876" w:type="dxa"/>
            <w:tcBorders>
              <w:top w:val="nil"/>
              <w:left w:val="nil"/>
              <w:bottom w:val="nil"/>
              <w:right w:val="nil"/>
            </w:tcBorders>
            <w:hideMark/>
          </w:tcPr>
          <w:p w14:paraId="6FE5004C" w14:textId="77777777" w:rsidR="008144C7" w:rsidRPr="00635D1D" w:rsidRDefault="008144C7" w:rsidP="00C5582D">
            <w:pPr>
              <w:pStyle w:val="Normal6a"/>
            </w:pPr>
            <w:r w:rsidRPr="00635D1D">
              <w:rPr>
                <w:b/>
                <w:bCs/>
                <w:i/>
                <w:iCs/>
              </w:rPr>
              <w:t>Jeżeli weryfikacja ta wykaże, że nie istnieje żadna istotna droga narażenia lub że w zamierzonych warunkach nie mogą wystąpić przesłanki zagrożenia, nie składa się wniosku o zharmonizowaną klasyfikację.</w:t>
            </w:r>
          </w:p>
        </w:tc>
      </w:tr>
      <w:tr w:rsidR="008144C7" w:rsidRPr="00635D1D" w14:paraId="369511F3" w14:textId="77777777" w:rsidTr="00C5582D">
        <w:trPr>
          <w:jc w:val="center"/>
        </w:trPr>
        <w:tc>
          <w:tcPr>
            <w:tcW w:w="4876" w:type="dxa"/>
            <w:tcBorders>
              <w:top w:val="nil"/>
              <w:left w:val="nil"/>
              <w:bottom w:val="nil"/>
              <w:right w:val="nil"/>
            </w:tcBorders>
          </w:tcPr>
          <w:p w14:paraId="7BB82934" w14:textId="77777777" w:rsidR="008144C7" w:rsidRPr="00635D1D" w:rsidRDefault="008144C7" w:rsidP="00C5582D">
            <w:pPr>
              <w:pStyle w:val="Normal6a"/>
            </w:pPr>
          </w:p>
        </w:tc>
        <w:tc>
          <w:tcPr>
            <w:tcW w:w="4876" w:type="dxa"/>
            <w:tcBorders>
              <w:top w:val="nil"/>
              <w:left w:val="nil"/>
              <w:bottom w:val="nil"/>
              <w:right w:val="nil"/>
            </w:tcBorders>
            <w:hideMark/>
          </w:tcPr>
          <w:p w14:paraId="6311A287" w14:textId="77777777" w:rsidR="008144C7" w:rsidRPr="00635D1D" w:rsidRDefault="008144C7" w:rsidP="00C5582D">
            <w:pPr>
              <w:pStyle w:val="Normal6a"/>
            </w:pPr>
            <w:r w:rsidRPr="00635D1D">
              <w:rPr>
                <w:b/>
                <w:i/>
              </w:rPr>
              <w:t>Wniosek złożony przez Urząd jest zgodny</w:t>
            </w:r>
            <w:r w:rsidRPr="00635D1D">
              <w:t xml:space="preserve"> z formatem określonym w części 2 załącznika VI i </w:t>
            </w:r>
            <w:r w:rsidRPr="00635D1D">
              <w:rPr>
                <w:b/>
                <w:i/>
              </w:rPr>
              <w:t>zawiera</w:t>
            </w:r>
            <w:r w:rsidRPr="00635D1D">
              <w:t xml:space="preserve"> odpowiednie informacje </w:t>
            </w:r>
            <w:r w:rsidRPr="00635D1D">
              <w:rPr>
                <w:b/>
                <w:i/>
              </w:rPr>
              <w:t>określone</w:t>
            </w:r>
            <w:r w:rsidRPr="00635D1D">
              <w:t xml:space="preserve"> w części 1 załącznika VI.</w:t>
            </w:r>
            <w:r w:rsidRPr="00635D1D">
              <w:rPr>
                <w:b/>
                <w:i/>
              </w:rPr>
              <w:t>”;</w:t>
            </w:r>
          </w:p>
        </w:tc>
      </w:tr>
    </w:tbl>
    <w:p w14:paraId="0FDE6941"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{DE}</w:t>
      </w:r>
      <w:r w:rsidRPr="00E90719">
        <w:rPr>
          <w:lang w:val="en-GB"/>
        </w:rPr>
        <w:t>de</w:t>
      </w:r>
      <w:r w:rsidRPr="00E90719">
        <w:rPr>
          <w:rStyle w:val="HideTWBExt"/>
          <w:lang w:val="en-GB"/>
        </w:rPr>
        <w:t>&lt;/Original&gt;</w:t>
      </w:r>
    </w:p>
    <w:p w14:paraId="62788B26" w14:textId="77777777" w:rsidR="008144C7" w:rsidRPr="00E90719" w:rsidRDefault="008144C7" w:rsidP="008144C7">
      <w:pPr>
        <w:pStyle w:val="AmCrossRef"/>
        <w:rPr>
          <w:lang w:val="en-GB"/>
        </w:rPr>
      </w:pPr>
      <w:r w:rsidRPr="00E90719">
        <w:rPr>
          <w:lang w:val="en-GB"/>
        </w:rPr>
        <w:t>(https://eur-lex.europa.eu/legal-content/PL/TXT/PDF/?uri=CELEX:02008R1272-20250901&amp;qid=1769779965164)</w:t>
      </w:r>
    </w:p>
    <w:p w14:paraId="457F14E9"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3751FBE5" w14:textId="77777777" w:rsidR="008144C7" w:rsidRPr="00635D1D" w:rsidRDefault="008144C7" w:rsidP="008144C7">
      <w:pPr>
        <w:pStyle w:val="AmJustText"/>
      </w:pPr>
      <w:r w:rsidRPr="00635D1D">
        <w:t>Poprawki do art. 37 gwarantują, że zharmonizowane klasyfikacje nie są uruchamiane automatycznie, lecz podlegają uprzedniej weryfikacji pod kątem przydatności w oparciu o rzeczywiste dane i istotne praktyczne scenariusze ryzyka. Ponadto gwarantuje się, że decyzja o konieczności zharmonizowanej klasyfikacji substancji ochrony roślin oraz biobójczych substancji czynnych będzie, tak jak to miało miejsce przed zmianą rozporządzenia (UE) 2024/2865, ponownie podlegać ocenie przez właściwe organy i Komisję.</w:t>
      </w:r>
    </w:p>
    <w:p w14:paraId="5F396472" w14:textId="77777777" w:rsidR="008144C7" w:rsidRPr="00E90719" w:rsidRDefault="008144C7" w:rsidP="008144C7">
      <w:pPr>
        <w:rPr>
          <w:lang w:val="en-GB"/>
        </w:rPr>
      </w:pPr>
      <w:r w:rsidRPr="00E90719">
        <w:rPr>
          <w:rStyle w:val="HideTWBExt"/>
          <w:lang w:val="en-GB"/>
        </w:rPr>
        <w:t>&lt;/Amend&gt;</w:t>
      </w:r>
    </w:p>
    <w:p w14:paraId="1BA8EB1E"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254</w:t>
      </w:r>
      <w:r w:rsidRPr="00E90719">
        <w:rPr>
          <w:rStyle w:val="HideTWBExt"/>
          <w:b w:val="0"/>
          <w:lang w:val="en-GB"/>
        </w:rPr>
        <w:t>&lt;/NumAm&gt;</w:t>
      </w:r>
    </w:p>
    <w:p w14:paraId="3A5094BF"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Majdouline Sbai</w:t>
      </w:r>
      <w:r w:rsidRPr="00E90719">
        <w:rPr>
          <w:rStyle w:val="HideTWBExt"/>
          <w:b w:val="0"/>
          <w:lang w:val="en-GB"/>
        </w:rPr>
        <w:t>&lt;/Members&gt;</w:t>
      </w:r>
    </w:p>
    <w:p w14:paraId="40673BBA" w14:textId="77777777" w:rsidR="008144C7" w:rsidRPr="00635D1D" w:rsidRDefault="008144C7" w:rsidP="008144C7">
      <w:pPr>
        <w:pStyle w:val="NormalBold"/>
      </w:pPr>
      <w:r w:rsidRPr="00635D1D">
        <w:rPr>
          <w:rStyle w:val="HideTWBExt"/>
          <w:b w:val="0"/>
        </w:rPr>
        <w:t>&lt;/RepeatBlock-By&gt;</w:t>
      </w:r>
    </w:p>
    <w:p w14:paraId="536B2E54"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1DD2B99" w14:textId="77777777" w:rsidR="008144C7" w:rsidRPr="00E90719" w:rsidRDefault="008144C7" w:rsidP="008144C7">
      <w:pPr>
        <w:pStyle w:val="NormalBold"/>
        <w:rPr>
          <w:lang w:val="fr-BE"/>
        </w:rPr>
      </w:pPr>
      <w:r w:rsidRPr="00E90719">
        <w:rPr>
          <w:rStyle w:val="HideTWBExt"/>
          <w:b w:val="0"/>
          <w:lang w:val="fr-BE"/>
        </w:rPr>
        <w:t>&lt;Article&gt;</w:t>
      </w:r>
      <w:r w:rsidRPr="00E90719">
        <w:rPr>
          <w:lang w:val="fr-BE"/>
        </w:rPr>
        <w:t>Artykuł 1 – akapit 1 – punkt 1</w:t>
      </w:r>
      <w:r w:rsidRPr="00E90719">
        <w:rPr>
          <w:rStyle w:val="HideTWBExt"/>
          <w:b w:val="0"/>
          <w:lang w:val="fr-BE"/>
        </w:rPr>
        <w:t>&lt;/Article&gt;</w:t>
      </w:r>
    </w:p>
    <w:p w14:paraId="2CDE79AE"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6DEECDAB" w14:textId="77777777" w:rsidR="008144C7" w:rsidRPr="00635D1D" w:rsidRDefault="008144C7" w:rsidP="008144C7">
      <w:r w:rsidRPr="00635D1D">
        <w:rPr>
          <w:rStyle w:val="HideTWBExt"/>
        </w:rPr>
        <w:t>&lt;Article2&gt;</w:t>
      </w:r>
      <w:r w:rsidRPr="00635D1D">
        <w:t>Artykuł 2 – punkt 42</w:t>
      </w:r>
      <w:r w:rsidRPr="00635D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412A1FF8" w14:textId="77777777" w:rsidTr="00C5582D">
        <w:trPr>
          <w:trHeight w:val="240"/>
          <w:jc w:val="center"/>
        </w:trPr>
        <w:tc>
          <w:tcPr>
            <w:tcW w:w="9752" w:type="dxa"/>
            <w:gridSpan w:val="2"/>
            <w:tcBorders>
              <w:top w:val="nil"/>
              <w:left w:val="nil"/>
              <w:bottom w:val="nil"/>
              <w:right w:val="nil"/>
            </w:tcBorders>
          </w:tcPr>
          <w:p w14:paraId="7D550191" w14:textId="77777777" w:rsidR="008144C7" w:rsidRPr="00635D1D" w:rsidRDefault="008144C7" w:rsidP="00C5582D"/>
        </w:tc>
      </w:tr>
      <w:tr w:rsidR="008144C7" w:rsidRPr="00635D1D" w14:paraId="0B92BACA" w14:textId="77777777" w:rsidTr="00C5582D">
        <w:trPr>
          <w:trHeight w:val="240"/>
          <w:jc w:val="center"/>
        </w:trPr>
        <w:tc>
          <w:tcPr>
            <w:tcW w:w="4876" w:type="dxa"/>
            <w:tcBorders>
              <w:top w:val="nil"/>
              <w:left w:val="nil"/>
              <w:bottom w:val="nil"/>
              <w:right w:val="nil"/>
            </w:tcBorders>
            <w:hideMark/>
          </w:tcPr>
          <w:p w14:paraId="08195686"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F18F598" w14:textId="77777777" w:rsidR="008144C7" w:rsidRPr="00635D1D" w:rsidRDefault="008144C7" w:rsidP="00C5582D">
            <w:pPr>
              <w:pStyle w:val="AmColumnHeading"/>
            </w:pPr>
            <w:r w:rsidRPr="00635D1D">
              <w:t>Poprawka</w:t>
            </w:r>
          </w:p>
        </w:tc>
      </w:tr>
      <w:tr w:rsidR="008144C7" w:rsidRPr="00635D1D" w14:paraId="256280CF" w14:textId="77777777" w:rsidTr="00C5582D">
        <w:trPr>
          <w:jc w:val="center"/>
        </w:trPr>
        <w:tc>
          <w:tcPr>
            <w:tcW w:w="4876" w:type="dxa"/>
            <w:tcBorders>
              <w:top w:val="nil"/>
              <w:left w:val="nil"/>
              <w:bottom w:val="nil"/>
              <w:right w:val="nil"/>
            </w:tcBorders>
            <w:hideMark/>
          </w:tcPr>
          <w:p w14:paraId="17148072" w14:textId="77777777" w:rsidR="008144C7" w:rsidRPr="00635D1D" w:rsidRDefault="008144C7" w:rsidP="00C5582D">
            <w:pPr>
              <w:pStyle w:val="Normal6a"/>
            </w:pPr>
            <w:r w:rsidRPr="00635D1D">
              <w:t>42)</w:t>
            </w:r>
            <w:r w:rsidRPr="00635D1D">
              <w:tab/>
              <w:t xml:space="preserve">»kontakt elektroniczny« oznacza każdy aktualny i dostępny internetowy kanał komunikacyjny, za pośrednictwem którego można </w:t>
            </w:r>
            <w:r w:rsidRPr="00635D1D">
              <w:rPr>
                <w:b/>
                <w:i/>
              </w:rPr>
              <w:t>dotrzeć do dostawcy lub zaangażować go</w:t>
            </w:r>
            <w:r w:rsidRPr="00635D1D">
              <w:t xml:space="preserve"> bez konieczności rejestracji lub pobierania aplikacji.</w:t>
            </w:r>
          </w:p>
        </w:tc>
        <w:tc>
          <w:tcPr>
            <w:tcW w:w="4876" w:type="dxa"/>
            <w:tcBorders>
              <w:top w:val="nil"/>
              <w:left w:val="nil"/>
              <w:bottom w:val="nil"/>
              <w:right w:val="nil"/>
            </w:tcBorders>
            <w:hideMark/>
          </w:tcPr>
          <w:p w14:paraId="08905D93" w14:textId="77777777" w:rsidR="008144C7" w:rsidRPr="00635D1D" w:rsidRDefault="008144C7" w:rsidP="00C5582D">
            <w:pPr>
              <w:pStyle w:val="Normal6a"/>
            </w:pPr>
            <w:r w:rsidRPr="00635D1D">
              <w:t>42)</w:t>
            </w:r>
            <w:r w:rsidRPr="00635D1D">
              <w:tab/>
              <w:t xml:space="preserve">»kontakt elektroniczny« oznacza każdy aktualny i </w:t>
            </w:r>
            <w:r w:rsidRPr="00635D1D">
              <w:rPr>
                <w:b/>
                <w:i/>
              </w:rPr>
              <w:t>swobodnie</w:t>
            </w:r>
            <w:r w:rsidRPr="00635D1D">
              <w:t xml:space="preserve"> dostępny internetowy kanał komunikacyjny</w:t>
            </w:r>
            <w:r w:rsidRPr="00635D1D">
              <w:rPr>
                <w:b/>
                <w:i/>
              </w:rPr>
              <w:t>, taki jak e-mail lub link internetowy</w:t>
            </w:r>
            <w:r w:rsidRPr="00635D1D">
              <w:t xml:space="preserve">, za pośrednictwem którego można </w:t>
            </w:r>
            <w:r w:rsidRPr="00635D1D">
              <w:rPr>
                <w:b/>
                <w:i/>
              </w:rPr>
              <w:t>skontaktować się z dostawcą</w:t>
            </w:r>
            <w:r w:rsidRPr="00635D1D">
              <w:t xml:space="preserve"> bez konieczności rejestracji lub pobierania </w:t>
            </w:r>
            <w:r w:rsidRPr="00635D1D">
              <w:rPr>
                <w:b/>
                <w:i/>
              </w:rPr>
              <w:t>bądź używania</w:t>
            </w:r>
            <w:r w:rsidRPr="00635D1D">
              <w:t xml:space="preserve"> aplikacji. </w:t>
            </w:r>
            <w:r w:rsidRPr="00635D1D">
              <w:rPr>
                <w:b/>
                <w:i/>
              </w:rPr>
              <w:t xml:space="preserve">Kontakt elektroniczny umożliwia użytkownikom i właściwym organom nawiązanie dialogu z podmiotami gospodarczymi i wyklucza stosowanie automatycznych środków lub odpowiedzi, takich jak </w:t>
            </w:r>
            <w:proofErr w:type="spellStart"/>
            <w:r w:rsidRPr="00635D1D">
              <w:rPr>
                <w:b/>
                <w:i/>
              </w:rPr>
              <w:t>chatboty</w:t>
            </w:r>
            <w:proofErr w:type="spellEnd"/>
            <w:r w:rsidRPr="00635D1D">
              <w:rPr>
                <w:b/>
                <w:i/>
              </w:rPr>
              <w:t xml:space="preserve"> lub automatyczne odpowiedzi</w:t>
            </w:r>
            <w:r w:rsidRPr="00635D1D">
              <w:t>;</w:t>
            </w:r>
          </w:p>
        </w:tc>
      </w:tr>
    </w:tbl>
    <w:p w14:paraId="4EF445B6"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0C234005"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3F5BBEAE" w14:textId="77777777" w:rsidR="008144C7" w:rsidRPr="00635D1D" w:rsidRDefault="008144C7" w:rsidP="008144C7">
      <w:pPr>
        <w:pStyle w:val="AmJustText"/>
      </w:pPr>
      <w:r w:rsidRPr="00635D1D">
        <w:t xml:space="preserve">Należy doprecyzować, że kontakt elektroniczny powinien służyć wszystkim użytkownikom i właściwym organom do nawiązania dialogu z podmiotami gospodarczymi oraz że powinien wykluczać stosowanie automatycznych środków lub odpowiedzi, takich jak </w:t>
      </w:r>
      <w:proofErr w:type="spellStart"/>
      <w:r w:rsidRPr="00635D1D">
        <w:t>chatboty</w:t>
      </w:r>
      <w:proofErr w:type="spellEnd"/>
      <w:r w:rsidRPr="00635D1D">
        <w:t xml:space="preserve"> lub automatyczne odpowiedzi.</w:t>
      </w:r>
    </w:p>
    <w:p w14:paraId="3DAF0243" w14:textId="77777777" w:rsidR="008144C7" w:rsidRPr="00635D1D" w:rsidRDefault="008144C7" w:rsidP="008144C7">
      <w:r w:rsidRPr="00635D1D">
        <w:rPr>
          <w:rStyle w:val="HideTWBExt"/>
        </w:rPr>
        <w:t>&lt;/Amend&gt;</w:t>
      </w:r>
    </w:p>
    <w:p w14:paraId="44B25365"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255</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08362CAD" w14:textId="77777777" w:rsidR="008144C7" w:rsidRPr="00635D1D" w:rsidRDefault="008144C7" w:rsidP="008144C7">
      <w:pPr>
        <w:pStyle w:val="NormalBold"/>
      </w:pPr>
      <w:r w:rsidRPr="00635D1D">
        <w:rPr>
          <w:rStyle w:val="HideTWBExt"/>
          <w:b w:val="0"/>
        </w:rPr>
        <w:t>&lt;RepeatBlock-By&gt;&lt;Members&gt;</w:t>
      </w:r>
      <w:proofErr w:type="spellStart"/>
      <w:r w:rsidRPr="00635D1D">
        <w:t>Salvatore</w:t>
      </w:r>
      <w:proofErr w:type="spellEnd"/>
      <w:r w:rsidRPr="00635D1D">
        <w:t xml:space="preserve"> De </w:t>
      </w:r>
      <w:proofErr w:type="spellStart"/>
      <w:r w:rsidRPr="00635D1D">
        <w:t>Meo</w:t>
      </w:r>
      <w:proofErr w:type="spellEnd"/>
      <w:r w:rsidRPr="00635D1D">
        <w:t xml:space="preserve">, Flavio Tosi, </w:t>
      </w:r>
      <w:proofErr w:type="spellStart"/>
      <w:r w:rsidRPr="00635D1D">
        <w:t>Massimiliano</w:t>
      </w:r>
      <w:proofErr w:type="spellEnd"/>
      <w:r w:rsidRPr="00635D1D">
        <w:t xml:space="preserve"> </w:t>
      </w:r>
      <w:proofErr w:type="spellStart"/>
      <w:r w:rsidRPr="00635D1D">
        <w:t>Salini</w:t>
      </w:r>
      <w:proofErr w:type="spellEnd"/>
      <w:r w:rsidRPr="00635D1D">
        <w:t xml:space="preserve">, </w:t>
      </w:r>
      <w:proofErr w:type="spellStart"/>
      <w:r w:rsidRPr="00635D1D">
        <w:t>Letizia</w:t>
      </w:r>
      <w:proofErr w:type="spellEnd"/>
      <w:r w:rsidRPr="00635D1D">
        <w:t xml:space="preserve"> </w:t>
      </w:r>
      <w:proofErr w:type="spellStart"/>
      <w:r w:rsidRPr="00635D1D">
        <w:t>Moratti</w:t>
      </w:r>
      <w:proofErr w:type="spellEnd"/>
      <w:r w:rsidRPr="00635D1D">
        <w:rPr>
          <w:rStyle w:val="HideTWBExt"/>
          <w:b w:val="0"/>
        </w:rPr>
        <w:t>&lt;/Members&gt;</w:t>
      </w:r>
    </w:p>
    <w:p w14:paraId="215C9A4D" w14:textId="77777777" w:rsidR="008144C7" w:rsidRPr="00635D1D" w:rsidRDefault="008144C7" w:rsidP="008144C7">
      <w:pPr>
        <w:pStyle w:val="NormalBold"/>
      </w:pPr>
      <w:r w:rsidRPr="00635D1D">
        <w:rPr>
          <w:rStyle w:val="HideTWBExt"/>
          <w:b w:val="0"/>
        </w:rPr>
        <w:t>&lt;/RepeatBlock-By&gt;</w:t>
      </w:r>
    </w:p>
    <w:p w14:paraId="78985150"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67465FF" w14:textId="77777777" w:rsidR="008144C7" w:rsidRPr="00E90719" w:rsidRDefault="008144C7" w:rsidP="008144C7">
      <w:pPr>
        <w:pStyle w:val="NormalBold"/>
        <w:rPr>
          <w:lang w:val="fr-BE"/>
        </w:rPr>
      </w:pPr>
      <w:r w:rsidRPr="00E90719">
        <w:rPr>
          <w:rStyle w:val="HideTWBExt"/>
          <w:b w:val="0"/>
          <w:lang w:val="fr-BE"/>
        </w:rPr>
        <w:t>&lt;Article&gt;</w:t>
      </w:r>
      <w:r w:rsidRPr="00E90719">
        <w:rPr>
          <w:lang w:val="fr-BE"/>
        </w:rPr>
        <w:t>Artykuł 1 – akapit 1 – punkt 1</w:t>
      </w:r>
      <w:r w:rsidRPr="00E90719">
        <w:rPr>
          <w:rStyle w:val="HideTWBExt"/>
          <w:b w:val="0"/>
          <w:lang w:val="fr-BE"/>
        </w:rPr>
        <w:t>&lt;/Article&gt;</w:t>
      </w:r>
    </w:p>
    <w:p w14:paraId="3A79ABE6"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68C45C3C" w14:textId="77777777" w:rsidR="008144C7" w:rsidRPr="00635D1D" w:rsidRDefault="008144C7" w:rsidP="008144C7">
      <w:r w:rsidRPr="00635D1D">
        <w:rPr>
          <w:rStyle w:val="HideTWBExt"/>
        </w:rPr>
        <w:t>&lt;Article2&gt;</w:t>
      </w:r>
      <w:r w:rsidRPr="00635D1D">
        <w:t>Artykuł 2 – punkt 42</w:t>
      </w:r>
      <w:r w:rsidRPr="00635D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3691897" w14:textId="77777777" w:rsidTr="00C5582D">
        <w:trPr>
          <w:trHeight w:val="240"/>
          <w:jc w:val="center"/>
        </w:trPr>
        <w:tc>
          <w:tcPr>
            <w:tcW w:w="9752" w:type="dxa"/>
            <w:gridSpan w:val="2"/>
            <w:tcBorders>
              <w:top w:val="nil"/>
              <w:left w:val="nil"/>
              <w:bottom w:val="nil"/>
              <w:right w:val="nil"/>
            </w:tcBorders>
          </w:tcPr>
          <w:p w14:paraId="50136727" w14:textId="77777777" w:rsidR="008144C7" w:rsidRPr="00635D1D" w:rsidRDefault="008144C7" w:rsidP="00C5582D"/>
        </w:tc>
      </w:tr>
      <w:tr w:rsidR="008144C7" w:rsidRPr="00635D1D" w14:paraId="13F3E0AE" w14:textId="77777777" w:rsidTr="00C5582D">
        <w:trPr>
          <w:trHeight w:val="240"/>
          <w:jc w:val="center"/>
        </w:trPr>
        <w:tc>
          <w:tcPr>
            <w:tcW w:w="4876" w:type="dxa"/>
            <w:tcBorders>
              <w:top w:val="nil"/>
              <w:left w:val="nil"/>
              <w:bottom w:val="nil"/>
              <w:right w:val="nil"/>
            </w:tcBorders>
            <w:hideMark/>
          </w:tcPr>
          <w:p w14:paraId="41E10F07"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20A65E4" w14:textId="77777777" w:rsidR="008144C7" w:rsidRPr="00635D1D" w:rsidRDefault="008144C7" w:rsidP="00C5582D">
            <w:pPr>
              <w:pStyle w:val="AmColumnHeading"/>
            </w:pPr>
            <w:r w:rsidRPr="00635D1D">
              <w:t>Poprawka</w:t>
            </w:r>
          </w:p>
        </w:tc>
      </w:tr>
      <w:tr w:rsidR="008144C7" w:rsidRPr="00635D1D" w14:paraId="33309E38" w14:textId="77777777" w:rsidTr="00C5582D">
        <w:trPr>
          <w:jc w:val="center"/>
        </w:trPr>
        <w:tc>
          <w:tcPr>
            <w:tcW w:w="4876" w:type="dxa"/>
            <w:tcBorders>
              <w:top w:val="nil"/>
              <w:left w:val="nil"/>
              <w:bottom w:val="nil"/>
              <w:right w:val="nil"/>
            </w:tcBorders>
            <w:hideMark/>
          </w:tcPr>
          <w:p w14:paraId="0DFF28A3" w14:textId="77777777" w:rsidR="008144C7" w:rsidRPr="00635D1D" w:rsidRDefault="008144C7" w:rsidP="00C5582D">
            <w:pPr>
              <w:pStyle w:val="Normal6a"/>
            </w:pPr>
            <w:r w:rsidRPr="00635D1D">
              <w:t>42)</w:t>
            </w:r>
            <w:r w:rsidRPr="00635D1D">
              <w:tab/>
              <w:t xml:space="preserve">»kontakt elektroniczny« oznacza każdy aktualny i dostępny internetowy kanał komunikacyjny, za pośrednictwem którego można </w:t>
            </w:r>
            <w:r w:rsidRPr="00635D1D">
              <w:rPr>
                <w:b/>
                <w:i/>
              </w:rPr>
              <w:t>dotrzeć do dostawcy lub zaangażować go</w:t>
            </w:r>
            <w:r w:rsidRPr="00635D1D">
              <w:t xml:space="preserve"> bez konieczności rejestracji lub pobierania aplikacji.</w:t>
            </w:r>
          </w:p>
        </w:tc>
        <w:tc>
          <w:tcPr>
            <w:tcW w:w="4876" w:type="dxa"/>
            <w:tcBorders>
              <w:top w:val="nil"/>
              <w:left w:val="nil"/>
              <w:bottom w:val="nil"/>
              <w:right w:val="nil"/>
            </w:tcBorders>
            <w:hideMark/>
          </w:tcPr>
          <w:p w14:paraId="10C6BC40" w14:textId="77777777" w:rsidR="008144C7" w:rsidRPr="00635D1D" w:rsidRDefault="008144C7" w:rsidP="00C5582D">
            <w:pPr>
              <w:pStyle w:val="Normal6a"/>
            </w:pPr>
            <w:r w:rsidRPr="00635D1D">
              <w:t>42)</w:t>
            </w:r>
            <w:r w:rsidRPr="00635D1D">
              <w:tab/>
              <w:t xml:space="preserve">»kontakt elektroniczny« oznacza każdy aktualny i </w:t>
            </w:r>
            <w:r w:rsidRPr="00635D1D">
              <w:rPr>
                <w:b/>
                <w:i/>
              </w:rPr>
              <w:t>swobodnie</w:t>
            </w:r>
            <w:r w:rsidRPr="00635D1D">
              <w:t xml:space="preserve"> dostępny internetowy kanał komunikacyjny, za pośrednictwem którego można </w:t>
            </w:r>
            <w:r w:rsidRPr="00635D1D">
              <w:rPr>
                <w:b/>
                <w:i/>
              </w:rPr>
              <w:t>skontaktować się z podmiotem gospodarczym</w:t>
            </w:r>
            <w:r w:rsidRPr="00635D1D">
              <w:t xml:space="preserve"> bez konieczności rejestracji lub pobierania </w:t>
            </w:r>
            <w:r w:rsidRPr="00635D1D">
              <w:rPr>
                <w:b/>
                <w:i/>
              </w:rPr>
              <w:t>bądź używania dodatkowych</w:t>
            </w:r>
            <w:r w:rsidRPr="00635D1D">
              <w:t xml:space="preserve"> aplikacji </w:t>
            </w:r>
            <w:r w:rsidRPr="00635D1D">
              <w:rPr>
                <w:b/>
                <w:i/>
              </w:rPr>
              <w:t>właściwych dla danego podmiotu</w:t>
            </w:r>
            <w:r w:rsidRPr="00635D1D">
              <w:t>.</w:t>
            </w:r>
          </w:p>
        </w:tc>
      </w:tr>
    </w:tbl>
    <w:p w14:paraId="6B32A24F"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108993FC" w14:textId="77777777" w:rsidR="008144C7" w:rsidRPr="00E90719" w:rsidRDefault="008144C7" w:rsidP="008144C7">
      <w:pPr>
        <w:rPr>
          <w:lang w:val="en-GB"/>
        </w:rPr>
      </w:pPr>
      <w:r w:rsidRPr="00E90719">
        <w:rPr>
          <w:rStyle w:val="HideTWBExt"/>
          <w:lang w:val="en-GB"/>
        </w:rPr>
        <w:t>&lt;/Amend&gt;</w:t>
      </w:r>
    </w:p>
    <w:p w14:paraId="27D91B7A"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256</w:t>
      </w:r>
      <w:r w:rsidRPr="00E90719">
        <w:rPr>
          <w:rStyle w:val="HideTWBExt"/>
          <w:b w:val="0"/>
          <w:lang w:val="en-GB"/>
        </w:rPr>
        <w:t>&lt;/NumAm&gt;</w:t>
      </w:r>
    </w:p>
    <w:p w14:paraId="4EFFD6F0"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Daniel Buda</w:t>
      </w:r>
      <w:r w:rsidRPr="00E90719">
        <w:rPr>
          <w:rStyle w:val="HideTWBExt"/>
          <w:b w:val="0"/>
          <w:lang w:val="en-GB"/>
        </w:rPr>
        <w:t>&lt;/Members&gt;</w:t>
      </w:r>
    </w:p>
    <w:p w14:paraId="47E587D5" w14:textId="77777777" w:rsidR="008144C7" w:rsidRPr="00635D1D" w:rsidRDefault="008144C7" w:rsidP="008144C7">
      <w:pPr>
        <w:pStyle w:val="NormalBold"/>
      </w:pPr>
      <w:r w:rsidRPr="00635D1D">
        <w:rPr>
          <w:rStyle w:val="HideTWBExt"/>
          <w:b w:val="0"/>
        </w:rPr>
        <w:t>&lt;/RepeatBlock-By&gt;</w:t>
      </w:r>
    </w:p>
    <w:p w14:paraId="4B98DDA1"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27B4EDE" w14:textId="77777777" w:rsidR="008144C7" w:rsidRPr="00E90719" w:rsidRDefault="008144C7" w:rsidP="008144C7">
      <w:pPr>
        <w:pStyle w:val="NormalBold"/>
        <w:rPr>
          <w:lang w:val="fr-BE"/>
        </w:rPr>
      </w:pPr>
      <w:r w:rsidRPr="00E90719">
        <w:rPr>
          <w:rStyle w:val="HideTWBExt"/>
          <w:b w:val="0"/>
          <w:lang w:val="fr-BE"/>
        </w:rPr>
        <w:t>&lt;Article&gt;</w:t>
      </w:r>
      <w:r w:rsidRPr="00E90719">
        <w:rPr>
          <w:lang w:val="fr-BE"/>
        </w:rPr>
        <w:t>Artykuł 1 – akapit 1 – punkt 1</w:t>
      </w:r>
      <w:r w:rsidRPr="00E90719">
        <w:rPr>
          <w:rStyle w:val="HideTWBExt"/>
          <w:b w:val="0"/>
          <w:lang w:val="fr-BE"/>
        </w:rPr>
        <w:t>&lt;/Article&gt;</w:t>
      </w:r>
    </w:p>
    <w:p w14:paraId="0F8D6B46"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3F5920FD" w14:textId="77777777" w:rsidR="008144C7" w:rsidRPr="00635D1D" w:rsidRDefault="008144C7" w:rsidP="008144C7">
      <w:r w:rsidRPr="00635D1D">
        <w:rPr>
          <w:rStyle w:val="HideTWBExt"/>
        </w:rPr>
        <w:t>&lt;Article2&gt;</w:t>
      </w:r>
      <w:r w:rsidRPr="00635D1D">
        <w:t>Artykuł 2 – punkt 42</w:t>
      </w:r>
      <w:r w:rsidRPr="00635D1D">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04EA119" w14:textId="77777777" w:rsidTr="00C5582D">
        <w:trPr>
          <w:trHeight w:val="240"/>
          <w:jc w:val="center"/>
        </w:trPr>
        <w:tc>
          <w:tcPr>
            <w:tcW w:w="9752" w:type="dxa"/>
            <w:gridSpan w:val="2"/>
            <w:tcBorders>
              <w:top w:val="nil"/>
              <w:left w:val="nil"/>
              <w:bottom w:val="nil"/>
              <w:right w:val="nil"/>
            </w:tcBorders>
          </w:tcPr>
          <w:p w14:paraId="59536B77" w14:textId="77777777" w:rsidR="008144C7" w:rsidRPr="00635D1D" w:rsidRDefault="008144C7" w:rsidP="00C5582D"/>
        </w:tc>
      </w:tr>
      <w:tr w:rsidR="008144C7" w:rsidRPr="00635D1D" w14:paraId="1D41A575" w14:textId="77777777" w:rsidTr="00C5582D">
        <w:trPr>
          <w:trHeight w:val="240"/>
          <w:jc w:val="center"/>
        </w:trPr>
        <w:tc>
          <w:tcPr>
            <w:tcW w:w="4876" w:type="dxa"/>
            <w:tcBorders>
              <w:top w:val="nil"/>
              <w:left w:val="nil"/>
              <w:bottom w:val="nil"/>
              <w:right w:val="nil"/>
            </w:tcBorders>
            <w:hideMark/>
          </w:tcPr>
          <w:p w14:paraId="1387395D"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5B0733C" w14:textId="77777777" w:rsidR="008144C7" w:rsidRPr="00635D1D" w:rsidRDefault="008144C7" w:rsidP="00C5582D">
            <w:pPr>
              <w:pStyle w:val="AmColumnHeading"/>
            </w:pPr>
            <w:r w:rsidRPr="00635D1D">
              <w:t>Poprawka</w:t>
            </w:r>
          </w:p>
        </w:tc>
      </w:tr>
      <w:tr w:rsidR="008144C7" w:rsidRPr="00635D1D" w14:paraId="3CDE2F3C" w14:textId="77777777" w:rsidTr="00C5582D">
        <w:trPr>
          <w:jc w:val="center"/>
        </w:trPr>
        <w:tc>
          <w:tcPr>
            <w:tcW w:w="4876" w:type="dxa"/>
            <w:tcBorders>
              <w:top w:val="nil"/>
              <w:left w:val="nil"/>
              <w:bottom w:val="nil"/>
              <w:right w:val="nil"/>
            </w:tcBorders>
            <w:hideMark/>
          </w:tcPr>
          <w:p w14:paraId="7A75391D" w14:textId="77777777" w:rsidR="008144C7" w:rsidRPr="00635D1D" w:rsidRDefault="008144C7" w:rsidP="00C5582D">
            <w:pPr>
              <w:pStyle w:val="Normal6a"/>
            </w:pPr>
            <w:r w:rsidRPr="00635D1D">
              <w:t>„42)</w:t>
            </w:r>
            <w:r w:rsidRPr="00635D1D">
              <w:tab/>
              <w:t xml:space="preserve">»kontakt elektroniczny« oznacza każdy aktualny i dostępny internetowy kanał komunikacyjny, za pośrednictwem którego można dotrzeć do dostawcy </w:t>
            </w:r>
            <w:r w:rsidRPr="00635D1D">
              <w:rPr>
                <w:b/>
                <w:bCs/>
                <w:i/>
                <w:iCs/>
              </w:rPr>
              <w:t>lub zaangażować go</w:t>
            </w:r>
            <w:r w:rsidRPr="00635D1D">
              <w:t xml:space="preserve"> bez konieczności </w:t>
            </w:r>
            <w:r w:rsidRPr="00635D1D">
              <w:rPr>
                <w:b/>
                <w:bCs/>
                <w:i/>
                <w:iCs/>
              </w:rPr>
              <w:t>rejestracji</w:t>
            </w:r>
            <w:r w:rsidRPr="00635D1D">
              <w:t xml:space="preserve"> lub </w:t>
            </w:r>
            <w:r w:rsidRPr="00635D1D">
              <w:rPr>
                <w:b/>
                <w:bCs/>
                <w:i/>
                <w:iCs/>
              </w:rPr>
              <w:t>pobierania</w:t>
            </w:r>
            <w:r w:rsidRPr="00635D1D">
              <w:t xml:space="preserve"> aplikacji.”;</w:t>
            </w:r>
          </w:p>
        </w:tc>
        <w:tc>
          <w:tcPr>
            <w:tcW w:w="4876" w:type="dxa"/>
            <w:tcBorders>
              <w:top w:val="nil"/>
              <w:left w:val="nil"/>
              <w:bottom w:val="nil"/>
              <w:right w:val="nil"/>
            </w:tcBorders>
            <w:hideMark/>
          </w:tcPr>
          <w:p w14:paraId="7E1D15E7" w14:textId="77777777" w:rsidR="008144C7" w:rsidRPr="00635D1D" w:rsidRDefault="008144C7" w:rsidP="00C5582D">
            <w:pPr>
              <w:pStyle w:val="Normal6a"/>
            </w:pPr>
            <w:r w:rsidRPr="00635D1D">
              <w:t>„42)</w:t>
            </w:r>
            <w:r w:rsidRPr="00635D1D">
              <w:tab/>
              <w:t xml:space="preserve">»kontakt elektroniczny« oznacza każdy aktualny i dostępny internetowy kanał komunikacyjny, za pośrednictwem którego można dotrzeć </w:t>
            </w:r>
            <w:r w:rsidRPr="00635D1D">
              <w:rPr>
                <w:b/>
                <w:bCs/>
                <w:i/>
                <w:iCs/>
              </w:rPr>
              <w:t>bezpośrednio</w:t>
            </w:r>
            <w:r w:rsidRPr="00635D1D">
              <w:t xml:space="preserve"> do dostawcy bez konieczności </w:t>
            </w:r>
            <w:r w:rsidRPr="00635D1D">
              <w:rPr>
                <w:b/>
                <w:bCs/>
                <w:i/>
                <w:iCs/>
              </w:rPr>
              <w:t xml:space="preserve">wykonywania jakichkolwiek czynności pośrednich, takich jak rejestracja danych </w:t>
            </w:r>
            <w:r w:rsidRPr="00635D1D">
              <w:t>lub</w:t>
            </w:r>
            <w:r w:rsidRPr="00635D1D">
              <w:rPr>
                <w:b/>
                <w:bCs/>
                <w:i/>
                <w:iCs/>
              </w:rPr>
              <w:t xml:space="preserve"> pobranie</w:t>
            </w:r>
            <w:r w:rsidRPr="00635D1D">
              <w:t xml:space="preserve"> aplikacji.”;</w:t>
            </w:r>
          </w:p>
        </w:tc>
      </w:tr>
    </w:tbl>
    <w:p w14:paraId="32C6F56D"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{RO}</w:t>
      </w:r>
      <w:r w:rsidRPr="00635D1D">
        <w:t>ro</w:t>
      </w:r>
      <w:r w:rsidRPr="00635D1D">
        <w:rPr>
          <w:rStyle w:val="HideTWBExt"/>
        </w:rPr>
        <w:t>&lt;/</w:t>
      </w:r>
      <w:proofErr w:type="spellStart"/>
      <w:r w:rsidRPr="00635D1D">
        <w:rPr>
          <w:rStyle w:val="HideTWBExt"/>
        </w:rPr>
        <w:t>Original</w:t>
      </w:r>
      <w:proofErr w:type="spellEnd"/>
      <w:r w:rsidRPr="00635D1D">
        <w:rPr>
          <w:rStyle w:val="HideTWBExt"/>
        </w:rPr>
        <w:t>&gt;</w:t>
      </w:r>
    </w:p>
    <w:p w14:paraId="15C22E44" w14:textId="77777777" w:rsidR="008144C7" w:rsidRPr="00635D1D" w:rsidRDefault="008144C7" w:rsidP="008144C7">
      <w:r w:rsidRPr="00635D1D">
        <w:rPr>
          <w:rStyle w:val="HideTWBExt"/>
        </w:rPr>
        <w:t>&lt;/Amend&gt;</w:t>
      </w:r>
    </w:p>
    <w:p w14:paraId="7CC3637F"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257</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6ECCE82F" w14:textId="77777777" w:rsidR="008144C7" w:rsidRPr="00635D1D" w:rsidRDefault="008144C7" w:rsidP="008144C7">
      <w:pPr>
        <w:pStyle w:val="NormalBold"/>
      </w:pPr>
      <w:r w:rsidRPr="00635D1D">
        <w:rPr>
          <w:rStyle w:val="HideTWBExt"/>
          <w:b w:val="0"/>
        </w:rPr>
        <w:t>&lt;RepeatBlock-By&gt;&lt;Members&gt;</w:t>
      </w:r>
      <w:proofErr w:type="spellStart"/>
      <w:r w:rsidRPr="00635D1D">
        <w:t>Idoia</w:t>
      </w:r>
      <w:proofErr w:type="spellEnd"/>
      <w:r w:rsidRPr="00635D1D">
        <w:t xml:space="preserve"> </w:t>
      </w:r>
      <w:proofErr w:type="spellStart"/>
      <w:r w:rsidRPr="00635D1D">
        <w:t>Mendia</w:t>
      </w:r>
      <w:proofErr w:type="spellEnd"/>
      <w:r w:rsidRPr="00635D1D">
        <w:t xml:space="preserve">, Kristian </w:t>
      </w:r>
      <w:proofErr w:type="spellStart"/>
      <w:r w:rsidRPr="00635D1D">
        <w:t>Vigenin</w:t>
      </w:r>
      <w:proofErr w:type="spellEnd"/>
      <w:r w:rsidRPr="00635D1D">
        <w:t xml:space="preserve">, François </w:t>
      </w:r>
      <w:proofErr w:type="spellStart"/>
      <w:r w:rsidRPr="00635D1D">
        <w:t>Kalfon</w:t>
      </w:r>
      <w:proofErr w:type="spellEnd"/>
      <w:r w:rsidRPr="00635D1D">
        <w:t xml:space="preserve">, </w:t>
      </w:r>
      <w:proofErr w:type="spellStart"/>
      <w:r w:rsidRPr="00635D1D">
        <w:t>Elisabeth</w:t>
      </w:r>
      <w:proofErr w:type="spellEnd"/>
      <w:r w:rsidRPr="00635D1D">
        <w:t xml:space="preserve"> Grossmann, </w:t>
      </w:r>
      <w:proofErr w:type="spellStart"/>
      <w:r w:rsidRPr="00635D1D">
        <w:t>Adnan</w:t>
      </w:r>
      <w:proofErr w:type="spellEnd"/>
      <w:r w:rsidRPr="00635D1D">
        <w:t xml:space="preserve"> </w:t>
      </w:r>
      <w:proofErr w:type="spellStart"/>
      <w:r w:rsidRPr="00635D1D">
        <w:t>Dibrani</w:t>
      </w:r>
      <w:proofErr w:type="spellEnd"/>
      <w:r w:rsidRPr="00635D1D">
        <w:t xml:space="preserve">, </w:t>
      </w:r>
      <w:proofErr w:type="spellStart"/>
      <w:r w:rsidRPr="00635D1D">
        <w:t>Sakis</w:t>
      </w:r>
      <w:proofErr w:type="spellEnd"/>
      <w:r w:rsidRPr="00635D1D">
        <w:t xml:space="preserve"> </w:t>
      </w:r>
      <w:proofErr w:type="spellStart"/>
      <w:r w:rsidRPr="00635D1D">
        <w:t>Arnaoutoglou</w:t>
      </w:r>
      <w:proofErr w:type="spellEnd"/>
      <w:r w:rsidRPr="00635D1D">
        <w:t xml:space="preserve">, </w:t>
      </w:r>
      <w:proofErr w:type="spellStart"/>
      <w:r w:rsidRPr="00635D1D">
        <w:t>César</w:t>
      </w:r>
      <w:proofErr w:type="spellEnd"/>
      <w:r w:rsidRPr="00635D1D">
        <w:t xml:space="preserve"> </w:t>
      </w:r>
      <w:proofErr w:type="spellStart"/>
      <w:r w:rsidRPr="00635D1D">
        <w:t>Luena</w:t>
      </w:r>
      <w:proofErr w:type="spellEnd"/>
      <w:r w:rsidRPr="00635D1D">
        <w:t xml:space="preserve">, Christophe </w:t>
      </w:r>
      <w:proofErr w:type="spellStart"/>
      <w:r w:rsidRPr="00635D1D">
        <w:t>Clergeau</w:t>
      </w:r>
      <w:proofErr w:type="spellEnd"/>
      <w:r w:rsidRPr="00635D1D">
        <w:t xml:space="preserve">, </w:t>
      </w:r>
      <w:proofErr w:type="spellStart"/>
      <w:r w:rsidRPr="00635D1D">
        <w:t>Tiemo</w:t>
      </w:r>
      <w:proofErr w:type="spellEnd"/>
      <w:r w:rsidRPr="00635D1D">
        <w:t xml:space="preserve"> </w:t>
      </w:r>
      <w:proofErr w:type="spellStart"/>
      <w:r w:rsidRPr="00635D1D">
        <w:t>Wölken</w:t>
      </w:r>
      <w:proofErr w:type="spellEnd"/>
      <w:r w:rsidRPr="00635D1D">
        <w:t xml:space="preserve">, </w:t>
      </w:r>
      <w:proofErr w:type="spellStart"/>
      <w:r w:rsidRPr="00635D1D">
        <w:t>Annalisa</w:t>
      </w:r>
      <w:proofErr w:type="spellEnd"/>
      <w:r w:rsidRPr="00635D1D">
        <w:t xml:space="preserve"> Corrado, </w:t>
      </w:r>
      <w:proofErr w:type="spellStart"/>
      <w:r w:rsidRPr="00635D1D">
        <w:t>Heléne</w:t>
      </w:r>
      <w:proofErr w:type="spellEnd"/>
      <w:r w:rsidRPr="00635D1D">
        <w:t xml:space="preserve"> </w:t>
      </w:r>
      <w:proofErr w:type="spellStart"/>
      <w:r w:rsidRPr="00635D1D">
        <w:t>Fritzon</w:t>
      </w:r>
      <w:proofErr w:type="spellEnd"/>
      <w:r w:rsidRPr="00635D1D">
        <w:t xml:space="preserve">, Marta Temido, </w:t>
      </w:r>
      <w:proofErr w:type="spellStart"/>
      <w:r w:rsidRPr="00635D1D">
        <w:t>Christel</w:t>
      </w:r>
      <w:proofErr w:type="spellEnd"/>
      <w:r w:rsidRPr="00635D1D">
        <w:t xml:space="preserve"> </w:t>
      </w:r>
      <w:proofErr w:type="spellStart"/>
      <w:r w:rsidRPr="00635D1D">
        <w:t>Schaldemose</w:t>
      </w:r>
      <w:proofErr w:type="spellEnd"/>
      <w:r w:rsidRPr="00635D1D">
        <w:rPr>
          <w:rStyle w:val="HideTWBExt"/>
          <w:b w:val="0"/>
        </w:rPr>
        <w:t>&lt;/Members&gt;</w:t>
      </w:r>
    </w:p>
    <w:p w14:paraId="45F44664" w14:textId="77777777" w:rsidR="008144C7" w:rsidRPr="00635D1D" w:rsidRDefault="008144C7" w:rsidP="008144C7">
      <w:pPr>
        <w:pStyle w:val="NormalBold"/>
      </w:pPr>
      <w:r w:rsidRPr="00635D1D">
        <w:rPr>
          <w:rStyle w:val="HideTWBExt"/>
          <w:b w:val="0"/>
        </w:rPr>
        <w:t>&lt;/RepeatBlock-By&gt;</w:t>
      </w:r>
    </w:p>
    <w:p w14:paraId="473D32C9"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1D2154D" w14:textId="77777777" w:rsidR="008144C7" w:rsidRPr="00E90719" w:rsidRDefault="008144C7" w:rsidP="008144C7">
      <w:pPr>
        <w:pStyle w:val="NormalBold"/>
        <w:rPr>
          <w:lang w:val="fr-BE"/>
        </w:rPr>
      </w:pPr>
      <w:r w:rsidRPr="00E90719">
        <w:rPr>
          <w:rStyle w:val="HideTWBExt"/>
          <w:b w:val="0"/>
          <w:lang w:val="fr-BE"/>
        </w:rPr>
        <w:t>&lt;Article&gt;</w:t>
      </w:r>
      <w:r w:rsidRPr="00E90719">
        <w:rPr>
          <w:lang w:val="fr-BE"/>
        </w:rPr>
        <w:t>Artykuł 1 – akapit 1 – punkt 1</w:t>
      </w:r>
      <w:r w:rsidRPr="00E90719">
        <w:rPr>
          <w:rStyle w:val="HideTWBExt"/>
          <w:b w:val="0"/>
          <w:lang w:val="fr-BE"/>
        </w:rPr>
        <w:t>&lt;/Article&gt;</w:t>
      </w:r>
    </w:p>
    <w:p w14:paraId="4387DB00"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4DE97966" w14:textId="77777777" w:rsidR="008144C7" w:rsidRPr="00635D1D" w:rsidRDefault="008144C7" w:rsidP="008144C7">
      <w:r w:rsidRPr="00635D1D">
        <w:rPr>
          <w:rStyle w:val="HideTWBExt"/>
        </w:rPr>
        <w:t>&lt;Article2&gt;</w:t>
      </w:r>
      <w:r w:rsidRPr="00635D1D">
        <w:t>Artykuł 2 – punkt 42</w:t>
      </w:r>
      <w:r w:rsidRPr="00635D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72B10284" w14:textId="77777777" w:rsidTr="00C5582D">
        <w:trPr>
          <w:trHeight w:val="240"/>
          <w:jc w:val="center"/>
        </w:trPr>
        <w:tc>
          <w:tcPr>
            <w:tcW w:w="9752" w:type="dxa"/>
            <w:gridSpan w:val="2"/>
            <w:tcBorders>
              <w:top w:val="nil"/>
              <w:left w:val="nil"/>
              <w:bottom w:val="nil"/>
              <w:right w:val="nil"/>
            </w:tcBorders>
          </w:tcPr>
          <w:p w14:paraId="10E31533" w14:textId="77777777" w:rsidR="008144C7" w:rsidRPr="00635D1D" w:rsidRDefault="008144C7" w:rsidP="00C5582D"/>
        </w:tc>
      </w:tr>
      <w:tr w:rsidR="008144C7" w:rsidRPr="00635D1D" w14:paraId="40DC8A3E" w14:textId="77777777" w:rsidTr="00C5582D">
        <w:trPr>
          <w:trHeight w:val="240"/>
          <w:jc w:val="center"/>
        </w:trPr>
        <w:tc>
          <w:tcPr>
            <w:tcW w:w="4876" w:type="dxa"/>
            <w:tcBorders>
              <w:top w:val="nil"/>
              <w:left w:val="nil"/>
              <w:bottom w:val="nil"/>
              <w:right w:val="nil"/>
            </w:tcBorders>
            <w:hideMark/>
          </w:tcPr>
          <w:p w14:paraId="0BBA7C9D"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0C4B53DA" w14:textId="77777777" w:rsidR="008144C7" w:rsidRPr="00635D1D" w:rsidRDefault="008144C7" w:rsidP="00C5582D">
            <w:pPr>
              <w:pStyle w:val="AmColumnHeading"/>
            </w:pPr>
            <w:r w:rsidRPr="00635D1D">
              <w:t>Poprawka</w:t>
            </w:r>
          </w:p>
        </w:tc>
      </w:tr>
      <w:tr w:rsidR="008144C7" w:rsidRPr="00635D1D" w14:paraId="68DD5453" w14:textId="77777777" w:rsidTr="00C5582D">
        <w:trPr>
          <w:jc w:val="center"/>
        </w:trPr>
        <w:tc>
          <w:tcPr>
            <w:tcW w:w="4876" w:type="dxa"/>
            <w:tcBorders>
              <w:top w:val="nil"/>
              <w:left w:val="nil"/>
              <w:bottom w:val="nil"/>
              <w:right w:val="nil"/>
            </w:tcBorders>
            <w:hideMark/>
          </w:tcPr>
          <w:p w14:paraId="67B04144" w14:textId="77777777" w:rsidR="008144C7" w:rsidRPr="00635D1D" w:rsidRDefault="008144C7" w:rsidP="00C5582D">
            <w:pPr>
              <w:pStyle w:val="Normal6a"/>
            </w:pPr>
            <w:r w:rsidRPr="00635D1D">
              <w:t>42)</w:t>
            </w:r>
            <w:r w:rsidRPr="00635D1D">
              <w:tab/>
              <w:t xml:space="preserve">»kontakt elektroniczny« oznacza każdy aktualny i dostępny internetowy kanał komunikacyjny, za pośrednictwem którego można </w:t>
            </w:r>
            <w:r w:rsidRPr="00635D1D">
              <w:rPr>
                <w:b/>
                <w:i/>
              </w:rPr>
              <w:t>dotrzeć do dostawcy lub zaangażować go</w:t>
            </w:r>
            <w:r w:rsidRPr="00635D1D">
              <w:t xml:space="preserve"> bez konieczności rejestracji lub pobierania aplikacji.</w:t>
            </w:r>
          </w:p>
        </w:tc>
        <w:tc>
          <w:tcPr>
            <w:tcW w:w="4876" w:type="dxa"/>
            <w:tcBorders>
              <w:top w:val="nil"/>
              <w:left w:val="nil"/>
              <w:bottom w:val="nil"/>
              <w:right w:val="nil"/>
            </w:tcBorders>
            <w:hideMark/>
          </w:tcPr>
          <w:p w14:paraId="6FC4B840" w14:textId="77777777" w:rsidR="008144C7" w:rsidRPr="00635D1D" w:rsidRDefault="008144C7" w:rsidP="00C5582D">
            <w:pPr>
              <w:pStyle w:val="Normal6a"/>
            </w:pPr>
            <w:r w:rsidRPr="00635D1D">
              <w:t>42)</w:t>
            </w:r>
            <w:r w:rsidRPr="00635D1D">
              <w:tab/>
              <w:t>»kontakt elektroniczny« oznacza każdy aktualny</w:t>
            </w:r>
            <w:r w:rsidRPr="00635D1D">
              <w:rPr>
                <w:b/>
                <w:i/>
              </w:rPr>
              <w:t>, łatwo</w:t>
            </w:r>
            <w:r w:rsidRPr="00635D1D">
              <w:t xml:space="preserve"> i </w:t>
            </w:r>
            <w:r w:rsidRPr="00635D1D">
              <w:rPr>
                <w:b/>
                <w:bCs/>
                <w:i/>
                <w:iCs/>
              </w:rPr>
              <w:t>swobodnie</w:t>
            </w:r>
            <w:r w:rsidRPr="00635D1D">
              <w:t xml:space="preserve"> dostępny internetowy kanał komunikacyjny, za pośrednictwem którego można </w:t>
            </w:r>
            <w:r w:rsidRPr="00635D1D">
              <w:rPr>
                <w:b/>
                <w:i/>
              </w:rPr>
              <w:t>skontaktować się z dostawcą</w:t>
            </w:r>
            <w:r w:rsidRPr="00635D1D">
              <w:t xml:space="preserve"> bez konieczności rejestracji lub pobierania </w:t>
            </w:r>
            <w:r w:rsidRPr="00635D1D">
              <w:rPr>
                <w:b/>
                <w:i/>
              </w:rPr>
              <w:t>bądź używania</w:t>
            </w:r>
            <w:r w:rsidRPr="00635D1D">
              <w:t xml:space="preserve"> aplikacji.</w:t>
            </w:r>
          </w:p>
        </w:tc>
      </w:tr>
    </w:tbl>
    <w:p w14:paraId="0DF8F5B5"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22F6D668" w14:textId="77777777" w:rsidR="008144C7" w:rsidRPr="00E90719" w:rsidRDefault="008144C7" w:rsidP="008144C7">
      <w:pPr>
        <w:rPr>
          <w:lang w:val="en-GB"/>
        </w:rPr>
      </w:pPr>
      <w:r w:rsidRPr="00E90719">
        <w:rPr>
          <w:rStyle w:val="HideTWBExt"/>
          <w:lang w:val="en-GB"/>
        </w:rPr>
        <w:t>&lt;/Amend&gt;</w:t>
      </w:r>
    </w:p>
    <w:p w14:paraId="797F5EE8"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258</w:t>
      </w:r>
      <w:r w:rsidRPr="00E90719">
        <w:rPr>
          <w:rStyle w:val="HideTWBExt"/>
          <w:b w:val="0"/>
          <w:lang w:val="en-GB"/>
        </w:rPr>
        <w:t>&lt;/NumAm&gt;</w:t>
      </w:r>
    </w:p>
    <w:p w14:paraId="2668D19C"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Pietro Fiocchi, Antonella Sberna</w:t>
      </w:r>
      <w:r w:rsidRPr="00E90719">
        <w:rPr>
          <w:rStyle w:val="HideTWBExt"/>
          <w:b w:val="0"/>
          <w:lang w:val="en-GB"/>
        </w:rPr>
        <w:t>&lt;/Members&gt;</w:t>
      </w:r>
    </w:p>
    <w:p w14:paraId="1E3E13BB" w14:textId="77777777" w:rsidR="008144C7" w:rsidRPr="00635D1D" w:rsidRDefault="008144C7" w:rsidP="008144C7">
      <w:pPr>
        <w:pStyle w:val="NormalBold"/>
      </w:pPr>
      <w:r w:rsidRPr="00635D1D">
        <w:rPr>
          <w:rStyle w:val="HideTWBExt"/>
          <w:b w:val="0"/>
        </w:rPr>
        <w:t>&lt;/RepeatBlock-By&gt;</w:t>
      </w:r>
    </w:p>
    <w:p w14:paraId="4E87C067"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8ED1698" w14:textId="77777777" w:rsidR="008144C7" w:rsidRPr="00E90719" w:rsidRDefault="008144C7" w:rsidP="008144C7">
      <w:pPr>
        <w:pStyle w:val="NormalBold"/>
        <w:rPr>
          <w:lang w:val="fr-BE"/>
        </w:rPr>
      </w:pPr>
      <w:r w:rsidRPr="00E90719">
        <w:rPr>
          <w:rStyle w:val="HideTWBExt"/>
          <w:b w:val="0"/>
          <w:lang w:val="fr-BE"/>
        </w:rPr>
        <w:t>&lt;Article&gt;</w:t>
      </w:r>
      <w:r w:rsidRPr="00E90719">
        <w:rPr>
          <w:lang w:val="fr-BE"/>
        </w:rPr>
        <w:t>Artykuł 1 – akapit 1 – punkt 1</w:t>
      </w:r>
      <w:r w:rsidRPr="00E90719">
        <w:rPr>
          <w:rStyle w:val="HideTWBExt"/>
          <w:b w:val="0"/>
          <w:lang w:val="fr-BE"/>
        </w:rPr>
        <w:t>&lt;/Article&gt;</w:t>
      </w:r>
    </w:p>
    <w:p w14:paraId="4A88A3A1"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76FA2C3B" w14:textId="77777777" w:rsidR="008144C7" w:rsidRPr="00635D1D" w:rsidRDefault="008144C7" w:rsidP="008144C7">
      <w:r w:rsidRPr="00635D1D">
        <w:rPr>
          <w:rStyle w:val="HideTWBExt"/>
        </w:rPr>
        <w:t>&lt;Article2&gt;</w:t>
      </w:r>
      <w:r w:rsidRPr="00635D1D">
        <w:t>Artykuł 2 – punkt 42</w:t>
      </w:r>
      <w:r w:rsidRPr="00635D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DA82B6A" w14:textId="77777777" w:rsidTr="00C5582D">
        <w:trPr>
          <w:trHeight w:val="240"/>
          <w:jc w:val="center"/>
        </w:trPr>
        <w:tc>
          <w:tcPr>
            <w:tcW w:w="9752" w:type="dxa"/>
            <w:gridSpan w:val="2"/>
            <w:tcBorders>
              <w:top w:val="nil"/>
              <w:left w:val="nil"/>
              <w:bottom w:val="nil"/>
              <w:right w:val="nil"/>
            </w:tcBorders>
          </w:tcPr>
          <w:p w14:paraId="767FBDFB" w14:textId="77777777" w:rsidR="008144C7" w:rsidRPr="00635D1D" w:rsidRDefault="008144C7" w:rsidP="00C5582D"/>
        </w:tc>
      </w:tr>
      <w:tr w:rsidR="008144C7" w:rsidRPr="00635D1D" w14:paraId="5402946D" w14:textId="77777777" w:rsidTr="00C5582D">
        <w:trPr>
          <w:trHeight w:val="240"/>
          <w:jc w:val="center"/>
        </w:trPr>
        <w:tc>
          <w:tcPr>
            <w:tcW w:w="4876" w:type="dxa"/>
            <w:tcBorders>
              <w:top w:val="nil"/>
              <w:left w:val="nil"/>
              <w:bottom w:val="nil"/>
              <w:right w:val="nil"/>
            </w:tcBorders>
            <w:hideMark/>
          </w:tcPr>
          <w:p w14:paraId="57964445"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AC5DED6" w14:textId="77777777" w:rsidR="008144C7" w:rsidRPr="00635D1D" w:rsidRDefault="008144C7" w:rsidP="00C5582D">
            <w:pPr>
              <w:pStyle w:val="AmColumnHeading"/>
            </w:pPr>
            <w:r w:rsidRPr="00635D1D">
              <w:t>Poprawka</w:t>
            </w:r>
          </w:p>
        </w:tc>
      </w:tr>
      <w:tr w:rsidR="008144C7" w:rsidRPr="00635D1D" w14:paraId="73196337" w14:textId="77777777" w:rsidTr="00C5582D">
        <w:trPr>
          <w:jc w:val="center"/>
        </w:trPr>
        <w:tc>
          <w:tcPr>
            <w:tcW w:w="4876" w:type="dxa"/>
            <w:tcBorders>
              <w:top w:val="nil"/>
              <w:left w:val="nil"/>
              <w:bottom w:val="nil"/>
              <w:right w:val="nil"/>
            </w:tcBorders>
            <w:hideMark/>
          </w:tcPr>
          <w:p w14:paraId="02050DE4" w14:textId="77777777" w:rsidR="008144C7" w:rsidRPr="00635D1D" w:rsidRDefault="008144C7" w:rsidP="00C5582D">
            <w:pPr>
              <w:pStyle w:val="Normal6a"/>
            </w:pPr>
            <w:r w:rsidRPr="00635D1D">
              <w:t>42)</w:t>
            </w:r>
            <w:r w:rsidRPr="00635D1D">
              <w:tab/>
              <w:t>»kontakt elektroniczny« oznacza każdy aktualny i dostępny internetowy kanał komunikacyjny, za pośrednictwem którego można dotrzeć do dostawcy lub zaangażować go bez konieczności rejestracji lub pobierania aplikacji.</w:t>
            </w:r>
          </w:p>
        </w:tc>
        <w:tc>
          <w:tcPr>
            <w:tcW w:w="4876" w:type="dxa"/>
            <w:tcBorders>
              <w:top w:val="nil"/>
              <w:left w:val="nil"/>
              <w:bottom w:val="nil"/>
              <w:right w:val="nil"/>
            </w:tcBorders>
            <w:hideMark/>
          </w:tcPr>
          <w:p w14:paraId="16F293B6" w14:textId="77777777" w:rsidR="008144C7" w:rsidRPr="00635D1D" w:rsidRDefault="008144C7" w:rsidP="00C5582D">
            <w:pPr>
              <w:pStyle w:val="Normal6a"/>
            </w:pPr>
            <w:r w:rsidRPr="00635D1D">
              <w:t>42)</w:t>
            </w:r>
            <w:r w:rsidRPr="00635D1D">
              <w:tab/>
              <w:t xml:space="preserve">»kontakt elektroniczny« oznacza każdy aktualny i </w:t>
            </w:r>
            <w:r w:rsidRPr="00635D1D">
              <w:rPr>
                <w:b/>
                <w:i/>
              </w:rPr>
              <w:t>swobodnie</w:t>
            </w:r>
            <w:r w:rsidRPr="00635D1D">
              <w:t xml:space="preserve"> dostępny internetowy kanał komunikacyjny, za pośrednictwem którego można dotrzeć do dostawcy lub zaangażować go bez konieczności rejestracji lub pobierania aplikacji.</w:t>
            </w:r>
          </w:p>
        </w:tc>
      </w:tr>
    </w:tbl>
    <w:p w14:paraId="30002B5E"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118C8EB1"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584AD219" w14:textId="77777777" w:rsidR="008144C7" w:rsidRPr="00635D1D" w:rsidRDefault="008144C7" w:rsidP="008144C7">
      <w:pPr>
        <w:pStyle w:val="AmJustText"/>
      </w:pPr>
      <w:r w:rsidRPr="00635D1D">
        <w:t>Poprawka służy doprecyzowaniu, że „kontakt elektroniczny” musi być aktualny, dostępny i bezpłatny, co pozwoli uniknąć barier finansowych, technicznych lub proceduralnych. Dzięki niemu konsumenci i właściwe organy mogą kontaktować się z dostawcami bez ponoszenia kosztów, rejestracji lub używania zastrzeżonych aplikacji, co zwiększa przejrzystość i rozliczalność, a jednocześnie zapewnia dostosowanie używania narzędzi cyfrowych do zasad ochrony konsumentów określonych w rozporządzeniu (WE) nr 1272/2008.</w:t>
      </w:r>
    </w:p>
    <w:p w14:paraId="496AF2F5" w14:textId="77777777" w:rsidR="008144C7" w:rsidRPr="00635D1D" w:rsidRDefault="008144C7" w:rsidP="008144C7">
      <w:r w:rsidRPr="00635D1D">
        <w:rPr>
          <w:rStyle w:val="HideTWBExt"/>
        </w:rPr>
        <w:t>&lt;/Amend&gt;</w:t>
      </w:r>
    </w:p>
    <w:p w14:paraId="1838C94E"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259</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558F85E2" w14:textId="77777777" w:rsidR="008144C7" w:rsidRPr="00635D1D" w:rsidRDefault="008144C7" w:rsidP="008144C7">
      <w:pPr>
        <w:pStyle w:val="NormalBold"/>
      </w:pPr>
      <w:r w:rsidRPr="00635D1D">
        <w:rPr>
          <w:rStyle w:val="HideTWBExt"/>
          <w:b w:val="0"/>
        </w:rPr>
        <w:t>&lt;RepeatBlock-By&gt;&lt;Members&gt;</w:t>
      </w:r>
      <w:r w:rsidRPr="00635D1D">
        <w:t xml:space="preserve">Per </w:t>
      </w:r>
      <w:proofErr w:type="spellStart"/>
      <w:r w:rsidRPr="00635D1D">
        <w:t>Clausen</w:t>
      </w:r>
      <w:proofErr w:type="spellEnd"/>
      <w:r w:rsidRPr="00635D1D">
        <w:t xml:space="preserve">, </w:t>
      </w:r>
      <w:proofErr w:type="spellStart"/>
      <w:r w:rsidRPr="00635D1D">
        <w:t>Anja</w:t>
      </w:r>
      <w:proofErr w:type="spellEnd"/>
      <w:r w:rsidRPr="00635D1D">
        <w:t xml:space="preserve"> </w:t>
      </w:r>
      <w:proofErr w:type="spellStart"/>
      <w:r w:rsidRPr="00635D1D">
        <w:t>Hazekamp</w:t>
      </w:r>
      <w:proofErr w:type="spellEnd"/>
      <w:r w:rsidRPr="00635D1D">
        <w:rPr>
          <w:rStyle w:val="HideTWBExt"/>
          <w:b w:val="0"/>
        </w:rPr>
        <w:t>&lt;/Members&gt;</w:t>
      </w:r>
    </w:p>
    <w:p w14:paraId="7E10130D" w14:textId="77777777" w:rsidR="008144C7" w:rsidRPr="00635D1D" w:rsidRDefault="008144C7" w:rsidP="008144C7">
      <w:pPr>
        <w:pStyle w:val="NormalBold"/>
      </w:pPr>
      <w:r w:rsidRPr="00635D1D">
        <w:rPr>
          <w:rStyle w:val="HideTWBExt"/>
          <w:b w:val="0"/>
        </w:rPr>
        <w:t>&lt;/RepeatBlock-By&gt;</w:t>
      </w:r>
    </w:p>
    <w:p w14:paraId="49B7E5C3"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EF6566A" w14:textId="77777777" w:rsidR="008144C7" w:rsidRPr="00E90719" w:rsidRDefault="008144C7" w:rsidP="008144C7">
      <w:pPr>
        <w:pStyle w:val="NormalBold"/>
        <w:rPr>
          <w:lang w:val="fr-BE"/>
        </w:rPr>
      </w:pPr>
      <w:r w:rsidRPr="00E90719">
        <w:rPr>
          <w:rStyle w:val="HideTWBExt"/>
          <w:b w:val="0"/>
          <w:lang w:val="fr-BE"/>
        </w:rPr>
        <w:t>&lt;Article&gt;</w:t>
      </w:r>
      <w:r w:rsidRPr="00E90719">
        <w:rPr>
          <w:lang w:val="fr-BE"/>
        </w:rPr>
        <w:t>Artykuł 1 – akapit 1 – punkt 1</w:t>
      </w:r>
      <w:r w:rsidRPr="00E90719">
        <w:rPr>
          <w:rStyle w:val="HideTWBExt"/>
          <w:b w:val="0"/>
          <w:lang w:val="fr-BE"/>
        </w:rPr>
        <w:t>&lt;/Article&gt;</w:t>
      </w:r>
    </w:p>
    <w:p w14:paraId="3B5DDB8D"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1ABC8F29" w14:textId="77777777" w:rsidR="008144C7" w:rsidRPr="00635D1D" w:rsidRDefault="008144C7" w:rsidP="008144C7">
      <w:r w:rsidRPr="00635D1D">
        <w:rPr>
          <w:rStyle w:val="HideTWBExt"/>
        </w:rPr>
        <w:t>&lt;Article2&gt;</w:t>
      </w:r>
      <w:r w:rsidRPr="00635D1D">
        <w:t>Artykuł 2 – punkt 42</w:t>
      </w:r>
      <w:r w:rsidRPr="00635D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26EE401" w14:textId="77777777" w:rsidTr="00C5582D">
        <w:trPr>
          <w:trHeight w:val="240"/>
          <w:jc w:val="center"/>
        </w:trPr>
        <w:tc>
          <w:tcPr>
            <w:tcW w:w="9752" w:type="dxa"/>
            <w:gridSpan w:val="2"/>
            <w:tcBorders>
              <w:top w:val="nil"/>
              <w:left w:val="nil"/>
              <w:bottom w:val="nil"/>
              <w:right w:val="nil"/>
            </w:tcBorders>
          </w:tcPr>
          <w:p w14:paraId="4ECCD0B1" w14:textId="77777777" w:rsidR="008144C7" w:rsidRPr="00635D1D" w:rsidRDefault="008144C7" w:rsidP="00C5582D"/>
        </w:tc>
      </w:tr>
      <w:tr w:rsidR="008144C7" w:rsidRPr="00635D1D" w14:paraId="35554B75" w14:textId="77777777" w:rsidTr="00C5582D">
        <w:trPr>
          <w:trHeight w:val="240"/>
          <w:jc w:val="center"/>
        </w:trPr>
        <w:tc>
          <w:tcPr>
            <w:tcW w:w="4876" w:type="dxa"/>
            <w:tcBorders>
              <w:top w:val="nil"/>
              <w:left w:val="nil"/>
              <w:bottom w:val="nil"/>
              <w:right w:val="nil"/>
            </w:tcBorders>
            <w:hideMark/>
          </w:tcPr>
          <w:p w14:paraId="132DBBB4"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5C86AADA" w14:textId="77777777" w:rsidR="008144C7" w:rsidRPr="00635D1D" w:rsidRDefault="008144C7" w:rsidP="00C5582D">
            <w:pPr>
              <w:pStyle w:val="AmColumnHeading"/>
            </w:pPr>
            <w:r w:rsidRPr="00635D1D">
              <w:t>Poprawka</w:t>
            </w:r>
          </w:p>
        </w:tc>
      </w:tr>
      <w:tr w:rsidR="008144C7" w:rsidRPr="00635D1D" w14:paraId="3B5822BD" w14:textId="77777777" w:rsidTr="00C5582D">
        <w:trPr>
          <w:jc w:val="center"/>
        </w:trPr>
        <w:tc>
          <w:tcPr>
            <w:tcW w:w="4876" w:type="dxa"/>
            <w:tcBorders>
              <w:top w:val="nil"/>
              <w:left w:val="nil"/>
              <w:bottom w:val="nil"/>
              <w:right w:val="nil"/>
            </w:tcBorders>
            <w:hideMark/>
          </w:tcPr>
          <w:p w14:paraId="243C8E50" w14:textId="77777777" w:rsidR="008144C7" w:rsidRPr="00635D1D" w:rsidRDefault="008144C7" w:rsidP="00C5582D">
            <w:pPr>
              <w:pStyle w:val="Normal6a"/>
            </w:pPr>
            <w:r w:rsidRPr="00635D1D">
              <w:t>42)</w:t>
            </w:r>
            <w:r w:rsidRPr="00635D1D">
              <w:tab/>
              <w:t>»kontakt elektroniczny« oznacza każdy aktualny i dostępny internetowy kanał komunikacyjny, za pośrednictwem którego można dotrzeć do dostawcy lub zaangażować go bez konieczności rejestracji lub pobierania aplikacji.</w:t>
            </w:r>
          </w:p>
        </w:tc>
        <w:tc>
          <w:tcPr>
            <w:tcW w:w="4876" w:type="dxa"/>
            <w:tcBorders>
              <w:top w:val="nil"/>
              <w:left w:val="nil"/>
              <w:bottom w:val="nil"/>
              <w:right w:val="nil"/>
            </w:tcBorders>
            <w:hideMark/>
          </w:tcPr>
          <w:p w14:paraId="422C5F7D" w14:textId="77777777" w:rsidR="008144C7" w:rsidRPr="00635D1D" w:rsidRDefault="008144C7" w:rsidP="00C5582D">
            <w:pPr>
              <w:pStyle w:val="Normal6a"/>
            </w:pPr>
            <w:r w:rsidRPr="00635D1D">
              <w:t>42)</w:t>
            </w:r>
            <w:r w:rsidRPr="00635D1D">
              <w:tab/>
              <w:t xml:space="preserve">»kontakt elektroniczny« oznacza każdy aktualny i </w:t>
            </w:r>
            <w:r w:rsidRPr="00635D1D">
              <w:rPr>
                <w:b/>
                <w:i/>
              </w:rPr>
              <w:t>swobodnie</w:t>
            </w:r>
            <w:r w:rsidRPr="00635D1D">
              <w:t xml:space="preserve"> dostępny internetowy kanał komunikacyjny, za pośrednictwem którego można dotrzeć do dostawcy lub zaangażować go bez konieczności rejestracji lub pobierania aplikacji.</w:t>
            </w:r>
          </w:p>
        </w:tc>
      </w:tr>
    </w:tbl>
    <w:p w14:paraId="3F398ED1"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1E28BFD2" w14:textId="77777777" w:rsidR="008144C7" w:rsidRPr="00E90719" w:rsidRDefault="008144C7" w:rsidP="008144C7">
      <w:pPr>
        <w:rPr>
          <w:lang w:val="en-GB"/>
        </w:rPr>
      </w:pPr>
      <w:r w:rsidRPr="00E90719">
        <w:rPr>
          <w:rStyle w:val="HideTWBExt"/>
          <w:lang w:val="en-GB"/>
        </w:rPr>
        <w:t>&lt;/Amend&gt;</w:t>
      </w:r>
    </w:p>
    <w:p w14:paraId="182C8032"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260</w:t>
      </w:r>
      <w:r w:rsidRPr="00E90719">
        <w:rPr>
          <w:rStyle w:val="HideTWBExt"/>
          <w:b w:val="0"/>
          <w:lang w:val="en-GB"/>
        </w:rPr>
        <w:t>&lt;/NumAm&gt;</w:t>
      </w:r>
    </w:p>
    <w:p w14:paraId="7E3EB7B5"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Aurelijus Veryga</w:t>
      </w:r>
      <w:r w:rsidRPr="00E90719">
        <w:rPr>
          <w:rStyle w:val="HideTWBExt"/>
          <w:b w:val="0"/>
          <w:lang w:val="en-GB"/>
        </w:rPr>
        <w:t>&lt;/Members&gt;</w:t>
      </w:r>
    </w:p>
    <w:p w14:paraId="471A87C6" w14:textId="77777777" w:rsidR="008144C7" w:rsidRPr="00635D1D" w:rsidRDefault="008144C7" w:rsidP="008144C7">
      <w:pPr>
        <w:pStyle w:val="NormalBold"/>
      </w:pPr>
      <w:r w:rsidRPr="00635D1D">
        <w:rPr>
          <w:rStyle w:val="HideTWBExt"/>
          <w:b w:val="0"/>
        </w:rPr>
        <w:t>&lt;/RepeatBlock-By&gt;</w:t>
      </w:r>
    </w:p>
    <w:p w14:paraId="5FD79BDB"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D831418" w14:textId="77777777" w:rsidR="008144C7" w:rsidRPr="00E90719" w:rsidRDefault="008144C7" w:rsidP="008144C7">
      <w:pPr>
        <w:pStyle w:val="NormalBold"/>
        <w:rPr>
          <w:lang w:val="fr-BE"/>
        </w:rPr>
      </w:pPr>
      <w:r w:rsidRPr="00E90719">
        <w:rPr>
          <w:rStyle w:val="HideTWBExt"/>
          <w:b w:val="0"/>
          <w:lang w:val="fr-BE"/>
        </w:rPr>
        <w:t>&lt;Article&gt;</w:t>
      </w:r>
      <w:r w:rsidRPr="00E90719">
        <w:rPr>
          <w:lang w:val="fr-BE"/>
        </w:rPr>
        <w:t>Artykuł 1 – akapit 1 – punkt 1</w:t>
      </w:r>
      <w:r w:rsidRPr="00E90719">
        <w:rPr>
          <w:rStyle w:val="HideTWBExt"/>
          <w:b w:val="0"/>
          <w:lang w:val="fr-BE"/>
        </w:rPr>
        <w:t>&lt;/Article&gt;</w:t>
      </w:r>
    </w:p>
    <w:p w14:paraId="58A6E05E"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14FA5589" w14:textId="77777777" w:rsidR="008144C7" w:rsidRPr="00635D1D" w:rsidRDefault="008144C7" w:rsidP="008144C7">
      <w:r w:rsidRPr="00635D1D">
        <w:rPr>
          <w:rStyle w:val="HideTWBExt"/>
        </w:rPr>
        <w:t>&lt;Article2&gt;</w:t>
      </w:r>
      <w:r w:rsidRPr="00635D1D">
        <w:t>Artykuł 2 – punkt 42</w:t>
      </w:r>
      <w:r w:rsidRPr="00635D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1A88BF6E" w14:textId="77777777" w:rsidTr="00C5582D">
        <w:trPr>
          <w:trHeight w:val="240"/>
          <w:jc w:val="center"/>
        </w:trPr>
        <w:tc>
          <w:tcPr>
            <w:tcW w:w="9752" w:type="dxa"/>
            <w:gridSpan w:val="2"/>
            <w:tcBorders>
              <w:top w:val="nil"/>
              <w:left w:val="nil"/>
              <w:bottom w:val="nil"/>
              <w:right w:val="nil"/>
            </w:tcBorders>
          </w:tcPr>
          <w:p w14:paraId="62B02503" w14:textId="77777777" w:rsidR="008144C7" w:rsidRPr="00635D1D" w:rsidRDefault="008144C7" w:rsidP="00C5582D"/>
        </w:tc>
      </w:tr>
      <w:tr w:rsidR="008144C7" w:rsidRPr="00635D1D" w14:paraId="245B254E" w14:textId="77777777" w:rsidTr="00C5582D">
        <w:trPr>
          <w:trHeight w:val="240"/>
          <w:jc w:val="center"/>
        </w:trPr>
        <w:tc>
          <w:tcPr>
            <w:tcW w:w="4876" w:type="dxa"/>
            <w:tcBorders>
              <w:top w:val="nil"/>
              <w:left w:val="nil"/>
              <w:bottom w:val="nil"/>
              <w:right w:val="nil"/>
            </w:tcBorders>
            <w:hideMark/>
          </w:tcPr>
          <w:p w14:paraId="0B24A28D"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77CA88F" w14:textId="77777777" w:rsidR="008144C7" w:rsidRPr="00635D1D" w:rsidRDefault="008144C7" w:rsidP="00C5582D">
            <w:pPr>
              <w:pStyle w:val="AmColumnHeading"/>
            </w:pPr>
            <w:r w:rsidRPr="00635D1D">
              <w:t>Poprawka</w:t>
            </w:r>
          </w:p>
        </w:tc>
      </w:tr>
      <w:tr w:rsidR="008144C7" w:rsidRPr="00635D1D" w14:paraId="4FC3F794" w14:textId="77777777" w:rsidTr="00C5582D">
        <w:trPr>
          <w:jc w:val="center"/>
        </w:trPr>
        <w:tc>
          <w:tcPr>
            <w:tcW w:w="4876" w:type="dxa"/>
            <w:tcBorders>
              <w:top w:val="nil"/>
              <w:left w:val="nil"/>
              <w:bottom w:val="nil"/>
              <w:right w:val="nil"/>
            </w:tcBorders>
            <w:hideMark/>
          </w:tcPr>
          <w:p w14:paraId="57B2F362" w14:textId="77777777" w:rsidR="008144C7" w:rsidRPr="00635D1D" w:rsidRDefault="008144C7" w:rsidP="00C5582D">
            <w:pPr>
              <w:pStyle w:val="Normal6a"/>
            </w:pPr>
            <w:r w:rsidRPr="00635D1D">
              <w:t>42)</w:t>
            </w:r>
            <w:r w:rsidRPr="00635D1D">
              <w:tab/>
              <w:t>»kontakt elektroniczny« oznacza każdy aktualny i dostępny internetowy kanał komunikacyjny, za pośrednictwem którego można dotrzeć do dostawcy lub zaangażować go bez konieczności rejestracji lub pobierania aplikacji.</w:t>
            </w:r>
          </w:p>
        </w:tc>
        <w:tc>
          <w:tcPr>
            <w:tcW w:w="4876" w:type="dxa"/>
            <w:tcBorders>
              <w:top w:val="nil"/>
              <w:left w:val="nil"/>
              <w:bottom w:val="nil"/>
              <w:right w:val="nil"/>
            </w:tcBorders>
            <w:hideMark/>
          </w:tcPr>
          <w:p w14:paraId="072FCC79" w14:textId="77777777" w:rsidR="008144C7" w:rsidRPr="00635D1D" w:rsidRDefault="008144C7" w:rsidP="00C5582D">
            <w:pPr>
              <w:pStyle w:val="Normal6a"/>
            </w:pPr>
            <w:r w:rsidRPr="00635D1D">
              <w:t>42)</w:t>
            </w:r>
            <w:r w:rsidRPr="00635D1D">
              <w:tab/>
              <w:t xml:space="preserve">»kontakt elektroniczny« oznacza każdy aktualny i </w:t>
            </w:r>
            <w:r w:rsidRPr="00635D1D">
              <w:rPr>
                <w:b/>
                <w:i/>
              </w:rPr>
              <w:t>swobodnie</w:t>
            </w:r>
            <w:r w:rsidRPr="00635D1D">
              <w:t xml:space="preserve"> dostępny internetowy kanał komunikacyjny, za pośrednictwem którego można dotrzeć do dostawcy lub zaangażować go bez konieczności rejestracji lub pobierania aplikacji.</w:t>
            </w:r>
          </w:p>
        </w:tc>
      </w:tr>
    </w:tbl>
    <w:p w14:paraId="2BFDB665"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3F4AFB10" w14:textId="77777777" w:rsidR="008144C7" w:rsidRPr="00E90719" w:rsidRDefault="008144C7" w:rsidP="008144C7">
      <w:pPr>
        <w:rPr>
          <w:lang w:val="en-GB"/>
        </w:rPr>
      </w:pPr>
      <w:r w:rsidRPr="00E90719">
        <w:rPr>
          <w:rStyle w:val="HideTWBExt"/>
          <w:lang w:val="en-GB"/>
        </w:rPr>
        <w:t>&lt;/Amend&gt;</w:t>
      </w:r>
    </w:p>
    <w:p w14:paraId="1CD199F0"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261</w:t>
      </w:r>
      <w:r w:rsidRPr="00E90719">
        <w:rPr>
          <w:rStyle w:val="HideTWBExt"/>
          <w:b w:val="0"/>
          <w:lang w:val="en-GB"/>
        </w:rPr>
        <w:t>&lt;/NumAm&gt;</w:t>
      </w:r>
    </w:p>
    <w:p w14:paraId="300B3DB7"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Elżbieta Katarzyna Łukacijewska, Ewa Kopacz, Hanna Gronkiewicz-Waltz, Adam Jarubas</w:t>
      </w:r>
      <w:r w:rsidRPr="00E90719">
        <w:rPr>
          <w:rStyle w:val="HideTWBExt"/>
          <w:b w:val="0"/>
          <w:lang w:val="en-GB"/>
        </w:rPr>
        <w:t>&lt;/Members&gt;</w:t>
      </w:r>
    </w:p>
    <w:p w14:paraId="3A4B71CB" w14:textId="77777777" w:rsidR="008144C7" w:rsidRPr="00635D1D" w:rsidRDefault="008144C7" w:rsidP="008144C7">
      <w:pPr>
        <w:pStyle w:val="NormalBold"/>
      </w:pPr>
      <w:r w:rsidRPr="00635D1D">
        <w:rPr>
          <w:rStyle w:val="HideTWBExt"/>
          <w:b w:val="0"/>
        </w:rPr>
        <w:t>&lt;/RepeatBlock-By&gt;</w:t>
      </w:r>
    </w:p>
    <w:p w14:paraId="7B594A31"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2B8024A6" w14:textId="77777777" w:rsidR="008144C7" w:rsidRPr="00E90719" w:rsidRDefault="008144C7" w:rsidP="008144C7">
      <w:pPr>
        <w:pStyle w:val="NormalBold"/>
        <w:rPr>
          <w:lang w:val="fr-BE"/>
        </w:rPr>
      </w:pPr>
      <w:r w:rsidRPr="00E90719">
        <w:rPr>
          <w:rStyle w:val="HideTWBExt"/>
          <w:b w:val="0"/>
          <w:lang w:val="fr-BE"/>
        </w:rPr>
        <w:t>&lt;Article&gt;</w:t>
      </w:r>
      <w:r w:rsidRPr="00E90719">
        <w:rPr>
          <w:lang w:val="fr-BE"/>
        </w:rPr>
        <w:t>Artykuł 1 – akapit 1 – punkt 1</w:t>
      </w:r>
      <w:r w:rsidRPr="00E90719">
        <w:rPr>
          <w:rStyle w:val="HideTWBExt"/>
          <w:b w:val="0"/>
          <w:lang w:val="fr-BE"/>
        </w:rPr>
        <w:t>&lt;/Article&gt;</w:t>
      </w:r>
    </w:p>
    <w:p w14:paraId="6E0ACF0A"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2FB5B190" w14:textId="77777777" w:rsidR="008144C7" w:rsidRPr="00635D1D" w:rsidRDefault="008144C7" w:rsidP="008144C7">
      <w:r w:rsidRPr="00635D1D">
        <w:rPr>
          <w:rStyle w:val="HideTWBExt"/>
        </w:rPr>
        <w:t>&lt;Article2&gt;</w:t>
      </w:r>
      <w:r w:rsidRPr="00635D1D">
        <w:t>Artykuł 2 – punkt 42</w:t>
      </w:r>
      <w:r w:rsidRPr="00635D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3988AC80" w14:textId="77777777" w:rsidTr="00C5582D">
        <w:trPr>
          <w:trHeight w:val="240"/>
          <w:jc w:val="center"/>
        </w:trPr>
        <w:tc>
          <w:tcPr>
            <w:tcW w:w="9752" w:type="dxa"/>
            <w:gridSpan w:val="2"/>
            <w:tcBorders>
              <w:top w:val="nil"/>
              <w:left w:val="nil"/>
              <w:bottom w:val="nil"/>
              <w:right w:val="nil"/>
            </w:tcBorders>
          </w:tcPr>
          <w:p w14:paraId="6869AFC3" w14:textId="77777777" w:rsidR="008144C7" w:rsidRPr="00635D1D" w:rsidRDefault="008144C7" w:rsidP="00C5582D"/>
        </w:tc>
      </w:tr>
      <w:tr w:rsidR="008144C7" w:rsidRPr="00635D1D" w14:paraId="19D2EA74" w14:textId="77777777" w:rsidTr="00C5582D">
        <w:trPr>
          <w:trHeight w:val="240"/>
          <w:jc w:val="center"/>
        </w:trPr>
        <w:tc>
          <w:tcPr>
            <w:tcW w:w="4876" w:type="dxa"/>
            <w:tcBorders>
              <w:top w:val="nil"/>
              <w:left w:val="nil"/>
              <w:bottom w:val="nil"/>
              <w:right w:val="nil"/>
            </w:tcBorders>
            <w:hideMark/>
          </w:tcPr>
          <w:p w14:paraId="4B4E6A1D"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1A49BC8B" w14:textId="77777777" w:rsidR="008144C7" w:rsidRPr="00635D1D" w:rsidRDefault="008144C7" w:rsidP="00C5582D">
            <w:pPr>
              <w:pStyle w:val="AmColumnHeading"/>
            </w:pPr>
            <w:r w:rsidRPr="00635D1D">
              <w:t>Poprawka</w:t>
            </w:r>
          </w:p>
        </w:tc>
      </w:tr>
      <w:tr w:rsidR="008144C7" w:rsidRPr="00635D1D" w14:paraId="4C8EE44B" w14:textId="77777777" w:rsidTr="00C5582D">
        <w:trPr>
          <w:jc w:val="center"/>
        </w:trPr>
        <w:tc>
          <w:tcPr>
            <w:tcW w:w="4876" w:type="dxa"/>
            <w:tcBorders>
              <w:top w:val="nil"/>
              <w:left w:val="nil"/>
              <w:bottom w:val="nil"/>
              <w:right w:val="nil"/>
            </w:tcBorders>
            <w:hideMark/>
          </w:tcPr>
          <w:p w14:paraId="4B792255" w14:textId="77777777" w:rsidR="008144C7" w:rsidRPr="00635D1D" w:rsidRDefault="008144C7" w:rsidP="00C5582D">
            <w:pPr>
              <w:pStyle w:val="Normal6a"/>
            </w:pPr>
            <w:r w:rsidRPr="00635D1D">
              <w:t>42)</w:t>
            </w:r>
            <w:r w:rsidRPr="00635D1D">
              <w:tab/>
              <w:t>»kontakt elektroniczny« oznacza każdy aktualny i dostępny internetowy kanał komunikacyjny, za pośrednictwem którego można dotrzeć do dostawcy lub zaangażować go bez konieczności rejestracji lub pobierania aplikacji.</w:t>
            </w:r>
          </w:p>
        </w:tc>
        <w:tc>
          <w:tcPr>
            <w:tcW w:w="4876" w:type="dxa"/>
            <w:tcBorders>
              <w:top w:val="nil"/>
              <w:left w:val="nil"/>
              <w:bottom w:val="nil"/>
              <w:right w:val="nil"/>
            </w:tcBorders>
            <w:hideMark/>
          </w:tcPr>
          <w:p w14:paraId="0126E795" w14:textId="77777777" w:rsidR="008144C7" w:rsidRPr="00635D1D" w:rsidRDefault="008144C7" w:rsidP="00C5582D">
            <w:pPr>
              <w:pStyle w:val="Normal6a"/>
            </w:pPr>
            <w:r w:rsidRPr="00635D1D">
              <w:t>42)</w:t>
            </w:r>
            <w:r w:rsidRPr="00635D1D">
              <w:tab/>
              <w:t xml:space="preserve">»kontakt elektroniczny« oznacza każdy aktualny i </w:t>
            </w:r>
            <w:r w:rsidRPr="00635D1D">
              <w:rPr>
                <w:b/>
                <w:i/>
              </w:rPr>
              <w:t>swobodnie</w:t>
            </w:r>
            <w:r w:rsidRPr="00635D1D">
              <w:t xml:space="preserve"> dostępny internetowy kanał komunikacyjny, za pośrednictwem którego można dotrzeć do dostawcy lub zaangażować go bez konieczności rejestracji lub pobierania aplikacji.</w:t>
            </w:r>
          </w:p>
        </w:tc>
      </w:tr>
    </w:tbl>
    <w:p w14:paraId="20D8EEAF"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3D4981EC" w14:textId="77777777" w:rsidR="008144C7" w:rsidRPr="00E90719" w:rsidRDefault="008144C7" w:rsidP="008144C7">
      <w:pPr>
        <w:rPr>
          <w:lang w:val="en-GB"/>
        </w:rPr>
      </w:pPr>
      <w:r w:rsidRPr="00E90719">
        <w:rPr>
          <w:rStyle w:val="HideTWBExt"/>
          <w:lang w:val="en-GB"/>
        </w:rPr>
        <w:t>&lt;/Amend&gt;</w:t>
      </w:r>
    </w:p>
    <w:p w14:paraId="08B3DACF"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262</w:t>
      </w:r>
      <w:r w:rsidRPr="00E90719">
        <w:rPr>
          <w:rStyle w:val="HideTWBExt"/>
          <w:b w:val="0"/>
          <w:lang w:val="en-GB"/>
        </w:rPr>
        <w:t>&lt;/NumAm&gt;</w:t>
      </w:r>
    </w:p>
    <w:p w14:paraId="76DDDDB6"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Nikola Minchev, Jeannette Baljeu</w:t>
      </w:r>
      <w:r w:rsidRPr="00E90719">
        <w:rPr>
          <w:rStyle w:val="HideTWBExt"/>
          <w:b w:val="0"/>
          <w:lang w:val="en-GB"/>
        </w:rPr>
        <w:t>&lt;/Members&gt;</w:t>
      </w:r>
    </w:p>
    <w:p w14:paraId="388F76E5" w14:textId="77777777" w:rsidR="008144C7" w:rsidRPr="00635D1D" w:rsidRDefault="008144C7" w:rsidP="008144C7">
      <w:pPr>
        <w:pStyle w:val="NormalBold"/>
      </w:pPr>
      <w:r w:rsidRPr="00635D1D">
        <w:rPr>
          <w:rStyle w:val="HideTWBExt"/>
          <w:b w:val="0"/>
        </w:rPr>
        <w:t>&lt;/RepeatBlock-By&gt;</w:t>
      </w:r>
    </w:p>
    <w:p w14:paraId="72D0F8B1"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55E1A5C5" w14:textId="77777777" w:rsidR="008144C7" w:rsidRPr="00E90719" w:rsidRDefault="008144C7" w:rsidP="008144C7">
      <w:pPr>
        <w:pStyle w:val="NormalBold"/>
        <w:rPr>
          <w:lang w:val="fr-BE"/>
        </w:rPr>
      </w:pPr>
      <w:r w:rsidRPr="00E90719">
        <w:rPr>
          <w:rStyle w:val="HideTWBExt"/>
          <w:b w:val="0"/>
          <w:lang w:val="fr-BE"/>
        </w:rPr>
        <w:t>&lt;Article&gt;</w:t>
      </w:r>
      <w:r w:rsidRPr="00E90719">
        <w:rPr>
          <w:lang w:val="fr-BE"/>
        </w:rPr>
        <w:t>Artykuł 1 – akapit 1 – punkt 1</w:t>
      </w:r>
      <w:r w:rsidRPr="00E90719">
        <w:rPr>
          <w:rStyle w:val="HideTWBExt"/>
          <w:b w:val="0"/>
          <w:lang w:val="fr-BE"/>
        </w:rPr>
        <w:t>&lt;/Article&gt;</w:t>
      </w:r>
    </w:p>
    <w:p w14:paraId="4CA15FFD"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65EC5C8D" w14:textId="77777777" w:rsidR="008144C7" w:rsidRPr="00635D1D" w:rsidRDefault="008144C7" w:rsidP="008144C7">
      <w:r w:rsidRPr="00635D1D">
        <w:rPr>
          <w:rStyle w:val="HideTWBExt"/>
        </w:rPr>
        <w:t>&lt;Article2&gt;</w:t>
      </w:r>
      <w:r w:rsidRPr="00635D1D">
        <w:t>Artykuł 2 – punkt 42</w:t>
      </w:r>
      <w:r w:rsidRPr="00635D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2FDE37CF" w14:textId="77777777" w:rsidTr="00C5582D">
        <w:trPr>
          <w:trHeight w:val="240"/>
          <w:jc w:val="center"/>
        </w:trPr>
        <w:tc>
          <w:tcPr>
            <w:tcW w:w="9752" w:type="dxa"/>
            <w:gridSpan w:val="2"/>
            <w:tcBorders>
              <w:top w:val="nil"/>
              <w:left w:val="nil"/>
              <w:bottom w:val="nil"/>
              <w:right w:val="nil"/>
            </w:tcBorders>
          </w:tcPr>
          <w:p w14:paraId="37A77FCA" w14:textId="77777777" w:rsidR="008144C7" w:rsidRPr="00635D1D" w:rsidRDefault="008144C7" w:rsidP="00C5582D"/>
        </w:tc>
      </w:tr>
      <w:tr w:rsidR="008144C7" w:rsidRPr="00635D1D" w14:paraId="5FCC82AD" w14:textId="77777777" w:rsidTr="00C5582D">
        <w:trPr>
          <w:trHeight w:val="240"/>
          <w:jc w:val="center"/>
        </w:trPr>
        <w:tc>
          <w:tcPr>
            <w:tcW w:w="4876" w:type="dxa"/>
            <w:tcBorders>
              <w:top w:val="nil"/>
              <w:left w:val="nil"/>
              <w:bottom w:val="nil"/>
              <w:right w:val="nil"/>
            </w:tcBorders>
            <w:hideMark/>
          </w:tcPr>
          <w:p w14:paraId="7B0FC85A"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78621D4" w14:textId="77777777" w:rsidR="008144C7" w:rsidRPr="00635D1D" w:rsidRDefault="008144C7" w:rsidP="00C5582D">
            <w:pPr>
              <w:pStyle w:val="AmColumnHeading"/>
            </w:pPr>
            <w:r w:rsidRPr="00635D1D">
              <w:t>Poprawka</w:t>
            </w:r>
          </w:p>
        </w:tc>
      </w:tr>
      <w:tr w:rsidR="008144C7" w:rsidRPr="00635D1D" w14:paraId="74471ABF" w14:textId="77777777" w:rsidTr="00C5582D">
        <w:trPr>
          <w:jc w:val="center"/>
        </w:trPr>
        <w:tc>
          <w:tcPr>
            <w:tcW w:w="4876" w:type="dxa"/>
            <w:tcBorders>
              <w:top w:val="nil"/>
              <w:left w:val="nil"/>
              <w:bottom w:val="nil"/>
              <w:right w:val="nil"/>
            </w:tcBorders>
            <w:hideMark/>
          </w:tcPr>
          <w:p w14:paraId="43BE1DAF" w14:textId="77777777" w:rsidR="008144C7" w:rsidRPr="00635D1D" w:rsidRDefault="008144C7" w:rsidP="00C5582D">
            <w:pPr>
              <w:pStyle w:val="Normal6a"/>
            </w:pPr>
            <w:r w:rsidRPr="00635D1D">
              <w:t>42)</w:t>
            </w:r>
            <w:r w:rsidRPr="00635D1D">
              <w:tab/>
              <w:t xml:space="preserve">»kontakt elektroniczny« oznacza każdy aktualny i dostępny internetowy kanał komunikacyjny, za pośrednictwem którego można dotrzeć do dostawcy </w:t>
            </w:r>
            <w:r w:rsidRPr="00635D1D">
              <w:rPr>
                <w:b/>
                <w:i/>
              </w:rPr>
              <w:t>lub zaangażować go</w:t>
            </w:r>
            <w:r w:rsidRPr="00635D1D">
              <w:t xml:space="preserve"> bez konieczności rejestracji lub pobierania aplikacji.</w:t>
            </w:r>
          </w:p>
        </w:tc>
        <w:tc>
          <w:tcPr>
            <w:tcW w:w="4876" w:type="dxa"/>
            <w:tcBorders>
              <w:top w:val="nil"/>
              <w:left w:val="nil"/>
              <w:bottom w:val="nil"/>
              <w:right w:val="nil"/>
            </w:tcBorders>
            <w:hideMark/>
          </w:tcPr>
          <w:p w14:paraId="6F859F8F" w14:textId="77777777" w:rsidR="008144C7" w:rsidRPr="00635D1D" w:rsidRDefault="008144C7" w:rsidP="00C5582D">
            <w:pPr>
              <w:pStyle w:val="Normal6a"/>
            </w:pPr>
            <w:r w:rsidRPr="00635D1D">
              <w:t>42)</w:t>
            </w:r>
            <w:r w:rsidRPr="00635D1D">
              <w:tab/>
              <w:t xml:space="preserve">»kontakt elektroniczny« oznacza każdy aktualny i </w:t>
            </w:r>
            <w:r w:rsidRPr="00635D1D">
              <w:rPr>
                <w:b/>
                <w:i/>
              </w:rPr>
              <w:t>swobodnie</w:t>
            </w:r>
            <w:r w:rsidRPr="00635D1D">
              <w:t xml:space="preserve"> dostępny internetowy kanał komunikacyjny, za pośrednictwem którego można dotrzeć do dostawcy bez konieczności rejestracji lub pobierania aplikacji.</w:t>
            </w:r>
          </w:p>
        </w:tc>
      </w:tr>
    </w:tbl>
    <w:p w14:paraId="66D9FD82"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53DF4243" w14:textId="77777777" w:rsidR="008144C7" w:rsidRPr="00E90719" w:rsidRDefault="008144C7" w:rsidP="008144C7">
      <w:pPr>
        <w:rPr>
          <w:lang w:val="en-GB"/>
        </w:rPr>
      </w:pPr>
      <w:r w:rsidRPr="00E90719">
        <w:rPr>
          <w:rStyle w:val="HideTWBExt"/>
          <w:lang w:val="en-GB"/>
        </w:rPr>
        <w:t>&lt;/Amend&gt;</w:t>
      </w:r>
    </w:p>
    <w:p w14:paraId="18035E3E"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263</w:t>
      </w:r>
      <w:r w:rsidRPr="00E90719">
        <w:rPr>
          <w:rStyle w:val="HideTWBExt"/>
          <w:b w:val="0"/>
          <w:lang w:val="en-GB"/>
        </w:rPr>
        <w:t>&lt;/NumAm&gt;</w:t>
      </w:r>
    </w:p>
    <w:p w14:paraId="54433A67"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Pietro Fiocchi, Antonella Sberna</w:t>
      </w:r>
      <w:r w:rsidRPr="00E90719">
        <w:rPr>
          <w:rStyle w:val="HideTWBExt"/>
          <w:b w:val="0"/>
          <w:lang w:val="en-GB"/>
        </w:rPr>
        <w:t>&lt;/Members&gt;</w:t>
      </w:r>
    </w:p>
    <w:p w14:paraId="32245F01" w14:textId="77777777" w:rsidR="008144C7" w:rsidRPr="00635D1D" w:rsidRDefault="008144C7" w:rsidP="008144C7">
      <w:pPr>
        <w:pStyle w:val="NormalBold"/>
      </w:pPr>
      <w:r w:rsidRPr="00635D1D">
        <w:rPr>
          <w:rStyle w:val="HideTWBExt"/>
          <w:b w:val="0"/>
        </w:rPr>
        <w:t>&lt;/RepeatBlock-By&gt;</w:t>
      </w:r>
    </w:p>
    <w:p w14:paraId="385D7E2F"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75BE9C39" w14:textId="77777777" w:rsidR="008144C7" w:rsidRPr="00635D1D" w:rsidRDefault="008144C7" w:rsidP="008144C7">
      <w:pPr>
        <w:pStyle w:val="NormalBold"/>
      </w:pPr>
      <w:r w:rsidRPr="00635D1D">
        <w:rPr>
          <w:rStyle w:val="HideTWBExt"/>
          <w:b w:val="0"/>
        </w:rPr>
        <w:t>&lt;Article&gt;</w:t>
      </w:r>
      <w:r w:rsidRPr="00635D1D">
        <w:t>Artykuł 1 – akapit 1 – punkt 1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p w14:paraId="2C7C3E07"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35646E2E" w14:textId="77777777" w:rsidR="008144C7" w:rsidRPr="00635D1D" w:rsidRDefault="008144C7" w:rsidP="008144C7">
      <w:r w:rsidRPr="00635D1D">
        <w:rPr>
          <w:rStyle w:val="HideTWBExt"/>
        </w:rPr>
        <w:t>&lt;Article2&gt;</w:t>
      </w:r>
      <w:r w:rsidRPr="00635D1D">
        <w:t>Artykuł 2 – punkt 42 a</w:t>
      </w:r>
      <w:r w:rsidRPr="00635D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0369ED33" w14:textId="77777777" w:rsidTr="00C5582D">
        <w:trPr>
          <w:trHeight w:val="240"/>
          <w:jc w:val="center"/>
        </w:trPr>
        <w:tc>
          <w:tcPr>
            <w:tcW w:w="9752" w:type="dxa"/>
            <w:gridSpan w:val="2"/>
            <w:tcBorders>
              <w:top w:val="nil"/>
              <w:left w:val="nil"/>
              <w:bottom w:val="nil"/>
              <w:right w:val="nil"/>
            </w:tcBorders>
          </w:tcPr>
          <w:p w14:paraId="68E3BA2B" w14:textId="77777777" w:rsidR="008144C7" w:rsidRPr="00635D1D" w:rsidRDefault="008144C7" w:rsidP="00C5582D"/>
        </w:tc>
      </w:tr>
      <w:tr w:rsidR="008144C7" w:rsidRPr="00635D1D" w14:paraId="611E897C" w14:textId="77777777" w:rsidTr="00C5582D">
        <w:trPr>
          <w:trHeight w:val="240"/>
          <w:jc w:val="center"/>
        </w:trPr>
        <w:tc>
          <w:tcPr>
            <w:tcW w:w="4876" w:type="dxa"/>
            <w:tcBorders>
              <w:top w:val="nil"/>
              <w:left w:val="nil"/>
              <w:bottom w:val="nil"/>
              <w:right w:val="nil"/>
            </w:tcBorders>
            <w:hideMark/>
          </w:tcPr>
          <w:p w14:paraId="11BD6E62"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2B406990" w14:textId="77777777" w:rsidR="008144C7" w:rsidRPr="00635D1D" w:rsidRDefault="008144C7" w:rsidP="00C5582D">
            <w:pPr>
              <w:pStyle w:val="AmColumnHeading"/>
            </w:pPr>
            <w:r w:rsidRPr="00635D1D">
              <w:t>Poprawka</w:t>
            </w:r>
          </w:p>
        </w:tc>
      </w:tr>
      <w:tr w:rsidR="008144C7" w:rsidRPr="00635D1D" w14:paraId="126D2935" w14:textId="77777777" w:rsidTr="00C5582D">
        <w:trPr>
          <w:jc w:val="center"/>
        </w:trPr>
        <w:tc>
          <w:tcPr>
            <w:tcW w:w="4876" w:type="dxa"/>
            <w:tcBorders>
              <w:top w:val="nil"/>
              <w:left w:val="nil"/>
              <w:bottom w:val="nil"/>
              <w:right w:val="nil"/>
            </w:tcBorders>
          </w:tcPr>
          <w:p w14:paraId="6B8D4185" w14:textId="77777777" w:rsidR="008144C7" w:rsidRPr="00635D1D" w:rsidRDefault="008144C7" w:rsidP="00C5582D">
            <w:pPr>
              <w:pStyle w:val="Normal6a"/>
            </w:pPr>
          </w:p>
        </w:tc>
        <w:tc>
          <w:tcPr>
            <w:tcW w:w="4876" w:type="dxa"/>
            <w:tcBorders>
              <w:top w:val="nil"/>
              <w:left w:val="nil"/>
              <w:bottom w:val="nil"/>
              <w:right w:val="nil"/>
            </w:tcBorders>
            <w:hideMark/>
          </w:tcPr>
          <w:p w14:paraId="2517859A" w14:textId="77777777" w:rsidR="008144C7" w:rsidRPr="00635D1D" w:rsidRDefault="008144C7" w:rsidP="00C5582D">
            <w:pPr>
              <w:pStyle w:val="Normal6a"/>
            </w:pPr>
            <w:r w:rsidRPr="00635D1D">
              <w:rPr>
                <w:b/>
                <w:i/>
              </w:rPr>
              <w:t>42a)</w:t>
            </w:r>
            <w:r w:rsidRPr="00635D1D">
              <w:tab/>
            </w:r>
            <w:r w:rsidRPr="00635D1D">
              <w:rPr>
                <w:b/>
                <w:i/>
              </w:rPr>
              <w:t>»wprowadzenie do obrotu« oznacza udostępnienie produktu na rynku po raz pierwszy.</w:t>
            </w:r>
          </w:p>
        </w:tc>
      </w:tr>
    </w:tbl>
    <w:p w14:paraId="00D29BF1"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2AB51D2E"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012D4322" w14:textId="77777777" w:rsidR="008144C7" w:rsidRPr="00635D1D" w:rsidRDefault="008144C7" w:rsidP="008144C7">
      <w:pPr>
        <w:pStyle w:val="AmJustText"/>
      </w:pPr>
      <w:r w:rsidRPr="00635D1D">
        <w:t>W CLP nie rozróżnia się „wprowadzania do obrotu” i „udostępniania na rynku”. Kiedy zastosowanie ma nowa klasyfikacja, przedsiębiorstwa muszą ponownie oznakować zarówno nowe produkty, jak i te, które już znajdują się w łańcuchu dostaw, co wiąże się z obciążeniami logistycznymi, np. wycofywaniem produktów z rynku, ponownym oznakowaniem, dodatkowymi kosztami i wzrostem ilości odpadów.</w:t>
      </w:r>
    </w:p>
    <w:p w14:paraId="40753107" w14:textId="77777777" w:rsidR="008144C7" w:rsidRPr="00635D1D" w:rsidRDefault="008144C7" w:rsidP="008144C7">
      <w:r w:rsidRPr="00635D1D">
        <w:rPr>
          <w:rStyle w:val="HideTWBExt"/>
        </w:rPr>
        <w:t>&lt;/Amend&gt;</w:t>
      </w:r>
    </w:p>
    <w:p w14:paraId="66B7CEE4"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264</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3488E9BB" w14:textId="77777777" w:rsidR="008144C7" w:rsidRPr="00635D1D" w:rsidRDefault="008144C7" w:rsidP="008144C7">
      <w:pPr>
        <w:pStyle w:val="NormalBold"/>
      </w:pPr>
      <w:r w:rsidRPr="00635D1D">
        <w:rPr>
          <w:rStyle w:val="HideTWBExt"/>
          <w:b w:val="0"/>
        </w:rPr>
        <w:t>&lt;RepeatBlock-By&gt;&lt;Members&gt;</w:t>
      </w:r>
      <w:proofErr w:type="spellStart"/>
      <w:r w:rsidRPr="00635D1D">
        <w:t>Anne-Sophie</w:t>
      </w:r>
      <w:proofErr w:type="spellEnd"/>
      <w:r w:rsidRPr="00635D1D">
        <w:t xml:space="preserve"> </w:t>
      </w:r>
      <w:proofErr w:type="spellStart"/>
      <w:r w:rsidRPr="00635D1D">
        <w:t>Frigout</w:t>
      </w:r>
      <w:proofErr w:type="spellEnd"/>
      <w:r w:rsidRPr="00635D1D">
        <w:t xml:space="preserve">, </w:t>
      </w:r>
      <w:proofErr w:type="spellStart"/>
      <w:r w:rsidRPr="00635D1D">
        <w:t>Mathilde</w:t>
      </w:r>
      <w:proofErr w:type="spellEnd"/>
      <w:r w:rsidRPr="00635D1D">
        <w:t xml:space="preserve"> </w:t>
      </w:r>
      <w:proofErr w:type="spellStart"/>
      <w:r w:rsidRPr="00635D1D">
        <w:t>Androuët</w:t>
      </w:r>
      <w:proofErr w:type="spellEnd"/>
      <w:r w:rsidRPr="00635D1D">
        <w:t xml:space="preserve">, </w:t>
      </w:r>
      <w:proofErr w:type="spellStart"/>
      <w:r w:rsidRPr="00635D1D">
        <w:t>Silvia</w:t>
      </w:r>
      <w:proofErr w:type="spellEnd"/>
      <w:r w:rsidRPr="00635D1D">
        <w:t xml:space="preserve"> </w:t>
      </w:r>
      <w:proofErr w:type="spellStart"/>
      <w:r w:rsidRPr="00635D1D">
        <w:t>Sardone</w:t>
      </w:r>
      <w:proofErr w:type="spellEnd"/>
      <w:r w:rsidRPr="00635D1D">
        <w:t xml:space="preserve">, Marie-Luce </w:t>
      </w:r>
      <w:proofErr w:type="spellStart"/>
      <w:r w:rsidRPr="00635D1D">
        <w:t>Brasier-Clain</w:t>
      </w:r>
      <w:proofErr w:type="spellEnd"/>
      <w:r w:rsidRPr="00635D1D">
        <w:t xml:space="preserve">, </w:t>
      </w:r>
      <w:proofErr w:type="spellStart"/>
      <w:r w:rsidRPr="00635D1D">
        <w:t>Valérie</w:t>
      </w:r>
      <w:proofErr w:type="spellEnd"/>
      <w:r w:rsidRPr="00635D1D">
        <w:t xml:space="preserve"> </w:t>
      </w:r>
      <w:proofErr w:type="spellStart"/>
      <w:r w:rsidRPr="00635D1D">
        <w:t>Deloge</w:t>
      </w:r>
      <w:proofErr w:type="spellEnd"/>
      <w:r w:rsidRPr="00635D1D">
        <w:t xml:space="preserve">, </w:t>
      </w:r>
      <w:proofErr w:type="spellStart"/>
      <w:r w:rsidRPr="00635D1D">
        <w:t>Antonín</w:t>
      </w:r>
      <w:proofErr w:type="spellEnd"/>
      <w:r w:rsidRPr="00635D1D">
        <w:t xml:space="preserve"> </w:t>
      </w:r>
      <w:proofErr w:type="spellStart"/>
      <w:r w:rsidRPr="00635D1D">
        <w:t>Staněk</w:t>
      </w:r>
      <w:proofErr w:type="spellEnd"/>
      <w:r w:rsidRPr="00635D1D">
        <w:rPr>
          <w:rStyle w:val="HideTWBExt"/>
          <w:b w:val="0"/>
        </w:rPr>
        <w:t>&lt;/Members&gt;</w:t>
      </w:r>
    </w:p>
    <w:p w14:paraId="037B69CD" w14:textId="77777777" w:rsidR="008144C7" w:rsidRPr="00635D1D" w:rsidRDefault="008144C7" w:rsidP="008144C7">
      <w:pPr>
        <w:pStyle w:val="NormalBold"/>
      </w:pPr>
      <w:r w:rsidRPr="00635D1D">
        <w:rPr>
          <w:rStyle w:val="HideTWBExt"/>
          <w:b w:val="0"/>
        </w:rPr>
        <w:t>&lt;/RepeatBlock-By&gt;</w:t>
      </w:r>
    </w:p>
    <w:p w14:paraId="3096A029"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D8B11B3" w14:textId="77777777" w:rsidR="008144C7" w:rsidRPr="00635D1D" w:rsidRDefault="008144C7" w:rsidP="008144C7">
      <w:pPr>
        <w:pStyle w:val="NormalBold"/>
      </w:pPr>
      <w:r w:rsidRPr="00635D1D">
        <w:rPr>
          <w:rStyle w:val="HideTWBExt"/>
          <w:b w:val="0"/>
        </w:rPr>
        <w:t>&lt;Article&gt;</w:t>
      </w:r>
      <w:r w:rsidRPr="00635D1D">
        <w:t>Artykuł 1 – akapit 1 – punkt 1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p w14:paraId="7B32BA78" w14:textId="77777777" w:rsidR="008144C7" w:rsidRPr="00635D1D" w:rsidRDefault="008144C7" w:rsidP="008144C7">
      <w:r w:rsidRPr="00635D1D">
        <w:rPr>
          <w:rStyle w:val="HideTWBExt"/>
        </w:rPr>
        <w:t>&lt;DocAmend2&gt;</w:t>
      </w:r>
      <w:r w:rsidRPr="00635D1D">
        <w:t xml:space="preserve"> Rozporządzenie (WE) nr 1272/2008</w:t>
      </w:r>
      <w:r w:rsidRPr="00635D1D">
        <w:rPr>
          <w:rStyle w:val="HideTWBExt"/>
        </w:rPr>
        <w:t>&lt;/DocAmend2&gt;</w:t>
      </w:r>
    </w:p>
    <w:p w14:paraId="64288182" w14:textId="77777777" w:rsidR="008144C7" w:rsidRPr="00635D1D" w:rsidRDefault="008144C7" w:rsidP="008144C7">
      <w:r w:rsidRPr="00635D1D">
        <w:rPr>
          <w:rStyle w:val="HideTWBExt"/>
        </w:rPr>
        <w:t>&lt;Article2&gt;</w:t>
      </w:r>
      <w:r w:rsidRPr="00635D1D">
        <w:t>Artykuł 5 – ustęp 3 – punkt 4</w:t>
      </w:r>
      <w:r w:rsidRPr="00635D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0C7687DA" w14:textId="77777777" w:rsidTr="00C5582D">
        <w:trPr>
          <w:trHeight w:val="240"/>
          <w:jc w:val="center"/>
        </w:trPr>
        <w:tc>
          <w:tcPr>
            <w:tcW w:w="9752" w:type="dxa"/>
            <w:gridSpan w:val="2"/>
            <w:tcBorders>
              <w:top w:val="nil"/>
              <w:left w:val="nil"/>
              <w:bottom w:val="nil"/>
              <w:right w:val="nil"/>
            </w:tcBorders>
          </w:tcPr>
          <w:p w14:paraId="00FD3212" w14:textId="77777777" w:rsidR="008144C7" w:rsidRPr="00635D1D" w:rsidRDefault="008144C7" w:rsidP="00C5582D"/>
        </w:tc>
      </w:tr>
      <w:tr w:rsidR="008144C7" w:rsidRPr="00635D1D" w14:paraId="328841B0" w14:textId="77777777" w:rsidTr="00C5582D">
        <w:trPr>
          <w:trHeight w:val="240"/>
          <w:jc w:val="center"/>
        </w:trPr>
        <w:tc>
          <w:tcPr>
            <w:tcW w:w="4876" w:type="dxa"/>
            <w:tcBorders>
              <w:top w:val="nil"/>
              <w:left w:val="nil"/>
              <w:bottom w:val="nil"/>
              <w:right w:val="nil"/>
            </w:tcBorders>
            <w:hideMark/>
          </w:tcPr>
          <w:p w14:paraId="3A466939"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3A3F896F" w14:textId="77777777" w:rsidR="008144C7" w:rsidRPr="00635D1D" w:rsidRDefault="008144C7" w:rsidP="00C5582D">
            <w:pPr>
              <w:pStyle w:val="AmColumnHeading"/>
            </w:pPr>
            <w:r w:rsidRPr="00635D1D">
              <w:t>Poprawka</w:t>
            </w:r>
          </w:p>
        </w:tc>
      </w:tr>
      <w:tr w:rsidR="008144C7" w:rsidRPr="00635D1D" w14:paraId="0A7382D8" w14:textId="77777777" w:rsidTr="00C5582D">
        <w:trPr>
          <w:jc w:val="center"/>
        </w:trPr>
        <w:tc>
          <w:tcPr>
            <w:tcW w:w="4876" w:type="dxa"/>
            <w:tcBorders>
              <w:top w:val="nil"/>
              <w:left w:val="nil"/>
              <w:bottom w:val="nil"/>
              <w:right w:val="nil"/>
            </w:tcBorders>
          </w:tcPr>
          <w:p w14:paraId="304CD907" w14:textId="77777777" w:rsidR="008144C7" w:rsidRPr="00635D1D" w:rsidRDefault="008144C7" w:rsidP="00C5582D">
            <w:pPr>
              <w:pStyle w:val="Normal6a"/>
            </w:pPr>
          </w:p>
        </w:tc>
        <w:tc>
          <w:tcPr>
            <w:tcW w:w="4876" w:type="dxa"/>
            <w:tcBorders>
              <w:top w:val="nil"/>
              <w:left w:val="nil"/>
              <w:bottom w:val="nil"/>
              <w:right w:val="nil"/>
            </w:tcBorders>
            <w:hideMark/>
          </w:tcPr>
          <w:p w14:paraId="0F2E9E17" w14:textId="77777777" w:rsidR="008144C7" w:rsidRPr="00635D1D" w:rsidRDefault="008144C7" w:rsidP="00C5582D">
            <w:pPr>
              <w:pStyle w:val="Normal6a"/>
            </w:pPr>
            <w:r w:rsidRPr="00635D1D">
              <w:rPr>
                <w:b/>
                <w:i/>
              </w:rPr>
              <w:t>1a)</w:t>
            </w:r>
            <w:r w:rsidRPr="00635D1D">
              <w:tab/>
            </w:r>
            <w:r w:rsidRPr="00635D1D">
              <w:rPr>
                <w:b/>
                <w:i/>
              </w:rPr>
              <w:t>w art. 5 ust. 3 punkt 4 wprowadza się następujące zmiany:</w:t>
            </w:r>
          </w:p>
        </w:tc>
      </w:tr>
      <w:tr w:rsidR="008144C7" w:rsidRPr="00635D1D" w14:paraId="0076C66F" w14:textId="77777777" w:rsidTr="00C5582D">
        <w:trPr>
          <w:jc w:val="center"/>
        </w:trPr>
        <w:tc>
          <w:tcPr>
            <w:tcW w:w="4876" w:type="dxa"/>
            <w:tcBorders>
              <w:top w:val="nil"/>
              <w:left w:val="nil"/>
              <w:bottom w:val="nil"/>
              <w:right w:val="nil"/>
            </w:tcBorders>
          </w:tcPr>
          <w:p w14:paraId="0C6F4B93" w14:textId="77777777" w:rsidR="008144C7" w:rsidRPr="00635D1D" w:rsidRDefault="008144C7" w:rsidP="00C5582D">
            <w:pPr>
              <w:pStyle w:val="Normal6a"/>
            </w:pPr>
          </w:p>
        </w:tc>
        <w:tc>
          <w:tcPr>
            <w:tcW w:w="4876" w:type="dxa"/>
            <w:tcBorders>
              <w:top w:val="nil"/>
              <w:left w:val="nil"/>
              <w:bottom w:val="nil"/>
              <w:right w:val="nil"/>
            </w:tcBorders>
            <w:hideMark/>
          </w:tcPr>
          <w:p w14:paraId="24B2F53C" w14:textId="77777777" w:rsidR="008144C7" w:rsidRPr="00635D1D" w:rsidRDefault="008144C7" w:rsidP="00C5582D">
            <w:pPr>
              <w:pStyle w:val="Normal6a"/>
            </w:pPr>
            <w:r w:rsidRPr="00635D1D">
              <w:rPr>
                <w:b/>
                <w:i/>
              </w:rPr>
              <w:t>Do oceny substancji zawierającej więcej niż jeden składnik zgodnie z rozdziałem 2 w odniesieniu do klas zagrożenia „działanie mutagenne na komórki rozrodcze”, „działanie rakotwórcze”, „działanie szkodliwe na rozrodczość”, „właściwości zaburzające funkcjonowanie układu hormonalnego w odniesieniu do zdrowia ludzi” oraz „właściwości zaburzające funkcjonowanie układu hormonalnego w odniesieniu do środowiska”, o których mowa w sekcjach 3.5, 3.6, 3.7, 3.11 i 4.2 załącznika I, producent, importer i dalszy użytkownik wykorzystują istotne dostępne im informacje, o których mowa w ust. 1, dotyczące każdego ze znanych składników.</w:t>
            </w:r>
          </w:p>
        </w:tc>
      </w:tr>
      <w:tr w:rsidR="008144C7" w:rsidRPr="00635D1D" w14:paraId="42A7B8FA" w14:textId="77777777" w:rsidTr="00C5582D">
        <w:trPr>
          <w:jc w:val="center"/>
        </w:trPr>
        <w:tc>
          <w:tcPr>
            <w:tcW w:w="4876" w:type="dxa"/>
            <w:tcBorders>
              <w:top w:val="nil"/>
              <w:left w:val="nil"/>
              <w:bottom w:val="nil"/>
              <w:right w:val="nil"/>
            </w:tcBorders>
          </w:tcPr>
          <w:p w14:paraId="67A73650" w14:textId="77777777" w:rsidR="008144C7" w:rsidRPr="00635D1D" w:rsidRDefault="008144C7" w:rsidP="00C5582D">
            <w:pPr>
              <w:pStyle w:val="Normal6a"/>
            </w:pPr>
          </w:p>
        </w:tc>
        <w:tc>
          <w:tcPr>
            <w:tcW w:w="4876" w:type="dxa"/>
            <w:tcBorders>
              <w:top w:val="nil"/>
              <w:left w:val="nil"/>
              <w:bottom w:val="nil"/>
              <w:right w:val="nil"/>
            </w:tcBorders>
            <w:hideMark/>
          </w:tcPr>
          <w:p w14:paraId="14DB786D" w14:textId="77777777" w:rsidR="008144C7" w:rsidRPr="00635D1D" w:rsidRDefault="008144C7" w:rsidP="00C5582D">
            <w:pPr>
              <w:pStyle w:val="Normal6a"/>
            </w:pPr>
            <w:r w:rsidRPr="00635D1D">
              <w:rPr>
                <w:b/>
                <w:i/>
              </w:rPr>
              <w:t>Należy uwzględnić istotne dostępne informacje dotyczące substancji zawierającej więcej niż jeden składnik, jeżeli spełniony jest jeden z następujących warunków:</w:t>
            </w:r>
          </w:p>
        </w:tc>
      </w:tr>
      <w:tr w:rsidR="008144C7" w:rsidRPr="00635D1D" w14:paraId="5C0B29A7" w14:textId="77777777" w:rsidTr="00C5582D">
        <w:trPr>
          <w:jc w:val="center"/>
        </w:trPr>
        <w:tc>
          <w:tcPr>
            <w:tcW w:w="4876" w:type="dxa"/>
            <w:tcBorders>
              <w:top w:val="nil"/>
              <w:left w:val="nil"/>
              <w:bottom w:val="nil"/>
              <w:right w:val="nil"/>
            </w:tcBorders>
          </w:tcPr>
          <w:p w14:paraId="37701E52" w14:textId="77777777" w:rsidR="008144C7" w:rsidRPr="00635D1D" w:rsidRDefault="008144C7" w:rsidP="00C5582D">
            <w:pPr>
              <w:pStyle w:val="Normal6a"/>
            </w:pPr>
          </w:p>
        </w:tc>
        <w:tc>
          <w:tcPr>
            <w:tcW w:w="4876" w:type="dxa"/>
            <w:tcBorders>
              <w:top w:val="nil"/>
              <w:left w:val="nil"/>
              <w:bottom w:val="nil"/>
              <w:right w:val="nil"/>
            </w:tcBorders>
            <w:hideMark/>
          </w:tcPr>
          <w:p w14:paraId="6347FEE9" w14:textId="77777777" w:rsidR="008144C7" w:rsidRPr="00635D1D" w:rsidRDefault="008144C7" w:rsidP="00C5582D">
            <w:pPr>
              <w:pStyle w:val="Normal6a"/>
            </w:pPr>
            <w:r w:rsidRPr="00635D1D">
              <w:rPr>
                <w:b/>
                <w:i/>
              </w:rPr>
              <w:t>a) informacje wskazują na właściwości w zakresie działania mutagennego na komórki rozrodcze, rakotwórczego, szkodliwego na rozrodczość lub właściwości zaburzające funkcjonowanie układu hormonalnego w odniesieniu do zdrowia ludzi lub środowiska;</w:t>
            </w:r>
          </w:p>
        </w:tc>
      </w:tr>
      <w:tr w:rsidR="008144C7" w:rsidRPr="00635D1D" w14:paraId="12CBA460" w14:textId="77777777" w:rsidTr="00C5582D">
        <w:trPr>
          <w:jc w:val="center"/>
        </w:trPr>
        <w:tc>
          <w:tcPr>
            <w:tcW w:w="4876" w:type="dxa"/>
            <w:tcBorders>
              <w:top w:val="nil"/>
              <w:left w:val="nil"/>
              <w:bottom w:val="nil"/>
              <w:right w:val="nil"/>
            </w:tcBorders>
          </w:tcPr>
          <w:p w14:paraId="3349D2EC" w14:textId="77777777" w:rsidR="008144C7" w:rsidRPr="00635D1D" w:rsidRDefault="008144C7" w:rsidP="00C5582D">
            <w:pPr>
              <w:pStyle w:val="Normal6a"/>
            </w:pPr>
          </w:p>
        </w:tc>
        <w:tc>
          <w:tcPr>
            <w:tcW w:w="4876" w:type="dxa"/>
            <w:tcBorders>
              <w:top w:val="nil"/>
              <w:left w:val="nil"/>
              <w:bottom w:val="nil"/>
              <w:right w:val="nil"/>
            </w:tcBorders>
            <w:hideMark/>
          </w:tcPr>
          <w:p w14:paraId="322D66C0" w14:textId="77777777" w:rsidR="008144C7" w:rsidRPr="00635D1D" w:rsidRDefault="008144C7" w:rsidP="00C5582D">
            <w:pPr>
              <w:pStyle w:val="Normal6a"/>
            </w:pPr>
            <w:r w:rsidRPr="00635D1D">
              <w:rPr>
                <w:b/>
                <w:i/>
              </w:rPr>
              <w:t>b) informacje potwierdzają wnioski oparte na istotnych dostępnych informacjach o składnikach substancji.</w:t>
            </w:r>
          </w:p>
        </w:tc>
      </w:tr>
      <w:tr w:rsidR="008144C7" w:rsidRPr="00635D1D" w14:paraId="65900E9B" w14:textId="77777777" w:rsidTr="00C5582D">
        <w:trPr>
          <w:jc w:val="center"/>
        </w:trPr>
        <w:tc>
          <w:tcPr>
            <w:tcW w:w="4876" w:type="dxa"/>
            <w:tcBorders>
              <w:top w:val="nil"/>
              <w:left w:val="nil"/>
              <w:bottom w:val="nil"/>
              <w:right w:val="nil"/>
            </w:tcBorders>
          </w:tcPr>
          <w:p w14:paraId="296DBB70" w14:textId="77777777" w:rsidR="008144C7" w:rsidRPr="00635D1D" w:rsidRDefault="008144C7" w:rsidP="00C5582D">
            <w:pPr>
              <w:pStyle w:val="Normal6a"/>
            </w:pPr>
          </w:p>
        </w:tc>
        <w:tc>
          <w:tcPr>
            <w:tcW w:w="4876" w:type="dxa"/>
            <w:tcBorders>
              <w:top w:val="nil"/>
              <w:left w:val="nil"/>
              <w:bottom w:val="nil"/>
              <w:right w:val="nil"/>
            </w:tcBorders>
            <w:hideMark/>
          </w:tcPr>
          <w:p w14:paraId="71BC72E1" w14:textId="77777777" w:rsidR="008144C7" w:rsidRPr="00635D1D" w:rsidRDefault="008144C7" w:rsidP="00C5582D">
            <w:pPr>
              <w:pStyle w:val="Normal6a"/>
            </w:pPr>
            <w:r w:rsidRPr="00635D1D">
              <w:rPr>
                <w:b/>
                <w:i/>
              </w:rPr>
              <w:t>Istotne dostępne informacje dotyczące samej substancji zawierającej więcej niż jeden składnik, wskazujące na brak właściwości, o których mowa w lit. a), lub na właściwości o mniej poważnym charakterze nie mogą unieważniać istotnych dostępnych informacji dotyczących składników tej substancji, jeżeli z jednoznacznych doświadczalnych danych naukowych wynika, że składnik nie jest dostępny biologicznie lub że istnieje ryzyko występowania działań synergistycznych lub antagonistycznych między składnikami substancji.</w:t>
            </w:r>
          </w:p>
        </w:tc>
      </w:tr>
    </w:tbl>
    <w:p w14:paraId="628D4DA9"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{FR}</w:t>
      </w:r>
      <w:proofErr w:type="spellStart"/>
      <w:r w:rsidRPr="00635D1D">
        <w:t>fr</w:t>
      </w:r>
      <w:proofErr w:type="spellEnd"/>
      <w:r w:rsidRPr="00635D1D">
        <w:rPr>
          <w:rStyle w:val="HideTWBExt"/>
        </w:rPr>
        <w:t>&lt;/Original&gt;</w:t>
      </w:r>
    </w:p>
    <w:p w14:paraId="61E9482D"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4D82C2E2" w14:textId="77777777" w:rsidR="008144C7" w:rsidRPr="00635D1D" w:rsidRDefault="008144C7" w:rsidP="008144C7">
      <w:pPr>
        <w:pStyle w:val="AmJustText"/>
      </w:pPr>
      <w:r w:rsidRPr="00635D1D">
        <w:t>Zgodnie z globalnym zharmonizowanym systemem i przepisami dotyczącymi mieszanin powinna istnieć możliwość wykazania braku dostępności biologicznej lub wykazania występowania skutków działań synergistycznych lub antagonistycznych zgodnie z art. 12 w odniesieniu do mieszanin. Jeżeli substancja złożona jest badana pod kątem wpływu na zdrowie, te dane z badań powinny przeważać nad oceną teoretyczną opartą na poszczególnych składnikach substancji złożonej i mieć pierwszeństwo przed tą oceną.</w:t>
      </w:r>
    </w:p>
    <w:p w14:paraId="2C7B3E75" w14:textId="77777777" w:rsidR="008144C7" w:rsidRPr="00635D1D" w:rsidRDefault="008144C7" w:rsidP="008144C7">
      <w:r w:rsidRPr="00635D1D">
        <w:rPr>
          <w:rStyle w:val="HideTWBExt"/>
        </w:rPr>
        <w:t>&lt;/Amend&gt;</w:t>
      </w:r>
    </w:p>
    <w:p w14:paraId="3EAA69B2"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265</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2AA5A775" w14:textId="77777777" w:rsidR="008144C7" w:rsidRPr="00635D1D" w:rsidRDefault="008144C7" w:rsidP="008144C7">
      <w:pPr>
        <w:pStyle w:val="NormalBold"/>
      </w:pPr>
      <w:r w:rsidRPr="00635D1D">
        <w:rPr>
          <w:rStyle w:val="HideTWBExt"/>
          <w:b w:val="0"/>
        </w:rPr>
        <w:t>&lt;RepeatBlock-By&gt;&lt;Members&gt;</w:t>
      </w:r>
      <w:r w:rsidRPr="00635D1D">
        <w:t xml:space="preserve">Pietro </w:t>
      </w:r>
      <w:proofErr w:type="spellStart"/>
      <w:r w:rsidRPr="00635D1D">
        <w:t>Fiocchi</w:t>
      </w:r>
      <w:proofErr w:type="spellEnd"/>
      <w:r w:rsidRPr="00635D1D">
        <w:t xml:space="preserve">, Antonella </w:t>
      </w:r>
      <w:proofErr w:type="spellStart"/>
      <w:r w:rsidRPr="00635D1D">
        <w:t>Sberna</w:t>
      </w:r>
      <w:proofErr w:type="spellEnd"/>
      <w:r w:rsidRPr="00635D1D">
        <w:rPr>
          <w:rStyle w:val="HideTWBExt"/>
          <w:b w:val="0"/>
        </w:rPr>
        <w:t>&lt;/Members&gt;</w:t>
      </w:r>
    </w:p>
    <w:p w14:paraId="30160C85" w14:textId="77777777" w:rsidR="008144C7" w:rsidRPr="00635D1D" w:rsidRDefault="008144C7" w:rsidP="008144C7">
      <w:pPr>
        <w:pStyle w:val="NormalBold"/>
      </w:pPr>
      <w:r w:rsidRPr="00635D1D">
        <w:rPr>
          <w:rStyle w:val="HideTWBExt"/>
          <w:b w:val="0"/>
        </w:rPr>
        <w:t>&lt;/RepeatBlock-By&gt;</w:t>
      </w:r>
    </w:p>
    <w:p w14:paraId="58EB1C10"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4EA0722B" w14:textId="77777777" w:rsidR="008144C7" w:rsidRPr="00635D1D" w:rsidRDefault="008144C7" w:rsidP="008144C7">
      <w:pPr>
        <w:pStyle w:val="NormalBold"/>
      </w:pPr>
      <w:r w:rsidRPr="00635D1D">
        <w:rPr>
          <w:rStyle w:val="HideTWBExt"/>
          <w:b w:val="0"/>
        </w:rPr>
        <w:t>&lt;Article&gt;</w:t>
      </w:r>
      <w:r w:rsidRPr="00635D1D">
        <w:t>Artykuł 1 – akapit 1 – punkt 1 a (nowy)</w:t>
      </w:r>
      <w:r w:rsidRPr="00635D1D">
        <w:rPr>
          <w:rStyle w:val="HideTWBExt"/>
          <w:b w:val="0"/>
        </w:rPr>
        <w:t>&lt;/</w:t>
      </w:r>
      <w:proofErr w:type="spellStart"/>
      <w:r w:rsidRPr="00635D1D">
        <w:rPr>
          <w:rStyle w:val="HideTWBExt"/>
          <w:b w:val="0"/>
        </w:rPr>
        <w:t>Article</w:t>
      </w:r>
      <w:proofErr w:type="spellEnd"/>
      <w:r w:rsidRPr="00635D1D">
        <w:rPr>
          <w:rStyle w:val="HideTWBExt"/>
          <w:b w:val="0"/>
        </w:rPr>
        <w:t>&gt;</w:t>
      </w:r>
    </w:p>
    <w:p w14:paraId="7C48CC16"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0FCA5A7C" w14:textId="77777777" w:rsidR="008144C7" w:rsidRPr="00635D1D" w:rsidRDefault="008144C7" w:rsidP="008144C7">
      <w:r w:rsidRPr="00635D1D">
        <w:rPr>
          <w:rStyle w:val="HideTWBExt"/>
        </w:rPr>
        <w:t>&lt;Article2&gt;</w:t>
      </w:r>
      <w:r w:rsidRPr="00635D1D">
        <w:t>Artykuł 2 – punkt 42b</w:t>
      </w:r>
      <w:r w:rsidRPr="00635D1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635D1D" w14:paraId="0DA59425" w14:textId="77777777" w:rsidTr="00C5582D">
        <w:trPr>
          <w:trHeight w:val="240"/>
          <w:jc w:val="center"/>
        </w:trPr>
        <w:tc>
          <w:tcPr>
            <w:tcW w:w="9752" w:type="dxa"/>
            <w:gridSpan w:val="2"/>
            <w:tcBorders>
              <w:top w:val="nil"/>
              <w:left w:val="nil"/>
              <w:bottom w:val="nil"/>
              <w:right w:val="nil"/>
            </w:tcBorders>
          </w:tcPr>
          <w:p w14:paraId="60FE0F80" w14:textId="77777777" w:rsidR="008144C7" w:rsidRPr="00635D1D" w:rsidRDefault="008144C7" w:rsidP="00C5582D"/>
        </w:tc>
      </w:tr>
      <w:tr w:rsidR="008144C7" w:rsidRPr="00635D1D" w14:paraId="63254F6A" w14:textId="77777777" w:rsidTr="00C5582D">
        <w:trPr>
          <w:trHeight w:val="240"/>
          <w:jc w:val="center"/>
        </w:trPr>
        <w:tc>
          <w:tcPr>
            <w:tcW w:w="4876" w:type="dxa"/>
            <w:tcBorders>
              <w:top w:val="nil"/>
              <w:left w:val="nil"/>
              <w:bottom w:val="nil"/>
              <w:right w:val="nil"/>
            </w:tcBorders>
            <w:hideMark/>
          </w:tcPr>
          <w:p w14:paraId="2430FF79"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06C588FF" w14:textId="77777777" w:rsidR="008144C7" w:rsidRPr="00635D1D" w:rsidRDefault="008144C7" w:rsidP="00C5582D">
            <w:pPr>
              <w:pStyle w:val="AmColumnHeading"/>
            </w:pPr>
            <w:r w:rsidRPr="00635D1D">
              <w:t>Poprawka</w:t>
            </w:r>
          </w:p>
        </w:tc>
      </w:tr>
      <w:tr w:rsidR="008144C7" w:rsidRPr="00635D1D" w14:paraId="013A36DF" w14:textId="77777777" w:rsidTr="00C5582D">
        <w:trPr>
          <w:jc w:val="center"/>
        </w:trPr>
        <w:tc>
          <w:tcPr>
            <w:tcW w:w="4876" w:type="dxa"/>
            <w:tcBorders>
              <w:top w:val="nil"/>
              <w:left w:val="nil"/>
              <w:bottom w:val="nil"/>
              <w:right w:val="nil"/>
            </w:tcBorders>
          </w:tcPr>
          <w:p w14:paraId="296478DD" w14:textId="77777777" w:rsidR="008144C7" w:rsidRPr="00635D1D" w:rsidRDefault="008144C7" w:rsidP="00C5582D">
            <w:pPr>
              <w:pStyle w:val="Normal6a"/>
            </w:pPr>
          </w:p>
        </w:tc>
        <w:tc>
          <w:tcPr>
            <w:tcW w:w="4876" w:type="dxa"/>
            <w:tcBorders>
              <w:top w:val="nil"/>
              <w:left w:val="nil"/>
              <w:bottom w:val="nil"/>
              <w:right w:val="nil"/>
            </w:tcBorders>
            <w:hideMark/>
          </w:tcPr>
          <w:p w14:paraId="0E7D8A95" w14:textId="77777777" w:rsidR="008144C7" w:rsidRPr="00635D1D" w:rsidRDefault="008144C7" w:rsidP="00C5582D">
            <w:pPr>
              <w:pStyle w:val="Normal6a"/>
            </w:pPr>
            <w:r w:rsidRPr="00635D1D">
              <w:rPr>
                <w:b/>
                <w:i/>
              </w:rPr>
              <w:t>1a)</w:t>
            </w:r>
            <w:r w:rsidRPr="00635D1D">
              <w:tab/>
            </w:r>
            <w:r w:rsidRPr="00635D1D">
              <w:rPr>
                <w:b/>
                <w:i/>
              </w:rPr>
              <w:t>»udostępnienie na rynku« oznacza dostarczenie produktu w celu dystrybucji lub stosowania w ramach działalności handlowej, odpłatnie lub nieodpłatnie.</w:t>
            </w:r>
          </w:p>
        </w:tc>
      </w:tr>
    </w:tbl>
    <w:p w14:paraId="3157BA17" w14:textId="77777777" w:rsidR="008144C7" w:rsidRPr="00635D1D" w:rsidRDefault="008144C7" w:rsidP="008144C7">
      <w:pPr>
        <w:pStyle w:val="AmOrLang"/>
        <w:rPr>
          <w:lang w:eastAsia="en-US"/>
        </w:rPr>
      </w:pPr>
      <w:r w:rsidRPr="00635D1D">
        <w:t xml:space="preserve">Or. </w:t>
      </w:r>
      <w:r w:rsidRPr="00635D1D">
        <w:rPr>
          <w:rStyle w:val="HideTWBExt"/>
        </w:rPr>
        <w:t>&lt;Original&gt;</w:t>
      </w:r>
      <w:r w:rsidRPr="00635D1D">
        <w:rPr>
          <w:rStyle w:val="HideTWBInt"/>
          <w:rFonts w:eastAsiaTheme="majorEastAsia"/>
        </w:rPr>
        <w:t>{EN}</w:t>
      </w:r>
      <w:r w:rsidRPr="00635D1D">
        <w:t>en</w:t>
      </w:r>
      <w:r w:rsidRPr="00635D1D">
        <w:rPr>
          <w:rStyle w:val="HideTWBExt"/>
        </w:rPr>
        <w:t>&lt;/</w:t>
      </w:r>
      <w:proofErr w:type="spellStart"/>
      <w:r w:rsidRPr="00635D1D">
        <w:rPr>
          <w:rStyle w:val="HideTWBExt"/>
        </w:rPr>
        <w:t>Original</w:t>
      </w:r>
      <w:proofErr w:type="spellEnd"/>
      <w:r w:rsidRPr="00635D1D">
        <w:rPr>
          <w:rStyle w:val="HideTWBExt"/>
        </w:rPr>
        <w:t>&gt;</w:t>
      </w:r>
    </w:p>
    <w:p w14:paraId="0D8ADD3A" w14:textId="77777777" w:rsidR="008144C7" w:rsidRPr="00635D1D" w:rsidRDefault="008144C7" w:rsidP="008144C7">
      <w:pPr>
        <w:pStyle w:val="AmJustTitle"/>
      </w:pPr>
      <w:r w:rsidRPr="00635D1D">
        <w:rPr>
          <w:rStyle w:val="HideTWBExt"/>
          <w:i w:val="0"/>
        </w:rPr>
        <w:t>&lt;TitreJust&gt;</w:t>
      </w:r>
      <w:r w:rsidRPr="00635D1D">
        <w:t>Uzasadnienie</w:t>
      </w:r>
      <w:r w:rsidRPr="00635D1D">
        <w:rPr>
          <w:rStyle w:val="HideTWBExt"/>
          <w:i w:val="0"/>
        </w:rPr>
        <w:t>&lt;/</w:t>
      </w:r>
      <w:proofErr w:type="spellStart"/>
      <w:r w:rsidRPr="00635D1D">
        <w:rPr>
          <w:rStyle w:val="HideTWBExt"/>
          <w:i w:val="0"/>
        </w:rPr>
        <w:t>TitreJust</w:t>
      </w:r>
      <w:proofErr w:type="spellEnd"/>
      <w:r w:rsidRPr="00635D1D">
        <w:rPr>
          <w:rStyle w:val="HideTWBExt"/>
          <w:i w:val="0"/>
        </w:rPr>
        <w:t>&gt;</w:t>
      </w:r>
    </w:p>
    <w:p w14:paraId="2355A305" w14:textId="77777777" w:rsidR="008144C7" w:rsidRPr="00635D1D" w:rsidRDefault="008144C7" w:rsidP="008144C7">
      <w:pPr>
        <w:pStyle w:val="AmJustText"/>
      </w:pPr>
      <w:r w:rsidRPr="00635D1D">
        <w:t>W CLP nie rozróżnia się „wprowadzania do obrotu” i „udostępniania na rynku”. Kiedy zastosowanie ma nowa klasyfikacja, przedsiębiorstwa muszą ponownie oznakować zarówno nowe produkty, jak i te, które już znajdują się w łańcuchu dostaw, co wiąże się z obciążeniami logistycznymi, np. wycofywaniem produktów z rynku, ponownym oznakowaniem, dodatkowymi kosztami i wzrostem ilości odpadów.</w:t>
      </w:r>
    </w:p>
    <w:p w14:paraId="275BC7B4" w14:textId="77777777" w:rsidR="008144C7" w:rsidRPr="00635D1D" w:rsidRDefault="008144C7" w:rsidP="008144C7">
      <w:r w:rsidRPr="00635D1D">
        <w:rPr>
          <w:rStyle w:val="HideTWBExt"/>
        </w:rPr>
        <w:t>&lt;/Amend&gt;</w:t>
      </w:r>
    </w:p>
    <w:p w14:paraId="60596975" w14:textId="77777777" w:rsidR="008144C7" w:rsidRPr="00635D1D" w:rsidRDefault="008144C7" w:rsidP="008144C7">
      <w:pPr>
        <w:pStyle w:val="AmNumberTabs"/>
      </w:pPr>
      <w:r w:rsidRPr="00635D1D">
        <w:rPr>
          <w:rStyle w:val="HideTWBExt"/>
          <w:b w:val="0"/>
        </w:rPr>
        <w:t>&lt;Amend&gt;</w:t>
      </w:r>
      <w:r w:rsidRPr="00635D1D">
        <w:t>Poprawka</w:t>
      </w:r>
      <w:r w:rsidRPr="00635D1D">
        <w:tab/>
      </w:r>
      <w:r w:rsidRPr="00635D1D">
        <w:tab/>
      </w:r>
      <w:r w:rsidRPr="00635D1D">
        <w:rPr>
          <w:rStyle w:val="HideTWBExt"/>
          <w:b w:val="0"/>
        </w:rPr>
        <w:t>&lt;NumAm&gt;</w:t>
      </w:r>
      <w:r w:rsidRPr="00635D1D">
        <w:t>266</w:t>
      </w:r>
      <w:r w:rsidRPr="00635D1D">
        <w:rPr>
          <w:rStyle w:val="HideTWBExt"/>
          <w:b w:val="0"/>
        </w:rPr>
        <w:t>&lt;/</w:t>
      </w:r>
      <w:proofErr w:type="spellStart"/>
      <w:r w:rsidRPr="00635D1D">
        <w:rPr>
          <w:rStyle w:val="HideTWBExt"/>
          <w:b w:val="0"/>
        </w:rPr>
        <w:t>NumAm</w:t>
      </w:r>
      <w:proofErr w:type="spellEnd"/>
      <w:r w:rsidRPr="00635D1D">
        <w:rPr>
          <w:rStyle w:val="HideTWBExt"/>
          <w:b w:val="0"/>
        </w:rPr>
        <w:t>&gt;</w:t>
      </w:r>
    </w:p>
    <w:p w14:paraId="612FA4CA" w14:textId="77777777" w:rsidR="008144C7" w:rsidRPr="00635D1D" w:rsidRDefault="008144C7" w:rsidP="008144C7">
      <w:pPr>
        <w:pStyle w:val="NormalBold"/>
      </w:pPr>
      <w:r w:rsidRPr="00635D1D">
        <w:rPr>
          <w:rStyle w:val="HideTWBExt"/>
          <w:b w:val="0"/>
        </w:rPr>
        <w:t>&lt;RepeatBlock-By&gt;&lt;Members&gt;</w:t>
      </w:r>
      <w:proofErr w:type="spellStart"/>
      <w:r w:rsidRPr="00635D1D">
        <w:t>Silvia</w:t>
      </w:r>
      <w:proofErr w:type="spellEnd"/>
      <w:r w:rsidRPr="00635D1D">
        <w:t xml:space="preserve"> </w:t>
      </w:r>
      <w:proofErr w:type="spellStart"/>
      <w:r w:rsidRPr="00635D1D">
        <w:t>Sardone</w:t>
      </w:r>
      <w:proofErr w:type="spellEnd"/>
      <w:r w:rsidRPr="00635D1D">
        <w:t xml:space="preserve">, </w:t>
      </w:r>
      <w:proofErr w:type="spellStart"/>
      <w:r w:rsidRPr="00635D1D">
        <w:t>Ondřej</w:t>
      </w:r>
      <w:proofErr w:type="spellEnd"/>
      <w:r w:rsidRPr="00635D1D">
        <w:t xml:space="preserve"> Knotek, Jana </w:t>
      </w:r>
      <w:proofErr w:type="spellStart"/>
      <w:r w:rsidRPr="00635D1D">
        <w:t>Nagyová</w:t>
      </w:r>
      <w:proofErr w:type="spellEnd"/>
      <w:r w:rsidRPr="00635D1D">
        <w:t xml:space="preserve">, Roberto </w:t>
      </w:r>
      <w:proofErr w:type="spellStart"/>
      <w:r w:rsidRPr="00635D1D">
        <w:t>Vannacci</w:t>
      </w:r>
      <w:proofErr w:type="spellEnd"/>
      <w:r w:rsidRPr="00635D1D">
        <w:t xml:space="preserve">, </w:t>
      </w:r>
      <w:proofErr w:type="spellStart"/>
      <w:r w:rsidRPr="00635D1D">
        <w:t>Anne-Sophie</w:t>
      </w:r>
      <w:proofErr w:type="spellEnd"/>
      <w:r w:rsidRPr="00635D1D">
        <w:t xml:space="preserve"> </w:t>
      </w:r>
      <w:proofErr w:type="spellStart"/>
      <w:r w:rsidRPr="00635D1D">
        <w:t>Frigout</w:t>
      </w:r>
      <w:proofErr w:type="spellEnd"/>
      <w:r w:rsidRPr="00635D1D">
        <w:t xml:space="preserve">, </w:t>
      </w:r>
      <w:proofErr w:type="spellStart"/>
      <w:r w:rsidRPr="00635D1D">
        <w:t>Mathilde</w:t>
      </w:r>
      <w:proofErr w:type="spellEnd"/>
      <w:r w:rsidRPr="00635D1D">
        <w:t xml:space="preserve"> </w:t>
      </w:r>
      <w:proofErr w:type="spellStart"/>
      <w:r w:rsidRPr="00635D1D">
        <w:t>Androuët</w:t>
      </w:r>
      <w:proofErr w:type="spellEnd"/>
      <w:r w:rsidRPr="00635D1D">
        <w:t xml:space="preserve">, </w:t>
      </w:r>
      <w:proofErr w:type="spellStart"/>
      <w:r w:rsidRPr="00635D1D">
        <w:t>Valérie</w:t>
      </w:r>
      <w:proofErr w:type="spellEnd"/>
      <w:r w:rsidRPr="00635D1D">
        <w:t xml:space="preserve"> </w:t>
      </w:r>
      <w:proofErr w:type="spellStart"/>
      <w:r w:rsidRPr="00635D1D">
        <w:t>Deloge</w:t>
      </w:r>
      <w:proofErr w:type="spellEnd"/>
      <w:r w:rsidRPr="00635D1D">
        <w:rPr>
          <w:rStyle w:val="HideTWBExt"/>
          <w:b w:val="0"/>
        </w:rPr>
        <w:t>&lt;/Members&gt;</w:t>
      </w:r>
    </w:p>
    <w:p w14:paraId="7BD1B9D0" w14:textId="77777777" w:rsidR="008144C7" w:rsidRPr="00635D1D" w:rsidRDefault="008144C7" w:rsidP="008144C7">
      <w:pPr>
        <w:pStyle w:val="NormalBold"/>
      </w:pPr>
      <w:r w:rsidRPr="00635D1D">
        <w:rPr>
          <w:rStyle w:val="HideTWBExt"/>
          <w:b w:val="0"/>
        </w:rPr>
        <w:t>&lt;/RepeatBlock-By&gt;</w:t>
      </w:r>
    </w:p>
    <w:p w14:paraId="37D25800"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1B86C029" w14:textId="77777777" w:rsidR="008144C7" w:rsidRPr="00E90719" w:rsidRDefault="008144C7" w:rsidP="008144C7">
      <w:pPr>
        <w:pStyle w:val="NormalBold"/>
        <w:rPr>
          <w:lang w:val="fr-BE"/>
        </w:rPr>
      </w:pPr>
      <w:r w:rsidRPr="00E90719">
        <w:rPr>
          <w:rStyle w:val="HideTWBExt"/>
          <w:b w:val="0"/>
          <w:lang w:val="fr-BE"/>
        </w:rPr>
        <w:t>&lt;Article&gt;</w:t>
      </w:r>
      <w:r w:rsidRPr="00E90719">
        <w:rPr>
          <w:lang w:val="fr-BE"/>
        </w:rPr>
        <w:t>Artykuł 1 – akapit 1 – punkt 2</w:t>
      </w:r>
      <w:r w:rsidRPr="00E90719">
        <w:rPr>
          <w:rStyle w:val="HideTWBExt"/>
          <w:b w:val="0"/>
          <w:lang w:val="fr-BE"/>
        </w:rPr>
        <w:t>&lt;/Article&gt;</w:t>
      </w:r>
    </w:p>
    <w:p w14:paraId="1B86954D"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151A6B7D" w14:textId="77777777" w:rsidR="008144C7" w:rsidRPr="00E90719" w:rsidRDefault="008144C7" w:rsidP="008144C7">
      <w:pPr>
        <w:rPr>
          <w:lang w:val="fr-BE"/>
        </w:rPr>
      </w:pPr>
      <w:r w:rsidRPr="00E90719">
        <w:rPr>
          <w:rStyle w:val="HideTWBExt"/>
          <w:lang w:val="fr-BE"/>
        </w:rPr>
        <w:t>&lt;Article2&gt;</w:t>
      </w:r>
      <w:r w:rsidRPr="00E90719">
        <w:rPr>
          <w:lang w:val="fr-BE"/>
        </w:rPr>
        <w:t xml:space="preserve">Artykuł 17 – ustęp 1 – litera </w:t>
      </w:r>
      <w:proofErr w:type="gramStart"/>
      <w:r w:rsidRPr="00E90719">
        <w:rPr>
          <w:lang w:val="fr-BE"/>
        </w:rPr>
        <w:t>a</w:t>
      </w:r>
      <w:proofErr w:type="gramEnd"/>
      <w:r w:rsidRPr="00E90719">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E90719" w14:paraId="09EC9525" w14:textId="77777777" w:rsidTr="00C5582D">
        <w:trPr>
          <w:trHeight w:val="240"/>
          <w:jc w:val="center"/>
        </w:trPr>
        <w:tc>
          <w:tcPr>
            <w:tcW w:w="9752" w:type="dxa"/>
            <w:gridSpan w:val="2"/>
            <w:tcBorders>
              <w:top w:val="nil"/>
              <w:left w:val="nil"/>
              <w:bottom w:val="nil"/>
              <w:right w:val="nil"/>
            </w:tcBorders>
          </w:tcPr>
          <w:p w14:paraId="319A5CF3" w14:textId="77777777" w:rsidR="008144C7" w:rsidRPr="00E90719" w:rsidRDefault="008144C7" w:rsidP="00C5582D">
            <w:pPr>
              <w:rPr>
                <w:lang w:val="fr-BE"/>
              </w:rPr>
            </w:pPr>
          </w:p>
        </w:tc>
      </w:tr>
      <w:tr w:rsidR="008144C7" w:rsidRPr="00635D1D" w14:paraId="5ECD5330" w14:textId="77777777" w:rsidTr="00C5582D">
        <w:trPr>
          <w:trHeight w:val="240"/>
          <w:jc w:val="center"/>
        </w:trPr>
        <w:tc>
          <w:tcPr>
            <w:tcW w:w="4876" w:type="dxa"/>
            <w:tcBorders>
              <w:top w:val="nil"/>
              <w:left w:val="nil"/>
              <w:bottom w:val="nil"/>
              <w:right w:val="nil"/>
            </w:tcBorders>
            <w:hideMark/>
          </w:tcPr>
          <w:p w14:paraId="54226F20"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80E11CA" w14:textId="77777777" w:rsidR="008144C7" w:rsidRPr="00635D1D" w:rsidRDefault="008144C7" w:rsidP="00C5582D">
            <w:pPr>
              <w:pStyle w:val="AmColumnHeading"/>
            </w:pPr>
            <w:r w:rsidRPr="00635D1D">
              <w:t>Poprawka</w:t>
            </w:r>
          </w:p>
        </w:tc>
      </w:tr>
      <w:tr w:rsidR="008144C7" w:rsidRPr="00635D1D" w14:paraId="45706392" w14:textId="77777777" w:rsidTr="00C5582D">
        <w:trPr>
          <w:jc w:val="center"/>
        </w:trPr>
        <w:tc>
          <w:tcPr>
            <w:tcW w:w="4876" w:type="dxa"/>
            <w:tcBorders>
              <w:top w:val="nil"/>
              <w:left w:val="nil"/>
              <w:bottom w:val="nil"/>
              <w:right w:val="nil"/>
            </w:tcBorders>
            <w:hideMark/>
          </w:tcPr>
          <w:p w14:paraId="05FD4C5B" w14:textId="77777777" w:rsidR="008144C7" w:rsidRPr="00635D1D" w:rsidRDefault="008144C7" w:rsidP="00C5582D">
            <w:pPr>
              <w:pStyle w:val="Normal6a"/>
            </w:pPr>
            <w:r w:rsidRPr="00635D1D">
              <w:t>a)</w:t>
            </w:r>
            <w:r w:rsidRPr="00635D1D">
              <w:tab/>
              <w:t>nazwę, adres i kontakt elektroniczny dostawcy;</w:t>
            </w:r>
          </w:p>
        </w:tc>
        <w:tc>
          <w:tcPr>
            <w:tcW w:w="4876" w:type="dxa"/>
            <w:tcBorders>
              <w:top w:val="nil"/>
              <w:left w:val="nil"/>
              <w:bottom w:val="nil"/>
              <w:right w:val="nil"/>
            </w:tcBorders>
            <w:hideMark/>
          </w:tcPr>
          <w:p w14:paraId="6166F275" w14:textId="77777777" w:rsidR="008144C7" w:rsidRPr="00635D1D" w:rsidRDefault="008144C7" w:rsidP="00C5582D">
            <w:pPr>
              <w:pStyle w:val="Normal6a"/>
            </w:pPr>
            <w:r w:rsidRPr="00635D1D">
              <w:t>a)</w:t>
            </w:r>
            <w:r w:rsidRPr="00635D1D">
              <w:tab/>
              <w:t xml:space="preserve">nazwę, adres i kontakt elektroniczny </w:t>
            </w:r>
            <w:r w:rsidRPr="00635D1D">
              <w:rPr>
                <w:b/>
                <w:i/>
              </w:rPr>
              <w:t>lub numer telefonu</w:t>
            </w:r>
            <w:r w:rsidRPr="00635D1D">
              <w:t xml:space="preserve"> dostawcy;</w:t>
            </w:r>
          </w:p>
        </w:tc>
      </w:tr>
    </w:tbl>
    <w:p w14:paraId="03A8B58E"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7A49B012" w14:textId="77777777" w:rsidR="008144C7" w:rsidRPr="00E90719" w:rsidRDefault="008144C7" w:rsidP="008144C7">
      <w:pPr>
        <w:rPr>
          <w:lang w:val="en-GB"/>
        </w:rPr>
      </w:pPr>
      <w:r w:rsidRPr="00E90719">
        <w:rPr>
          <w:rStyle w:val="HideTWBExt"/>
          <w:lang w:val="en-GB"/>
        </w:rPr>
        <w:t>&lt;/Amend&gt;</w:t>
      </w:r>
    </w:p>
    <w:p w14:paraId="4BF4576E"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267</w:t>
      </w:r>
      <w:r w:rsidRPr="00E90719">
        <w:rPr>
          <w:rStyle w:val="HideTWBExt"/>
          <w:b w:val="0"/>
          <w:lang w:val="en-GB"/>
        </w:rPr>
        <w:t>&lt;/NumAm&gt;</w:t>
      </w:r>
    </w:p>
    <w:p w14:paraId="77CB0387"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Salvatore De Meo, Flavio Tosi, Massimiliano Salini, Letizia Moratti</w:t>
      </w:r>
      <w:r w:rsidRPr="00E90719">
        <w:rPr>
          <w:rStyle w:val="HideTWBExt"/>
          <w:b w:val="0"/>
          <w:lang w:val="en-GB"/>
        </w:rPr>
        <w:t>&lt;/Members&gt;</w:t>
      </w:r>
    </w:p>
    <w:p w14:paraId="425359D0" w14:textId="77777777" w:rsidR="008144C7" w:rsidRPr="00635D1D" w:rsidRDefault="008144C7" w:rsidP="008144C7">
      <w:pPr>
        <w:pStyle w:val="NormalBold"/>
      </w:pPr>
      <w:r w:rsidRPr="00635D1D">
        <w:rPr>
          <w:rStyle w:val="HideTWBExt"/>
          <w:b w:val="0"/>
        </w:rPr>
        <w:t>&lt;/RepeatBlock-By&gt;</w:t>
      </w:r>
    </w:p>
    <w:p w14:paraId="12A95F80"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6C16A4D" w14:textId="77777777" w:rsidR="008144C7" w:rsidRPr="00E90719" w:rsidRDefault="008144C7" w:rsidP="008144C7">
      <w:pPr>
        <w:pStyle w:val="NormalBold"/>
        <w:rPr>
          <w:lang w:val="fr-BE"/>
        </w:rPr>
      </w:pPr>
      <w:r w:rsidRPr="00E90719">
        <w:rPr>
          <w:rStyle w:val="HideTWBExt"/>
          <w:b w:val="0"/>
          <w:lang w:val="fr-BE"/>
        </w:rPr>
        <w:t>&lt;Article&gt;</w:t>
      </w:r>
      <w:r w:rsidRPr="00E90719">
        <w:rPr>
          <w:lang w:val="fr-BE"/>
        </w:rPr>
        <w:t>Artykuł 1 – akapit 1 – punkt 2</w:t>
      </w:r>
      <w:r w:rsidRPr="00E90719">
        <w:rPr>
          <w:rStyle w:val="HideTWBExt"/>
          <w:b w:val="0"/>
          <w:lang w:val="fr-BE"/>
        </w:rPr>
        <w:t>&lt;/Article&gt;</w:t>
      </w:r>
    </w:p>
    <w:p w14:paraId="4517B34F"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3946C567" w14:textId="77777777" w:rsidR="008144C7" w:rsidRPr="00E90719" w:rsidRDefault="008144C7" w:rsidP="008144C7">
      <w:pPr>
        <w:rPr>
          <w:lang w:val="fr-BE"/>
        </w:rPr>
      </w:pPr>
      <w:r w:rsidRPr="00E90719">
        <w:rPr>
          <w:rStyle w:val="HideTWBExt"/>
          <w:lang w:val="fr-BE"/>
        </w:rPr>
        <w:t>&lt;Article2&gt;</w:t>
      </w:r>
      <w:r w:rsidRPr="00E90719">
        <w:rPr>
          <w:lang w:val="fr-BE"/>
        </w:rPr>
        <w:t xml:space="preserve">Artykuł 17 – ustęp 1 – litera </w:t>
      </w:r>
      <w:proofErr w:type="gramStart"/>
      <w:r w:rsidRPr="00E90719">
        <w:rPr>
          <w:lang w:val="fr-BE"/>
        </w:rPr>
        <w:t>a</w:t>
      </w:r>
      <w:proofErr w:type="gramEnd"/>
      <w:r w:rsidRPr="00E90719">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E90719" w14:paraId="56B40FFF" w14:textId="77777777" w:rsidTr="00C5582D">
        <w:trPr>
          <w:trHeight w:val="240"/>
          <w:jc w:val="center"/>
        </w:trPr>
        <w:tc>
          <w:tcPr>
            <w:tcW w:w="9752" w:type="dxa"/>
            <w:gridSpan w:val="2"/>
            <w:tcBorders>
              <w:top w:val="nil"/>
              <w:left w:val="nil"/>
              <w:bottom w:val="nil"/>
              <w:right w:val="nil"/>
            </w:tcBorders>
          </w:tcPr>
          <w:p w14:paraId="6B0FC2E1" w14:textId="77777777" w:rsidR="008144C7" w:rsidRPr="00E90719" w:rsidRDefault="008144C7" w:rsidP="00C5582D">
            <w:pPr>
              <w:rPr>
                <w:lang w:val="fr-BE"/>
              </w:rPr>
            </w:pPr>
          </w:p>
        </w:tc>
      </w:tr>
      <w:tr w:rsidR="008144C7" w:rsidRPr="00635D1D" w14:paraId="4ADC653C" w14:textId="77777777" w:rsidTr="00C5582D">
        <w:trPr>
          <w:trHeight w:val="240"/>
          <w:jc w:val="center"/>
        </w:trPr>
        <w:tc>
          <w:tcPr>
            <w:tcW w:w="4876" w:type="dxa"/>
            <w:tcBorders>
              <w:top w:val="nil"/>
              <w:left w:val="nil"/>
              <w:bottom w:val="nil"/>
              <w:right w:val="nil"/>
            </w:tcBorders>
            <w:hideMark/>
          </w:tcPr>
          <w:p w14:paraId="54D696F5"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476A0F5E" w14:textId="77777777" w:rsidR="008144C7" w:rsidRPr="00635D1D" w:rsidRDefault="008144C7" w:rsidP="00C5582D">
            <w:pPr>
              <w:pStyle w:val="AmColumnHeading"/>
            </w:pPr>
            <w:r w:rsidRPr="00635D1D">
              <w:t>Poprawka</w:t>
            </w:r>
          </w:p>
        </w:tc>
      </w:tr>
      <w:tr w:rsidR="008144C7" w:rsidRPr="00635D1D" w14:paraId="4F4938A0" w14:textId="77777777" w:rsidTr="00C5582D">
        <w:trPr>
          <w:jc w:val="center"/>
        </w:trPr>
        <w:tc>
          <w:tcPr>
            <w:tcW w:w="4876" w:type="dxa"/>
            <w:tcBorders>
              <w:top w:val="nil"/>
              <w:left w:val="nil"/>
              <w:bottom w:val="nil"/>
              <w:right w:val="nil"/>
            </w:tcBorders>
            <w:hideMark/>
          </w:tcPr>
          <w:p w14:paraId="042491B5" w14:textId="77777777" w:rsidR="008144C7" w:rsidRPr="00635D1D" w:rsidRDefault="008144C7" w:rsidP="00C5582D">
            <w:pPr>
              <w:pStyle w:val="Normal6a"/>
            </w:pPr>
            <w:r w:rsidRPr="00635D1D">
              <w:t>a)</w:t>
            </w:r>
            <w:r w:rsidRPr="00635D1D">
              <w:tab/>
              <w:t xml:space="preserve">nazwę, adres </w:t>
            </w:r>
            <w:r w:rsidRPr="00635D1D">
              <w:rPr>
                <w:b/>
                <w:i/>
              </w:rPr>
              <w:t>i</w:t>
            </w:r>
            <w:r w:rsidRPr="00635D1D">
              <w:t xml:space="preserve"> kontakt elektroniczny dostawcy;</w:t>
            </w:r>
          </w:p>
        </w:tc>
        <w:tc>
          <w:tcPr>
            <w:tcW w:w="4876" w:type="dxa"/>
            <w:tcBorders>
              <w:top w:val="nil"/>
              <w:left w:val="nil"/>
              <w:bottom w:val="nil"/>
              <w:right w:val="nil"/>
            </w:tcBorders>
            <w:hideMark/>
          </w:tcPr>
          <w:p w14:paraId="09F6773E" w14:textId="77777777" w:rsidR="008144C7" w:rsidRPr="00635D1D" w:rsidRDefault="008144C7" w:rsidP="00C5582D">
            <w:pPr>
              <w:pStyle w:val="Normal6a"/>
            </w:pPr>
            <w:r w:rsidRPr="00635D1D">
              <w:t>a)</w:t>
            </w:r>
            <w:r w:rsidRPr="00635D1D">
              <w:tab/>
              <w:t>nazwę, adres</w:t>
            </w:r>
            <w:r w:rsidRPr="00635D1D">
              <w:rPr>
                <w:b/>
                <w:i/>
              </w:rPr>
              <w:t>, numer telefonu lub</w:t>
            </w:r>
            <w:r w:rsidRPr="00635D1D">
              <w:t xml:space="preserve"> kontakt elektroniczny dostawcy;</w:t>
            </w:r>
          </w:p>
        </w:tc>
      </w:tr>
    </w:tbl>
    <w:p w14:paraId="470E2752"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05073C6D" w14:textId="77777777" w:rsidR="008144C7" w:rsidRPr="00E90719" w:rsidRDefault="008144C7" w:rsidP="008144C7">
      <w:pPr>
        <w:rPr>
          <w:lang w:val="en-GB"/>
        </w:rPr>
      </w:pPr>
      <w:r w:rsidRPr="00E90719">
        <w:rPr>
          <w:rStyle w:val="HideTWBExt"/>
          <w:lang w:val="en-GB"/>
        </w:rPr>
        <w:t>&lt;/Amend&gt;</w:t>
      </w:r>
    </w:p>
    <w:p w14:paraId="28B39E04"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268</w:t>
      </w:r>
      <w:r w:rsidRPr="00E90719">
        <w:rPr>
          <w:rStyle w:val="HideTWBExt"/>
          <w:b w:val="0"/>
          <w:lang w:val="en-GB"/>
        </w:rPr>
        <w:t>&lt;/NumAm&gt;</w:t>
      </w:r>
    </w:p>
    <w:p w14:paraId="0DC1C06B"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Idoia Mendia, Kristian Vigenin, François Kalfon, Elisabeth Grossmann, Adnan Dibrani, Sakis Arnaoutoglou, César Luena, Christophe Clergeau, Tiemo Wölken, Annalisa Corrado, Heléne Fritzon, Marta Temido, Christel Schaldemose</w:t>
      </w:r>
      <w:r w:rsidRPr="00E90719">
        <w:rPr>
          <w:rStyle w:val="HideTWBExt"/>
          <w:b w:val="0"/>
          <w:lang w:val="en-GB"/>
        </w:rPr>
        <w:t>&lt;/Members&gt;</w:t>
      </w:r>
    </w:p>
    <w:p w14:paraId="5CFF8EDA" w14:textId="77777777" w:rsidR="008144C7" w:rsidRPr="00635D1D" w:rsidRDefault="008144C7" w:rsidP="008144C7">
      <w:pPr>
        <w:pStyle w:val="NormalBold"/>
      </w:pPr>
      <w:r w:rsidRPr="00635D1D">
        <w:rPr>
          <w:rStyle w:val="HideTWBExt"/>
          <w:b w:val="0"/>
        </w:rPr>
        <w:t>&lt;/RepeatBlock-By&gt;</w:t>
      </w:r>
    </w:p>
    <w:p w14:paraId="5318340F"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62920EBF" w14:textId="77777777" w:rsidR="008144C7" w:rsidRPr="00E90719" w:rsidRDefault="008144C7" w:rsidP="008144C7">
      <w:pPr>
        <w:pStyle w:val="NormalBold"/>
        <w:rPr>
          <w:lang w:val="fr-BE"/>
        </w:rPr>
      </w:pPr>
      <w:r w:rsidRPr="00E90719">
        <w:rPr>
          <w:rStyle w:val="HideTWBExt"/>
          <w:b w:val="0"/>
          <w:lang w:val="fr-BE"/>
        </w:rPr>
        <w:t>&lt;Article&gt;</w:t>
      </w:r>
      <w:r w:rsidRPr="00E90719">
        <w:rPr>
          <w:lang w:val="fr-BE"/>
        </w:rPr>
        <w:t>Artykuł 1 – akapit 1 – punkt 2</w:t>
      </w:r>
      <w:r w:rsidRPr="00E90719">
        <w:rPr>
          <w:rStyle w:val="HideTWBExt"/>
          <w:b w:val="0"/>
          <w:lang w:val="fr-BE"/>
        </w:rPr>
        <w:t>&lt;/Article&gt;</w:t>
      </w:r>
    </w:p>
    <w:p w14:paraId="184C936D"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4CC06E80" w14:textId="77777777" w:rsidR="008144C7" w:rsidRPr="00E90719" w:rsidRDefault="008144C7" w:rsidP="008144C7">
      <w:pPr>
        <w:rPr>
          <w:lang w:val="fr-BE"/>
        </w:rPr>
      </w:pPr>
      <w:r w:rsidRPr="00E90719">
        <w:rPr>
          <w:rStyle w:val="HideTWBExt"/>
          <w:lang w:val="fr-BE"/>
        </w:rPr>
        <w:t>&lt;Article2&gt;</w:t>
      </w:r>
      <w:r w:rsidRPr="00E90719">
        <w:rPr>
          <w:lang w:val="fr-BE"/>
        </w:rPr>
        <w:t xml:space="preserve">Artykuł 17 – ustęp 1 – litera </w:t>
      </w:r>
      <w:proofErr w:type="gramStart"/>
      <w:r w:rsidRPr="00E90719">
        <w:rPr>
          <w:lang w:val="fr-BE"/>
        </w:rPr>
        <w:t>a</w:t>
      </w:r>
      <w:proofErr w:type="gramEnd"/>
      <w:r w:rsidRPr="00E90719">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E90719" w14:paraId="1D10E317" w14:textId="77777777" w:rsidTr="00C5582D">
        <w:trPr>
          <w:trHeight w:val="240"/>
          <w:jc w:val="center"/>
        </w:trPr>
        <w:tc>
          <w:tcPr>
            <w:tcW w:w="9752" w:type="dxa"/>
            <w:gridSpan w:val="2"/>
            <w:tcBorders>
              <w:top w:val="nil"/>
              <w:left w:val="nil"/>
              <w:bottom w:val="nil"/>
              <w:right w:val="nil"/>
            </w:tcBorders>
          </w:tcPr>
          <w:p w14:paraId="0D5BFD4B" w14:textId="77777777" w:rsidR="008144C7" w:rsidRPr="00E90719" w:rsidRDefault="008144C7" w:rsidP="00C5582D">
            <w:pPr>
              <w:rPr>
                <w:lang w:val="fr-BE"/>
              </w:rPr>
            </w:pPr>
          </w:p>
        </w:tc>
      </w:tr>
      <w:tr w:rsidR="008144C7" w:rsidRPr="00635D1D" w14:paraId="4D582D8F" w14:textId="77777777" w:rsidTr="00C5582D">
        <w:trPr>
          <w:trHeight w:val="240"/>
          <w:jc w:val="center"/>
        </w:trPr>
        <w:tc>
          <w:tcPr>
            <w:tcW w:w="4876" w:type="dxa"/>
            <w:tcBorders>
              <w:top w:val="nil"/>
              <w:left w:val="nil"/>
              <w:bottom w:val="nil"/>
              <w:right w:val="nil"/>
            </w:tcBorders>
            <w:hideMark/>
          </w:tcPr>
          <w:p w14:paraId="2BE4AFB7"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7F35C875" w14:textId="77777777" w:rsidR="008144C7" w:rsidRPr="00635D1D" w:rsidRDefault="008144C7" w:rsidP="00C5582D">
            <w:pPr>
              <w:pStyle w:val="AmColumnHeading"/>
            </w:pPr>
            <w:r w:rsidRPr="00635D1D">
              <w:t>Poprawka</w:t>
            </w:r>
          </w:p>
        </w:tc>
      </w:tr>
      <w:tr w:rsidR="008144C7" w:rsidRPr="00635D1D" w14:paraId="43E3D883" w14:textId="77777777" w:rsidTr="00C5582D">
        <w:trPr>
          <w:jc w:val="center"/>
        </w:trPr>
        <w:tc>
          <w:tcPr>
            <w:tcW w:w="4876" w:type="dxa"/>
            <w:tcBorders>
              <w:top w:val="nil"/>
              <w:left w:val="nil"/>
              <w:bottom w:val="nil"/>
              <w:right w:val="nil"/>
            </w:tcBorders>
            <w:hideMark/>
          </w:tcPr>
          <w:p w14:paraId="4AD8A6EF" w14:textId="77777777" w:rsidR="008144C7" w:rsidRPr="00635D1D" w:rsidRDefault="008144C7" w:rsidP="00C5582D">
            <w:pPr>
              <w:pStyle w:val="Normal6a"/>
            </w:pPr>
            <w:r w:rsidRPr="00635D1D">
              <w:t>a)</w:t>
            </w:r>
            <w:r w:rsidRPr="00635D1D">
              <w:tab/>
              <w:t>nazwę, adres i kontakt elektroniczny dostawcy;</w:t>
            </w:r>
          </w:p>
        </w:tc>
        <w:tc>
          <w:tcPr>
            <w:tcW w:w="4876" w:type="dxa"/>
            <w:tcBorders>
              <w:top w:val="nil"/>
              <w:left w:val="nil"/>
              <w:bottom w:val="nil"/>
              <w:right w:val="nil"/>
            </w:tcBorders>
            <w:hideMark/>
          </w:tcPr>
          <w:p w14:paraId="7488EC72" w14:textId="77777777" w:rsidR="008144C7" w:rsidRPr="00635D1D" w:rsidRDefault="008144C7" w:rsidP="00C5582D">
            <w:pPr>
              <w:pStyle w:val="Normal6a"/>
            </w:pPr>
            <w:r w:rsidRPr="00635D1D">
              <w:t>a)</w:t>
            </w:r>
            <w:r w:rsidRPr="00635D1D">
              <w:tab/>
              <w:t>nazwę, adres</w:t>
            </w:r>
            <w:r w:rsidRPr="00635D1D">
              <w:rPr>
                <w:b/>
                <w:i/>
              </w:rPr>
              <w:t>, numer telefonu</w:t>
            </w:r>
            <w:r w:rsidRPr="00635D1D">
              <w:t xml:space="preserve"> i kontakt elektroniczny dostawcy;</w:t>
            </w:r>
          </w:p>
        </w:tc>
      </w:tr>
    </w:tbl>
    <w:p w14:paraId="16F5E040"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71A8B5BD" w14:textId="77777777" w:rsidR="008144C7" w:rsidRPr="00E90719" w:rsidRDefault="008144C7" w:rsidP="008144C7">
      <w:pPr>
        <w:rPr>
          <w:lang w:val="en-GB"/>
        </w:rPr>
      </w:pPr>
      <w:r w:rsidRPr="00E90719">
        <w:rPr>
          <w:rStyle w:val="HideTWBExt"/>
          <w:lang w:val="en-GB"/>
        </w:rPr>
        <w:t>&lt;/Amend&gt;</w:t>
      </w:r>
    </w:p>
    <w:p w14:paraId="277A38B1" w14:textId="77777777" w:rsidR="008144C7" w:rsidRPr="00E90719" w:rsidRDefault="008144C7" w:rsidP="008144C7">
      <w:pPr>
        <w:pStyle w:val="AmNumberTabs"/>
        <w:rPr>
          <w:lang w:val="en-GB"/>
        </w:rPr>
      </w:pPr>
      <w:r w:rsidRPr="00E90719">
        <w:rPr>
          <w:rStyle w:val="HideTWBExt"/>
          <w:b w:val="0"/>
          <w:lang w:val="en-GB"/>
        </w:rPr>
        <w:t>&lt;Amend&gt;</w:t>
      </w:r>
      <w:r w:rsidRPr="00E90719">
        <w:rPr>
          <w:lang w:val="en-GB"/>
        </w:rPr>
        <w:t>Poprawka</w:t>
      </w:r>
      <w:r w:rsidRPr="00E90719">
        <w:rPr>
          <w:lang w:val="en-GB"/>
        </w:rPr>
        <w:tab/>
      </w:r>
      <w:r w:rsidRPr="00E90719">
        <w:rPr>
          <w:lang w:val="en-GB"/>
        </w:rPr>
        <w:tab/>
      </w:r>
      <w:r w:rsidRPr="00E90719">
        <w:rPr>
          <w:rStyle w:val="HideTWBExt"/>
          <w:b w:val="0"/>
          <w:lang w:val="en-GB"/>
        </w:rPr>
        <w:t>&lt;NumAm&gt;</w:t>
      </w:r>
      <w:r w:rsidRPr="00E90719">
        <w:rPr>
          <w:lang w:val="en-GB"/>
        </w:rPr>
        <w:t>269</w:t>
      </w:r>
      <w:r w:rsidRPr="00E90719">
        <w:rPr>
          <w:rStyle w:val="HideTWBExt"/>
          <w:b w:val="0"/>
          <w:lang w:val="en-GB"/>
        </w:rPr>
        <w:t>&lt;/NumAm&gt;</w:t>
      </w:r>
    </w:p>
    <w:p w14:paraId="16DDB5AC" w14:textId="77777777" w:rsidR="008144C7" w:rsidRPr="00E90719" w:rsidRDefault="008144C7" w:rsidP="008144C7">
      <w:pPr>
        <w:pStyle w:val="NormalBold"/>
        <w:rPr>
          <w:lang w:val="en-GB"/>
        </w:rPr>
      </w:pPr>
      <w:r w:rsidRPr="00E90719">
        <w:rPr>
          <w:rStyle w:val="HideTWBExt"/>
          <w:b w:val="0"/>
          <w:lang w:val="en-GB"/>
        </w:rPr>
        <w:t>&lt;RepeatBlock-By&gt;&lt;Members&gt;</w:t>
      </w:r>
      <w:r w:rsidRPr="00E90719">
        <w:rPr>
          <w:lang w:val="en-GB"/>
        </w:rPr>
        <w:t>Aurelijus Veryga</w:t>
      </w:r>
      <w:r w:rsidRPr="00E90719">
        <w:rPr>
          <w:rStyle w:val="HideTWBExt"/>
          <w:b w:val="0"/>
          <w:lang w:val="en-GB"/>
        </w:rPr>
        <w:t>&lt;/Members&gt;</w:t>
      </w:r>
    </w:p>
    <w:p w14:paraId="528F3304" w14:textId="77777777" w:rsidR="008144C7" w:rsidRPr="00635D1D" w:rsidRDefault="008144C7" w:rsidP="008144C7">
      <w:pPr>
        <w:pStyle w:val="NormalBold"/>
      </w:pPr>
      <w:r w:rsidRPr="00635D1D">
        <w:rPr>
          <w:rStyle w:val="HideTWBExt"/>
          <w:b w:val="0"/>
        </w:rPr>
        <w:t>&lt;/RepeatBlock-By&gt;</w:t>
      </w:r>
    </w:p>
    <w:p w14:paraId="5AA50EBF" w14:textId="77777777" w:rsidR="008144C7" w:rsidRPr="00635D1D" w:rsidRDefault="008144C7" w:rsidP="008144C7">
      <w:pPr>
        <w:pStyle w:val="NormalBold"/>
      </w:pPr>
      <w:r w:rsidRPr="00635D1D">
        <w:rPr>
          <w:rStyle w:val="HideTWBExt"/>
          <w:b w:val="0"/>
        </w:rPr>
        <w:t>&lt;DocAmend&gt;</w:t>
      </w:r>
      <w:r w:rsidRPr="00635D1D">
        <w:t>Wniosek dotyczący rozporządzenia</w:t>
      </w:r>
      <w:r w:rsidRPr="00635D1D">
        <w:rPr>
          <w:rStyle w:val="HideTWBExt"/>
          <w:b w:val="0"/>
        </w:rPr>
        <w:t>&lt;/</w:t>
      </w:r>
      <w:proofErr w:type="spellStart"/>
      <w:r w:rsidRPr="00635D1D">
        <w:rPr>
          <w:rStyle w:val="HideTWBExt"/>
          <w:b w:val="0"/>
        </w:rPr>
        <w:t>DocAmend</w:t>
      </w:r>
      <w:proofErr w:type="spellEnd"/>
      <w:r w:rsidRPr="00635D1D">
        <w:rPr>
          <w:rStyle w:val="HideTWBExt"/>
          <w:b w:val="0"/>
        </w:rPr>
        <w:t>&gt;</w:t>
      </w:r>
    </w:p>
    <w:p w14:paraId="09339D9E" w14:textId="77777777" w:rsidR="008144C7" w:rsidRPr="00E90719" w:rsidRDefault="008144C7" w:rsidP="008144C7">
      <w:pPr>
        <w:pStyle w:val="NormalBold"/>
        <w:rPr>
          <w:lang w:val="fr-BE"/>
        </w:rPr>
      </w:pPr>
      <w:r w:rsidRPr="00E90719">
        <w:rPr>
          <w:rStyle w:val="HideTWBExt"/>
          <w:b w:val="0"/>
          <w:lang w:val="fr-BE"/>
        </w:rPr>
        <w:t>&lt;Article&gt;</w:t>
      </w:r>
      <w:r w:rsidRPr="00E90719">
        <w:rPr>
          <w:lang w:val="fr-BE"/>
        </w:rPr>
        <w:t>Artykuł 1 – akapit 1 – punkt 2</w:t>
      </w:r>
      <w:r w:rsidRPr="00E90719">
        <w:rPr>
          <w:rStyle w:val="HideTWBExt"/>
          <w:b w:val="0"/>
          <w:lang w:val="fr-BE"/>
        </w:rPr>
        <w:t>&lt;/Article&gt;</w:t>
      </w:r>
    </w:p>
    <w:p w14:paraId="1C325CEA" w14:textId="77777777" w:rsidR="008144C7" w:rsidRPr="00635D1D" w:rsidRDefault="008144C7" w:rsidP="008144C7">
      <w:r w:rsidRPr="00635D1D">
        <w:rPr>
          <w:rStyle w:val="HideTWBExt"/>
        </w:rPr>
        <w:t>&lt;DocAmend2&gt;</w:t>
      </w:r>
      <w:r w:rsidRPr="00635D1D">
        <w:t>Rozporządzenie (WE) nr 1272/2008</w:t>
      </w:r>
      <w:r w:rsidRPr="00635D1D">
        <w:rPr>
          <w:rStyle w:val="HideTWBExt"/>
        </w:rPr>
        <w:t>&lt;/DocAmend2&gt;</w:t>
      </w:r>
    </w:p>
    <w:p w14:paraId="53233E6B" w14:textId="77777777" w:rsidR="008144C7" w:rsidRPr="00E90719" w:rsidRDefault="008144C7" w:rsidP="008144C7">
      <w:pPr>
        <w:rPr>
          <w:lang w:val="fr-BE"/>
        </w:rPr>
      </w:pPr>
      <w:r w:rsidRPr="00E90719">
        <w:rPr>
          <w:rStyle w:val="HideTWBExt"/>
          <w:lang w:val="fr-BE"/>
        </w:rPr>
        <w:t>&lt;Article2&gt;</w:t>
      </w:r>
      <w:r w:rsidRPr="00E90719">
        <w:rPr>
          <w:lang w:val="fr-BE"/>
        </w:rPr>
        <w:t xml:space="preserve">Artykuł 17 – ustęp 1 – litera </w:t>
      </w:r>
      <w:proofErr w:type="gramStart"/>
      <w:r w:rsidRPr="00E90719">
        <w:rPr>
          <w:lang w:val="fr-BE"/>
        </w:rPr>
        <w:t>a</w:t>
      </w:r>
      <w:proofErr w:type="gramEnd"/>
      <w:r w:rsidRPr="00E90719">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44C7" w:rsidRPr="00E90719" w14:paraId="4EEE19E5" w14:textId="77777777" w:rsidTr="00C5582D">
        <w:trPr>
          <w:trHeight w:val="240"/>
          <w:jc w:val="center"/>
        </w:trPr>
        <w:tc>
          <w:tcPr>
            <w:tcW w:w="9752" w:type="dxa"/>
            <w:gridSpan w:val="2"/>
            <w:tcBorders>
              <w:top w:val="nil"/>
              <w:left w:val="nil"/>
              <w:bottom w:val="nil"/>
              <w:right w:val="nil"/>
            </w:tcBorders>
          </w:tcPr>
          <w:p w14:paraId="0A1E7EAB" w14:textId="77777777" w:rsidR="008144C7" w:rsidRPr="00E90719" w:rsidRDefault="008144C7" w:rsidP="00C5582D">
            <w:pPr>
              <w:rPr>
                <w:lang w:val="fr-BE"/>
              </w:rPr>
            </w:pPr>
          </w:p>
        </w:tc>
      </w:tr>
      <w:tr w:rsidR="008144C7" w:rsidRPr="00635D1D" w14:paraId="371F8466" w14:textId="77777777" w:rsidTr="00C5582D">
        <w:trPr>
          <w:trHeight w:val="240"/>
          <w:jc w:val="center"/>
        </w:trPr>
        <w:tc>
          <w:tcPr>
            <w:tcW w:w="4876" w:type="dxa"/>
            <w:tcBorders>
              <w:top w:val="nil"/>
              <w:left w:val="nil"/>
              <w:bottom w:val="nil"/>
              <w:right w:val="nil"/>
            </w:tcBorders>
            <w:hideMark/>
          </w:tcPr>
          <w:p w14:paraId="1F6453BD" w14:textId="77777777" w:rsidR="008144C7" w:rsidRPr="00635D1D" w:rsidRDefault="008144C7" w:rsidP="00C5582D">
            <w:pPr>
              <w:pStyle w:val="AmColumnHeading"/>
            </w:pPr>
            <w:r w:rsidRPr="00635D1D">
              <w:t>Tekst proponowany przez Komisję</w:t>
            </w:r>
          </w:p>
        </w:tc>
        <w:tc>
          <w:tcPr>
            <w:tcW w:w="4876" w:type="dxa"/>
            <w:tcBorders>
              <w:top w:val="nil"/>
              <w:left w:val="nil"/>
              <w:bottom w:val="nil"/>
              <w:right w:val="nil"/>
            </w:tcBorders>
            <w:hideMark/>
          </w:tcPr>
          <w:p w14:paraId="66ED4290" w14:textId="77777777" w:rsidR="008144C7" w:rsidRPr="00635D1D" w:rsidRDefault="008144C7" w:rsidP="00C5582D">
            <w:pPr>
              <w:pStyle w:val="AmColumnHeading"/>
            </w:pPr>
            <w:r w:rsidRPr="00635D1D">
              <w:t>Poprawka</w:t>
            </w:r>
          </w:p>
        </w:tc>
      </w:tr>
      <w:tr w:rsidR="008144C7" w:rsidRPr="00635D1D" w14:paraId="7AAFD8CD" w14:textId="77777777" w:rsidTr="00C5582D">
        <w:trPr>
          <w:jc w:val="center"/>
        </w:trPr>
        <w:tc>
          <w:tcPr>
            <w:tcW w:w="4876" w:type="dxa"/>
            <w:tcBorders>
              <w:top w:val="nil"/>
              <w:left w:val="nil"/>
              <w:bottom w:val="nil"/>
              <w:right w:val="nil"/>
            </w:tcBorders>
            <w:hideMark/>
          </w:tcPr>
          <w:p w14:paraId="4F272115" w14:textId="77777777" w:rsidR="008144C7" w:rsidRPr="00635D1D" w:rsidRDefault="008144C7" w:rsidP="00C5582D">
            <w:pPr>
              <w:pStyle w:val="Normal6a"/>
            </w:pPr>
            <w:r w:rsidRPr="00635D1D">
              <w:t>a)</w:t>
            </w:r>
            <w:r w:rsidRPr="00635D1D">
              <w:tab/>
              <w:t xml:space="preserve">nazwę, adres </w:t>
            </w:r>
            <w:r w:rsidRPr="00635D1D">
              <w:rPr>
                <w:b/>
                <w:i/>
              </w:rPr>
              <w:t>i</w:t>
            </w:r>
            <w:r w:rsidRPr="00635D1D">
              <w:t xml:space="preserve"> kontakt elektroniczny dostawcy;</w:t>
            </w:r>
          </w:p>
        </w:tc>
        <w:tc>
          <w:tcPr>
            <w:tcW w:w="4876" w:type="dxa"/>
            <w:tcBorders>
              <w:top w:val="nil"/>
              <w:left w:val="nil"/>
              <w:bottom w:val="nil"/>
              <w:right w:val="nil"/>
            </w:tcBorders>
            <w:hideMark/>
          </w:tcPr>
          <w:p w14:paraId="2B2D0F47" w14:textId="77777777" w:rsidR="008144C7" w:rsidRPr="00635D1D" w:rsidRDefault="008144C7" w:rsidP="00C5582D">
            <w:pPr>
              <w:pStyle w:val="Normal6a"/>
            </w:pPr>
            <w:r w:rsidRPr="00635D1D">
              <w:t>a)</w:t>
            </w:r>
            <w:r w:rsidRPr="00635D1D">
              <w:tab/>
              <w:t>nazwę, adres</w:t>
            </w:r>
            <w:r w:rsidRPr="00635D1D">
              <w:rPr>
                <w:b/>
                <w:i/>
              </w:rPr>
              <w:t>, numer telefonu lub</w:t>
            </w:r>
            <w:r w:rsidRPr="00635D1D">
              <w:t xml:space="preserve"> kontakt elektroniczny dostawcy;</w:t>
            </w:r>
          </w:p>
        </w:tc>
      </w:tr>
    </w:tbl>
    <w:p w14:paraId="471D31A6" w14:textId="77777777" w:rsidR="008144C7" w:rsidRPr="00E90719" w:rsidRDefault="008144C7" w:rsidP="008144C7">
      <w:pPr>
        <w:pStyle w:val="AmOrLang"/>
        <w:rPr>
          <w:lang w:val="en-GB" w:eastAsia="en-US"/>
        </w:rPr>
      </w:pPr>
      <w:r w:rsidRPr="00E90719">
        <w:rPr>
          <w:lang w:val="en-GB"/>
        </w:rPr>
        <w:t xml:space="preserve">Or. </w:t>
      </w:r>
      <w:r w:rsidRPr="00E90719">
        <w:rPr>
          <w:rStyle w:val="HideTWBExt"/>
          <w:lang w:val="en-GB"/>
        </w:rPr>
        <w:t>&lt;Original&gt;</w:t>
      </w:r>
      <w:r w:rsidRPr="00E90719">
        <w:rPr>
          <w:rStyle w:val="HideTWBInt"/>
          <w:rFonts w:eastAsiaTheme="majorEastAsia"/>
          <w:lang w:val="en-GB"/>
        </w:rPr>
        <w:t>{EN}</w:t>
      </w:r>
      <w:r w:rsidRPr="00E90719">
        <w:rPr>
          <w:lang w:val="en-GB"/>
        </w:rPr>
        <w:t>en</w:t>
      </w:r>
      <w:r w:rsidRPr="00E90719">
        <w:rPr>
          <w:rStyle w:val="HideTWBExt"/>
          <w:lang w:val="en-GB"/>
        </w:rPr>
        <w:t>&lt;/Original&gt;</w:t>
      </w:r>
    </w:p>
    <w:p w14:paraId="46068CD7" w14:textId="68BB2E9E" w:rsidR="008144C7" w:rsidRPr="00E90719" w:rsidRDefault="008144C7" w:rsidP="008144C7">
      <w:pPr>
        <w:rPr>
          <w:rStyle w:val="HideTWBExt"/>
          <w:lang w:val="en-GB"/>
        </w:rPr>
      </w:pPr>
      <w:r w:rsidRPr="00E90719">
        <w:rPr>
          <w:rStyle w:val="HideTWBExt"/>
          <w:lang w:val="en-GB"/>
        </w:rPr>
        <w:t>&lt;/Amend&gt;&lt;/RepeatBlock-Amend&gt;</w:t>
      </w:r>
    </w:p>
    <w:p w14:paraId="49147D8A" w14:textId="0442B10F" w:rsidR="00074884" w:rsidRPr="00E90719" w:rsidRDefault="00074884" w:rsidP="008144C7">
      <w:pPr>
        <w:rPr>
          <w:lang w:val="en-GB"/>
        </w:rPr>
      </w:pPr>
    </w:p>
    <w:sectPr w:rsidR="00074884" w:rsidRPr="00E90719" w:rsidSect="00FB1A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7B093" w14:textId="77777777" w:rsidR="00DB0998" w:rsidRPr="00635D1D" w:rsidRDefault="00DB0998">
      <w:r w:rsidRPr="00635D1D">
        <w:separator/>
      </w:r>
    </w:p>
  </w:endnote>
  <w:endnote w:type="continuationSeparator" w:id="0">
    <w:p w14:paraId="607D6861" w14:textId="77777777" w:rsidR="00DB0998" w:rsidRPr="00635D1D" w:rsidRDefault="00DB0998">
      <w:r w:rsidRPr="00635D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57CF2" w14:textId="6ABC89AF" w:rsidR="00FB1A29" w:rsidRPr="00635D1D" w:rsidRDefault="00FB1A29" w:rsidP="00FB1A29">
    <w:pPr>
      <w:pStyle w:val="EPFooter"/>
    </w:pPr>
    <w:r w:rsidRPr="00635D1D">
      <w:t>PE</w:t>
    </w:r>
    <w:r w:rsidRPr="00635D1D">
      <w:rPr>
        <w:rStyle w:val="HideTWBExt"/>
      </w:rPr>
      <w:t>&lt;</w:t>
    </w:r>
    <w:proofErr w:type="spellStart"/>
    <w:r w:rsidRPr="00635D1D">
      <w:rPr>
        <w:rStyle w:val="HideTWBExt"/>
      </w:rPr>
      <w:t>NoPE</w:t>
    </w:r>
    <w:proofErr w:type="spellEnd"/>
    <w:r w:rsidRPr="00635D1D">
      <w:rPr>
        <w:rStyle w:val="HideTWBExt"/>
      </w:rPr>
      <w:t>&gt;</w:t>
    </w:r>
    <w:r w:rsidRPr="00635D1D">
      <w:t>784.152</w:t>
    </w:r>
    <w:r w:rsidRPr="00635D1D">
      <w:rPr>
        <w:rStyle w:val="HideTWBExt"/>
      </w:rPr>
      <w:t>&lt;/</w:t>
    </w:r>
    <w:proofErr w:type="spellStart"/>
    <w:r w:rsidRPr="00635D1D">
      <w:rPr>
        <w:rStyle w:val="HideTWBExt"/>
      </w:rPr>
      <w:t>NoPE</w:t>
    </w:r>
    <w:proofErr w:type="spellEnd"/>
    <w:r w:rsidRPr="00635D1D">
      <w:rPr>
        <w:rStyle w:val="HideTWBExt"/>
      </w:rPr>
      <w:t>&gt;&lt;Version&gt;</w:t>
    </w:r>
    <w:r w:rsidRPr="00635D1D">
      <w:t>v01-00</w:t>
    </w:r>
    <w:r w:rsidRPr="00635D1D">
      <w:rPr>
        <w:rStyle w:val="HideTWBExt"/>
      </w:rPr>
      <w:t>&lt;/Version&gt;</w:t>
    </w:r>
    <w:r w:rsidRPr="00635D1D">
      <w:tab/>
    </w:r>
    <w:r w:rsidRPr="00635D1D">
      <w:fldChar w:fldCharType="begin"/>
    </w:r>
    <w:r w:rsidRPr="00635D1D">
      <w:instrText xml:space="preserve"> PAGE  \* MERGEFORMAT </w:instrText>
    </w:r>
    <w:r w:rsidRPr="00635D1D">
      <w:fldChar w:fldCharType="separate"/>
    </w:r>
    <w:r w:rsidRPr="00635D1D">
      <w:rPr>
        <w:noProof/>
      </w:rPr>
      <w:t>2</w:t>
    </w:r>
    <w:r w:rsidRPr="00635D1D">
      <w:fldChar w:fldCharType="end"/>
    </w:r>
    <w:r w:rsidRPr="00635D1D">
      <w:t>/</w:t>
    </w:r>
    <w:r w:rsidR="00E90719">
      <w:fldChar w:fldCharType="begin"/>
    </w:r>
    <w:r w:rsidR="00E90719">
      <w:instrText xml:space="preserve"> NUMPAGES  \* MERGEFORMAT </w:instrText>
    </w:r>
    <w:r w:rsidR="00E90719">
      <w:fldChar w:fldCharType="separate"/>
    </w:r>
    <w:r w:rsidRPr="00635D1D">
      <w:rPr>
        <w:noProof/>
      </w:rPr>
      <w:t>167</w:t>
    </w:r>
    <w:r w:rsidR="00E90719">
      <w:rPr>
        <w:noProof/>
      </w:rPr>
      <w:fldChar w:fldCharType="end"/>
    </w:r>
    <w:r w:rsidRPr="00635D1D">
      <w:tab/>
    </w:r>
    <w:r w:rsidRPr="00635D1D">
      <w:rPr>
        <w:rStyle w:val="HideTWBExt"/>
      </w:rPr>
      <w:t>&lt;PathFdR&gt;</w:t>
    </w:r>
    <w:r w:rsidR="00635D1D" w:rsidRPr="00635D1D">
      <w:t>AM\1337223PL.docx</w:t>
    </w:r>
    <w:r w:rsidRPr="00635D1D">
      <w:rPr>
        <w:rStyle w:val="HideTWBExt"/>
      </w:rPr>
      <w:t>&lt;/</w:t>
    </w:r>
    <w:proofErr w:type="spellStart"/>
    <w:r w:rsidRPr="00635D1D">
      <w:rPr>
        <w:rStyle w:val="HideTWBExt"/>
      </w:rPr>
      <w:t>PathFdR</w:t>
    </w:r>
    <w:proofErr w:type="spellEnd"/>
    <w:r w:rsidRPr="00635D1D">
      <w:rPr>
        <w:rStyle w:val="HideTWBExt"/>
      </w:rPr>
      <w:t>&gt;</w:t>
    </w:r>
  </w:p>
  <w:p w14:paraId="0A769B2F" w14:textId="5EF5CC06" w:rsidR="00D82FCC" w:rsidRPr="00635D1D" w:rsidRDefault="00FB1A29" w:rsidP="00FB1A29">
    <w:pPr>
      <w:pStyle w:val="EPFooter2"/>
    </w:pPr>
    <w:r w:rsidRPr="00635D1D">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2236F" w14:textId="7CCE5AD9" w:rsidR="00FB1A29" w:rsidRPr="00635D1D" w:rsidRDefault="00FB1A29" w:rsidP="00FB1A29">
    <w:pPr>
      <w:pStyle w:val="EPFooter"/>
    </w:pPr>
    <w:r w:rsidRPr="00635D1D">
      <w:rPr>
        <w:rStyle w:val="HideTWBExt"/>
      </w:rPr>
      <w:t>&lt;PathFdR&gt;</w:t>
    </w:r>
    <w:r w:rsidR="00635D1D" w:rsidRPr="00635D1D">
      <w:t>AM\1337223PL.docx</w:t>
    </w:r>
    <w:r w:rsidRPr="00635D1D">
      <w:rPr>
        <w:rStyle w:val="HideTWBExt"/>
      </w:rPr>
      <w:t>&lt;/</w:t>
    </w:r>
    <w:proofErr w:type="spellStart"/>
    <w:r w:rsidRPr="00635D1D">
      <w:rPr>
        <w:rStyle w:val="HideTWBExt"/>
      </w:rPr>
      <w:t>PathFdR</w:t>
    </w:r>
    <w:proofErr w:type="spellEnd"/>
    <w:r w:rsidRPr="00635D1D">
      <w:rPr>
        <w:rStyle w:val="HideTWBExt"/>
      </w:rPr>
      <w:t>&gt;</w:t>
    </w:r>
    <w:r w:rsidRPr="00635D1D">
      <w:tab/>
    </w:r>
    <w:r w:rsidRPr="00635D1D">
      <w:fldChar w:fldCharType="begin"/>
    </w:r>
    <w:r w:rsidRPr="00635D1D">
      <w:instrText xml:space="preserve"> PAGE  \* MERGEFORMAT </w:instrText>
    </w:r>
    <w:r w:rsidRPr="00635D1D">
      <w:fldChar w:fldCharType="separate"/>
    </w:r>
    <w:r w:rsidRPr="00635D1D">
      <w:rPr>
        <w:noProof/>
      </w:rPr>
      <w:t>167</w:t>
    </w:r>
    <w:r w:rsidRPr="00635D1D">
      <w:fldChar w:fldCharType="end"/>
    </w:r>
    <w:r w:rsidRPr="00635D1D">
      <w:t>/</w:t>
    </w:r>
    <w:r w:rsidR="00E90719">
      <w:fldChar w:fldCharType="begin"/>
    </w:r>
    <w:r w:rsidR="00E90719">
      <w:instrText xml:space="preserve"> NUMPAGES  \* MERGEFORMAT </w:instrText>
    </w:r>
    <w:r w:rsidR="00E90719">
      <w:fldChar w:fldCharType="separate"/>
    </w:r>
    <w:r w:rsidRPr="00635D1D">
      <w:rPr>
        <w:noProof/>
      </w:rPr>
      <w:t>167</w:t>
    </w:r>
    <w:r w:rsidR="00E90719">
      <w:rPr>
        <w:noProof/>
      </w:rPr>
      <w:fldChar w:fldCharType="end"/>
    </w:r>
    <w:r w:rsidRPr="00635D1D">
      <w:tab/>
      <w:t>PE</w:t>
    </w:r>
    <w:r w:rsidRPr="00635D1D">
      <w:rPr>
        <w:rStyle w:val="HideTWBExt"/>
      </w:rPr>
      <w:t>&lt;</w:t>
    </w:r>
    <w:proofErr w:type="spellStart"/>
    <w:r w:rsidRPr="00635D1D">
      <w:rPr>
        <w:rStyle w:val="HideTWBExt"/>
      </w:rPr>
      <w:t>NoPE</w:t>
    </w:r>
    <w:proofErr w:type="spellEnd"/>
    <w:r w:rsidRPr="00635D1D">
      <w:rPr>
        <w:rStyle w:val="HideTWBExt"/>
      </w:rPr>
      <w:t>&gt;</w:t>
    </w:r>
    <w:r w:rsidRPr="00635D1D">
      <w:t>784.152</w:t>
    </w:r>
    <w:r w:rsidRPr="00635D1D">
      <w:rPr>
        <w:rStyle w:val="HideTWBExt"/>
      </w:rPr>
      <w:t>&lt;/</w:t>
    </w:r>
    <w:proofErr w:type="spellStart"/>
    <w:r w:rsidRPr="00635D1D">
      <w:rPr>
        <w:rStyle w:val="HideTWBExt"/>
      </w:rPr>
      <w:t>NoPE</w:t>
    </w:r>
    <w:proofErr w:type="spellEnd"/>
    <w:r w:rsidRPr="00635D1D">
      <w:rPr>
        <w:rStyle w:val="HideTWBExt"/>
      </w:rPr>
      <w:t>&gt;&lt;Version&gt;</w:t>
    </w:r>
    <w:r w:rsidRPr="00635D1D">
      <w:t>v01-00</w:t>
    </w:r>
    <w:r w:rsidRPr="00635D1D">
      <w:rPr>
        <w:rStyle w:val="HideTWBExt"/>
      </w:rPr>
      <w:t>&lt;/Version&gt;</w:t>
    </w:r>
  </w:p>
  <w:p w14:paraId="7DC3DC3B" w14:textId="73031937" w:rsidR="00D82FCC" w:rsidRPr="00635D1D" w:rsidRDefault="00FB1A29" w:rsidP="00FB1A29">
    <w:pPr>
      <w:pStyle w:val="EPFooter2"/>
    </w:pPr>
    <w:r w:rsidRPr="00635D1D">
      <w:tab/>
    </w:r>
    <w:r w:rsidRPr="00635D1D">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3AE2E" w14:textId="367640EB" w:rsidR="00FB1A29" w:rsidRPr="00635D1D" w:rsidRDefault="00FB1A29" w:rsidP="00FB1A29">
    <w:pPr>
      <w:pStyle w:val="EPFooter"/>
    </w:pPr>
    <w:r w:rsidRPr="00635D1D">
      <w:rPr>
        <w:rStyle w:val="HideTWBExt"/>
      </w:rPr>
      <w:t>&lt;PathFdR&gt;</w:t>
    </w:r>
    <w:r w:rsidR="00635D1D" w:rsidRPr="00635D1D">
      <w:t>AM\1337223PL.docx</w:t>
    </w:r>
    <w:r w:rsidRPr="00635D1D">
      <w:rPr>
        <w:rStyle w:val="HideTWBExt"/>
      </w:rPr>
      <w:t>&lt;/</w:t>
    </w:r>
    <w:proofErr w:type="spellStart"/>
    <w:r w:rsidRPr="00635D1D">
      <w:rPr>
        <w:rStyle w:val="HideTWBExt"/>
      </w:rPr>
      <w:t>PathFdR</w:t>
    </w:r>
    <w:proofErr w:type="spellEnd"/>
    <w:r w:rsidRPr="00635D1D">
      <w:rPr>
        <w:rStyle w:val="HideTWBExt"/>
      </w:rPr>
      <w:t>&gt;</w:t>
    </w:r>
    <w:r w:rsidRPr="00635D1D">
      <w:tab/>
    </w:r>
    <w:r w:rsidRPr="00635D1D">
      <w:tab/>
      <w:t>PE</w:t>
    </w:r>
    <w:r w:rsidRPr="00635D1D">
      <w:rPr>
        <w:rStyle w:val="HideTWBExt"/>
      </w:rPr>
      <w:t>&lt;</w:t>
    </w:r>
    <w:proofErr w:type="spellStart"/>
    <w:r w:rsidRPr="00635D1D">
      <w:rPr>
        <w:rStyle w:val="HideTWBExt"/>
      </w:rPr>
      <w:t>NoPE</w:t>
    </w:r>
    <w:proofErr w:type="spellEnd"/>
    <w:r w:rsidRPr="00635D1D">
      <w:rPr>
        <w:rStyle w:val="HideTWBExt"/>
      </w:rPr>
      <w:t>&gt;</w:t>
    </w:r>
    <w:r w:rsidRPr="00635D1D">
      <w:t>784.152</w:t>
    </w:r>
    <w:r w:rsidRPr="00635D1D">
      <w:rPr>
        <w:rStyle w:val="HideTWBExt"/>
      </w:rPr>
      <w:t>&lt;/</w:t>
    </w:r>
    <w:proofErr w:type="spellStart"/>
    <w:r w:rsidRPr="00635D1D">
      <w:rPr>
        <w:rStyle w:val="HideTWBExt"/>
      </w:rPr>
      <w:t>NoPE</w:t>
    </w:r>
    <w:proofErr w:type="spellEnd"/>
    <w:r w:rsidRPr="00635D1D">
      <w:rPr>
        <w:rStyle w:val="HideTWBExt"/>
      </w:rPr>
      <w:t>&gt;&lt;Version&gt;</w:t>
    </w:r>
    <w:r w:rsidRPr="00635D1D">
      <w:t>v01-00</w:t>
    </w:r>
    <w:r w:rsidRPr="00635D1D">
      <w:rPr>
        <w:rStyle w:val="HideTWBExt"/>
      </w:rPr>
      <w:t>&lt;/Version&gt;</w:t>
    </w:r>
  </w:p>
  <w:p w14:paraId="3C35DFC4" w14:textId="7A4CE9A7" w:rsidR="00D82FCC" w:rsidRPr="00635D1D" w:rsidRDefault="00FB1A29" w:rsidP="00FB1A29">
    <w:pPr>
      <w:pStyle w:val="EPFooter2"/>
    </w:pPr>
    <w:r w:rsidRPr="00635D1D">
      <w:t>PL</w:t>
    </w:r>
    <w:r w:rsidRPr="00635D1D">
      <w:tab/>
    </w:r>
    <w:r w:rsidRPr="00635D1D">
      <w:rPr>
        <w:b w:val="0"/>
        <w:i/>
        <w:color w:val="C0C0C0"/>
        <w:sz w:val="22"/>
      </w:rPr>
      <w:t>Zjednoczona w różnorodności</w:t>
    </w:r>
    <w:r w:rsidRPr="00635D1D">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68A00" w14:textId="77777777" w:rsidR="00DB0998" w:rsidRPr="00635D1D" w:rsidRDefault="00DB0998">
      <w:r w:rsidRPr="00635D1D">
        <w:separator/>
      </w:r>
    </w:p>
  </w:footnote>
  <w:footnote w:type="continuationSeparator" w:id="0">
    <w:p w14:paraId="31F2D644" w14:textId="77777777" w:rsidR="00DB0998" w:rsidRPr="00635D1D" w:rsidRDefault="00DB0998">
      <w:r w:rsidRPr="00635D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652BD" w14:textId="77777777" w:rsidR="00AD15CF" w:rsidRDefault="00AD15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3349E" w14:textId="77777777" w:rsidR="00AD15CF" w:rsidRDefault="00AD15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DF307" w14:textId="77777777" w:rsidR="00AD15CF" w:rsidRDefault="00AD15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2450272">
    <w:abstractNumId w:val="9"/>
  </w:num>
  <w:num w:numId="2" w16cid:durableId="302463647">
    <w:abstractNumId w:val="9"/>
  </w:num>
  <w:num w:numId="3" w16cid:durableId="31931314">
    <w:abstractNumId w:val="7"/>
  </w:num>
  <w:num w:numId="4" w16cid:durableId="269944167">
    <w:abstractNumId w:val="7"/>
  </w:num>
  <w:num w:numId="5" w16cid:durableId="432021234">
    <w:abstractNumId w:val="6"/>
  </w:num>
  <w:num w:numId="6" w16cid:durableId="991178053">
    <w:abstractNumId w:val="6"/>
  </w:num>
  <w:num w:numId="7" w16cid:durableId="214968629">
    <w:abstractNumId w:val="5"/>
  </w:num>
  <w:num w:numId="8" w16cid:durableId="1666276778">
    <w:abstractNumId w:val="5"/>
  </w:num>
  <w:num w:numId="9" w16cid:durableId="1132746908">
    <w:abstractNumId w:val="4"/>
  </w:num>
  <w:num w:numId="10" w16cid:durableId="2013335102">
    <w:abstractNumId w:val="4"/>
  </w:num>
  <w:num w:numId="11" w16cid:durableId="1401178229">
    <w:abstractNumId w:val="8"/>
  </w:num>
  <w:num w:numId="12" w16cid:durableId="885800862">
    <w:abstractNumId w:val="8"/>
  </w:num>
  <w:num w:numId="13" w16cid:durableId="856888893">
    <w:abstractNumId w:val="3"/>
  </w:num>
  <w:num w:numId="14" w16cid:durableId="1330668408">
    <w:abstractNumId w:val="3"/>
  </w:num>
  <w:num w:numId="15" w16cid:durableId="1906182716">
    <w:abstractNumId w:val="2"/>
  </w:num>
  <w:num w:numId="16" w16cid:durableId="1064527351">
    <w:abstractNumId w:val="2"/>
  </w:num>
  <w:num w:numId="17" w16cid:durableId="2052916637">
    <w:abstractNumId w:val="1"/>
  </w:num>
  <w:num w:numId="18" w16cid:durableId="549221586">
    <w:abstractNumId w:val="1"/>
  </w:num>
  <w:num w:numId="19" w16cid:durableId="754865453">
    <w:abstractNumId w:val="0"/>
  </w:num>
  <w:num w:numId="20" w16cid:durableId="1040469743">
    <w:abstractNumId w:val="0"/>
  </w:num>
  <w:num w:numId="21" w16cid:durableId="1063216861">
    <w:abstractNumId w:val="9"/>
  </w:num>
  <w:num w:numId="22" w16cid:durableId="477577001">
    <w:abstractNumId w:val="7"/>
  </w:num>
  <w:num w:numId="23" w16cid:durableId="2146920820">
    <w:abstractNumId w:val="6"/>
  </w:num>
  <w:num w:numId="24" w16cid:durableId="2144956779">
    <w:abstractNumId w:val="5"/>
  </w:num>
  <w:num w:numId="25" w16cid:durableId="351339249">
    <w:abstractNumId w:val="4"/>
  </w:num>
  <w:num w:numId="26" w16cid:durableId="1193684340">
    <w:abstractNumId w:val="8"/>
  </w:num>
  <w:num w:numId="27" w16cid:durableId="1166046365">
    <w:abstractNumId w:val="3"/>
  </w:num>
  <w:num w:numId="28" w16cid:durableId="1195077539">
    <w:abstractNumId w:val="2"/>
  </w:num>
  <w:num w:numId="29" w16cid:durableId="1041133852">
    <w:abstractNumId w:val="1"/>
  </w:num>
  <w:num w:numId="30" w16cid:durableId="767239449">
    <w:abstractNumId w:val="0"/>
  </w:num>
  <w:num w:numId="31" w16cid:durableId="38092280">
    <w:abstractNumId w:val="9"/>
  </w:num>
  <w:num w:numId="32" w16cid:durableId="104817096">
    <w:abstractNumId w:val="7"/>
  </w:num>
  <w:num w:numId="33" w16cid:durableId="1750227947">
    <w:abstractNumId w:val="6"/>
  </w:num>
  <w:num w:numId="34" w16cid:durableId="1883636873">
    <w:abstractNumId w:val="5"/>
  </w:num>
  <w:num w:numId="35" w16cid:durableId="1733847833">
    <w:abstractNumId w:val="4"/>
  </w:num>
  <w:num w:numId="36" w16cid:durableId="1860655989">
    <w:abstractNumId w:val="8"/>
  </w:num>
  <w:num w:numId="37" w16cid:durableId="593519332">
    <w:abstractNumId w:val="3"/>
  </w:num>
  <w:num w:numId="38" w16cid:durableId="1428623272">
    <w:abstractNumId w:val="2"/>
  </w:num>
  <w:num w:numId="39" w16cid:durableId="1827739763">
    <w:abstractNumId w:val="1"/>
  </w:num>
  <w:num w:numId="40" w16cid:durableId="1248274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2"/>
    <w:docVar w:name="CODEMNU" w:val=" 1"/>
    <w:docVar w:name="COMKEY" w:val="CJ45"/>
    <w:docVar w:name="CopyToNetwork" w:val="-1"/>
    <w:docVar w:name="CVA" w:val="100"/>
    <w:docVar w:name="DOCCODMNU" w:val=" 1"/>
    <w:docVar w:name="DOCDT" w:val="10/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NORMAL"/>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245948 HideTWBInt;}}{\*\rsidtbl \rsid24658\rsid223860\rsid735077\rsid1718133\rsid2892074\rsid3565327_x000d__x000a_\rsid4666813\rsid6641733\rsid7823322\rsid9636012\rsid9647290\rsid10377208\rsid11215221\rsid11549030\rsid12154954\rsid13245948\rsid14382809\rsid14424199\rsid15204470\rsid15285974\rsid15562474\rsid15950462\rsid16324206\rsid16662270}{\mmathPr\mmathFont34_x000d__x000a_\mbrkBin0\mbrkBinSub0\msmallFrac0\mdispDef1\mlMargin0\mrMargin0\mdefJc1\mwrapIndent1440\mintLim0\mnaryLim1}{\info{\author GRIGO Gianna}{\operator GRIGO Gianna}{\creatim\yr2026\mo2\dy10\hr12\min51}{\revtim\yr2026\mo2\dy10\hr12\min51}{\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45948\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9647290 \chftnsep _x000d__x000a_\par }}{\*\ftnsepc \ltrpar \pard\plain \ltrpar\ql \li0\ri0\widctlpar\wrapdefault\aspalpha\aspnum\faauto\adjustright\rin0\lin0\itap0 \rtlch\fcs1 \af0\afs20\alang1025 \ltrch\fcs0 \fs24\lang2057\langfe2057\cgrid\langnp2057\langfenp2057 {\rtlch\fcs1 \af0 _x000d__x000a_\ltrch\fcs0 \insrsid9647290 \chftnsepc _x000d__x000a_\par }}{\*\aftnsep \ltrpar \pard\plain \ltrpar\ql \li0\ri0\widctlpar\wrapdefault\aspalpha\aspnum\faauto\adjustright\rin0\lin0\itap0 \rtlch\fcs1 \af0\afs20\alang1025 \ltrch\fcs0 \fs24\lang2057\langfe2057\cgrid\langnp2057\langfenp2057 {\rtlch\fcs1 \af0 _x000d__x000a_\ltrch\fcs0 \insrsid9647290 \chftnsep _x000d__x000a_\par }}{\*\aftnsepc \ltrpar \pard\plain \ltrpar\ql \li0\ri0\widctlpar\wrapdefault\aspalpha\aspnum\faauto\adjustright\rin0\lin0\itap0 \rtlch\fcs1 \af0\afs20\alang1025 \ltrch\fcs0 \fs24\lang2057\langfe2057\cgrid\langnp2057\langfenp2057 {\rtlch\fcs1 \af0 _x000d__x000a_\ltrch\fcs0 \insrsid96472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245948\charrsid1078484 {\*\bkmkstart ReplaceBookmark}#}{\rtlch\fcs1 \af1 \ltrch\fcs0 _x000d__x000a_\cs17\v\f1\fs20\cf15\insrsid13245948\charrsid1078484 &gt;&gt;&gt;CVAR@@AmendA}{\rtlch\fcs1 \af0 \ltrch\fcs0 \insrsid13245948\charrsid107848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b_x000d__x000a_918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94459 HideTWBExt;}{\*\cs18 \additive \v\f1\fs20\cf15 _x000d__x000a_\spriority0 \styrsid4394459 HideTWBInt;}{\s19\ql \li0\ri0\sa120\nowidctlpar\wrapdefault\aspalpha\aspnum\faauto\adjustright\rin0\lin0\itap0 \rtlch\fcs1 \af0\afs20\alang1025 \ltrch\fcs0 \fs24\lang2057\langfe2057\cgrid\langnp2057\langfenp2057 _x000d__x000a_\sbasedon0 \snext19 \spriority0 \styrsid4394459 Normal6a;}{\s20\ql \li0\ri0\nowidctlpar\wrapdefault\aspalpha\aspnum\faauto\adjustright\rin0\lin0\itap0 \rtlch\fcs1 \af0\afs20\alang1025 \ltrch\fcs0 \b\fs24\lang2057\langfe2057\cgrid\langnp2057\langfenp2057 _x000d__x000a_\sbasedon0 \snext20 \spriority0 \styrsid4394459 NormalBold;}{\s21\qr \li0\ri0\sb240\sa240\nowidctlpar\wrapdefault\aspalpha\aspnum\faauto\adjustright\rin0\lin0\itap0 \rtlch\fcs1 \af0\afs20\alang1025 \ltrch\fcs0 _x000d__x000a_\fs24\lang2057\langfe2057\cgrid\langnp2057\langfenp2057 \sbasedon0 \snext21 \spriority0 \styrsid4394459 AmOrLang;}{\s22\qc \li0\ri0\sa240\nowidctlpar\wrapdefault\aspalpha\aspnum\faauto\adjustright\rin0\lin0\itap0 \rtlch\fcs1 \af0\afs20\alang1025 _x000d__x000a_\ltrch\fcs0 \i\fs24\lang2057\langfe2057\cgrid\langnp2057\langfenp2057 \sbasedon0 \snext22 \spriority0 \styrsid43944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394459 AmNumberTabs;}}{\*\rsidtbl \rsid24658\rsid223860\rsid735077\rsid1718133\rsid2892074\rsid3565327\rsid4394459\rsid4464682\rsid4666813_x000d__x000a_\rsid6641733\rsid7823322\rsid9636012\rsid10377208\rsid11215221\rsid11549030\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9445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4464682 \chftnsep _x000d__x000a_\par }}{\*\ftnsepc \ltrpar \pard\plain \ltrpar\ql \li0\ri0\widctlpar\wrapdefault\aspalpha\aspnum\faauto\adjustright\rin0\lin0\itap0 \rtlch\fcs1 \af0\afs20\alang1025 \ltrch\fcs0 \fs24\lang2057\langfe2057\cgrid\langnp2057\langfenp2057 {\rtlch\fcs1 \af0 _x000d__x000a_\ltrch\fcs0 \insrsid4464682 \chftnsepc _x000d__x000a_\par }}{\*\aftnsep \ltrpar \pard\plain \ltrpar\ql \li0\ri0\widctlpar\wrapdefault\aspalpha\aspnum\faauto\adjustright\rin0\lin0\itap0 \rtlch\fcs1 \af0\afs20\alang1025 \ltrch\fcs0 \fs24\lang2057\langfe2057\cgrid\langnp2057\langfenp2057 {\rtlch\fcs1 \af0 _x000d__x000a_\ltrch\fcs0 \insrsid4464682 \chftnsep _x000d__x000a_\par }}{\*\aftnsepc \ltrpar \pard\plain \ltrpar\ql \li0\ri0\widctlpar\wrapdefault\aspalpha\aspnum\faauto\adjustright\rin0\lin0\itap0 \rtlch\fcs1 \af0\afs20\alang1025 \ltrch\fcs0 \fs24\lang2057\langfe2057\cgrid\langnp2057\langfenp2057 {\rtlch\fcs1 \af0 _x000d__x000a_\ltrch\fcs0 \insrsid4464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394459\charrsid1078484 {\*\bkmkstart restartA}_x000d__x000a_\hich\af1\dbch\af31501\loch\f1 &lt;AmendA&gt;}{\rtlch\fcs1 \af0 \ltrch\fcs0 \insrsid4394459\charrsid1078484 Amendment\tab \tab }{\rtlch\fcs1 \af0 \ltrch\fcs0 _x000d__x000a_\cs17\b0\v\fs20\cf9\lang1024\langfe1024\loch\af1\hich\af1\dbch\af31501\noproof\insrsid4394459\charrsid1078484 \hich\af1\dbch\af31501\loch\f1 &lt;NumAmA&gt;}{\rtlch\fcs1 \af0 \ltrch\fcs0 \insrsid4394459\charrsid1078484 #}{\rtlch\fcs1 \af1 \ltrch\fcs0 _x000d__x000a_\cs18\v\f1\fs20\cf15\insrsid4394459\charrsid1078484 ENMIENDA@NRAM@}{\rtlch\fcs1 \af0 \ltrch\fcs0 \insrsid4394459\charrsid1078484 #}{\rtlch\fcs1 \af0 \ltrch\fcs0 _x000d__x000a_\cs17\b0\v\fs20\cf9\lang1024\langfe1024\loch\af1\hich\af1\dbch\af31501\noproof\insrsid4394459\charrsid1078484 \hich\af1\dbch\af31501\loch\f1 &lt;/NumAmA&gt;}{\rtlch\fcs1 \af0 \ltrch\fcs0 \insrsid439445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RepeatBlock-By&gt;}{\rtlch\fcs1 \af0 \ltrch\fcs0 \insrsid4394459\charrsid1078484 #}{\rtlch\fcs1 \af1 _x000d__x000a_\ltrch\fcs0 \cs18\v\f1\fs20\cf15\insrsid4394459\charrsid1078484 (MOD@InsideLoop()}{\rtlch\fcs1 \af0 \ltrch\fcs0 \insrsid4394459\charrsid1078484 ##}{\rtlch\fcs1 \af1 \ltrch\fcs0 \cs18\v\f1\fs20\cf15\insrsid4394459\charrsid1078484 &gt;&gt;&gt;@[ZMEMBERSMSG]@}{_x000d__x000a_\rtlch\fcs1 \af0 \ltrch\fcs0 \insrsid4394459\charrsid1078484 #}{\rtlch\fcs1 \af0 \ltrch\fcs0 \cs17\b0\v\fs20\cf9\lang1024\langfe1024\loch\af1\hich\af1\dbch\af31501\noproof\insrsid4394459\charrsid1078484 \hich\af1\dbch\af31501\loch\f1 &lt;Members&gt;}{_x000d__x000a_\rtlch\fcs1 \af0 \ltrch\fcs0 \insrsid4394459\charrsid1078484 #}{\rtlch\fcs1 \af1 \ltrch\fcs0 \cs18\v\f1\fs20\cf15\insrsid4394459\charrsid1078484 (MOD@InsideLoop(\'a7)}{\rtlch\fcs1 \af0 \ltrch\fcs0 \insrsid4394459\charrsid1078484 #}{\rtlch\fcs1 \af0 _x000d__x000a_\ltrch\fcs0 \cf10\insrsid4394459\charrsid1078484 \u9668\'3f}{\rtlch\fcs1 \af0 \ltrch\fcs0 \insrsid4394459\charrsid1078484 #}{\rtlch\fcs1 \af1 \ltrch\fcs0 \cs18\v\f1\fs20\cf15\insrsid4394459\charrsid1078484 TVTMEMBERS\'a7@MEMBERS@}{\rtlch\fcs1 \af0 _x000d__x000a_\ltrch\fcs0 \insrsid4394459\charrsid1078484 #}{\rtlch\fcs1 \af0 \ltrch\fcs0 \cf10\insrsid4394459\charrsid1078484 \u9658\'3f}{\rtlch\fcs1 \af0 \ltrch\fcs0 _x000d__x000a_\cs17\b0\v\fs20\cf9\lang1024\langfe1024\loch\af1\hich\af1\dbch\af31501\noproof\insrsid4394459\charrsid1078484 \hich\af1\dbch\af31501\loch\f1 &lt;/Members&gt;}{\rtlch\fcs1 \af0 \ltrch\fcs0 \insrsid439445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394459\charrsid1078484 \hich\af1\dbch\af31501\loch\f1 &lt;AuNomDe&gt;&lt;OptDel&gt;}{\rtlch\fcs1 \af0 \ltrch\fcs0 \insrsid4394459\charrsid1078484 #}{\rtlch\fcs1 \af1 \ltrch\fcs0 _x000d__x000a_\cs18\v\f1\fs20\cf15\insrsid4394459\charrsid1078484 MNU[ONBEHALFYES][NOTAPP]@CHOICE@}{\rtlch\fcs1 \af0 \ltrch\fcs0 \insrsid4394459\charrsid1078484 #}{\rtlch\fcs1 \af0 \ltrch\fcs0 _x000d__x000a_\cs17\v\fs20\cf9\lang1024\langfe1024\loch\af1\hich\af1\dbch\af31501\noproof\insrsid4394459\charrsid1078484 \hich\af1\dbch\af31501\loch\f1 &lt;/OptDel&gt;&lt;/AuNomDe&gt;}{\rtlch\fcs1 \af0 \ltrch\fcs0 \insrsid4394459\charrsid1078484 _x000d__x000a_\par &lt;&lt;&lt;}{\rtlch\fcs1 \af0 \ltrch\fcs0 \cs17\v\fs20\cf9\lang1024\langfe1024\loch\af1\hich\af1\dbch\af31501\noproof\insrsid4394459\charrsid1078484 \hich\af1\dbch\af31501\loch\f1 &lt;/RepeatBlock-By&gt;}{\rtlch\fcs1 \af0 \ltrch\fcs0 \insrsid439445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DocAmend&gt;}{\rtlch\fcs1 \af0 \ltrch\fcs0 \insrsid4394459\charrsid1078484 Draft legislative resolution}_x000d__x000a_{\rtlch\fcs1 \af0 \ltrch\fcs0 \cs17\b0\v\fs20\cf9\lang1024\langfe1024\loch\af1\hich\af1\dbch\af31501\noproof\insrsid4394459\charrsid1078484 \hich\af1\dbch\af31501\loch\f1 &lt;/DocAmend&gt;}{\rtlch\fcs1 \af0 \ltrch\fcs0 \insrsid4394459\charrsid1078484 _x000d__x000a_\par }\pard \ltrpar\s20\ql \li0\ri0\nowidctlpar\wrapdefault\aspalpha\aspnum\faauto\adjustright\rin0\lin0\itap0\pararsid16013815 {\rtlch\fcs1 \af0 \ltrch\fcs0 _x000d__x000a_\cs17\b0\v\fs20\cf9\lang1024\langfe1024\loch\af1\hich\af1\dbch\af31501\noproof\insrsid4394459\charrsid1078484 \hich\af1\dbch\af31501\loch\f1 &lt;Article&gt;}{\rtlch\fcs1 \af0 \ltrch\fcs0 \cf10\insrsid4394459\charrsid1078484 \u9668\'3f}{\rtlch\fcs1 \af0 _x000d__x000a_\ltrch\fcs0 \insrsid4394459\charrsid1078484 #}{\rtlch\fcs1 \af1 \ltrch\fcs0 \cs18\v\f1\fs20\cf15\insrsid4394459\charrsid1078484 TVTRESPART@RESPART@}{\rtlch\fcs1 \af0 \ltrch\fcs0 \insrsid4394459\charrsid1078484 #}{\rtlch\fcs1 \af0 \ltrch\fcs0 _x000d__x000a_\cf10\insrsid4394459\charrsid1078484 \u9658\'3f}{\rtlch\fcs1 \af0 \ltrch\fcs0 \cs17\b0\v\fs20\cf9\lang1024\langfe1024\loch\af1\hich\af1\dbch\af31501\noproof\insrsid4394459\charrsid1078484 \hich\af1\dbch\af31501\loch\f1 &lt;/Article&gt;}{\rtlch\fcs1 \af0 _x000d__x000a_\ltrch\fcs0 \insrsid4394459\charrsid107848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394459\charrsid1078484 Draft legislative resolution\cell Amendment\cell }\pard\plain \ltrpar\ql \li0\ri0\widctlpar\intbl\wrapdefault\aspalpha\aspnum\faauto\adjustright\rin0\lin0 \rtlch\fcs1 \af0\afs20\alang1025 \ltrch\fcs0 _x000d__x000a_\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394459\charrsid1078484 ##\cell ##}{\rtlch\fcs1 \af0\afs24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394459\charrsid1078484 Or. }{\rtlch\fcs1 \af0 \ltrch\fcs0 \cs17\v\fs20\cf9\lang1024\langfe1024\loch\af1\hich\af1\dbch\af31501\noproof\insrsid4394459\charrsid1078484 \hich\af1\dbch\af31501\loch\f1 &lt;Original&gt;}{\rtlch\fcs1 \af0 \ltrch\fcs0 _x000d__x000a_\insrsid4394459\charrsid1078484 #}{\rtlch\fcs1 \af1 \ltrch\fcs0 \cs18\v\f1\fs20\cf15\insrsid4394459\charrsid1078484 KEY(MAIN/LANGMIN)sh@ORLANGMSG@}{\rtlch\fcs1 \af0 \ltrch\fcs0 \insrsid4394459\charrsid1078484 #}{\rtlch\fcs1 \af0 \ltrch\fcs0 _x000d__x000a_\cs17\v\fs20\cf9\lang1024\langfe1024\loch\af1\hich\af1\dbch\af31501\noproof\insrsid4394459\charrsid1078484 \hich\af1\dbch\af31501\loch\f1 &lt;/Original&gt;}{\rtlch\fcs1 \af0 \ltrch\fcs0 \insrsid439445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394459\charrsid107848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d_x000d__x000a_892c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90829 HideTWBExt;}{\*\cs18 \additive \v\f1\fs20\cf15 _x000d__x000a_\spriority0 \styrsid7490829 HideTWBInt;}{\s19\ql \li0\ri0\sa120\nowidctlpar\wrapdefault\aspalpha\aspnum\faauto\adjustright\rin0\lin0\itap0 \rtlch\fcs1 \af0\afs20\alang1025 \ltrch\fcs0 \fs24\lang2057\langfe2057\cgrid\langnp2057\langfenp2057 _x000d__x000a_\sbasedon0 \snext19 \spriority0 \styrsid7490829 Normal6a;}{\s20\ql \li0\ri0\nowidctlpar\wrapdefault\aspalpha\aspnum\faauto\adjustright\rin0\lin0\itap0 \rtlch\fcs1 \af0\afs20\alang1025 \ltrch\fcs0 \b\fs24\lang2057\langfe2057\cgrid\langnp2057\langfenp2057 _x000d__x000a_\sbasedon0 \snext20 \spriority0 \styrsid7490829 NormalBold;}{\s21\ql \li0\ri0\sa240\nowidctlpar\wrapdefault\aspalpha\aspnum\faauto\adjustright\rin0\lin0\itap0 \rtlch\fcs1 \af0\afs20\alang1025 \ltrch\fcs0 _x000d__x000a_\i\fs24\lang2057\langfe2057\cgrid\langnp2057\langfenp2057 \sbasedon0 \snext21 \spriority0 \styrsid7490829 AmJustText;}{\s22\qc \li0\ri0\sb240\sa240\nowidctlpar\wrapdefault\aspalpha\aspnum\faauto\adjustright\rin0\lin0\itap0 \rtlch\fcs1 _x000d__x000a_\af0\afs20\alang1025 \ltrch\fcs0 \i\fs24\lang2057\langfe2057\cgrid\langnp2057\langfenp2057 \sbasedon0 \snext22 \spriority0 \styrsid7490829 AmCrossRef;}{_x000d__x000a_\s23\qc \li0\ri0\sb240\sa240\keepn\nowidctlpar\wrapdefault\aspalpha\aspnum\faauto\adjustright\rin0\lin0\itap0 \rtlch\fcs1 \af0\afs20\alang1025 \ltrch\fcs0 \i\fs24\lang2057\langfe2057\cgrid\langnp2057\langfenp2057 _x000d__x000a_\sbasedon0 \snext21 \spriority0 \styrsid7490829 AmJustTitle;}{\s24\qr \li0\ri0\sb240\sa240\nowidctlpar\wrapdefault\aspalpha\aspnum\faauto\adjustright\rin0\lin0\itap0 \rtlch\fcs1 \af0\afs20\alang1025 \ltrch\fcs0 _x000d__x000a_\fs24\lang2057\langfe2057\cgrid\langnp2057\langfenp2057 \sbasedon0 \snext24 \spriority0 \styrsid7490829 AmOrLang;}{\s25\qc \li0\ri0\sa240\nowidctlpar\wrapdefault\aspalpha\aspnum\faauto\adjustright\rin0\lin0\itap0 \rtlch\fcs1 \af0\afs20\alang1025 _x000d__x000a_\ltrch\fcs0 \i\fs24\lang2057\langfe2057\cgrid\langnp2057\langfenp2057 \sbasedon0 \snext25 \spriority0 \styrsid74908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490829 AmNumberTabs;}}{\*\rsidtbl \rsid24658\rsid223860\rsid735077\rsid1718133\rsid2892074\rsid3565327\rsid4666813\rsid6641733\rsid7490829_x000d__x000a_\rsid7823322\rsid9636012\rsid10377208\rsid11215221\rsid11549030\rsid11934702\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9082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11934702 \chftnsep _x000d__x000a_\par }}{\*\ftnsepc \ltrpar \pard\plain \ltrpar\ql \li0\ri0\widctlpar\wrapdefault\aspalpha\aspnum\faauto\adjustright\rin0\lin0\itap0 \rtlch\fcs1 \af0\afs20\alang1025 \ltrch\fcs0 \fs24\lang2057\langfe2057\cgrid\langnp2057\langfenp2057 {\rtlch\fcs1 \af0 _x000d__x000a_\ltrch\fcs0 \insrsid11934702 \chftnsepc _x000d__x000a_\par }}{\*\aftnsep \ltrpar \pard\plain \ltrpar\ql \li0\ri0\widctlpar\wrapdefault\aspalpha\aspnum\faauto\adjustright\rin0\lin0\itap0 \rtlch\fcs1 \af0\afs20\alang1025 \ltrch\fcs0 \fs24\lang2057\langfe2057\cgrid\langnp2057\langfenp2057 {\rtlch\fcs1 \af0 _x000d__x000a_\ltrch\fcs0 \insrsid11934702 \chftnsep _x000d__x000a_\par }}{\*\aftnsepc \ltrpar \pard\plain \ltrpar\ql \li0\ri0\widctlpar\wrapdefault\aspalpha\aspnum\faauto\adjustright\rin0\lin0\itap0 \rtlch\fcs1 \af0\afs20\alang1025 \ltrch\fcs0 \fs24\lang2057\langfe2057\cgrid\langnp2057\langfenp2057 {\rtlch\fcs1 \af0 _x000d__x000a_\ltrch\fcs0 \insrsid11934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7490829\charrsid1078484 {\*\bkmkstart restartB}_x000d__x000a_\hich\af1\dbch\af31501\loch\f1 &lt;AmendB&gt;}{\rtlch\fcs1 \af0 \ltrch\fcs0 \insrsid7490829\charrsid1078484 Amendment\tab \tab }{\rtlch\fcs1 \af0 \ltrch\fcs0 _x000d__x000a_\cs17\b0\v\fs20\cf9\lang1024\langfe1024\loch\af1\hich\af1\dbch\af31501\noproof\insrsid7490829\charrsid1078484 \hich\af1\dbch\af31501\loch\f1 &lt;NumAmB&gt;}{\rtlch\fcs1 \af0 \ltrch\fcs0 \insrsid7490829\charrsid1078484 #}{\rtlch\fcs1 \af1 \ltrch\fcs0 _x000d__x000a_\cs18\v\f1\fs20\cf15\insrsid7490829\charrsid1078484 ENMIENDA@NRAM@}{\rtlch\fcs1 \af0 \ltrch\fcs0 \insrsid7490829\charrsid1078484 #}{\rtlch\fcs1 \af0 \ltrch\fcs0 _x000d__x000a_\cs17\b0\v\fs20\cf9\lang1024\langfe1024\loch\af1\hich\af1\dbch\af31501\noproof\insrsid7490829\charrsid1078484 \hich\af1\dbch\af31501\loch\f1 &lt;/NumAmB&gt;}{\rtlch\fcs1 \af0 \ltrch\fcs0 \insrsid749082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RepeatBlock-By&gt;}{\rtlch\fcs1 \af0 \ltrch\fcs0 \insrsid7490829\charrsid1078484 #}{\rtlch\fcs1 \af1 _x000d__x000a_\ltrch\fcs0 \cs18\v\f1\fs20\cf15\insrsid7490829\charrsid1078484 (MOD@InsideLoop()}{\rtlch\fcs1 \af0 \ltrch\fcs0 \insrsid7490829\charrsid1078484 ##}{\rtlch\fcs1 \af1 \ltrch\fcs0 \cs18\v\f1\fs20\cf15\insrsid7490829\charrsid1078484 &gt;&gt;&gt;@[ZMEMBERSMSG]@}{_x000d__x000a_\rtlch\fcs1 \af0 \ltrch\fcs0 \insrsid7490829\charrsid1078484 #}{\rtlch\fcs1 \af0 \ltrch\fcs0 \cs17\b0\v\fs20\cf9\lang1024\langfe1024\loch\af1\hich\af1\dbch\af31501\noproof\insrsid7490829\charrsid1078484 \hich\af1\dbch\af31501\loch\f1 &lt;Members&gt;}{_x000d__x000a_\rtlch\fcs1 \af0 \ltrch\fcs0 \insrsid7490829\charrsid1078484 #}{\rtlch\fcs1 \af1 \ltrch\fcs0 \cs18\v\f1\fs20\cf15\insrsid7490829\charrsid1078484 (MOD@InsideLoop(\'a7)}{\rtlch\fcs1 \af0 \ltrch\fcs0 \insrsid7490829\charrsid1078484 #}{\rtlch\fcs1 \af0 _x000d__x000a_\ltrch\fcs0 \cf10\insrsid7490829\charrsid1078484 \u9668\'3f}{\rtlch\fcs1 \af0 \ltrch\fcs0 \insrsid7490829\charrsid1078484 #}{\rtlch\fcs1 \af1 \ltrch\fcs0 \cs18\v\f1\fs20\cf15\insrsid7490829\charrsid1078484 TVTMEMBERS\'a7@MEMBERS@}{\rtlch\fcs1 \af0 _x000d__x000a_\ltrch\fcs0 \insrsid7490829\charrsid1078484 #}{\rtlch\fcs1 \af0 \ltrch\fcs0 \cf10\insrsid7490829\charrsid1078484 \u9658\'3f}{\rtlch\fcs1 \af0 \ltrch\fcs0 _x000d__x000a_\cs17\b0\v\fs20\cf9\lang1024\langfe1024\loch\af1\hich\af1\dbch\af31501\noproof\insrsid7490829\charrsid1078484 \hich\af1\dbch\af31501\loch\f1 &lt;/Members&gt;}{\rtlch\fcs1 \af0 \ltrch\fcs0 \insrsid749082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490829\charrsid1078484 \hich\af1\dbch\af31501\loch\f1 &lt;AuNomDe&gt;&lt;OptDel&gt;}{\rtlch\fcs1 \af0 \ltrch\fcs0 \insrsid7490829\charrsid1078484 #}{\rtlch\fcs1 \af1 \ltrch\fcs0 _x000d__x000a_\cs18\v\f1\fs20\cf15\insrsid7490829\charrsid1078484 MNU[ONBEHALFYES][NOTAPP]@CHOICE@}{\rtlch\fcs1 \af0 \ltrch\fcs0 \insrsid7490829\charrsid1078484 #}{\rtlch\fcs1 \af0 \ltrch\fcs0 _x000d__x000a_\cs17\v\fs20\cf9\lang1024\langfe1024\loch\af1\hich\af1\dbch\af31501\noproof\insrsid7490829\charrsid1078484 \hich\af1\dbch\af31501\loch\f1 &lt;/OptDel&gt;&lt;/AuNomDe&gt;}{\rtlch\fcs1 \af0 \ltrch\fcs0 \insrsid7490829\charrsid1078484 _x000d__x000a_\par &lt;&lt;&lt;}{\rtlch\fcs1 \af0 \ltrch\fcs0 \cs17\v\fs20\cf9\lang1024\langfe1024\loch\af1\hich\af1\dbch\af31501\noproof\insrsid7490829\charrsid1078484 \hich\af1\dbch\af31501\loch\f1 &lt;/RepeatBlock-By&gt;}{\rtlch\fcs1 \af0 \ltrch\fcs0 \insrsid749082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DocAmend&gt;}{\rtlch\fcs1 \af0 \ltrch\fcs0 \insrsid7490829\charrsid1078484 #}{\rtlch\fcs1 \af1 _x000d__x000a_\ltrch\fcs0 \cs18\v\f1\fs20\cf15\insrsid7490829\charrsid1078484 MNU[OPTPROPOSALCOD][OPTPROPOSALCNS][OPTPROPOSALNLE]@CHOICE@CODEMNU}{\rtlch\fcs1 \af0 \ltrch\fcs0 \insrsid7490829\charrsid1078484 #}{\rtlch\fcs1 \af0 \ltrch\fcs0 _x000d__x000a_\cs17\b0\v\fs20\cf9\lang1024\langfe1024\loch\af1\hich\af1\dbch\af31501\noproof\insrsid7490829\charrsid1078484 \hich\af1\dbch\af31501\loch\f1 &lt;/DocAmend&gt;}{\rtlch\fcs1 \af0 \ltrch\fcs0 \insrsid7490829\charrsid1078484 _x000d__x000a_\par }\pard \ltrpar\s20\ql \li0\ri0\keepn\nowidctlpar\wrapdefault\aspalpha\aspnum\faauto\adjustright\rin0\lin0\itap0\pararsid10630121 {\rtlch\fcs1 \af0 \ltrch\fcs0 _x000d__x000a_\cs17\b0\v\fs20\cf9\lang1024\langfe1024\loch\af1\hich\af1\dbch\af31501\noproof\insrsid7490829\charrsid1078484 \hich\af1\dbch\af31501\loch\f1 &lt;Article&gt;}{\rtlch\fcs1 \af0 \ltrch\fcs0 \insrsid7490829\charrsid1078484 #}{\rtlch\fcs1 \af1 \ltrch\fcs0 _x000d__x000a_\cs18\v\f1\fs20\cf15\insrsid7490829\charrsid1078484 MNU[AMACTPARTYES][AMACTPARTNO]@CHOICE@AMACTMNU}{\rtlch\fcs1 \af0 \ltrch\fcs0 \insrsid7490829\charrsid1078484 #}{\rtlch\fcs1 \af0 \ltrch\fcs0 _x000d__x000a_\cs17\b0\v\fs20\cf9\lang1024\langfe1024\loch\af1\hich\af1\dbch\af31501\noproof\insrsid7490829\charrsid1078484 \hich\af1\dbch\af31501\loch\f1 &lt;/Article&gt;}{\rtlch\fcs1 \af0 \ltrch\fcs0 \insrsid7490829\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490829\charrsid1078484 \hich\af1\dbch\af31501\loch\f1 &lt;DocAmend2&gt;&lt;OptDel&gt;}{\rtlch\fcs1 \af0 \ltrch\fcs0 \insrsid7490829\charrsid1078484 #}{\rtlch\fcs1 \af1 _x000d__x000a_\ltrch\fcs0 \cs18\v\f1\fs20\cf15\insrsid7490829\charrsid1078484 MNU[OPTNRACTYES][NOTAPP]@CHOICE@AMACTMNU}{\rtlch\fcs1 \af0 \ltrch\fcs0 \insrsid7490829\charrsid1078484 #}{\rtlch\fcs1 \af0 \ltrch\fcs0 _x000d__x000a_\cs17\v\fs20\cf9\lang1024\langfe1024\loch\af1\hich\af1\dbch\af31501\noproof\insrsid7490829\charrsid1078484 \hich\af1\dbch\af31501\loch\f1 &lt;/OptDel&gt;&lt;/DocAmend2&gt;}{\rtlch\fcs1 \af0 \ltrch\fcs0 \insrsid7490829\charrsid1078484 _x000d__x000a_\par }\pard \ltrpar\ql \li0\ri0\widctlpar\wrapdefault\aspalpha\aspnum\faauto\adjustright\rin0\lin0\itap0\pararsid10158853 {\rtlch\fcs1 \af0 \ltrch\fcs0 \cs17\v\fs20\cf9\lang1024\langfe1024\loch\af1\hich\af1\dbch\af31501\noproof\insrsid7490829\charrsid1078484 _x000d__x000a_\hich\af1\dbch\af31501\loch\f1 &lt;Article2&gt;&lt;OptDel&gt;}{\rtlch\fcs1 \af0 \ltrch\fcs0 \insrsid7490829\charrsid1078484 #}{\rtlch\fcs1 \af1 \ltrch\fcs0 \cs18\v\f1\fs20\cf15\insrsid7490829\charrsid1078484 MNU[OPTACTPARTYES][NOTAPP]@CHOICE@AMACTMNU}{\rtlch\fcs1 _x000d__x000a_\af0 \ltrch\fcs0 \insrsid7490829\charrsid1078484 #}{\rtlch\fcs1 \af0 \ltrch\fcs0 \cs17\v\fs20\cf9\lang1024\langfe1024\loch\af1\hich\af1\dbch\af31501\noproof\insrsid7490829\charrsid1078484 \hich\af1\dbch\af31501\loch\f1 &lt;/OptDel&gt;&lt;/Article2&gt;}{\rtlch\fcs1 _x000d__x000a_\af0 \ltrch\fcs0 \insrsid7490829\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490829\charrsid1078484 #}{\rtlch\fcs1 \af1 \ltrch\fcs0 \cs18\v\f1\fs20\cf15\insrsid7490829\charrsid1078484 MNU[OPTLEFTAMACT][LEFTPROP]@CHOICE@AMACTMNU}{\rtlch\fcs1 \af0 \ltrch\fcs0 \insrsid7490829\charrsid1078484 #_x000d__x000a_\cell Amendment\cell }\pard\plain \ltrpar\ql \li0\ri0\widctlpar\intbl\wrapdefault\aspalpha\aspnum\faauto\adjustright\rin0\lin0 \rtlch\fcs1 \af0\afs20\alang1025 \ltrch\fcs0 \fs24\lang2057\langfe2057\cgrid\langnp2057\langfenp2057 {\rtlch\fcs1 \af0 _x000d__x000a_\ltrch\fcs0 \insrsid7490829\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490829\charrsid1078484 ##\cell ##}{\rtlch\fcs1 \af0\afs24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490829\charrsid1078484 Or. }{\rtlch\fcs1 \af0 \ltrch\fcs0 \cs17\v\fs20\cf9\lang1024\langfe1024\loch\af1\hich\af1\dbch\af31501\noproof\insrsid7490829\charrsid1078484 \hich\af1\dbch\af31501\loch\f1 &lt;Original&gt;}{\rtlch\fcs1 \af0 \ltrch\fcs0 _x000d__x000a_\insrsid7490829\charrsid1078484 #}{\rtlch\fcs1 \af1 \ltrch\fcs0 \cs18\v\f1\fs20\cf15\insrsid7490829\charrsid1078484 KEY(MAIN/LANGMIN)sh@ORLANGMSG@}{\rtlch\fcs1 \af0 \ltrch\fcs0 \insrsid7490829\charrsid1078484 #}{\rtlch\fcs1 \af0 \ltrch\fcs0 _x000d__x000a_\cs17\v\fs20\cf9\lang1024\langfe1024\loch\af1\hich\af1\dbch\af31501\noproof\insrsid7490829\charrsid1078484 \hich\af1\dbch\af31501\loch\f1 &lt;/Original&gt;}{\rtlch\fcs1 \af0 \ltrch\fcs0 \insrsid7490829\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490829\charrsid1078484 \hich\af1\dbch\af31501\loch\f1 &lt;OptDel&gt;}{\rtlch\fcs1 \af0 \ltrch\fcs0 \insrsid7490829\charrsid1078484 #}{_x000d__x000a_\rtlch\fcs1 \af1 \ltrch\fcs0 \cs18\v\f1\fs20\cf15\insrsid7490829\charrsid1078484 MNU[CROSSREFNO][CROSSREFYES]@CHOICE@}{\rtlch\fcs1 \af0 \ltrch\fcs0 \insrsid7490829\charrsid1078484 #}{\rtlch\fcs1 \af0 \ltrch\fcs0 _x000d__x000a_\cs17\i0\v\fs20\cf9\lang1024\langfe1024\loch\af1\hich\af1\dbch\af31501\noproof\insrsid7490829\charrsid1078484 \hich\af1\dbch\af31501\loch\f1 &lt;/OptDel&gt;}{\rtlch\fcs1 \af0 \ltrch\fcs0 \insrsid7490829\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490829\charrsid1078484 \hich\af1\dbch\af31501\loch\f1 &lt;TitreJust&gt;}{\rtlch\fcs1 \af0 \ltrch\fcs0 \insrsid7490829\charrsid1078484 _x000d__x000a_Justification}{\rtlch\fcs1 \af0 \ltrch\fcs0 \cs17\i0\v\fs20\cf9\lang1024\langfe1024\loch\af1\hich\af1\dbch\af31501\noproof\insrsid7490829\charrsid1078484 \hich\af1\dbch\af31501\loch\f1 &lt;/TitreJust&gt;}{\rtlch\fcs1 \af0 \ltrch\fcs0 _x000d__x000a_\insrsid7490829\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490829\charrsid1078484 \hich\af1\dbch\af31501\loch\f1 &lt;OptDelPrev&gt;}{\rtlch\fcs1 \af0 \ltrch\fcs0 \insrsid7490829\charrsid1078484 #}{\rtlch\fcs1 \af1 _x000d__x000a_\ltrch\fcs0 \cs18\v\f1\fs20\cf15\insrsid7490829\charrsid1078484 MNU[TEXTJUSTYES][TEXTJUSTNO]@CHOICE@}{\rtlch\fcs1 \af0 \ltrch\fcs0 \insrsid7490829\charrsid1078484 #}{\rtlch\fcs1 \af0 \ltrch\fcs0 _x000d__x000a_\cs17\i0\v\fs20\cf9\lang1024\langfe1024\loch\af1\hich\af1\dbch\af31501\noproof\insrsid7490829\charrsid1078484 \hich\af1\dbch\af31501\loch\f1 &lt;/OptDelPrev&gt;}{\rtlch\fcs1 \af0 \ltrch\fcs0 \insrsid749082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90829\charrsid107848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9_x000d__x000a_852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63714 HideTWBExt;}{\*\cs18 \additive \v\f1\fs20\cf15 _x000d__x000a_\spriority0 \styrsid14563714 HideTWBInt;}{\s19\ql \li0\ri0\sa120\nowidctlpar\wrapdefault\aspalpha\aspnum\faauto\adjustright\rin0\lin0\itap0 \rtlch\fcs1 \af0\afs20\alang1025 \ltrch\fcs0 \fs24\lang2057\langfe2057\cgrid\langnp2057\langfenp2057 _x000d__x000a_\sbasedon0 \snext19 \spriority0 \styrsid14563714 Normal6a;}{\s20\ql \li0\ri0\nowidctlpar\wrapdefault\aspalpha\aspnum\faauto\adjustright\rin0\lin0\itap0 \rtlch\fcs1 \af0\afs20\alang1025 \ltrch\fcs0 \b\fs24\lang2057\langfe2057\cgrid\langnp2057\langfenp2057 _x000d__x000a_\sbasedon0 \snext20 \spriority0 \styrsid14563714 NormalBold;}{\s21\ql \li0\ri0\sa240\nowidctlpar\wrapdefault\aspalpha\aspnum\faauto\adjustright\rin0\lin0\itap0 \rtlch\fcs1 \af0\afs20\alang1025 \ltrch\fcs0 _x000d__x000a_\i\fs24\lang2057\langfe2057\cgrid\langnp2057\langfenp2057 \sbasedon0 \snext21 \spriority0 \styrsid14563714 AmJustText;}{\s22\qc \li0\ri0\sb240\sa240\nowidctlpar\wrapdefault\aspalpha\aspnum\faauto\adjustright\rin0\lin0\itap0 \rtlch\fcs1 _x000d__x000a_\af0\afs20\alang1025 \ltrch\fcs0 \i\fs24\lang2057\langfe2057\cgrid\langnp2057\langfenp2057 \sbasedon0 \snext22 \spriority0 \styrsid14563714 AmCrossRef;}{_x000d__x000a_\s23\qc \li0\ri0\sb240\sa240\keepn\nowidctlpar\wrapdefault\aspalpha\aspnum\faauto\adjustright\rin0\lin0\itap0 \rtlch\fcs1 \af0\afs20\alang1025 \ltrch\fcs0 \i\fs24\lang2057\langfe2057\cgrid\langnp2057\langfenp2057 _x000d__x000a_\sbasedon0 \snext21 \spriority0 \styrsid14563714 AmJustTitle;}{\s24\qr \li0\ri0\sb240\sa240\nowidctlpar\wrapdefault\aspalpha\aspnum\faauto\adjustright\rin0\lin0\itap0 \rtlch\fcs1 \af0\afs20\alang1025 \ltrch\fcs0 _x000d__x000a_\fs24\lang2057\langfe2057\cgrid\langnp2057\langfenp2057 \sbasedon0 \snext24 \spriority0 \styrsid14563714 AmOrLang;}{\s25\qc \li0\ri0\sa240\nowidctlpar\wrapdefault\aspalpha\aspnum\faauto\adjustright\rin0\lin0\itap0 \rtlch\fcs1 \af0\afs20\alang1025 _x000d__x000a_\ltrch\fcs0 \i\fs24\lang2057\langfe2057\cgrid\langnp2057\langfenp2057 \sbasedon0 \snext25 \spriority0 \styrsid1456371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63714 AmNumberTabs;}}{\*\rsidtbl \rsid24658\rsid223860\rsid735077\rsid1718133\rsid2892074\rsid3565327\rsid4666813\rsid6641733\rsid7823322_x000d__x000a_\rsid8336800\rsid9636012\rsid10377208\rsid11215221\rsid11549030\rsid12154954\rsid14382809\rsid14424199\rsid14563714\rsid15204470\rsid15285974\rsid15562474\rsid15950462\rsid16324206\rsid16662270}{\mmathPr\mmathFont34\mbrkBin0\mbrkBinSub0\msmallFrac0_x000d__x000a_\mdispDef1\mlMargin0\mrMargin0\mdefJc1\mwrapIndent1440\mintLim0\mnaryLim1}{\info{\author GRIGO Gianna}{\operator GRIGO Gianna}{\creatim\yr2026\mo2\dy10\hr12\min51}{\revtim\yr2026\mo2\dy10\hr12\min51}{\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63714\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8336800 \chftnsep _x000d__x000a_\par }}{\*\ftnsepc \ltrpar \pard\plain \ltrpar\ql \li0\ri0\widctlpar\wrapdefault\aspalpha\aspnum\faauto\adjustright\rin0\lin0\itap0 \rtlch\fcs1 \af0\afs20\alang1025 \ltrch\fcs0 \fs24\lang2057\langfe2057\cgrid\langnp2057\langfenp2057 {\rtlch\fcs1 \af0 _x000d__x000a_\ltrch\fcs0 \insrsid8336800 \chftnsepc _x000d__x000a_\par }}{\*\aftnsep \ltrpar \pard\plain \ltrpar\ql \li0\ri0\widctlpar\wrapdefault\aspalpha\aspnum\faauto\adjustright\rin0\lin0\itap0 \rtlch\fcs1 \af0\afs20\alang1025 \ltrch\fcs0 \fs24\lang2057\langfe2057\cgrid\langnp2057\langfenp2057 {\rtlch\fcs1 \af0 _x000d__x000a_\ltrch\fcs0 \insrsid8336800 \chftnsep _x000d__x000a_\par }}{\*\aftnsepc \ltrpar \pard\plain \ltrpar\ql \li0\ri0\widctlpar\wrapdefault\aspalpha\aspnum\faauto\adjustright\rin0\lin0\itap0 \rtlch\fcs1 \af0\afs20\alang1025 \ltrch\fcs0 \fs24\lang2057\langfe2057\cgrid\langnp2057\langfenp2057 {\rtlch\fcs1 \af0 _x000d__x000a_\ltrch\fcs0 \insrsid83368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217218 \rtlch\fcs1 _x000d__x000a_\af0\afs20\alang1025 \ltrch\fcs0 \b\fs24\lang2057\langfe2057\cgrid\langnp2057\langfenp2057 {\rtlch\fcs1 \af0 \ltrch\fcs0 \cs17\b0\v\fs20\cf9\lang1024\langfe1024\loch\af1\hich\af1\dbch\af31501\noproof\insrsid14563714\charrsid1078484 {\*\bkmkstart restart}_x000d__x000a_\hich\af1\dbch\af31501\loch\f1 &lt;}{\rtlch\fcs1 \af0 \ltrch\fcs0 \cs17\b0\v\fs20\cf9\lang1024\langfe1024\loch\af1\hich\af1\dbch\af31501\noproof\insrsid14563714 \hich\af1\dbch\af31501\loch\f1 Amend}{\rtlch\fcs1 \af0 \ltrch\fcs0 _x000d__x000a_\cs17\b0\v\fs20\cf9\lang1024\langfe1024\loch\af1\hich\af1\dbch\af31501\noproof\insrsid14563714\charrsid1078484 \hich\af1\dbch\af31501\loch\f1 &gt;}{\rtlch\fcs1 \af0 \ltrch\fcs0 \insrsid14563714\charrsid1078484 Amendment\tab \tab }{\rtlch\fcs1 \af0 _x000d__x000a_\ltrch\fcs0 \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rtlch\fcs1 \af1 \ltrch\fcs0 _x000d__x000a_\cs18\v\f1\fs20\cf15\insrsid14563714\charrsid1078484 ENMIENDA@NRAM@}{\rtlch\fcs1 \af0 \ltrch\fcs0 \insrsid14563714\charrsid1078484 #}{\rtlch\fcs1 \af0 \ltrch\fcs0 _x000d__x000a_\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hich\af1\dbch\af31501\loch\f1 RepeatBlock-By&gt;}{\rtlch\fcs1 \af0 \ltrch\fcs0 _x000d__x000a_\insrsid14563714\charrsid1078484 #}{\rtlch\fcs1 \af1 \ltrch\fcs0 \cs18\v\f1\fs20\cf15\insrsid14563714\charrsid1078484 (MOD@InsideLoop()}{\rtlch\fcs1 \af0 \ltrch\fcs0 \insrsid14563714\charrsid1078484 ##}{\rtlch\fcs1 \af1 \ltrch\fcs0 _x000d__x000a_\cs18\v\f1\fs20\cf15\insrsid14563714\charrsid1078484 &gt;&gt;&gt;@[ZMEMBERSMSG]@}{\rtlch\fcs1 \af0 \ltrch\fcs0 \insrsid14563714\charrsid1078484 #}{\rtlch\fcs1 \af0 \ltrch\fcs0 _x000d__x000a_\cs17\b0\v\fs20\cf9\lang1024\langfe1024\loch\af1\hich\af1\dbch\af31501\noproof\insrsid14563714\charrsid1078484 \hich\af1\dbch\af31501\loch\f1 &lt;Members&gt;}{\rtlch\fcs1 \af0 \ltrch\fcs0 \insrsid14563714\charrsid1078484 #}{\rtlch\fcs1 \af1 \ltrch\fcs0 _x000d__x000a_\cs18\v\f1\fs20\cf15\insrsid14563714\charrsid1078484 (MOD@InsideLoop(\'a7)}{\rtlch\fcs1 \af0 \ltrch\fcs0 \insrsid14563714\charrsid1078484 #}{\rtlch\fcs1 \af0 \ltrch\fcs0 \cf10\insrsid14563714\charrsid8217218 \u9668\'3f}{\rtlch\fcs1 \af0 \ltrch\fcs0 _x000d__x000a_\insrsid14563714\charrsid1078484 #}{\rtlch\fcs1 \af1 \ltrch\fcs0 \cs18\v\f1\fs20\cf15\insrsid14563714\charrsid1078484 TVTMEMBERS\'a7@MEMBERS@}{\rtlch\fcs1 \af0 \ltrch\fcs0 \insrsid14563714\charrsid1078484 #}{\rtlch\fcs1 \af0 \ltrch\fcs0 _x000d__x000a_\cf10\insrsid14563714\charrsid8217218 \u9658\'3f}{\rtlch\fcs1 \af0 \ltrch\fcs0 \cs17\b0\v\fs20\cf9\lang1024\langfe1024\loch\af1\hich\af1\dbch\af31501\noproof\insrsid14563714\charrsid1078484 \hich\af1\dbch\af31501\loch\f1 &lt;/Members&gt;}{\rtlch\fcs1 \af0 _x000d__x000a_\ltrch\fcs0 \insrsid14563714\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563714\charrsid1078484 \hich\af1\dbch\af31501\loch\f1 &lt;AuNomDe&gt;&lt;OptDel&gt;}{\rtlch\fcs1 \af0 \ltrch\fcs0 \insrsid14563714\charrsid1078484 #}{\rtlch\fcs1 \af1 \ltrch\fcs0 _x000d__x000a_\cs18\v\f1\fs20\cf15\insrsid14563714\charrsid1078484 MNU[ONBEHALFYES][NOTAPP]@CHOICE@}{\rtlch\fcs1 \af0 \ltrch\fcs0 \insrsid14563714\charrsid1078484 #}{\rtlch\fcs1 \af0 \ltrch\fcs0 _x000d__x000a_\cs17\v\fs20\cf9\lang1024\langfe1024\loch\af1\hich\af1\dbch\af31501\noproof\insrsid14563714\charrsid1078484 \hich\af1\dbch\af31501\loch\f1 &lt;/OptDel&gt;&lt;/AuNomDe&gt;}{\rtlch\fcs1 \af0 \ltrch\fcs0 \insrsid14563714\charrsid1078484 _x000d__x000a_\par &lt;&lt;&lt;}{\rtlch\fcs1 \af0 \ltrch\fcs0 \cs17\v\fs20\cf9\lang1024\langfe1024\loch\af1\hich\af1\dbch\af31501\noproof\insrsid14563714\charrsid1078484 \hich\af1\dbch\af31501\loch\f1 &lt;/RepeatBlock-By&gt;}{\rtlch\fcs1 \af0 \ltrch\fcs0 \insrsid14563714\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DocAmend&gt;}{\rtlch\fcs1 \af0 \ltrch\fcs0 \insrsid14563714\charrsid1078484 #}{\rtlch\fcs1 \af1 _x000d__x000a_\ltrch\fcs0 \cs18\v\f1\fs20\cf15\insrsid14563714\charrsid1078484 MNU[OPTPROPOSALCOD][OPTPROPOSALCNS][OPTPROPOSALNLE]@CHOICE@CODEMNU}{\rtlch\fcs1 \af0 \ltrch\fcs0 \insrsid14563714\charrsid1078484 #}{\rtlch\fcs1 \af0 \ltrch\fcs0 _x000d__x000a_\cs17\b0\v\fs20\cf9\lang1024\langfe1024\loch\af1\hich\af1\dbch\af31501\noproof\insrsid14563714\charrsid1078484 \hich\af1\dbch\af31501\loch\f1 &lt;/DocAmend&gt;}{\rtlch\fcs1 \af0 \ltrch\fcs0 \insrsid14563714\charrsid1078484 _x000d__x000a_\par }\pard \ltrpar\s20\ql \li0\ri0\keepn\nowidctlpar\wrapdefault\aspalpha\aspnum\faauto\adjustright\rin0\lin0\itap0\pararsid10630121 {\rtlch\fcs1 \af0 \ltrch\fcs0 _x000d__x000a_\cs17\b0\v\fs20\cf9\lang1024\langfe1024\loch\af1\hich\af1\dbch\af31501\noproof\insrsid14563714\charrsid1078484 \hich\af1\dbch\af31501\loch\f1 &lt;Article&gt;}{\rtlch\fcs1 \af0 \ltrch\fcs0 \insrsid14563714\charrsid1078484 #}{\rtlch\fcs1 \af1 \ltrch\fcs0 _x000d__x000a_\cs18\v\f1\fs20\cf15\insrsid14563714\charrsid1078484 MNU[AMACTPARTYES][AMACTPARTNO]@CHOICE@AMACTMNU}{\rtlch\fcs1 \af0 \ltrch\fcs0 \insrsid14563714\charrsid1078484 #}{\rtlch\fcs1 \af0 \ltrch\fcs0 _x000d__x000a_\cs17\b0\v\fs20\cf9\lang1024\langfe1024\loch\af1\hich\af1\dbch\af31501\noproof\insrsid14563714\charrsid1078484 \hich\af1\dbch\af31501\loch\f1 &lt;/Article&gt;}{\rtlch\fcs1 \af0 \ltrch\fcs0 \insrsid14563714\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4563714\charrsid1078484 \hich\af1\dbch\af31501\loch\f1 &lt;DocAmend2&gt;&lt;OptDel&gt;}{\rtlch\fcs1 \af0 \ltrch\fcs0 \insrsid14563714\charrsid1078484 #}{\rtlch\fcs1 \af1 _x000d__x000a_\ltrch\fcs0 \cs18\v\f1\fs20\cf15\insrsid14563714\charrsid1078484 MNU[OPTNRACTYES][NOTAPP]@CHOICE@AMACTMNU}{\rtlch\fcs1 \af0 \ltrch\fcs0 \insrsid14563714\charrsid1078484 #}{\rtlch\fcs1 \af0 \ltrch\fcs0 _x000d__x000a_\cs17\v\fs20\cf9\lang1024\langfe1024\loch\af1\hich\af1\dbch\af31501\noproof\insrsid14563714\charrsid1078484 \hich\af1\dbch\af31501\loch\f1 &lt;/OptDel&gt;&lt;/DocAmend2&gt;}{\rtlch\fcs1 \af0 \ltrch\fcs0 \insrsid14563714\charrsid1078484 _x000d__x000a_\par }\pard \ltrpar\ql \li0\ri0\widctlpar\wrapdefault\aspalpha\aspnum\faauto\adjustright\rin0\lin0\itap0\pararsid10158853 {\rtlch\fcs1 \af0 \ltrch\fcs0 \cs17\v\fs20\cf9\lang1024\langfe1024\loch\af1\hich\af1\dbch\af31501\noproof\insrsid14563714\charrsid1078484 _x000d__x000a_\hich\af1\dbch\af31501\loch\f1 &lt;Article2&gt;&lt;OptDel&gt;}{\rtlch\fcs1 \af0 \ltrch\fcs0 \insrsid14563714\charrsid1078484 #}{\rtlch\fcs1 \af1 \ltrch\fcs0 \cs18\v\f1\fs20\cf15\insrsid14563714\charrsid1078484 MNU[OPTACTPARTYES][NOTAPP]@CHOICE@AMACTMNU}{\rtlch\fcs1 _x000d__x000a_\af0 \ltrch\fcs0 \insrsid14563714\charrsid1078484 #}{\rtlch\fcs1 \af0 \ltrch\fcs0 \cs17\v\fs20\cf9\lang1024\langfe1024\loch\af1\hich\af1\dbch\af31501\noproof\insrsid14563714\charrsid1078484 \hich\af1\dbch\af31501\loch\f1 &lt;/OptDel&gt;&lt;/Article2&gt;}{\rtlch\fcs1 _x000d__x000a_\af0 \ltrch\fcs0 \insrsid14563714\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63714\charrsid1078484 #}{\rtlch\fcs1 \af1 \ltrch\fcs0 \cs18\v\f1\fs20\cf15\insrsid14563714\charrsid1078484 MNU[OPTLEFTAMACT][LEFTPROP]@CHOICE@AMACTMNU}{\rtlch\fcs1 \af0 \ltrch\fcs0 \insrsid14563714\charrsid1078484 #_x000d__x000a_\cell Amendment\cell }\pard\plain \ltrpar\ql \li0\ri0\widctlpar\intbl\wrapdefault\aspalpha\aspnum\faauto\adjustright\rin0\lin0 \rtlch\fcs1 \af0\afs20\alang1025 \ltrch\fcs0 \fs24\lang2057\langfe2057\cgrid\langnp2057\langfenp2057 {\rtlch\fcs1 \af0 _x000d__x000a_\ltrch\fcs0 \insrsid14563714\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63714\charrsid1078484 ##\cell ##}{\rtlch\fcs1 \af0\afs24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4563714\charrsid1078484 Or. }{\rtlch\fcs1 \af0 \ltrch\fcs0 \cs17\v\fs20\cf9\lang1024\langfe1024\loch\af1\hich\af1\dbch\af31501\noproof\insrsid14563714\charrsid1078484 \hich\af1\dbch\af31501\loch\f1 &lt;Original&gt;}{\rtlch\fcs1 \af0 \ltrch\fcs0 _x000d__x000a_\insrsid14563714\charrsid1078484 #}{\rtlch\fcs1 \af1 \ltrch\fcs0 \cs18\v\f1\fs20\cf15\insrsid14563714\charrsid1078484 KEY(MAIN/LANGMIN)sh@ORLANGMSG@}{\rtlch\fcs1 \af0 \ltrch\fcs0 \insrsid14563714\charrsid1078484 #}{\rtlch\fcs1 \af0 \ltrch\fcs0 _x000d__x000a_\cs17\v\fs20\cf9\lang1024\langfe1024\loch\af1\hich\af1\dbch\af31501\noproof\insrsid14563714\charrsid1078484 \hich\af1\dbch\af31501\loch\f1 &lt;/Original&gt;}{\rtlch\fcs1 \af0 \ltrch\fcs0 \insrsid14563714\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4563714\charrsid1078484 \hich\af1\dbch\af31501\loch\f1 &lt;OptDel&gt;}{\rtlch\fcs1 \af0 \ltrch\fcs0 \insrsid14563714\charrsid1078484 #}{_x000d__x000a_\rtlch\fcs1 \af1 \ltrch\fcs0 \cs18\v\f1\fs20\cf15\insrsid14563714\charrsid1078484 MNU[CROSSREFNO][CROSSREFYES]@CHOICE@}{\rtlch\fcs1 \af0 \ltrch\fcs0 \insrsid14563714\charrsid1078484 #}{\rtlch\fcs1 \af0 \ltrch\fcs0 _x000d__x000a_\cs17\i0\v\fs20\cf9\lang1024\langfe1024\loch\af1\hich\af1\dbch\af31501\noproof\insrsid14563714\charrsid1078484 \hich\af1\dbch\af31501\loch\f1 &lt;/OptDel&gt;}{\rtlch\fcs1 \af0 \ltrch\fcs0 \insrsid14563714\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4563714\charrsid1078484 \hich\af1\dbch\af31501\loch\f1 &lt;TitreJust&gt;}{\rtlch\fcs1 \af0 \ltrch\fcs0 \insrsid14563714\charrsid1078484 _x000d__x000a_Justification}{\rtlch\fcs1 \af0 \ltrch\fcs0 \cs17\i0\v\fs20\cf9\lang1024\langfe1024\loch\af1\hich\af1\dbch\af31501\noproof\insrsid14563714\charrsid1078484 \hich\af1\dbch\af31501\loch\f1 &lt;/TitreJust&gt;}{\rtlch\fcs1 \af0 \ltrch\fcs0 _x000d__x000a_\insrsid14563714\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4563714\charrsid1078484 \hich\af1\dbch\af31501\loch\f1 &lt;OptDelPrev&gt;}{\rtlch\fcs1 \af0 \ltrch\fcs0 \insrsid14563714\charrsid1078484 #}{\rtlch\fcs1 \af1 _x000d__x000a_\ltrch\fcs0 \cs18\v\f1\fs20\cf15\insrsid14563714\charrsid1078484 MNU[TEXTJUSTYES][TEXTJUSTNO]@CHOICE@}{\rtlch\fcs1 \af0 \ltrch\fcs0 \insrsid14563714\charrsid1078484 #}{\rtlch\fcs1 \af0 \ltrch\fcs0 _x000d__x000a_\cs17\i0\v\fs20\cf9\lang1024\langfe1024\loch\af1\hich\af1\dbch\af31501\noproof\insrsid14563714\charrsid1078484 \hich\af1\dbch\af31501\loch\f1 &lt;/OptDelPrev&gt;}{\rtlch\fcs1 \af0 \ltrch\fcs0 \insrsid14563714\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563714\charrsid1078484 \hich\af1\dbch\af31501\loch\f1 &lt;/}{\rtlch\fcs1 \af0 \ltrch\fcs0 _x000d__x000a_\cs17\v\fs20\cf9\lang1024\langfe1024\loch\af1\hich\af1\dbch\af31501\noproof\insrsid14563714 \hich\af1\dbch\af31501\loch\f1 Amend}{\rtlch\fcs1 \af0 \ltrch\fcs0 _x000d__x000a_\cs17\v\fs20\cf9\lang1024\langfe1024\loch\af1\hich\af1\dbch\af31501\noproof\insrsid14563714\charrsid107848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d_x000d__x000a_1b8e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VTACTPART" w:val="f"/>
    <w:docVar w:name="TVTAMACTPART" w:val="q"/>
    <w:docVar w:name="TVTMEMBERS1" w:val="ss"/>
    <w:docVar w:name="TXTAUTHOR" w:val="Dimitris Tsiodras, Piotr Müller"/>
    <w:docVar w:name="TXTLANGUE" w:val="PL"/>
    <w:docVar w:name="TXTLANGUEMIN" w:val="pl"/>
    <w:docVar w:name="TXTNRAM" w:val="100-270"/>
    <w:docVar w:name="TXTNRC" w:val="0424/2023"/>
    <w:docVar w:name="TXTNRCOM" w:val="(2023)0531"/>
    <w:docVar w:name="TXTNRFIRSTAM" w:val="100"/>
    <w:docVar w:name="TXTNRLASTAM" w:val="269"/>
    <w:docVar w:name="TXTNRPE" w:val="784.152"/>
    <w:docVar w:name="TXTNRPE2" w:val="782.180"/>
    <w:docVar w:name="TXTNRPROC" w:val="2025/0531"/>
    <w:docVar w:name="TXTNRREG" w:val="df"/>
    <w:docVar w:name="TXTPEorAP" w:val="PE"/>
    <w:docVar w:name="TXTROUTE" w:val="AM\1337223PL.docx"/>
    <w:docVar w:name="TXTTITLE" w:val="xxx"/>
    <w:docVar w:name="TXTVERSION" w:val="01-00"/>
    <w:docVar w:name="TXTVERSION2" w:val="01-00"/>
  </w:docVars>
  <w:rsids>
    <w:rsidRoot w:val="001074D4"/>
    <w:rsid w:val="000111BD"/>
    <w:rsid w:val="0001499A"/>
    <w:rsid w:val="00073830"/>
    <w:rsid w:val="00074884"/>
    <w:rsid w:val="00075DBE"/>
    <w:rsid w:val="000A27F6"/>
    <w:rsid w:val="000B0781"/>
    <w:rsid w:val="000D446F"/>
    <w:rsid w:val="000E7234"/>
    <w:rsid w:val="000F2A80"/>
    <w:rsid w:val="000F68CA"/>
    <w:rsid w:val="000F7815"/>
    <w:rsid w:val="001074D4"/>
    <w:rsid w:val="001215B1"/>
    <w:rsid w:val="00126BC4"/>
    <w:rsid w:val="0014728B"/>
    <w:rsid w:val="00150057"/>
    <w:rsid w:val="00160C05"/>
    <w:rsid w:val="00166CCB"/>
    <w:rsid w:val="0016772E"/>
    <w:rsid w:val="001809DD"/>
    <w:rsid w:val="001A4802"/>
    <w:rsid w:val="001B761C"/>
    <w:rsid w:val="001C2054"/>
    <w:rsid w:val="001C502E"/>
    <w:rsid w:val="001D13C9"/>
    <w:rsid w:val="001D5CC4"/>
    <w:rsid w:val="001D7A49"/>
    <w:rsid w:val="001F0FDD"/>
    <w:rsid w:val="0020367C"/>
    <w:rsid w:val="00222325"/>
    <w:rsid w:val="002254D9"/>
    <w:rsid w:val="00231EA7"/>
    <w:rsid w:val="00236619"/>
    <w:rsid w:val="002574CB"/>
    <w:rsid w:val="00280EA6"/>
    <w:rsid w:val="002A1C82"/>
    <w:rsid w:val="002B6A7B"/>
    <w:rsid w:val="002C5761"/>
    <w:rsid w:val="002E3F68"/>
    <w:rsid w:val="002E4311"/>
    <w:rsid w:val="002F14EC"/>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3F7201"/>
    <w:rsid w:val="0040641C"/>
    <w:rsid w:val="00422BB2"/>
    <w:rsid w:val="004367B3"/>
    <w:rsid w:val="00441413"/>
    <w:rsid w:val="00441D7D"/>
    <w:rsid w:val="00461E32"/>
    <w:rsid w:val="00464338"/>
    <w:rsid w:val="004946A0"/>
    <w:rsid w:val="00495E20"/>
    <w:rsid w:val="004E0AAC"/>
    <w:rsid w:val="004E1C4C"/>
    <w:rsid w:val="004F03F0"/>
    <w:rsid w:val="004F2903"/>
    <w:rsid w:val="00523CAC"/>
    <w:rsid w:val="005246D8"/>
    <w:rsid w:val="00546E3B"/>
    <w:rsid w:val="00547F73"/>
    <w:rsid w:val="00557617"/>
    <w:rsid w:val="00571479"/>
    <w:rsid w:val="005A7205"/>
    <w:rsid w:val="005A7EB4"/>
    <w:rsid w:val="005B32E3"/>
    <w:rsid w:val="005D2DD3"/>
    <w:rsid w:val="005E50C2"/>
    <w:rsid w:val="005F20F1"/>
    <w:rsid w:val="00607ABE"/>
    <w:rsid w:val="006337D4"/>
    <w:rsid w:val="00635D1D"/>
    <w:rsid w:val="00637384"/>
    <w:rsid w:val="0066168A"/>
    <w:rsid w:val="00665DDA"/>
    <w:rsid w:val="00672807"/>
    <w:rsid w:val="006728C1"/>
    <w:rsid w:val="006746CD"/>
    <w:rsid w:val="00687070"/>
    <w:rsid w:val="00695CC1"/>
    <w:rsid w:val="006965BE"/>
    <w:rsid w:val="006A2838"/>
    <w:rsid w:val="006B4B58"/>
    <w:rsid w:val="006B6438"/>
    <w:rsid w:val="006D6B15"/>
    <w:rsid w:val="006E29EA"/>
    <w:rsid w:val="006F3F81"/>
    <w:rsid w:val="006F4B73"/>
    <w:rsid w:val="00702F62"/>
    <w:rsid w:val="007059E9"/>
    <w:rsid w:val="00706049"/>
    <w:rsid w:val="007152AF"/>
    <w:rsid w:val="00736FBA"/>
    <w:rsid w:val="0074160E"/>
    <w:rsid w:val="007659AC"/>
    <w:rsid w:val="0079060C"/>
    <w:rsid w:val="00794473"/>
    <w:rsid w:val="007A42AB"/>
    <w:rsid w:val="007C71DE"/>
    <w:rsid w:val="007D6282"/>
    <w:rsid w:val="008144C7"/>
    <w:rsid w:val="00822C94"/>
    <w:rsid w:val="00824B75"/>
    <w:rsid w:val="008363E4"/>
    <w:rsid w:val="00851460"/>
    <w:rsid w:val="0087052C"/>
    <w:rsid w:val="00870CF2"/>
    <w:rsid w:val="00874862"/>
    <w:rsid w:val="00875A9C"/>
    <w:rsid w:val="00887FDC"/>
    <w:rsid w:val="00893FEF"/>
    <w:rsid w:val="008A7FF9"/>
    <w:rsid w:val="008B251A"/>
    <w:rsid w:val="008D6D06"/>
    <w:rsid w:val="008F0DDD"/>
    <w:rsid w:val="00900CAE"/>
    <w:rsid w:val="00904AD5"/>
    <w:rsid w:val="00907CCA"/>
    <w:rsid w:val="009154FF"/>
    <w:rsid w:val="00917A85"/>
    <w:rsid w:val="00945493"/>
    <w:rsid w:val="0095650E"/>
    <w:rsid w:val="00966038"/>
    <w:rsid w:val="009A65D8"/>
    <w:rsid w:val="009B0305"/>
    <w:rsid w:val="009F230F"/>
    <w:rsid w:val="00A15973"/>
    <w:rsid w:val="00A233E9"/>
    <w:rsid w:val="00A46736"/>
    <w:rsid w:val="00A469E0"/>
    <w:rsid w:val="00A507FC"/>
    <w:rsid w:val="00A5426B"/>
    <w:rsid w:val="00A845EF"/>
    <w:rsid w:val="00A84E16"/>
    <w:rsid w:val="00A93389"/>
    <w:rsid w:val="00A93F8C"/>
    <w:rsid w:val="00AA0426"/>
    <w:rsid w:val="00AB74D6"/>
    <w:rsid w:val="00AC7149"/>
    <w:rsid w:val="00AD15CF"/>
    <w:rsid w:val="00AD730A"/>
    <w:rsid w:val="00AE4459"/>
    <w:rsid w:val="00AF25FC"/>
    <w:rsid w:val="00AF2819"/>
    <w:rsid w:val="00B0638A"/>
    <w:rsid w:val="00B10564"/>
    <w:rsid w:val="00B41B4D"/>
    <w:rsid w:val="00B77A45"/>
    <w:rsid w:val="00B8066A"/>
    <w:rsid w:val="00B85286"/>
    <w:rsid w:val="00B90B7F"/>
    <w:rsid w:val="00B9188F"/>
    <w:rsid w:val="00BA48D2"/>
    <w:rsid w:val="00BC0DD7"/>
    <w:rsid w:val="00BC1B1F"/>
    <w:rsid w:val="00BE0C84"/>
    <w:rsid w:val="00BE4DD1"/>
    <w:rsid w:val="00BE5062"/>
    <w:rsid w:val="00C10F61"/>
    <w:rsid w:val="00C14D4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27A7F"/>
    <w:rsid w:val="00D42398"/>
    <w:rsid w:val="00D44842"/>
    <w:rsid w:val="00D677D5"/>
    <w:rsid w:val="00D755F1"/>
    <w:rsid w:val="00D767AC"/>
    <w:rsid w:val="00D82FCC"/>
    <w:rsid w:val="00D87B31"/>
    <w:rsid w:val="00DB0998"/>
    <w:rsid w:val="00DB429F"/>
    <w:rsid w:val="00DB65C2"/>
    <w:rsid w:val="00DC2CF9"/>
    <w:rsid w:val="00DC4160"/>
    <w:rsid w:val="00DC6A1B"/>
    <w:rsid w:val="00DE672F"/>
    <w:rsid w:val="00E12007"/>
    <w:rsid w:val="00E12413"/>
    <w:rsid w:val="00E15A86"/>
    <w:rsid w:val="00E25DC5"/>
    <w:rsid w:val="00E44BB0"/>
    <w:rsid w:val="00E471BE"/>
    <w:rsid w:val="00E57F50"/>
    <w:rsid w:val="00E63BBD"/>
    <w:rsid w:val="00E660E2"/>
    <w:rsid w:val="00E90719"/>
    <w:rsid w:val="00EA25AE"/>
    <w:rsid w:val="00EB3A71"/>
    <w:rsid w:val="00ED49D9"/>
    <w:rsid w:val="00ED76EA"/>
    <w:rsid w:val="00EE011D"/>
    <w:rsid w:val="00EE3E0D"/>
    <w:rsid w:val="00EF03A3"/>
    <w:rsid w:val="00EF11AD"/>
    <w:rsid w:val="00F04D43"/>
    <w:rsid w:val="00F27170"/>
    <w:rsid w:val="00F37CC5"/>
    <w:rsid w:val="00F459F7"/>
    <w:rsid w:val="00F92B49"/>
    <w:rsid w:val="00FA192C"/>
    <w:rsid w:val="00FB1A29"/>
    <w:rsid w:val="00FB74E8"/>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984B0"/>
  <w15:chartTrackingRefBased/>
  <w15:docId w15:val="{87124EA6-E38D-4F1A-806F-74BA43FE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C0DD7"/>
    <w:pPr>
      <w:widowControl/>
      <w:spacing w:before="100" w:beforeAutospacing="1" w:after="100" w:afterAutospacing="1"/>
    </w:pPr>
    <w:rPr>
      <w:szCs w:val="24"/>
    </w:rPr>
  </w:style>
  <w:style w:type="paragraph" w:customStyle="1" w:styleId="EPFooterLandscape">
    <w:name w:val="EPFooterLandscape"/>
    <w:rsid w:val="00BC0DD7"/>
    <w:pPr>
      <w:tabs>
        <w:tab w:val="center" w:pos="6800"/>
        <w:tab w:val="right" w:pos="15020"/>
      </w:tabs>
    </w:pPr>
    <w:rPr>
      <w:sz w:val="22"/>
      <w:lang w:eastAsia="en-US"/>
    </w:rPr>
  </w:style>
  <w:style w:type="paragraph" w:customStyle="1" w:styleId="Normal0">
    <w:name w:val="Normal0"/>
    <w:basedOn w:val="Normal"/>
    <w:rsid w:val="00BC0DD7"/>
    <w:pPr>
      <w:widowControl/>
    </w:pPr>
    <w:rPr>
      <w:sz w:val="2"/>
      <w:szCs w:val="24"/>
      <w:lang w:eastAsia="en-US"/>
    </w:rPr>
  </w:style>
  <w:style w:type="paragraph" w:customStyle="1" w:styleId="EPFooter2Landscape">
    <w:name w:val="EPFooter2Landscape"/>
    <w:rsid w:val="00BC0DD7"/>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C0DD7"/>
    <w:pPr>
      <w:widowControl/>
      <w:shd w:val="clear" w:color="auto" w:fill="000000"/>
    </w:pPr>
    <w:rPr>
      <w:color w:val="FFFFFF"/>
      <w:szCs w:val="24"/>
      <w:lang w:eastAsia="en-US"/>
    </w:rPr>
  </w:style>
  <w:style w:type="paragraph" w:customStyle="1" w:styleId="Normal12a">
    <w:name w:val="Normal12a"/>
    <w:basedOn w:val="Normal"/>
    <w:rsid w:val="00BC0DD7"/>
    <w:pPr>
      <w:widowControl/>
      <w:spacing w:after="240"/>
    </w:pPr>
    <w:rPr>
      <w:szCs w:val="24"/>
      <w:lang w:eastAsia="en-US"/>
    </w:rPr>
  </w:style>
  <w:style w:type="paragraph" w:customStyle="1" w:styleId="NormalBold12b">
    <w:name w:val="NormalBold12b"/>
    <w:basedOn w:val="Normal"/>
    <w:rsid w:val="00BC0DD7"/>
    <w:pPr>
      <w:widowControl/>
      <w:spacing w:before="240"/>
    </w:pPr>
    <w:rPr>
      <w:b/>
      <w:szCs w:val="24"/>
      <w:lang w:eastAsia="en-US"/>
    </w:rPr>
  </w:style>
  <w:style w:type="character" w:customStyle="1" w:styleId="EPFooter2Motto">
    <w:name w:val="EPFooter2Motto"/>
    <w:rsid w:val="00BC0DD7"/>
    <w:rPr>
      <w:rFonts w:ascii="Arial" w:hAnsi="Arial" w:cs="Arial" w:hint="default"/>
      <w:b/>
      <w:bCs w:val="0"/>
      <w:i/>
      <w:iCs w:val="0"/>
      <w:color w:val="C0C0C0"/>
      <w:sz w:val="22"/>
    </w:rPr>
  </w:style>
  <w:style w:type="character" w:customStyle="1" w:styleId="EPFooter2Middle">
    <w:name w:val="EPFooter2Middle"/>
    <w:rsid w:val="00BC0DD7"/>
    <w:rPr>
      <w:rFonts w:ascii="Arial" w:hAnsi="Arial" w:cs="Arial" w:hint="default"/>
      <w:b w:val="0"/>
      <w:bCs w:val="0"/>
      <w:i/>
      <w:iCs w:val="0"/>
      <w:color w:val="AEAAAA"/>
      <w:sz w:val="22"/>
      <w:shd w:val="pct50" w:color="auto" w:fill="auto"/>
    </w:rPr>
  </w:style>
  <w:style w:type="character" w:customStyle="1" w:styleId="CMissingStyle">
    <w:name w:val="C_MissingStyle"/>
    <w:rsid w:val="00BC0DD7"/>
    <w:rPr>
      <w:color w:val="FFFFFF"/>
      <w:sz w:val="22"/>
      <w:shd w:val="clear" w:color="auto" w:fill="000000"/>
    </w:rPr>
  </w:style>
  <w:style w:type="character" w:styleId="CommentReference">
    <w:name w:val="annotation reference"/>
    <w:basedOn w:val="DefaultParagraphFont"/>
    <w:rsid w:val="00E63BBD"/>
    <w:rPr>
      <w:sz w:val="16"/>
      <w:szCs w:val="16"/>
    </w:rPr>
  </w:style>
  <w:style w:type="paragraph" w:styleId="CommentText">
    <w:name w:val="annotation text"/>
    <w:basedOn w:val="Normal"/>
    <w:link w:val="CommentTextChar"/>
    <w:rsid w:val="00E63BBD"/>
    <w:rPr>
      <w:sz w:val="20"/>
    </w:rPr>
  </w:style>
  <w:style w:type="character" w:customStyle="1" w:styleId="CommentTextChar">
    <w:name w:val="Comment Text Char"/>
    <w:basedOn w:val="DefaultParagraphFont"/>
    <w:link w:val="CommentText"/>
    <w:rsid w:val="00E63BBD"/>
  </w:style>
  <w:style w:type="paragraph" w:styleId="CommentSubject">
    <w:name w:val="annotation subject"/>
    <w:basedOn w:val="CommentText"/>
    <w:next w:val="CommentText"/>
    <w:link w:val="CommentSubjectChar"/>
    <w:semiHidden/>
    <w:unhideWhenUsed/>
    <w:rsid w:val="00E63BBD"/>
    <w:rPr>
      <w:b/>
      <w:bCs/>
    </w:rPr>
  </w:style>
  <w:style w:type="character" w:customStyle="1" w:styleId="CommentSubjectChar">
    <w:name w:val="Comment Subject Char"/>
    <w:basedOn w:val="CommentTextChar"/>
    <w:link w:val="CommentSubject"/>
    <w:semiHidden/>
    <w:rsid w:val="00E63BBD"/>
    <w:rPr>
      <w:b/>
      <w:bCs/>
    </w:rPr>
  </w:style>
  <w:style w:type="paragraph" w:styleId="Footer">
    <w:name w:val="footer"/>
    <w:basedOn w:val="Normal"/>
    <w:link w:val="FooterChar"/>
    <w:semiHidden/>
    <w:rsid w:val="00E63BBD"/>
    <w:pPr>
      <w:tabs>
        <w:tab w:val="center" w:pos="4513"/>
        <w:tab w:val="right" w:pos="9026"/>
      </w:tabs>
    </w:pPr>
  </w:style>
  <w:style w:type="character" w:customStyle="1" w:styleId="FooterChar">
    <w:name w:val="Footer Char"/>
    <w:basedOn w:val="DefaultParagraphFont"/>
    <w:link w:val="Footer"/>
    <w:semiHidden/>
    <w:rsid w:val="00E63BBD"/>
    <w:rPr>
      <w:sz w:val="24"/>
    </w:rPr>
  </w:style>
  <w:style w:type="paragraph" w:styleId="Revision">
    <w:name w:val="Revision"/>
    <w:hidden/>
    <w:uiPriority w:val="99"/>
    <w:semiHidden/>
    <w:rsid w:val="0001499A"/>
    <w:rPr>
      <w:sz w:val="24"/>
    </w:rPr>
  </w:style>
  <w:style w:type="paragraph" w:customStyle="1" w:styleId="Normalny1">
    <w:name w:val="Normalny1"/>
    <w:basedOn w:val="EPName"/>
    <w:link w:val="NormalZnak"/>
    <w:rsid w:val="00523CAC"/>
    <w:rPr>
      <w:rFonts w:ascii="Times New Roman" w:hAnsi="Times New Roman" w:cs="Times New Roman"/>
      <w:sz w:val="24"/>
    </w:rPr>
  </w:style>
  <w:style w:type="character" w:customStyle="1" w:styleId="EPNameZnak">
    <w:name w:val="EPName Znak"/>
    <w:basedOn w:val="DefaultParagraphFont"/>
    <w:link w:val="EPName"/>
    <w:rsid w:val="00523CAC"/>
    <w:rPr>
      <w:rFonts w:ascii="Arial Narrow" w:hAnsi="Arial Narrow" w:cs="Arial"/>
      <w:b/>
      <w:sz w:val="32"/>
      <w:szCs w:val="22"/>
    </w:rPr>
  </w:style>
  <w:style w:type="character" w:customStyle="1" w:styleId="NormalZnak">
    <w:name w:val="Normal Znak"/>
    <w:basedOn w:val="EPNameZnak"/>
    <w:link w:val="Normalny1"/>
    <w:rsid w:val="00523CAC"/>
    <w:rPr>
      <w:rFonts w:ascii="Arial Narrow" w:hAnsi="Arial Narrow" w:cs="Arial"/>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04F6B-ACB7-4188-85A6-904B73EEC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888</TotalTime>
  <Pages>167</Pages>
  <Words>42549</Words>
  <Characters>294104</Characters>
  <Application>Microsoft Office Word</Application>
  <DocSecurity>0</DocSecurity>
  <Lines>10172</Lines>
  <Paragraphs>1819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GRIGO Gianna</dc:creator>
  <cp:lastModifiedBy>WIERTLEWSKA Maria</cp:lastModifiedBy>
  <cp:revision>2</cp:revision>
  <cp:lastPrinted>2007-06-22T14:02:00Z</cp:lastPrinted>
  <dcterms:created xsi:type="dcterms:W3CDTF">2026-02-25T07:54:00Z</dcterms:created>
  <dcterms:modified xsi:type="dcterms:W3CDTF">2026-02-25T07:54:00Z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1337223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AM\1337223PL.docx</vt:lpwstr>
  </property>
  <property fmtid="{D5CDD505-2E9C-101B-9397-08002B2CF9AE}" pid="10" name="LastEdited with">
    <vt:lpwstr>10.2.1 Build [20260110]</vt:lpwstr>
  </property>
  <property fmtid="{D5CDD505-2E9C-101B-9397-08002B2CF9AE}" pid="11" name="PE number">
    <vt:lpwstr>784.152</vt:lpwstr>
  </property>
  <property fmtid="{D5CDD505-2E9C-101B-9397-08002B2CF9AE}" pid="12" name="SendToEpades">
    <vt:lpwstr>OK(AMNUM) - 2026/02/10 15:38</vt:lpwstr>
  </property>
  <property fmtid="{D5CDD505-2E9C-101B-9397-08002B2CF9AE}" pid="13" name="Bookout">
    <vt:lpwstr>OK - 2026/02/25 08:54</vt:lpwstr>
  </property>
</Properties>
</file>