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Comisia pentru ocuparea forței de muncă și afaceri sociale</w:t>
      </w:r>
      <w:r>
        <w:br/>
      </w:r>
      <w:r>
        <w:rPr>
          <w:rStyle w:val="HideTWBInt"/>
        </w:rPr>
        <w:t>{IMCO}</w:t>
      </w:r>
      <w:r>
        <w:t>Comisia pentru piața internă și protecția consumatorilor</w:t>
      </w:r>
      <w:r>
        <w:rPr>
          <w:rStyle w:val="HideTWBExt"/>
        </w:rPr>
        <w:t>&lt;/Commission&gt;</w:t>
      </w:r>
    </w:p>
    <w:p>
      <w:pPr>
        <w:pStyle w:val="LineBottom"/>
      </w:pPr>
      <w:r>
        <w:t xml:space="preserve"> </w:t>
      </w:r>
    </w:p>
    <w:p>
      <w:pPr>
        <w:pStyle w:val="CoverReference"/>
      </w:pPr>
      <w:r>
        <w:rPr>
          <w:rStyle w:val="HideTWBExt"/>
        </w:rPr>
        <w:t>&lt;RefProc&gt;</w:t>
      </w:r>
      <w:r>
        <w:t>2024/0301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{05/06/2025}</w:t>
      </w:r>
      <w:r>
        <w:t>5.6.2025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232</w:t>
      </w:r>
      <w:r>
        <w:t xml:space="preserve"> - </w:t>
      </w:r>
      <w:r>
        <w:t>359</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Johan Danielsson, Andreas Schwab</w:t>
      </w:r>
      <w:r>
        <w:rPr>
          <w:rStyle w:val="HideTWBExt"/>
        </w:rPr>
        <w:t>&lt;/Rapporteur&gt;</w:t>
      </w:r>
    </w:p>
    <w:p>
      <w:pPr>
        <w:pStyle w:val="CoverNormal24a"/>
      </w:pPr>
      <w:r>
        <w:rPr>
          <w:rStyle w:val="HideTWBExt"/>
        </w:rPr>
        <w:t>&lt;DocRefPE&gt;</w:t>
      </w:r>
      <w:r>
        <w:t>(PE772.171v01-00)</w:t>
      </w:r>
      <w:r>
        <w:rPr>
          <w:rStyle w:val="HideTWBExt"/>
        </w:rPr>
        <w:t>&lt;/DocRefPE&gt;</w:t>
      </w:r>
    </w:p>
    <w:p>
      <w:pPr>
        <w:pStyle w:val="CoverNormal24a"/>
      </w:pPr>
      <w:r>
        <w:rPr>
          <w:rStyle w:val="HideTWBExt"/>
        </w:rPr>
        <w:t>&lt;Titre&gt;</w:t>
      </w:r>
      <w:r>
        <w:t>Interfața publică conectată la Sistemul de informare al pieței interne pentru declararea detașării lucrătorilor și de modificare a Regulamentului (UE) nr. 1024/2012</w:t>
      </w:r>
      <w:r>
        <w:rPr>
          <w:rStyle w:val="HideTWBExt"/>
        </w:rPr>
        <w:t>&lt;/Titre&gt;</w:t>
      </w:r>
    </w:p>
    <w:p>
      <w:pPr>
        <w:pStyle w:val="CoverNormal"/>
      </w:pPr>
      <w:r>
        <w:rPr>
          <w:rStyle w:val="HideTWBExt"/>
        </w:rPr>
        <w:t>&lt;DocAmend&gt;</w:t>
      </w:r>
      <w:r>
        <w:t>Propunere de regulament</w:t>
      </w:r>
      <w:r>
        <w:rPr>
          <w:rStyle w:val="HideTWBExt"/>
        </w:rPr>
        <w:t>&lt;/DocAmend&gt;</w:t>
      </w:r>
    </w:p>
    <w:p>
      <w:pPr>
        <w:pStyle w:val="CoverNormal24a"/>
      </w:pPr>
      <w:r>
        <w:rPr>
          <w:rStyle w:val="HideTWBExt"/>
        </w:rPr>
        <w:t>&lt;DocRef&gt;</w:t>
      </w:r>
      <w:r>
        <w:t>(COM(2024)0531 – 2024/0301(COD))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Brigitte van den Berg, Svenja Hahn,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Lista statelor membre care utilizează interfața publică menționată la alineatul (3) este pusă la dispoziția publicului de către Comisie pe interfața publică.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Lista statelor membre care utilizează interfața publică menționată la alineatul (3) este pusă la dispoziția publicului de către Comisie pe interfața publică.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Lista statelor membre care utilizează interfața publică menționată la alineatul (3) este pusă la dispoziția publicului de către Comisie pe interfața publică.</w:t>
            </w:r>
          </w:p>
        </w:tc>
        <w:tc>
          <w:tcPr>
            <w:tcW w:w="4876" w:type="dxa"/>
            <w:tcBorders>
              <w:top w:val="nil"/>
              <w:left w:val="nil"/>
              <w:bottom w:val="nil"/>
              <w:right w:val="nil"/>
            </w:tcBorders>
          </w:tcPr>
          <w:p>
            <w:pPr>
              <w:pStyle w:val="Normal6a"/>
            </w:pPr>
            <w:r>
              <w:t>4.</w:t>
            </w:r>
            <w:r>
              <w:tab/>
            </w:r>
            <w:r>
              <w:t xml:space="preserve">Lista statelor membre care utilizează interfața publică menționată la alineatul (3) este pusă la dispoziția publicului de către Comisie pe interfața publică. </w:t>
            </w:r>
            <w:r>
              <w:rPr>
                <w:b/>
                <w:i/>
              </w:rPr>
              <w:t>Atunci când un stat membru decide să nu utilizeze interfața publică, aceasta din urmă pune la dispoziție linkul link-ul către site-ul internet al statului membru respectiv unde se fac declarațiile de detașare.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Lista statelor membre care utilizează interfața publică menționată la alineatul (3) este pusă la dispoziția publicului de către Comisie pe interfața publică.</w:t>
            </w:r>
          </w:p>
        </w:tc>
        <w:tc>
          <w:tcPr>
            <w:tcW w:w="4876" w:type="dxa"/>
            <w:tcBorders>
              <w:top w:val="nil"/>
              <w:left w:val="nil"/>
              <w:bottom w:val="nil"/>
              <w:right w:val="nil"/>
            </w:tcBorders>
          </w:tcPr>
          <w:p>
            <w:pPr>
              <w:pStyle w:val="Normal6a"/>
            </w:pPr>
            <w:r>
              <w:t>4.</w:t>
            </w:r>
            <w:r>
              <w:tab/>
            </w:r>
            <w:r>
              <w:t xml:space="preserve">Lista statelor membre care utilizează interfața publică menționată la alineatul (3) este pusă la dispoziția publicului de către Comisie pe interfața publică. </w:t>
            </w:r>
            <w:r>
              <w:rPr>
                <w:b/>
                <w:i/>
              </w:rPr>
              <w:t>Linkurile către interfețele țărilor care nu au optat pentru interfața publică conectată se publică pe interfața publică.</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Brigitte van den Berg, Svenja Hahn,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Un stat membru poate întrerupe utilizarea interfeței publice.</w:t>
            </w:r>
            <w:r>
              <w:t xml:space="preserve"> </w:t>
            </w:r>
            <w:r>
              <w:rPr>
                <w:b/>
                <w:i/>
              </w:rPr>
              <w:t>Statul membru respectiv informează Comisia în acest sens cu șase luni înainte de data preconizată de încetare a utilizării interfeței publice.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Un stat membru poate întrerupe utilizarea interfeței publice.</w:t>
            </w:r>
            <w:r>
              <w:t xml:space="preserve"> </w:t>
            </w:r>
            <w:r>
              <w:rPr>
                <w:b/>
                <w:i/>
              </w:rPr>
              <w:t>Statul membru respectiv informează Comisia în acest sens cu șase luni înainte de data preconizată de încetare a utilizării interfeței publice.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Un stat membru poate întrerupe utilizarea interfeței publice.</w:t>
            </w:r>
            <w:r>
              <w:t xml:space="preserve"> </w:t>
            </w:r>
            <w:r>
              <w:rPr>
                <w:b/>
                <w:i/>
              </w:rPr>
              <w:t>Statul membru respectiv informează Comisia în acest sens cu șase luni înainte de data preconizată de încetare a utilizării interfeței publice.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 stat membru poate întrerupe utilizarea interfeței publice. Statul membru respectiv informează Comisia în acest sens cu șase luni înainte de data preconizată de încetare a utilizării interfeței publice.</w:t>
            </w:r>
          </w:p>
        </w:tc>
        <w:tc>
          <w:tcPr>
            <w:tcW w:w="4876" w:type="dxa"/>
            <w:tcBorders>
              <w:top w:val="nil"/>
              <w:left w:val="nil"/>
              <w:bottom w:val="nil"/>
              <w:right w:val="nil"/>
            </w:tcBorders>
          </w:tcPr>
          <w:p>
            <w:pPr>
              <w:pStyle w:val="Normal6a"/>
            </w:pPr>
            <w:r>
              <w:t>5.</w:t>
            </w:r>
            <w:r>
              <w:tab/>
            </w:r>
            <w:r>
              <w:t xml:space="preserve">Un stat membru poate întrerupe utilizarea interfeței publice </w:t>
            </w:r>
            <w:r>
              <w:rPr>
                <w:b/>
                <w:i/>
              </w:rPr>
              <w:t>în orice moment și fără a-și motiva decizia prezentând motive justificate</w:t>
            </w:r>
            <w:r>
              <w:t>. Statul membru respectiv informează Comisia în acest sens cu șase luni înainte de data preconizată de încetare a utilizării interfeței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Pascal Arimont, Andreas Schwab,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5a.</w:t>
            </w:r>
            <w:r>
              <w:tab/>
            </w:r>
            <w:r>
              <w:rPr>
                <w:b/>
                <w:i/>
              </w:rPr>
              <w:t>Indiferent de participarea la interfața publică și/sau de retragerea din aceasta, legislația relevantă aplicabilă în domeniul social și al muncii, prezentarea generală a scutirilor de la obligația de a declara o detașare, precum și convențiile colective și legislația fiscală aplicabile din toate statele membre sunt accesibile prestatorilor de servicii prin intermediul interfeței publice într-un mod ușor de utilizat și în toate limbile oficiale ale Uniunii.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Pentru a veni în sprijinul IMM-urilor, interfața trebuie să ofere acces clar și multilingv la normele naționale în domeniul muncii, social și fiscal, precum și la convențiile colective.</w:t>
      </w:r>
      <w:r>
        <w:t xml:space="preserve"> </w:t>
      </w:r>
      <w:r>
        <w:t>Acest lucru îmbunătățește securitatea juridică, protejează drepturile lucrătorilor și urmează recomandările ELA din 2023 privind informațiile accesibile și complete.</w:t>
      </w:r>
    </w:p>
    <w:p>
      <w:r>
        <w:rPr>
          <w:rStyle w:val="HideTWBExt"/>
        </w:rPr>
        <w:t>&lt;/Amend&gt;</w:t>
      </w:r>
    </w:p>
    <w:p>
      <w:pPr>
        <w:pStyle w:val="AmNumberTabs"/>
      </w:pPr>
      <w:r>
        <w:rPr>
          <w:rStyle w:val="HideTWBExt"/>
        </w:rPr>
        <w:t>&lt;Amend&gt;</w:t>
      </w:r>
      <w:r>
        <w:t>Amendamentul</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Arba Kokalari, Andrea Wechsler, 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5a.</w:t>
            </w:r>
            <w:r>
              <w:tab/>
            </w:r>
            <w:r>
              <w:rPr>
                <w:b/>
                <w:i/>
              </w:rPr>
              <w:t>Comisia se asigură, în cooperare cu statele membre, că sunt instituite măsuri de sprijin tehnice și practice adecvate pentru a facilita adoptarea uniformă și fără probleme a interfeței publice, reducând la minimum obstacolele din calea tranziției și asigurând o punere în aplicare coerentă în întreaga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Fără a aduce atingere alineatului (5)</w:t>
            </w:r>
            <w:r>
              <w:t xml:space="preserve">, formularul standard constă </w:t>
            </w:r>
            <w:r>
              <w:rPr>
                <w:b/>
                <w:i/>
              </w:rPr>
              <w:t>în informații referitoare</w:t>
            </w:r>
            <w:r>
              <w:t xml:space="preserve"> la:</w:t>
            </w:r>
          </w:p>
        </w:tc>
        <w:tc>
          <w:tcPr>
            <w:tcW w:w="4876" w:type="dxa"/>
            <w:tcBorders>
              <w:top w:val="nil"/>
              <w:left w:val="nil"/>
              <w:bottom w:val="nil"/>
              <w:right w:val="nil"/>
            </w:tcBorders>
          </w:tcPr>
          <w:p>
            <w:pPr>
              <w:pStyle w:val="Normal6a"/>
            </w:pPr>
            <w:r>
              <w:t>1.</w:t>
            </w:r>
            <w:r>
              <w:tab/>
            </w:r>
            <w:r>
              <w:rPr>
                <w:b/>
                <w:i/>
              </w:rPr>
              <w:t>În conformitate cu articolul 9 alineatul (1) litera (a) din Directiva 2014/67/UE și pe baza măsurilor naționale de transpunere a directivei respective</w:t>
            </w:r>
            <w:r>
              <w:t xml:space="preserve">, formularul standard constă </w:t>
            </w:r>
            <w:r>
              <w:rPr>
                <w:b/>
                <w:i/>
              </w:rPr>
              <w:t>într-o listă cu informațiile care sunt necesare pentru a permite controale faptice la locul de muncă în sensul articolului 9 alineatul (1) din Directiva 2014/67/UE și care se referă, în special,</w:t>
            </w:r>
            <w:r>
              <w:t xml:space="preserve"> 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Fără a aduce atingere alineatului (5)</w:t>
            </w:r>
            <w:r>
              <w:t xml:space="preserve">, formularul standard constă în informații </w:t>
            </w:r>
            <w:r>
              <w:rPr>
                <w:b/>
                <w:i/>
              </w:rPr>
              <w:t>referitoare</w:t>
            </w:r>
            <w:r>
              <w:t xml:space="preserve"> la:</w:t>
            </w:r>
          </w:p>
        </w:tc>
        <w:tc>
          <w:tcPr>
            <w:tcW w:w="4876" w:type="dxa"/>
            <w:tcBorders>
              <w:top w:val="nil"/>
              <w:left w:val="nil"/>
              <w:bottom w:val="nil"/>
              <w:right w:val="nil"/>
            </w:tcBorders>
          </w:tcPr>
          <w:p>
            <w:pPr>
              <w:pStyle w:val="Normal6a"/>
            </w:pPr>
            <w:r>
              <w:t>1.</w:t>
            </w:r>
            <w:r>
              <w:tab/>
            </w:r>
            <w:r>
              <w:rPr>
                <w:b/>
                <w:i/>
              </w:rPr>
              <w:t>În conformitate cu articolul 9 alineatul (1) litera (a) din Directiva 2014/67/UE și pe baza măsurilor naționale de transpunere a directivei respective</w:t>
            </w:r>
            <w:r>
              <w:t xml:space="preserve">, formularul standard constă în </w:t>
            </w:r>
            <w:r>
              <w:rPr>
                <w:b/>
                <w:i/>
              </w:rPr>
              <w:t>informațiile minime necesare pentru a permite controale faptice la locul de muncă, stabilite în formularul din anexa I:</w:t>
            </w:r>
            <w:r>
              <w:t xml:space="preserve"> </w:t>
            </w:r>
            <w:r>
              <w:rPr>
                <w:b/>
                <w:i/>
              </w:rPr>
              <w:t>Aceste</w:t>
            </w:r>
            <w:r>
              <w:t xml:space="preserve"> informații </w:t>
            </w:r>
            <w:r>
              <w:rPr>
                <w:b/>
                <w:i/>
              </w:rPr>
              <w:t>se referă</w:t>
            </w:r>
            <w:r>
              <w:t xml:space="preserve"> 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Fără a aduce atingere alineatului (5), formularul standard constă în informații referitoare la:</w:t>
            </w:r>
          </w:p>
        </w:tc>
        <w:tc>
          <w:tcPr>
            <w:tcW w:w="4876" w:type="dxa"/>
            <w:tcBorders>
              <w:top w:val="nil"/>
              <w:left w:val="nil"/>
              <w:bottom w:val="nil"/>
              <w:right w:val="nil"/>
            </w:tcBorders>
          </w:tcPr>
          <w:p>
            <w:pPr>
              <w:pStyle w:val="Normal6a"/>
            </w:pPr>
            <w:r>
              <w:t>1.</w:t>
            </w:r>
            <w:r>
              <w:tab/>
            </w:r>
            <w:r>
              <w:t xml:space="preserve">Fără a aduce atingere alineatului (5), formularul standard constă în informații </w:t>
            </w:r>
            <w:r>
              <w:rPr>
                <w:b/>
                <w:i/>
              </w:rPr>
              <w:t>care sunt necesare pentru a permite controale factuale la locul de muncă în sensul articolului 9 alineatul (1) din Directiva 2014/67/UE și</w:t>
            </w:r>
            <w:r>
              <w:t xml:space="preserve"> referitoare la </w:t>
            </w:r>
            <w:r>
              <w:rPr>
                <w:b/>
                <w:i/>
              </w:rPr>
              <w:t>(și detaliate în anexa 1 – puncte de date)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Fără a aduce atingere alineatului (5), formularul standard constă </w:t>
            </w:r>
            <w:r>
              <w:rPr>
                <w:b/>
                <w:i/>
              </w:rPr>
              <w:t>în</w:t>
            </w:r>
            <w:r>
              <w:t xml:space="preserve"> informații referitoare la:</w:t>
            </w:r>
          </w:p>
        </w:tc>
        <w:tc>
          <w:tcPr>
            <w:tcW w:w="4876" w:type="dxa"/>
            <w:tcBorders>
              <w:top w:val="nil"/>
              <w:left w:val="nil"/>
              <w:bottom w:val="nil"/>
              <w:right w:val="nil"/>
            </w:tcBorders>
          </w:tcPr>
          <w:p>
            <w:pPr>
              <w:pStyle w:val="Normal6a"/>
            </w:pPr>
            <w:r>
              <w:t>1.</w:t>
            </w:r>
            <w:r>
              <w:tab/>
            </w:r>
            <w:r>
              <w:rPr>
                <w:b/>
                <w:i/>
              </w:rPr>
              <w:t>În conformitate cu articolul 9 alineatul (1) litera (a) din Directiva 2014/67 și cu măsurile naționale de transpunere a directivei respective și</w:t>
            </w:r>
            <w:r>
              <w:t xml:space="preserve"> fără a aduce atingere alineatului (5), formularul standard constă </w:t>
            </w:r>
            <w:r>
              <w:rPr>
                <w:b/>
                <w:i/>
              </w:rPr>
              <w:t>într-o listă de</w:t>
            </w:r>
            <w:r>
              <w:t xml:space="preserve"> informații </w:t>
            </w:r>
            <w:r>
              <w:rPr>
                <w:b/>
                <w:i/>
              </w:rPr>
              <w:t>necesare pentru a permite controale factuale la locul de muncă și</w:t>
            </w:r>
            <w:r>
              <w:t xml:space="preserve"> referitoare 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Fără a aduce atingere alineatului (5)</w:t>
            </w:r>
            <w:r>
              <w:t xml:space="preserve">, formularul standard constă în informații </w:t>
            </w:r>
            <w:r>
              <w:rPr>
                <w:b/>
                <w:i/>
              </w:rPr>
              <w:t>referitoare</w:t>
            </w:r>
            <w:r>
              <w:t xml:space="preserve"> la:</w:t>
            </w:r>
          </w:p>
        </w:tc>
        <w:tc>
          <w:tcPr>
            <w:tcW w:w="4876" w:type="dxa"/>
            <w:tcBorders>
              <w:top w:val="nil"/>
              <w:left w:val="nil"/>
              <w:bottom w:val="nil"/>
              <w:right w:val="nil"/>
            </w:tcBorders>
          </w:tcPr>
          <w:p>
            <w:pPr>
              <w:pStyle w:val="Normal6a"/>
            </w:pPr>
            <w:r>
              <w:t>1.</w:t>
            </w:r>
            <w:r>
              <w:tab/>
            </w:r>
            <w:r>
              <w:rPr>
                <w:b/>
                <w:i/>
              </w:rPr>
              <w:t>În conformitate cu articolul 9 alineatul (1) litera (a) din Directiva 2014/67/UE</w:t>
            </w:r>
            <w:r>
              <w:t xml:space="preserve">, formularul standard constă în </w:t>
            </w:r>
            <w:r>
              <w:rPr>
                <w:b/>
                <w:i/>
              </w:rPr>
              <w:t>informațiile prevăzute în formularul din anexa I.</w:t>
            </w:r>
            <w:r>
              <w:t xml:space="preserve"> </w:t>
            </w:r>
            <w:r>
              <w:rPr>
                <w:b/>
                <w:i/>
              </w:rPr>
              <w:t>Aceste</w:t>
            </w:r>
            <w:r>
              <w:t xml:space="preserve"> informații </w:t>
            </w:r>
            <w:r>
              <w:rPr>
                <w:b/>
                <w:i/>
              </w:rPr>
              <w:t>se referă</w:t>
            </w:r>
            <w:r>
              <w:t xml:space="preserve"> 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Andreas Schwab, Pascal Arimont,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Fără a aduce atingere alineatului (5), formularul standard constă în informații referitoare la:</w:t>
            </w:r>
          </w:p>
        </w:tc>
        <w:tc>
          <w:tcPr>
            <w:tcW w:w="4876" w:type="dxa"/>
            <w:tcBorders>
              <w:top w:val="nil"/>
              <w:left w:val="nil"/>
              <w:bottom w:val="nil"/>
              <w:right w:val="nil"/>
            </w:tcBorders>
          </w:tcPr>
          <w:p>
            <w:pPr>
              <w:pStyle w:val="Normal6a"/>
            </w:pPr>
            <w:r>
              <w:t>1.</w:t>
            </w:r>
            <w:r>
              <w:tab/>
            </w:r>
            <w:r>
              <w:t>Fără a aduce atingere alineatului (5), formularul standard</w:t>
            </w:r>
            <w:r>
              <w:rPr>
                <w:b/>
                <w:i/>
              </w:rPr>
              <w:t>, care figurează în anexa I, stabilește un set maxim și tipuri de cerințe în materie de informații și</w:t>
            </w:r>
            <w:r>
              <w:t xml:space="preserve"> constă în informații referitoare 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Sebastian Kruis, Rachel Blom, Elisabeth Dieringer, Filip Turek, Marie Dauchy, Mélanie Disdier,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Fără a aduce atingere alineatului (5),</w:t>
            </w:r>
            <w:r>
              <w:t xml:space="preserve"> formularul standard </w:t>
            </w:r>
            <w:r>
              <w:rPr>
                <w:b/>
                <w:i/>
              </w:rPr>
              <w:t>constă în</w:t>
            </w:r>
            <w:r>
              <w:t xml:space="preserve"> informații referitoare la:</w:t>
            </w:r>
          </w:p>
        </w:tc>
        <w:tc>
          <w:tcPr>
            <w:tcW w:w="4876" w:type="dxa"/>
            <w:tcBorders>
              <w:top w:val="nil"/>
              <w:left w:val="nil"/>
              <w:bottom w:val="nil"/>
              <w:right w:val="nil"/>
            </w:tcBorders>
          </w:tcPr>
          <w:p>
            <w:pPr>
              <w:pStyle w:val="Normal6a"/>
            </w:pPr>
            <w:r>
              <w:t>1.</w:t>
            </w:r>
            <w:r>
              <w:tab/>
            </w:r>
            <w:r>
              <w:t xml:space="preserve">Formularul standard </w:t>
            </w:r>
            <w:r>
              <w:rPr>
                <w:b/>
                <w:i/>
              </w:rPr>
              <w:t>cuprinde cel puțin</w:t>
            </w:r>
            <w:r>
              <w:t xml:space="preserve"> informații referitoare 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prestatorul de servicii;</w:t>
            </w:r>
          </w:p>
        </w:tc>
        <w:tc>
          <w:tcPr>
            <w:tcW w:w="4876" w:type="dxa"/>
            <w:tcBorders>
              <w:top w:val="nil"/>
              <w:left w:val="nil"/>
              <w:bottom w:val="nil"/>
              <w:right w:val="nil"/>
            </w:tcBorders>
          </w:tcPr>
          <w:p>
            <w:pPr>
              <w:pStyle w:val="Normal6a"/>
            </w:pPr>
            <w:r>
              <w:t>(a)</w:t>
            </w:r>
            <w:r>
              <w:tab/>
            </w:r>
            <w:r>
              <w:t>prestatorul de servicii</w:t>
            </w:r>
            <w:r>
              <w:rPr>
                <w:b/>
                <w:i/>
              </w:rPr>
              <w:t>, inclusiv reprezentantul legal sau altă persoană care reprezintă prestatorul de servicii în proceduri administrative și judiciare, precum și informațiile menționate la articolul 5 alineatul (3) litera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prestatorul de servicii;</w:t>
            </w:r>
          </w:p>
        </w:tc>
        <w:tc>
          <w:tcPr>
            <w:tcW w:w="4876" w:type="dxa"/>
            <w:tcBorders>
              <w:top w:val="nil"/>
              <w:left w:val="nil"/>
              <w:bottom w:val="nil"/>
              <w:right w:val="nil"/>
            </w:tcBorders>
          </w:tcPr>
          <w:p>
            <w:pPr>
              <w:pStyle w:val="Normal6a"/>
            </w:pPr>
            <w:r>
              <w:t>(a)</w:t>
            </w:r>
            <w:r>
              <w:tab/>
            </w:r>
            <w:r>
              <w:t>prestatorul de servicii</w:t>
            </w:r>
            <w:r>
              <w:rPr>
                <w:b/>
                <w:i/>
              </w:rPr>
              <w:t>, inclusiv reprezentantul legal sau altă persoană care reprezintă prestatorul de servicii în proceduri administrative și judiciare, precum și informațiile menționate la articolul 5 alineatul (3) litera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prestatorul de servicii;</w:t>
            </w:r>
          </w:p>
        </w:tc>
        <w:tc>
          <w:tcPr>
            <w:tcW w:w="4876" w:type="dxa"/>
            <w:tcBorders>
              <w:top w:val="nil"/>
              <w:left w:val="nil"/>
              <w:bottom w:val="nil"/>
              <w:right w:val="nil"/>
            </w:tcBorders>
          </w:tcPr>
          <w:p>
            <w:pPr>
              <w:pStyle w:val="Normal6a"/>
            </w:pPr>
            <w:r>
              <w:t>(a)</w:t>
            </w:r>
            <w:r>
              <w:tab/>
            </w:r>
            <w:r>
              <w:t>prestatorul de servicii</w:t>
            </w:r>
            <w:r>
              <w:rPr>
                <w:b/>
                <w:i/>
              </w:rPr>
              <w:t>, inclusiv informațiile menționate la articolul 5 alineatul (3) litera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prestatorul de servicii;</w:t>
            </w:r>
          </w:p>
        </w:tc>
        <w:tc>
          <w:tcPr>
            <w:tcW w:w="4876" w:type="dxa"/>
            <w:tcBorders>
              <w:top w:val="nil"/>
              <w:left w:val="nil"/>
              <w:bottom w:val="nil"/>
              <w:right w:val="nil"/>
            </w:tcBorders>
          </w:tcPr>
          <w:p>
            <w:pPr>
              <w:pStyle w:val="Normal6a"/>
            </w:pPr>
            <w:r>
              <w:t>(a)</w:t>
            </w:r>
            <w:r>
              <w:tab/>
            </w:r>
            <w:r>
              <w:t>prestatorul de servicii</w:t>
            </w:r>
            <w:r>
              <w:rPr>
                <w:b/>
                <w:i/>
              </w:rPr>
              <w:t>, inclusiv informațiile menționate la articolul 5 alineatul (3) litera (a)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lucrătorul detașat</w:t>
            </w:r>
            <w:r>
              <w:t>;</w:t>
            </w:r>
          </w:p>
        </w:tc>
        <w:tc>
          <w:tcPr>
            <w:tcW w:w="4876" w:type="dxa"/>
            <w:tcBorders>
              <w:top w:val="nil"/>
              <w:left w:val="nil"/>
              <w:bottom w:val="nil"/>
              <w:right w:val="nil"/>
            </w:tcBorders>
          </w:tcPr>
          <w:p>
            <w:pPr>
              <w:pStyle w:val="Normal6a"/>
            </w:pPr>
            <w:r>
              <w:t>(b)</w:t>
            </w:r>
            <w:r>
              <w:tab/>
            </w:r>
            <w:r>
              <w:rPr>
                <w:b/>
                <w:i/>
              </w:rPr>
              <w:t>lucrătorii detașați, inclusiv numărul anticipat de lucrători detașați clar identificabili, descrierea muncii prestate și informațiile menționate la articolul 5 alineatul (3) literele (b) și (c)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lucrătorul detașat;</w:t>
            </w:r>
          </w:p>
        </w:tc>
        <w:tc>
          <w:tcPr>
            <w:tcW w:w="4876" w:type="dxa"/>
            <w:tcBorders>
              <w:top w:val="nil"/>
              <w:left w:val="nil"/>
              <w:bottom w:val="nil"/>
              <w:right w:val="nil"/>
            </w:tcBorders>
          </w:tcPr>
          <w:p>
            <w:pPr>
              <w:pStyle w:val="Normal6a"/>
            </w:pPr>
            <w:r>
              <w:t>(b)</w:t>
            </w:r>
            <w:r>
              <w:tab/>
            </w:r>
            <w:r>
              <w:t>lucrătorul detașat</w:t>
            </w:r>
            <w:r>
              <w:rPr>
                <w:b/>
                <w:i/>
              </w:rPr>
              <w:t>, inclusiv numărul anticipat de lucrători detașați clar identificabili, și informațiile menționate la articolul 5 alineatul (3) literele (b) și (c)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lucrătorul detașat;</w:t>
            </w:r>
          </w:p>
        </w:tc>
        <w:tc>
          <w:tcPr>
            <w:tcW w:w="4876" w:type="dxa"/>
            <w:tcBorders>
              <w:top w:val="nil"/>
              <w:left w:val="nil"/>
              <w:bottom w:val="nil"/>
              <w:right w:val="nil"/>
            </w:tcBorders>
          </w:tcPr>
          <w:p>
            <w:pPr>
              <w:pStyle w:val="Normal6a"/>
            </w:pPr>
            <w:r>
              <w:t>(b)</w:t>
            </w:r>
            <w:r>
              <w:tab/>
            </w:r>
            <w:r>
              <w:t>lucrătorul detașat</w:t>
            </w:r>
            <w:r>
              <w:rPr>
                <w:b/>
                <w:i/>
              </w:rPr>
              <w:t>, inclusiv numărul anticipat de lucrători detașați clar identificabili, și informațiile menționate la articolul 5 alineatul (3) literele (b) și (c)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lucrătorul detașat;</w:t>
            </w:r>
          </w:p>
        </w:tc>
        <w:tc>
          <w:tcPr>
            <w:tcW w:w="4876" w:type="dxa"/>
            <w:tcBorders>
              <w:top w:val="nil"/>
              <w:left w:val="nil"/>
              <w:bottom w:val="nil"/>
              <w:right w:val="nil"/>
            </w:tcBorders>
          </w:tcPr>
          <w:p>
            <w:pPr>
              <w:pStyle w:val="Normal6a"/>
            </w:pPr>
            <w:r>
              <w:t>(b)</w:t>
            </w:r>
            <w:r>
              <w:tab/>
            </w:r>
            <w:r>
              <w:t>lucrătorul detașat</w:t>
            </w:r>
            <w:r>
              <w:rPr>
                <w:b/>
                <w:i/>
              </w:rPr>
              <w:t>, inclusiv numărul anticipat de lucrători detașați clar identificabili, și informațiile menționate la articolul 5 alineatul (3) literele (b) și (c)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activitatea care face obiectul detașării;</w:t>
            </w:r>
          </w:p>
        </w:tc>
        <w:tc>
          <w:tcPr>
            <w:tcW w:w="4876" w:type="dxa"/>
            <w:tcBorders>
              <w:top w:val="nil"/>
              <w:left w:val="nil"/>
              <w:bottom w:val="nil"/>
              <w:right w:val="nil"/>
            </w:tcBorders>
          </w:tcPr>
          <w:p>
            <w:pPr>
              <w:pStyle w:val="Normal6a"/>
            </w:pPr>
            <w:r>
              <w:t>(c)</w:t>
            </w:r>
            <w:r>
              <w:tab/>
            </w:r>
            <w:r>
              <w:t>activitatea care face obiectul detașării</w:t>
            </w:r>
            <w:r>
              <w:rPr>
                <w:b/>
                <w:i/>
              </w:rPr>
              <w:t>, inclusiv durata anticipată, data preconizată de începere și de încheiere a detașării, natura serviciilor care justifică detașarea, cazarea colectivă și condițiile de lucru, precum și informațiile menționate la articolul 5 alineatul (3) litera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activitatea care face obiectul detașării;</w:t>
            </w:r>
          </w:p>
        </w:tc>
        <w:tc>
          <w:tcPr>
            <w:tcW w:w="4876" w:type="dxa"/>
            <w:tcBorders>
              <w:top w:val="nil"/>
              <w:left w:val="nil"/>
              <w:bottom w:val="nil"/>
              <w:right w:val="nil"/>
            </w:tcBorders>
          </w:tcPr>
          <w:p>
            <w:pPr>
              <w:pStyle w:val="Normal6a"/>
            </w:pPr>
            <w:r>
              <w:t>(c)</w:t>
            </w:r>
            <w:r>
              <w:tab/>
            </w:r>
            <w:r>
              <w:t>activitatea care face obiectul detașării</w:t>
            </w:r>
            <w:r>
              <w:rPr>
                <w:b/>
                <w:i/>
              </w:rPr>
              <w:t>, inclusiv durata anticipată, data preconizată de începere și de încheiere a detașării, natura serviciilor care justifică detașarea, cazarea colectivă și condițiile de lucru, precum și informațiile menționate la articolul 5 alineatul (3) litera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activitatea care face obiectul detașării;</w:t>
            </w:r>
          </w:p>
        </w:tc>
        <w:tc>
          <w:tcPr>
            <w:tcW w:w="4876" w:type="dxa"/>
            <w:tcBorders>
              <w:top w:val="nil"/>
              <w:left w:val="nil"/>
              <w:bottom w:val="nil"/>
              <w:right w:val="nil"/>
            </w:tcBorders>
          </w:tcPr>
          <w:p>
            <w:pPr>
              <w:pStyle w:val="Normal6a"/>
            </w:pPr>
            <w:r>
              <w:t>(c)</w:t>
            </w:r>
            <w:r>
              <w:tab/>
            </w:r>
            <w:r>
              <w:t>activitatea care face obiectul detașării</w:t>
            </w:r>
            <w:r>
              <w:rPr>
                <w:b/>
                <w:i/>
              </w:rPr>
              <w:t>, inclusiv durata anticipată, data preconizată de începere și de încheiere a detașării, natura serviciilor care justifică detașarea și informațiile menționate la articolul 5 alineatul (3) litera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activitatea care face obiectul detașării;</w:t>
            </w:r>
          </w:p>
        </w:tc>
        <w:tc>
          <w:tcPr>
            <w:tcW w:w="4876" w:type="dxa"/>
            <w:tcBorders>
              <w:top w:val="nil"/>
              <w:left w:val="nil"/>
              <w:bottom w:val="nil"/>
              <w:right w:val="nil"/>
            </w:tcBorders>
          </w:tcPr>
          <w:p>
            <w:pPr>
              <w:pStyle w:val="Normal6a"/>
            </w:pPr>
            <w:r>
              <w:t>(c)</w:t>
            </w:r>
            <w:r>
              <w:tab/>
            </w:r>
            <w:r>
              <w:t>activitatea care face obiectul detașării</w:t>
            </w:r>
            <w:r>
              <w:rPr>
                <w:b/>
                <w:i/>
              </w:rPr>
              <w:t>, inclusiv durata, data de începere și de încheiere a detașării, natura serviciilor care justifică detașarea și informațiile menționate la articolul 5 alineatul (3) litera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persoana de contact </w:t>
            </w:r>
            <w:r>
              <w:rPr>
                <w:b/>
                <w:i/>
              </w:rPr>
              <w:t>care asigură legătura cu autoritățile competente</w:t>
            </w:r>
            <w:r>
              <w:t>;</w:t>
            </w:r>
          </w:p>
        </w:tc>
        <w:tc>
          <w:tcPr>
            <w:tcW w:w="4876" w:type="dxa"/>
            <w:tcBorders>
              <w:top w:val="nil"/>
              <w:left w:val="nil"/>
              <w:bottom w:val="nil"/>
              <w:right w:val="nil"/>
            </w:tcBorders>
          </w:tcPr>
          <w:p>
            <w:pPr>
              <w:pStyle w:val="Normal6a"/>
            </w:pPr>
            <w:r>
              <w:t>(d)</w:t>
            </w:r>
            <w:r>
              <w:tab/>
            </w:r>
            <w:r>
              <w:t xml:space="preserve">persoana de contact </w:t>
            </w:r>
            <w:r>
              <w:rPr>
                <w:b/>
                <w:i/>
              </w:rPr>
              <w:t>a prestatorului de servicii menționată la articolul 9 alineatul (1) literele (e) și (f) din Directiva 2014/67/UE, inclusiv informațiile menționate la articolul 5 alineatul (3) litera (e)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persoana</w:t>
            </w:r>
            <w:r>
              <w:t xml:space="preserve"> de contact </w:t>
            </w:r>
            <w:r>
              <w:rPr>
                <w:b/>
                <w:i/>
              </w:rPr>
              <w:t>care asigură legătura cu autoritățile competente</w:t>
            </w:r>
            <w:r>
              <w:t>;</w:t>
            </w:r>
          </w:p>
        </w:tc>
        <w:tc>
          <w:tcPr>
            <w:tcW w:w="4876" w:type="dxa"/>
            <w:tcBorders>
              <w:top w:val="nil"/>
              <w:left w:val="nil"/>
              <w:bottom w:val="nil"/>
              <w:right w:val="nil"/>
            </w:tcBorders>
          </w:tcPr>
          <w:p>
            <w:pPr>
              <w:pStyle w:val="Normal6a"/>
            </w:pPr>
            <w:r>
              <w:t>(d)</w:t>
            </w:r>
            <w:r>
              <w:tab/>
            </w:r>
            <w:r>
              <w:rPr>
                <w:b/>
                <w:i/>
              </w:rPr>
              <w:t>persoanele</w:t>
            </w:r>
            <w:r>
              <w:t xml:space="preserve"> de contact </w:t>
            </w:r>
            <w:r>
              <w:rPr>
                <w:b/>
                <w:i/>
              </w:rPr>
              <w:t>menționate la articolul 9 alineatul (1) literele (e) și (f) din Directiva 2014/67/UE, inclusiv informațiile menționate la articolul 5 alineatul (3) litera (e)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Brigitte van den Berg,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persoana de contact care asigură legătura cu autoritățile competente;</w:t>
            </w:r>
          </w:p>
        </w:tc>
        <w:tc>
          <w:tcPr>
            <w:tcW w:w="4876" w:type="dxa"/>
            <w:tcBorders>
              <w:top w:val="nil"/>
              <w:left w:val="nil"/>
              <w:bottom w:val="nil"/>
              <w:right w:val="nil"/>
            </w:tcBorders>
          </w:tcPr>
          <w:p>
            <w:pPr>
              <w:pStyle w:val="Normal6a"/>
            </w:pPr>
            <w:r>
              <w:t>(d)</w:t>
            </w:r>
            <w:r>
              <w:tab/>
            </w:r>
            <w:r>
              <w:t xml:space="preserve">persoana </w:t>
            </w:r>
            <w:r>
              <w:rPr>
                <w:b/>
                <w:i/>
              </w:rPr>
              <w:t>sau persoanele</w:t>
            </w:r>
            <w:r>
              <w:t xml:space="preserve"> de contact care asigură legătura cu autoritățile competente </w:t>
            </w:r>
            <w:r>
              <w:rPr>
                <w:b/>
                <w:i/>
              </w:rPr>
              <w:t>din statul membru gazdă sau cu partenerii sociali relevanți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persoana</w:t>
            </w:r>
            <w:r>
              <w:t xml:space="preserve"> de contact </w:t>
            </w:r>
            <w:r>
              <w:rPr>
                <w:b/>
                <w:i/>
              </w:rPr>
              <w:t>care asigură legătura cu autoritățile competente</w:t>
            </w:r>
            <w:r>
              <w:t>;</w:t>
            </w:r>
          </w:p>
        </w:tc>
        <w:tc>
          <w:tcPr>
            <w:tcW w:w="4876" w:type="dxa"/>
            <w:tcBorders>
              <w:top w:val="nil"/>
              <w:left w:val="nil"/>
              <w:bottom w:val="nil"/>
              <w:right w:val="nil"/>
            </w:tcBorders>
          </w:tcPr>
          <w:p>
            <w:pPr>
              <w:pStyle w:val="Normal6a"/>
            </w:pPr>
            <w:r>
              <w:t>(d)</w:t>
            </w:r>
            <w:r>
              <w:tab/>
            </w:r>
            <w:r>
              <w:rPr>
                <w:b/>
                <w:i/>
              </w:rPr>
              <w:t>persoanele</w:t>
            </w:r>
            <w:r>
              <w:t xml:space="preserve"> de contact </w:t>
            </w:r>
            <w:r>
              <w:rPr>
                <w:b/>
                <w:i/>
              </w:rPr>
              <w:t>menționate la articolului 9 alineatul (1) literele (e) și (f) din Directiva 2014/67/UE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persoana</w:t>
            </w:r>
            <w:r>
              <w:t xml:space="preserve"> de contact </w:t>
            </w:r>
            <w:r>
              <w:rPr>
                <w:b/>
                <w:i/>
              </w:rPr>
              <w:t>care asigură legătura cu autoritățile competente</w:t>
            </w:r>
            <w:r>
              <w:t>;</w:t>
            </w:r>
          </w:p>
        </w:tc>
        <w:tc>
          <w:tcPr>
            <w:tcW w:w="4876" w:type="dxa"/>
            <w:tcBorders>
              <w:top w:val="nil"/>
              <w:left w:val="nil"/>
              <w:bottom w:val="nil"/>
              <w:right w:val="nil"/>
            </w:tcBorders>
          </w:tcPr>
          <w:p>
            <w:pPr>
              <w:pStyle w:val="Normal6a"/>
            </w:pPr>
            <w:r>
              <w:t>(d)</w:t>
            </w:r>
            <w:r>
              <w:tab/>
            </w:r>
            <w:r>
              <w:rPr>
                <w:b/>
                <w:i/>
              </w:rPr>
              <w:t>persoanele</w:t>
            </w:r>
            <w:r>
              <w:t xml:space="preserve"> de contact </w:t>
            </w:r>
            <w:r>
              <w:rPr>
                <w:b/>
                <w:i/>
              </w:rPr>
              <w:t>menționate la articolului 9 alineatul (1) literele (e) și (f) din Directiva 2014/67/UE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destinatarul serviciului.</w:t>
            </w:r>
          </w:p>
        </w:tc>
        <w:tc>
          <w:tcPr>
            <w:tcW w:w="4876" w:type="dxa"/>
            <w:tcBorders>
              <w:top w:val="nil"/>
              <w:left w:val="nil"/>
              <w:bottom w:val="nil"/>
              <w:right w:val="nil"/>
            </w:tcBorders>
          </w:tcPr>
          <w:p>
            <w:pPr>
              <w:pStyle w:val="Normal6a"/>
            </w:pPr>
            <w:r>
              <w:t>(e)</w:t>
            </w:r>
            <w:r>
              <w:tab/>
            </w:r>
            <w:r>
              <w:t>destinatarul serviciului</w:t>
            </w:r>
            <w:r>
              <w:rPr>
                <w:b/>
                <w:i/>
              </w:rPr>
              <w:t>, inclusiv identitatea sa și datele sale de contact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destinatarul serviciului.</w:t>
            </w:r>
          </w:p>
        </w:tc>
        <w:tc>
          <w:tcPr>
            <w:tcW w:w="4876" w:type="dxa"/>
            <w:tcBorders>
              <w:top w:val="nil"/>
              <w:left w:val="nil"/>
              <w:bottom w:val="nil"/>
              <w:right w:val="nil"/>
            </w:tcBorders>
          </w:tcPr>
          <w:p>
            <w:pPr>
              <w:pStyle w:val="Normal6a"/>
            </w:pPr>
            <w:r>
              <w:t>(e)</w:t>
            </w:r>
            <w:r>
              <w:tab/>
            </w:r>
            <w:r>
              <w:t>destinatarul serviciului</w:t>
            </w:r>
            <w:r>
              <w:rPr>
                <w:b/>
                <w:i/>
              </w:rPr>
              <w:t>, inclusiv identitatea sa și datele sale de contact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Pentru detașările efectuate de o agenție de muncă temporară sau de o agenție de plasare de forță de muncă, în cazul unei detașări duble sau în lanț, astfel cum se prevede la articolul 1 alineatul (3) primul și al doilea paragraf din Directiva 96/71/CE, formularul standard constă, de asemenea, în informații referitoare la întreprinderea utilizatoare, inclusiv identitatea întreprinderii utilizatoare și a reprezentantului legal sau a altei persoane care reprezintă întreprinderea utilizatoare în proceduri administrative și judiciare.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Andreas Schwab, Pascal Arimont,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Comisia stabilește formularul standard menționat la alineatul (1) de la prezentul articol prin intermediul unor acte de punere în aplicare.</w:t>
            </w:r>
            <w:r>
              <w:t xml:space="preserve"> </w:t>
            </w:r>
            <w:r>
              <w:rPr>
                <w:b/>
                <w:i/>
              </w:rPr>
              <w:t>Respectivele acte de punere în aplicare se adoptă în conformitate cu procedura menționată la articolul 8 alineatul (2).</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Brigitte van den Berg, Svenja Hahn,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Comisia stabilește formularul standard menționat la alineatul (1) de la prezentul articol prin intermediul unor acte de punere în aplicare. Respectivele acte de punere în aplicare se adoptă în conformitate cu procedura menționată la articolul 8 alineatul (2).</w:t>
            </w:r>
          </w:p>
        </w:tc>
        <w:tc>
          <w:tcPr>
            <w:tcW w:w="4876" w:type="dxa"/>
            <w:tcBorders>
              <w:top w:val="nil"/>
              <w:left w:val="nil"/>
              <w:bottom w:val="nil"/>
              <w:right w:val="nil"/>
            </w:tcBorders>
          </w:tcPr>
          <w:p>
            <w:pPr>
              <w:pStyle w:val="Normal6a"/>
            </w:pPr>
            <w:r>
              <w:t>2.</w:t>
            </w:r>
            <w:r>
              <w:tab/>
            </w:r>
            <w:r>
              <w:t xml:space="preserve">Comisia stabilește formularul standard menționat la alineatul (1) de la prezentul articol prin intermediul unor acte de punere în aplicare. Respectivele acte de punere în aplicare se adoptă în conformitate cu procedura menționată la articolul 8 alineatul (2). </w:t>
            </w:r>
            <w:r>
              <w:rPr>
                <w:b/>
                <w:i/>
              </w:rPr>
              <w:t>Recomandările oferite de grupul de experți al statelor membre cu privire la un formular electronic comun pentru declarația de detașare a lucrătorilor în ceea ce privește informațiile relevante care trebuie incluse în acest formular sunt luate în considerare în mod corespunzător de către Comisie.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Comisia stabilește formularul standard menționat la alineatul (1) de la prezentul articol prin intermediul unor acte de punere în aplicare. Respectivele acte de punere în aplicare se adoptă în conformitate cu procedura menționată la articolul 8 alineatul (2).</w:t>
            </w:r>
          </w:p>
        </w:tc>
        <w:tc>
          <w:tcPr>
            <w:tcW w:w="4876" w:type="dxa"/>
            <w:tcBorders>
              <w:top w:val="nil"/>
              <w:left w:val="nil"/>
              <w:bottom w:val="nil"/>
              <w:right w:val="nil"/>
            </w:tcBorders>
          </w:tcPr>
          <w:p>
            <w:pPr>
              <w:pStyle w:val="Normal6a"/>
            </w:pPr>
            <w:r>
              <w:t>2.</w:t>
            </w:r>
            <w:r>
              <w:tab/>
            </w:r>
            <w:r>
              <w:t xml:space="preserve">Comisia stabilește formularul standard menționat la alineatul (1) de la prezentul articol prin intermediul unor acte de punere în aplicare. Respectivele acte de punere în aplicare se </w:t>
            </w:r>
            <w:r>
              <w:rPr>
                <w:b/>
                <w:i/>
              </w:rPr>
              <w:t>pregătesc în consultare cu partenerii sociali europeni relevanți și se</w:t>
            </w:r>
            <w:r>
              <w:t xml:space="preserve"> adoptă în conformitate cu procedura menționată la articolul 8 alineatul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Comisia</w:t>
            </w:r>
            <w:r>
              <w:t xml:space="preserve"> stabilește </w:t>
            </w:r>
            <w:r>
              <w:rPr>
                <w:b/>
                <w:i/>
              </w:rPr>
              <w:t>formularul</w:t>
            </w:r>
            <w:r>
              <w:t xml:space="preserve"> standard </w:t>
            </w:r>
            <w:r>
              <w:rPr>
                <w:b/>
                <w:i/>
              </w:rPr>
              <w:t>menționat</w:t>
            </w:r>
            <w:r>
              <w:t xml:space="preserve"> la alineatul (1) de la prezentul articol </w:t>
            </w:r>
            <w:r>
              <w:rPr>
                <w:b/>
                <w:i/>
              </w:rPr>
              <w:t>prin intermediul unor acte de punere în aplicare</w:t>
            </w:r>
            <w:r>
              <w:t xml:space="preserve">. </w:t>
            </w:r>
            <w:r>
              <w:rPr>
                <w:b/>
                <w:i/>
              </w:rPr>
              <w:t>Respectivele acte de punere în aplicare se adoptă în conformitate cu procedura menționată la articolul 8 alineatul (2).</w:t>
            </w:r>
          </w:p>
        </w:tc>
        <w:tc>
          <w:tcPr>
            <w:tcW w:w="4876" w:type="dxa"/>
            <w:tcBorders>
              <w:top w:val="nil"/>
              <w:left w:val="nil"/>
              <w:bottom w:val="nil"/>
              <w:right w:val="nil"/>
            </w:tcBorders>
          </w:tcPr>
          <w:p>
            <w:pPr>
              <w:pStyle w:val="Normal6a"/>
            </w:pPr>
            <w:r>
              <w:t>2.</w:t>
            </w:r>
            <w:r>
              <w:tab/>
            </w:r>
            <w:r>
              <w:rPr>
                <w:b/>
                <w:i/>
              </w:rPr>
              <w:t>În anexă se</w:t>
            </w:r>
            <w:r>
              <w:t xml:space="preserve"> stabilește </w:t>
            </w:r>
            <w:r>
              <w:rPr>
                <w:b/>
                <w:i/>
              </w:rPr>
              <w:t>un formular</w:t>
            </w:r>
            <w:r>
              <w:t xml:space="preserve"> standard </w:t>
            </w:r>
            <w:r>
              <w:rPr>
                <w:b/>
                <w:i/>
              </w:rPr>
              <w:t>cu un set comun de cerințe minime, așa cum se menționează</w:t>
            </w:r>
            <w:r>
              <w:t xml:space="preserve"> la alineatul (1) de la prezentul articol.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Comisia </w:t>
            </w:r>
            <w:r>
              <w:rPr>
                <w:b/>
                <w:i/>
              </w:rPr>
              <w:t>stabilește</w:t>
            </w:r>
            <w:r>
              <w:t xml:space="preserve"> formularul standard menționat la alineatul (1) de la prezentul articol </w:t>
            </w:r>
            <w:r>
              <w:rPr>
                <w:b/>
                <w:i/>
              </w:rPr>
              <w:t>prin intermediul unor acte de punere în aplicare</w:t>
            </w:r>
            <w:r>
              <w:t xml:space="preserve">. </w:t>
            </w:r>
            <w:r>
              <w:rPr>
                <w:b/>
                <w:i/>
              </w:rPr>
              <w:t>Respectivele acte de punere în aplicare se adoptă în conformitate cu procedura menționată la articolul 8 alineatul (2).</w:t>
            </w:r>
          </w:p>
        </w:tc>
        <w:tc>
          <w:tcPr>
            <w:tcW w:w="4876" w:type="dxa"/>
            <w:tcBorders>
              <w:top w:val="nil"/>
              <w:left w:val="nil"/>
              <w:bottom w:val="nil"/>
              <w:right w:val="nil"/>
            </w:tcBorders>
          </w:tcPr>
          <w:p>
            <w:pPr>
              <w:pStyle w:val="Normal6a"/>
            </w:pPr>
            <w:r>
              <w:t>2.</w:t>
            </w:r>
            <w:r>
              <w:tab/>
            </w:r>
            <w:r>
              <w:t xml:space="preserve">Comisia </w:t>
            </w:r>
            <w:r>
              <w:rPr>
                <w:b/>
                <w:i/>
              </w:rPr>
              <w:t>este împuternicită să adopte acte delegate în conformitate cu articolul 7a pentru a modifica</w:t>
            </w:r>
            <w:r>
              <w:t xml:space="preserve"> formularul standard menționat la alineatul (1) de la prezentul articol.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Comisia </w:t>
            </w:r>
            <w:r>
              <w:rPr>
                <w:b/>
                <w:i/>
              </w:rPr>
              <w:t>stabilește</w:t>
            </w:r>
            <w:r>
              <w:t xml:space="preserve"> formularul standard menționat la alineatul (1) de la prezentul articol </w:t>
            </w:r>
            <w:r>
              <w:rPr>
                <w:b/>
                <w:i/>
              </w:rPr>
              <w:t>prin intermediul unor acte de punere în aplicare</w:t>
            </w:r>
            <w:r>
              <w:t xml:space="preserve">. </w:t>
            </w:r>
            <w:r>
              <w:rPr>
                <w:b/>
                <w:i/>
              </w:rPr>
              <w:t>Respectivele acte de punere în aplicare se adoptă în conformitate cu procedura menționată la articolul 8 alineatul (2).</w:t>
            </w:r>
          </w:p>
        </w:tc>
        <w:tc>
          <w:tcPr>
            <w:tcW w:w="4876" w:type="dxa"/>
            <w:tcBorders>
              <w:top w:val="nil"/>
              <w:left w:val="nil"/>
              <w:bottom w:val="nil"/>
              <w:right w:val="nil"/>
            </w:tcBorders>
          </w:tcPr>
          <w:p>
            <w:pPr>
              <w:pStyle w:val="Normal6a"/>
            </w:pPr>
            <w:r>
              <w:t>2.</w:t>
            </w:r>
            <w:r>
              <w:tab/>
            </w:r>
            <w:r>
              <w:t xml:space="preserve">Comisia </w:t>
            </w:r>
            <w:r>
              <w:rPr>
                <w:b/>
                <w:i/>
              </w:rPr>
              <w:t>este împuternicită să adopte acte delegate în conformitate cu articolul 7a pentru a modifica</w:t>
            </w:r>
            <w:r>
              <w:t xml:space="preserve"> formularul standard menționat la alineatul (1) de la prezentul articol.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Sebastian Kruis, Rachel Blom, Elisabeth Dieringer, Filip Turek, Marie Dauchy, Mélanie Disdier,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Comisia stabilește</w:t>
            </w:r>
            <w:r>
              <w:t xml:space="preserve"> formularul standard menționat la alineatul (1) de la prezentul articol </w:t>
            </w:r>
            <w:r>
              <w:rPr>
                <w:b/>
                <w:i/>
              </w:rPr>
              <w:t>prin intermediul unor acte de punere în aplicare.</w:t>
            </w:r>
            <w:r>
              <w:t xml:space="preserve"> </w:t>
            </w:r>
            <w:r>
              <w:rPr>
                <w:b/>
                <w:i/>
              </w:rPr>
              <w:t>Respectivele acte de punere în aplicare se adoptă în conformitate cu procedura</w:t>
            </w:r>
            <w:r>
              <w:t xml:space="preserve"> menționată la articolul </w:t>
            </w:r>
            <w:r>
              <w:rPr>
                <w:b/>
                <w:i/>
              </w:rPr>
              <w:t>8 alineatul (2)</w:t>
            </w:r>
            <w:r>
              <w:t>.</w:t>
            </w:r>
          </w:p>
        </w:tc>
        <w:tc>
          <w:tcPr>
            <w:tcW w:w="4876" w:type="dxa"/>
            <w:tcBorders>
              <w:top w:val="nil"/>
              <w:left w:val="nil"/>
              <w:bottom w:val="nil"/>
              <w:right w:val="nil"/>
            </w:tcBorders>
          </w:tcPr>
          <w:p>
            <w:pPr>
              <w:pStyle w:val="Normal6a"/>
            </w:pPr>
            <w:r>
              <w:t>2.</w:t>
            </w:r>
            <w:r>
              <w:tab/>
            </w:r>
            <w:r>
              <w:t xml:space="preserve">Formularul standard menționat la alineatul (1) de la prezentul articol </w:t>
            </w:r>
            <w:r>
              <w:rPr>
                <w:b/>
                <w:i/>
              </w:rPr>
              <w:t>este stabilit de rețeaua coordonată pentru monitorizarea detașării lucrătorilor</w:t>
            </w:r>
            <w:r>
              <w:t xml:space="preserve"> menționată la articolul </w:t>
            </w:r>
            <w:r>
              <w:rPr>
                <w:b/>
                <w:i/>
              </w:rPr>
              <w:t>4a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 stat membru care optează pentru utilizarea interfeței publice poate decide să </w:t>
            </w:r>
            <w:r>
              <w:rPr>
                <w:b/>
                <w:i/>
              </w:rPr>
              <w:t>nu solicite toate informațiile</w:t>
            </w:r>
            <w:r>
              <w:t xml:space="preserve"> cuprinse în formularul standard și informează Comisia în consecință.</w:t>
            </w:r>
          </w:p>
        </w:tc>
        <w:tc>
          <w:tcPr>
            <w:tcW w:w="4876" w:type="dxa"/>
            <w:tcBorders>
              <w:top w:val="nil"/>
              <w:left w:val="nil"/>
              <w:bottom w:val="nil"/>
              <w:right w:val="nil"/>
            </w:tcBorders>
          </w:tcPr>
          <w:p>
            <w:pPr>
              <w:pStyle w:val="Normal6a"/>
            </w:pPr>
            <w:r>
              <w:t>3.</w:t>
            </w:r>
            <w:r>
              <w:tab/>
            </w:r>
            <w:r>
              <w:t xml:space="preserve">Un stat membru care optează pentru utilizarea interfeței publice poate decide să </w:t>
            </w:r>
            <w:r>
              <w:rPr>
                <w:b/>
                <w:i/>
              </w:rPr>
              <w:t>utilizeze informații suplimentare față de cele</w:t>
            </w:r>
            <w:r>
              <w:t xml:space="preserve"> cuprinse în formularul standard</w:t>
            </w:r>
            <w:r>
              <w:rPr>
                <w:b/>
                <w:i/>
              </w:rPr>
              <w:t>, cu condiția ca punctele de informare suplimentare să fie conforme cu articolul 9 alineatul (1) din Directiva 2014/67/UE,</w:t>
            </w:r>
            <w:r>
              <w:t xml:space="preserve"> și informează Comisia în consecință. </w:t>
            </w:r>
            <w:r>
              <w:rPr>
                <w:b/>
                <w:i/>
              </w:rPr>
              <w:t>Alegerea de a utiliza puncte de informare suplimentare poate fi rezervată anumitor sectoare.</w:t>
            </w:r>
            <w:r>
              <w:t xml:space="preserve"> </w:t>
            </w:r>
            <w:r>
              <w:rPr>
                <w:b/>
                <w:i/>
              </w:rPr>
              <w:t>În urma unei notificări din partea statului membru, Comisia face, fără întârzieri nejustificate, modificările necesare în formularul național al statului membru de pe interfața publică.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Un stat membru care optează pentru utilizarea interfeței publice poate decide să nu solicite toate informațiile cuprinse în formularul standard și informează Comisia în consecință.</w:t>
            </w:r>
          </w:p>
        </w:tc>
        <w:tc>
          <w:tcPr>
            <w:tcW w:w="4876" w:type="dxa"/>
            <w:tcBorders>
              <w:top w:val="nil"/>
              <w:left w:val="nil"/>
              <w:bottom w:val="nil"/>
              <w:right w:val="nil"/>
            </w:tcBorders>
          </w:tcPr>
          <w:p>
            <w:pPr>
              <w:pStyle w:val="Normal6a"/>
            </w:pPr>
            <w:r>
              <w:t>3.</w:t>
            </w:r>
            <w:r>
              <w:tab/>
            </w:r>
            <w:r>
              <w:t>Un stat membru care optează</w:t>
            </w:r>
            <w:r>
              <w:rPr>
                <w:b/>
                <w:i/>
              </w:rPr>
              <w:t>, voluntar,</w:t>
            </w:r>
            <w:r>
              <w:t xml:space="preserve"> pentru utilizarea interfeței publice poate decide să nu solicite toate informațiile cuprinse în formularul standard și informează Comisia în consecință. </w:t>
            </w:r>
            <w:r>
              <w:rPr>
                <w:b/>
                <w:i/>
              </w:rPr>
              <w:t>Pe această bază, Comisia modifică formularul standard pentru statul membru în cauză în conformitate cu procedura menționată la articolul 8 alineatul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 stat membru care </w:t>
            </w:r>
            <w:r>
              <w:rPr>
                <w:b/>
                <w:i/>
              </w:rPr>
              <w:t>optează pentru utilizarea interfeței publice</w:t>
            </w:r>
            <w:r>
              <w:t xml:space="preserve"> poate decide să nu solicite toate informațiile cuprinse în formularul standard și informează Comisia în consecință.</w:t>
            </w:r>
          </w:p>
        </w:tc>
        <w:tc>
          <w:tcPr>
            <w:tcW w:w="4876" w:type="dxa"/>
            <w:tcBorders>
              <w:top w:val="nil"/>
              <w:left w:val="nil"/>
              <w:bottom w:val="nil"/>
              <w:right w:val="nil"/>
            </w:tcBorders>
          </w:tcPr>
          <w:p>
            <w:pPr>
              <w:pStyle w:val="Normal6a"/>
            </w:pPr>
            <w:r>
              <w:t>3.</w:t>
            </w:r>
            <w:r>
              <w:tab/>
            </w:r>
            <w:r>
              <w:t xml:space="preserve">Un stat membru care </w:t>
            </w:r>
            <w:r>
              <w:rPr>
                <w:b/>
                <w:i/>
              </w:rPr>
              <w:t>decide să utilizeze interfața publică</w:t>
            </w:r>
            <w:r>
              <w:t xml:space="preserve"> poate decide să nu solicite toate informațiile cuprinse în formularul standard și informează Comisia în consecință. </w:t>
            </w:r>
            <w:r>
              <w:rPr>
                <w:b/>
                <w:i/>
              </w:rPr>
              <w:t>Pe baza acestor informații, Comisia modifică formularul standard pentru statul membru în cauză în conformitate cu procedura menționată la articolul 8 alineatul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Arba Kokalari, Andrea Wechsler,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Un stat membru care optează pentru utilizarea interfeței publice poate decide să nu solicite toate informațiile cuprinse în formularul standard și informează Comisia în consecință.</w:t>
            </w:r>
          </w:p>
        </w:tc>
        <w:tc>
          <w:tcPr>
            <w:tcW w:w="4876" w:type="dxa"/>
            <w:tcBorders>
              <w:top w:val="nil"/>
              <w:left w:val="nil"/>
              <w:bottom w:val="nil"/>
              <w:right w:val="nil"/>
            </w:tcBorders>
          </w:tcPr>
          <w:p>
            <w:pPr>
              <w:pStyle w:val="Normal6a"/>
            </w:pPr>
            <w:r>
              <w:t>3.</w:t>
            </w:r>
            <w:r>
              <w:tab/>
            </w:r>
            <w:r>
              <w:t xml:space="preserve">Un stat membru care optează pentru utilizarea interfeței publice poate decide să nu solicite toate informațiile cuprinse în formularul standard și informează Comisia în consecință. </w:t>
            </w:r>
            <w:r>
              <w:rPr>
                <w:b/>
                <w:i/>
              </w:rPr>
              <w:t>Totuși, un stat membru nu solicită informații sau documente obligatorii suplimentare față de cele solicitate în formularul standard.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Un stat membru care optează pentru utilizarea interfeței publice poate decide să nu solicite toate informațiile cuprinse în formularul standard și informează Comisia în consecință.</w:t>
            </w:r>
          </w:p>
        </w:tc>
        <w:tc>
          <w:tcPr>
            <w:tcW w:w="4876" w:type="dxa"/>
            <w:tcBorders>
              <w:top w:val="nil"/>
              <w:left w:val="nil"/>
              <w:bottom w:val="nil"/>
              <w:right w:val="nil"/>
            </w:tcBorders>
          </w:tcPr>
          <w:p>
            <w:pPr>
              <w:pStyle w:val="Normal6a"/>
            </w:pPr>
            <w:r>
              <w:t>3.</w:t>
            </w:r>
            <w:r>
              <w:tab/>
            </w:r>
            <w:r>
              <w:t xml:space="preserve">Un stat membru care optează pentru utilizarea interfeței publice poate decide să nu solicite toate informațiile cuprinse în formularul standard și informează Comisia în consecință. </w:t>
            </w:r>
            <w:r>
              <w:rPr>
                <w:b/>
                <w:i/>
              </w:rPr>
              <w:t>Alegerea de a utiliza mai puține puncte de informare poate fi limitată la anumite sectoare ale pieței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Un stat membru care optează pentru utilizarea interfeței publice poate decide să nu solicite toate informațiile cuprinse în formularul standard și informează Comisia în consecință.</w:t>
            </w:r>
          </w:p>
        </w:tc>
        <w:tc>
          <w:tcPr>
            <w:tcW w:w="4876" w:type="dxa"/>
            <w:tcBorders>
              <w:top w:val="nil"/>
              <w:left w:val="nil"/>
              <w:bottom w:val="nil"/>
              <w:right w:val="nil"/>
            </w:tcBorders>
          </w:tcPr>
          <w:p>
            <w:pPr>
              <w:pStyle w:val="Normal6a"/>
            </w:pPr>
            <w:r>
              <w:t>3.</w:t>
            </w:r>
            <w:r>
              <w:tab/>
            </w:r>
            <w:r>
              <w:t xml:space="preserve">Un stat membru care optează pentru utilizarea interfeței publice poate decide să nu solicite toate informațiile cuprinse în formularul standard și informează Comisia în consecință. </w:t>
            </w:r>
            <w:r>
              <w:rPr>
                <w:b/>
                <w:i/>
              </w:rPr>
              <w:t>Alegerea de a utiliza mai puține puncte de informare poate fi limitată la anumite sectoare ale pieței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Brigitte van den Berg, Svenja Hahn,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 stat membru </w:t>
            </w:r>
            <w:r>
              <w:rPr>
                <w:b/>
                <w:i/>
              </w:rPr>
              <w:t>care optează pentru utilizarea interfeței publice</w:t>
            </w:r>
            <w:r>
              <w:t xml:space="preserve"> poate decide să nu solicite toate informațiile cuprinse în formularul standard și informează Comisia în consecință.</w:t>
            </w:r>
          </w:p>
        </w:tc>
        <w:tc>
          <w:tcPr>
            <w:tcW w:w="4876" w:type="dxa"/>
            <w:tcBorders>
              <w:top w:val="nil"/>
              <w:left w:val="nil"/>
              <w:bottom w:val="nil"/>
              <w:right w:val="nil"/>
            </w:tcBorders>
          </w:tcPr>
          <w:p>
            <w:pPr>
              <w:pStyle w:val="Normal6a"/>
            </w:pPr>
            <w:r>
              <w:t>3.</w:t>
            </w:r>
            <w:r>
              <w:tab/>
            </w:r>
            <w:r>
              <w:t>Un stat membru poate decide să nu solicite toate informațiile cuprinse în formularul standard și informează Comisia în consecință.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 stat membru </w:t>
            </w:r>
            <w:r>
              <w:rPr>
                <w:b/>
                <w:i/>
              </w:rPr>
              <w:t>care optează pentru utilizarea interfeței publice</w:t>
            </w:r>
            <w:r>
              <w:t xml:space="preserve"> poate decide să nu solicite toate informațiile cuprinse în formularul standard și informează Comisia în consecință.</w:t>
            </w:r>
          </w:p>
        </w:tc>
        <w:tc>
          <w:tcPr>
            <w:tcW w:w="4876" w:type="dxa"/>
            <w:tcBorders>
              <w:top w:val="nil"/>
              <w:left w:val="nil"/>
              <w:bottom w:val="nil"/>
              <w:right w:val="nil"/>
            </w:tcBorders>
          </w:tcPr>
          <w:p>
            <w:pPr>
              <w:pStyle w:val="Normal6a"/>
            </w:pPr>
            <w:r>
              <w:t>3.</w:t>
            </w:r>
            <w:r>
              <w:tab/>
            </w:r>
            <w:r>
              <w:t>Un stat membru poate decide să nu solicite toate informațiile cuprinse în formularul standard și informează Comisia în consecință.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 stat membru </w:t>
            </w:r>
            <w:r>
              <w:rPr>
                <w:b/>
                <w:i/>
              </w:rPr>
              <w:t>care optează pentru utilizarea interfeței publice</w:t>
            </w:r>
            <w:r>
              <w:t xml:space="preserve"> poate decide să nu solicite toate informațiile cuprinse în formularul standard și informează Comisia în consecință.</w:t>
            </w:r>
          </w:p>
        </w:tc>
        <w:tc>
          <w:tcPr>
            <w:tcW w:w="4876" w:type="dxa"/>
            <w:tcBorders>
              <w:top w:val="nil"/>
              <w:left w:val="nil"/>
              <w:bottom w:val="nil"/>
              <w:right w:val="nil"/>
            </w:tcBorders>
          </w:tcPr>
          <w:p>
            <w:pPr>
              <w:pStyle w:val="Normal6a"/>
            </w:pPr>
            <w:r>
              <w:t>3.</w:t>
            </w:r>
            <w:r>
              <w:tab/>
            </w:r>
            <w:r>
              <w:t>Un stat membru poate decide să nu solicite toate informațiile cuprinse în formularul standard și informează Comisia în consecință.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Un stat membru care optează pentru utilizarea interfeței publice poate decide să utilizeze informații suplimentare, în conformitate cu monitorizarea eficace a respectării obligațiilor prevăzute de directivele 2014/67/UE și 96/71/CE, în temeiul articolului 9 alineatul (1) din Directiva 2014/67/UE.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urma unei notificări din partea statului membru în cauză, Comisia aduce, fără întârzieri nejustificate, modificările necesare interfeței publice pentru statul membru respectiv.</w:t>
            </w:r>
            <w:r>
              <w:rPr>
                <w:b/>
                <w:i/>
              </w:rPr>
              <w:t>Statul membru poate limita utilizarea informațiilor suplimentare la sectoare specifice ale pieței muncii.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Atunci când aduce modificări interfețelor publice pentru statul membru în cauză, Comisia urmărește să armonizeze formatul punctelor de informare suplimentare utilizate de două sau mai multe state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Un stat membru care optează pentru utilizarea interfeței publice poate decide să utilizeze informații suplimentare în formularul său standard, în conformitate cu monitorizarea eficace a respectării obligațiilor prevăzute de directivele 2014/67/UE și 96/71/CE, în temeiul articolului 9 alineatul (1) din Directiva 2014/67/UE.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urma unei notificări din partea statului membru în cauză, Comisia aduce, fără întârzieri nejustificate, modificările necesare formularului standard pentru statul membru respectiv.</w:t>
            </w:r>
            <w:r>
              <w:rPr>
                <w:b/>
                <w:i/>
              </w:rPr>
              <w:t>Statul membru poate limita utilizarea informațiilor suplimentare la sectoare specifice ale pieței muncii.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Atunci când aduce modificări formularului standard pentru statul membru în cauză, Comisia urmărește să armonizeze formatul punctelor de informare suplimentare utilizate de două sau mai multe state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Statele membre pot prezenta Comisiei sugestii de modificare (modificări) a (ale) formularului standard.</w:t>
            </w:r>
            <w:r>
              <w:t xml:space="preserve"> </w:t>
            </w:r>
            <w:r>
              <w:rPr>
                <w:b/>
                <w:i/>
              </w:rPr>
              <w:t>Comisia examinează aceste sugestii în vederea modificării, după caz, a formularului standard.</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Statele membre pot prezenta Comisiei sugestii de modificare (modificări) a (ale) formularului standard.</w:t>
            </w:r>
            <w:r>
              <w:t xml:space="preserve"> </w:t>
            </w:r>
            <w:r>
              <w:rPr>
                <w:b/>
                <w:i/>
              </w:rPr>
              <w:t>Comisia examinează aceste sugestii în vederea modificării, după caz, a formularului standard.</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Statele membre</w:t>
            </w:r>
            <w:r>
              <w:t xml:space="preserve"> pot prezenta Comisiei sugestii de modificare (modificări) a (ale) formularului standard. Comisia examinează aceste sugestii în vederea modificării, după caz, a formularului standard.</w:t>
            </w:r>
          </w:p>
        </w:tc>
        <w:tc>
          <w:tcPr>
            <w:tcW w:w="4876" w:type="dxa"/>
            <w:tcBorders>
              <w:top w:val="nil"/>
              <w:left w:val="nil"/>
              <w:bottom w:val="nil"/>
              <w:right w:val="nil"/>
            </w:tcBorders>
          </w:tcPr>
          <w:p>
            <w:pPr>
              <w:pStyle w:val="Normal6a"/>
            </w:pPr>
            <w:r>
              <w:t>4.</w:t>
            </w:r>
            <w:r>
              <w:tab/>
            </w:r>
            <w:r>
              <w:rPr>
                <w:b/>
                <w:i/>
              </w:rPr>
              <w:t>Orice stat membru</w:t>
            </w:r>
            <w:r>
              <w:t xml:space="preserve"> pot prezenta Comisiei sugestii </w:t>
            </w:r>
            <w:r>
              <w:rPr>
                <w:b/>
                <w:i/>
              </w:rPr>
              <w:t>motivate</w:t>
            </w:r>
            <w:r>
              <w:t xml:space="preserve"> de modificare (modificări) a (ale) formularului standard. Comisia examinează aceste sugestii </w:t>
            </w:r>
            <w:r>
              <w:rPr>
                <w:b/>
                <w:i/>
              </w:rPr>
              <w:t>fără întârzieri nejustificate,</w:t>
            </w:r>
            <w:r>
              <w:t xml:space="preserve"> în vederea modificării, după caz, a formularului standard. </w:t>
            </w:r>
            <w:r>
              <w:rPr>
                <w:b/>
                <w:i/>
              </w:rPr>
              <w:t>Dacă Comisia consideră că o modificare sugerată de un stat membru este nejustificată sau disproporționată, ea furnizează statului membru, într-un termen rezonabil, o explicație motivată.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Arba Kokalari, Andrea Wechsler,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Statele membre pot prezenta Comisiei sugestii de modificare (modificări) a (ale) formularului standard. Comisia examinează aceste sugestii </w:t>
            </w:r>
            <w:r>
              <w:rPr>
                <w:b/>
                <w:i/>
              </w:rPr>
              <w:t>în vederea modificării</w:t>
            </w:r>
            <w:r>
              <w:t>, după caz</w:t>
            </w:r>
            <w:r>
              <w:rPr>
                <w:b/>
                <w:i/>
              </w:rPr>
              <w:t>, a formularului standard</w:t>
            </w:r>
            <w:r>
              <w:t>.</w:t>
            </w:r>
          </w:p>
        </w:tc>
        <w:tc>
          <w:tcPr>
            <w:tcW w:w="4876" w:type="dxa"/>
            <w:tcBorders>
              <w:top w:val="nil"/>
              <w:left w:val="nil"/>
              <w:bottom w:val="nil"/>
              <w:right w:val="nil"/>
            </w:tcBorders>
          </w:tcPr>
          <w:p>
            <w:pPr>
              <w:pStyle w:val="Normal6a"/>
            </w:pPr>
            <w:r>
              <w:t>4.</w:t>
            </w:r>
            <w:r>
              <w:tab/>
            </w:r>
            <w:r>
              <w:t xml:space="preserve">Statele membre pot prezenta Comisiei sugestii de modificare (modificări) a (ale) formularului standard. Comisia examinează aceste sugestii </w:t>
            </w:r>
            <w:r>
              <w:rPr>
                <w:b/>
                <w:i/>
              </w:rPr>
              <w:t>printr-o evaluare a impactului, asigurându-se că orice modificare sprijină competitivitatea, facilitează prestarea de servicii, consolidează libera circulație a lucrătorilor în cadrul pieței interne și nu crește sarcinile administrative, modificând formularul standard</w:t>
            </w:r>
            <w:r>
              <w:t>, după 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Brigitte van den Berg,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Statele membre pot prezenta Comisiei sugestii de modificare (modificări) a (ale) formularului standard. Comisia examinează aceste sugestii în vederea modificării, după caz, a formularului standard.</w:t>
            </w:r>
          </w:p>
        </w:tc>
        <w:tc>
          <w:tcPr>
            <w:tcW w:w="4876" w:type="dxa"/>
            <w:tcBorders>
              <w:top w:val="nil"/>
              <w:left w:val="nil"/>
              <w:bottom w:val="nil"/>
              <w:right w:val="nil"/>
            </w:tcBorders>
          </w:tcPr>
          <w:p>
            <w:pPr>
              <w:pStyle w:val="Normal6a"/>
            </w:pPr>
            <w:r>
              <w:t>4.</w:t>
            </w:r>
            <w:r>
              <w:tab/>
            </w:r>
            <w:r>
              <w:t xml:space="preserve">Statele membre pot prezenta Comisiei sugestii de modificare (modificări) a (ale) formularului standard. Comisia examinează aceste sugestii în vederea modificării, după caz, a formularului standard. </w:t>
            </w:r>
            <w:r>
              <w:rPr>
                <w:b/>
                <w:i/>
              </w:rPr>
              <w:t>Dacă Comisia decide să nu propună modificarea (modificările) sugerată (sugerate), ea furnizează un răspuns motivat statului membru, prezentând motivele care stau la baza deciziei sale.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Andreas Schwab, Pascal Arimont,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Statele membre pot </w:t>
            </w:r>
            <w:r>
              <w:rPr>
                <w:b/>
                <w:i/>
              </w:rPr>
              <w:t>prezenta</w:t>
            </w:r>
            <w:r>
              <w:t xml:space="preserve"> Comisiei </w:t>
            </w:r>
            <w:r>
              <w:rPr>
                <w:b/>
                <w:i/>
              </w:rPr>
              <w:t>sugestii de modificare (modificări) a (ale) formularului</w:t>
            </w:r>
            <w:r>
              <w:t xml:space="preserve"> standard. Comisia examinează aceste </w:t>
            </w:r>
            <w:r>
              <w:rPr>
                <w:b/>
                <w:i/>
              </w:rPr>
              <w:t>sugestii</w:t>
            </w:r>
            <w:r>
              <w:t xml:space="preserve"> în vederea modificării, după caz, a formularului standard.</w:t>
            </w:r>
          </w:p>
        </w:tc>
        <w:tc>
          <w:tcPr>
            <w:tcW w:w="4876" w:type="dxa"/>
            <w:tcBorders>
              <w:top w:val="nil"/>
              <w:left w:val="nil"/>
              <w:bottom w:val="nil"/>
              <w:right w:val="nil"/>
            </w:tcBorders>
          </w:tcPr>
          <w:p>
            <w:pPr>
              <w:pStyle w:val="Normal6a"/>
            </w:pPr>
            <w:r>
              <w:t>4.</w:t>
            </w:r>
            <w:r>
              <w:tab/>
            </w:r>
            <w:r>
              <w:t xml:space="preserve">Statele membre pot </w:t>
            </w:r>
            <w:r>
              <w:rPr>
                <w:b/>
                <w:i/>
              </w:rPr>
              <w:t>solicita</w:t>
            </w:r>
            <w:r>
              <w:t xml:space="preserve"> Comisiei </w:t>
            </w:r>
            <w:r>
              <w:rPr>
                <w:b/>
                <w:i/>
              </w:rPr>
              <w:t>o autorizație prealabilă pentru a adăuga puncte de date suplimentare la formularul</w:t>
            </w:r>
            <w:r>
              <w:t xml:space="preserve"> standard </w:t>
            </w:r>
            <w:r>
              <w:rPr>
                <w:b/>
                <w:i/>
              </w:rPr>
              <w:t>stabilit în anexa I</w:t>
            </w:r>
            <w:r>
              <w:t xml:space="preserve">. Comisia examinează aceste </w:t>
            </w:r>
            <w:r>
              <w:rPr>
                <w:b/>
                <w:i/>
              </w:rPr>
              <w:t>cereri</w:t>
            </w:r>
            <w:r>
              <w:t xml:space="preserve"> în vederea modificării, după caz, a formularului standard </w:t>
            </w:r>
            <w:r>
              <w:rPr>
                <w:b/>
                <w:i/>
              </w:rPr>
              <w:t>în urma unei evaluări a proporționalității și a justificării noilor puncte de date solicitate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Statele membre pot</w:t>
            </w:r>
            <w:r>
              <w:t xml:space="preserve"> prezenta Comisiei sugestii de modificare (modificări) a (ale) formularului standard. Comisia examinează aceste sugestii </w:t>
            </w:r>
            <w:r>
              <w:rPr>
                <w:b/>
                <w:i/>
              </w:rPr>
              <w:t>în vederea modificării, după caz, a formularului</w:t>
            </w:r>
            <w:r>
              <w:t xml:space="preserve"> standard.</w:t>
            </w:r>
          </w:p>
        </w:tc>
        <w:tc>
          <w:tcPr>
            <w:tcW w:w="4876" w:type="dxa"/>
            <w:tcBorders>
              <w:top w:val="nil"/>
              <w:left w:val="nil"/>
              <w:bottom w:val="nil"/>
              <w:right w:val="nil"/>
            </w:tcBorders>
          </w:tcPr>
          <w:p>
            <w:pPr>
              <w:pStyle w:val="Normal6a"/>
            </w:pPr>
            <w:r>
              <w:t>4.</w:t>
            </w:r>
            <w:r>
              <w:tab/>
            </w:r>
            <w:r>
              <w:rPr>
                <w:b/>
                <w:i/>
              </w:rPr>
              <w:t>Orice stat membru poate</w:t>
            </w:r>
            <w:r>
              <w:t xml:space="preserve"> prezenta Comisiei sugestii de modificare (modificări) a (ale) formularului standard</w:t>
            </w:r>
            <w:r>
              <w:rPr>
                <w:b/>
                <w:i/>
              </w:rPr>
              <w:t>, explicând motivele care stau la baza sugestiei</w:t>
            </w:r>
            <w:r>
              <w:t>. Comisia examinează</w:t>
            </w:r>
            <w:r>
              <w:rPr>
                <w:b/>
                <w:i/>
              </w:rPr>
              <w:t>, într-un termen rezonabil,</w:t>
            </w:r>
            <w:r>
              <w:t xml:space="preserve"> aceste sugestii </w:t>
            </w:r>
            <w:r>
              <w:rPr>
                <w:b/>
                <w:i/>
              </w:rPr>
              <w:t>și prezintă un proiect de act de punere în aplicare pentru a modifica formularul</w:t>
            </w:r>
            <w:r>
              <w:t xml:space="preserve"> standard </w:t>
            </w:r>
            <w:r>
              <w:rPr>
                <w:b/>
                <w:i/>
              </w:rPr>
              <w:t>în conformitate cu procedura menționată la alineatul (2)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Statele membre pot prezenta Comisiei sugestii de modificare </w:t>
            </w:r>
            <w:r>
              <w:rPr>
                <w:b/>
                <w:i/>
              </w:rPr>
              <w:t>(modificări) a (ale)</w:t>
            </w:r>
            <w:r>
              <w:t xml:space="preserve"> formularului standard. Comisia examinează aceste sugestii în vederea modificării, după caz, a formularului standard.</w:t>
            </w:r>
          </w:p>
        </w:tc>
        <w:tc>
          <w:tcPr>
            <w:tcW w:w="4876" w:type="dxa"/>
            <w:tcBorders>
              <w:top w:val="nil"/>
              <w:left w:val="nil"/>
              <w:bottom w:val="nil"/>
              <w:right w:val="nil"/>
            </w:tcBorders>
          </w:tcPr>
          <w:p>
            <w:pPr>
              <w:pStyle w:val="Normal6a"/>
            </w:pPr>
            <w:r>
              <w:t>4.</w:t>
            </w:r>
            <w:r>
              <w:tab/>
            </w:r>
            <w:r>
              <w:t xml:space="preserve">Statele membre pot prezenta Comisiei sugestii de modificare </w:t>
            </w:r>
            <w:r>
              <w:rPr>
                <w:b/>
                <w:i/>
              </w:rPr>
              <w:t>a</w:t>
            </w:r>
            <w:r>
              <w:t xml:space="preserve"> formularului standard</w:t>
            </w:r>
            <w:r>
              <w:rPr>
                <w:b/>
                <w:i/>
              </w:rPr>
              <w:t>, pentru a ține seama de realitățile locale ale fiecărui stat membru, precum și de legislația lor națională</w:t>
            </w:r>
            <w:r>
              <w:t>. Comisia examinează aceste sugestii în vederea modificării, după caz, a formularului standard.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Statele membre pot</w:t>
            </w:r>
            <w:r>
              <w:t xml:space="preserve"> prezenta Comisiei sugestii de modificare (modificări) a (ale) formularului standard. Comisia examinează aceste sugestii în vederea modificării, după caz, a formularului standard.</w:t>
            </w:r>
          </w:p>
        </w:tc>
        <w:tc>
          <w:tcPr>
            <w:tcW w:w="4876" w:type="dxa"/>
            <w:tcBorders>
              <w:top w:val="nil"/>
              <w:left w:val="nil"/>
              <w:bottom w:val="nil"/>
              <w:right w:val="nil"/>
            </w:tcBorders>
          </w:tcPr>
          <w:p>
            <w:pPr>
              <w:pStyle w:val="Normal6a"/>
            </w:pPr>
            <w:r>
              <w:t>4.</w:t>
            </w:r>
            <w:r>
              <w:tab/>
            </w:r>
            <w:r>
              <w:rPr>
                <w:b/>
                <w:i/>
              </w:rPr>
              <w:t>Orice stat membru poate</w:t>
            </w:r>
            <w:r>
              <w:t xml:space="preserve"> prezenta Comisiei sugestii de modificare (modificări) a (ale) formularului standard</w:t>
            </w:r>
            <w:r>
              <w:rPr>
                <w:b/>
                <w:i/>
              </w:rPr>
              <w:t>, explicând motivele care stau la baza sugestiei</w:t>
            </w:r>
            <w:r>
              <w:t xml:space="preserve">. Comisia examinează aceste sugestii </w:t>
            </w:r>
            <w:r>
              <w:rPr>
                <w:b/>
                <w:i/>
              </w:rPr>
              <w:t>într-un termen rezonabil,</w:t>
            </w:r>
            <w:r>
              <w:t xml:space="preserve"> în vederea modificării, după caz, a formularului standard.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Andreas Schwab, Pascal Arimont,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La sugestia unui stat membru sau din proprie inițiativă, Comisia poate propune o modificare a formularului standard, în conformitate cu procedura menționată la alineatul (2) de la prezentul articol.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La sugestia unui stat membru sau din proprie inițiativă, Comisia poate propune o modificare a formularului standard, în conformitate cu procedura menționată la alineatul (2) de la prezentul articol.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La sugestia unui stat membru sau din proprie inițiativă, Comisia </w:t>
            </w:r>
            <w:r>
              <w:rPr>
                <w:b/>
                <w:i/>
              </w:rPr>
              <w:t>poate propune o modificare a formularului</w:t>
            </w:r>
            <w:r>
              <w:t xml:space="preserve"> standard</w:t>
            </w:r>
            <w:r>
              <w:rPr>
                <w:b/>
                <w:i/>
              </w:rPr>
              <w:t>,</w:t>
            </w:r>
            <w:r>
              <w:t xml:space="preserve"> în conformitate cu procedura menționată la alineatul (2) </w:t>
            </w:r>
            <w:r>
              <w:rPr>
                <w:b/>
                <w:i/>
              </w:rPr>
              <w:t>de la prezentul articol</w:t>
            </w:r>
            <w:r>
              <w:t>.</w:t>
            </w:r>
          </w:p>
        </w:tc>
        <w:tc>
          <w:tcPr>
            <w:tcW w:w="4876" w:type="dxa"/>
            <w:tcBorders>
              <w:top w:val="nil"/>
              <w:left w:val="nil"/>
              <w:bottom w:val="nil"/>
              <w:right w:val="nil"/>
            </w:tcBorders>
          </w:tcPr>
          <w:p>
            <w:pPr>
              <w:pStyle w:val="Normal6a"/>
            </w:pPr>
            <w:r>
              <w:t>5.</w:t>
            </w:r>
            <w:r>
              <w:tab/>
            </w:r>
            <w:r>
              <w:rPr>
                <w:b/>
                <w:i/>
              </w:rPr>
              <w:t>După caz, în conformitate cu alineatul (1),</w:t>
            </w:r>
            <w:r>
              <w:t xml:space="preserve"> la sugestia unui stat membru sau din proprie inițiativă, Comisia </w:t>
            </w:r>
            <w:r>
              <w:rPr>
                <w:b/>
                <w:i/>
              </w:rPr>
              <w:t>modifică formularul</w:t>
            </w:r>
            <w:r>
              <w:t xml:space="preserve"> standard </w:t>
            </w:r>
            <w:r>
              <w:rPr>
                <w:b/>
                <w:i/>
              </w:rPr>
              <w:t>prezentând un proiect de act de punere în aplicare</w:t>
            </w:r>
            <w:r>
              <w:t xml:space="preserve"> în conformitate </w:t>
            </w:r>
            <w:r>
              <w:rPr>
                <w:b/>
                <w:i/>
              </w:rPr>
              <w:t>cu dreptul intern și</w:t>
            </w:r>
            <w:r>
              <w:t xml:space="preserve"> cu procedura menționată la alineatul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Sebastian Kruis, Rachel Blom, Elisabeth Dieringer, Filip Turek, Marie Dauchy, Mélanie Disdier,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La sugestia unui stat membru</w:t>
            </w:r>
            <w:r>
              <w:t xml:space="preserve"> sau din proprie inițiativă, </w:t>
            </w:r>
            <w:r>
              <w:rPr>
                <w:b/>
                <w:i/>
              </w:rPr>
              <w:t>Comisia poate propune o modificare a</w:t>
            </w:r>
            <w:r>
              <w:t xml:space="preserve"> formularului standard, </w:t>
            </w:r>
            <w:r>
              <w:rPr>
                <w:b/>
                <w:i/>
              </w:rPr>
              <w:t>în conformitate cu procedura menționată la alineatul (2) de la prezentul articol</w:t>
            </w:r>
            <w:r>
              <w:t>.</w:t>
            </w:r>
          </w:p>
        </w:tc>
        <w:tc>
          <w:tcPr>
            <w:tcW w:w="4876" w:type="dxa"/>
            <w:tcBorders>
              <w:top w:val="nil"/>
              <w:left w:val="nil"/>
              <w:bottom w:val="nil"/>
              <w:right w:val="nil"/>
            </w:tcBorders>
          </w:tcPr>
          <w:p>
            <w:pPr>
              <w:pStyle w:val="Normal6a"/>
            </w:pPr>
            <w:r>
              <w:t>5.</w:t>
            </w:r>
            <w:r>
              <w:tab/>
            </w:r>
            <w:r>
              <w:rPr>
                <w:b/>
                <w:i/>
              </w:rPr>
              <w:t>Rețeaua coordonată de monitorizare a detașării lucrătorilor menționată la articolul 4a poate, la cererea unuia sau mai multor state membre</w:t>
            </w:r>
            <w:r>
              <w:t xml:space="preserve"> sau din proprie inițiativă, </w:t>
            </w:r>
            <w:r>
              <w:rPr>
                <w:b/>
                <w:i/>
              </w:rPr>
              <w:t>să revizuiască și să adopte modificări ale</w:t>
            </w:r>
            <w:r>
              <w:t xml:space="preserve"> formularului standard, </w:t>
            </w:r>
            <w:r>
              <w:rPr>
                <w:b/>
                <w:i/>
              </w:rPr>
              <w:t>pentru a-l adapta la evoluția nevoilor administrative sau a contextelor naționale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 sugestia unui stat membru sau din proprie inițiativă, Comisia poate propune o modificare a formularului standard, în conformitate cu procedura menționată la alineatul (2) de la prezentul articol.</w:t>
            </w:r>
          </w:p>
        </w:tc>
        <w:tc>
          <w:tcPr>
            <w:tcW w:w="4876" w:type="dxa"/>
            <w:tcBorders>
              <w:top w:val="nil"/>
              <w:left w:val="nil"/>
              <w:bottom w:val="nil"/>
              <w:right w:val="nil"/>
            </w:tcBorders>
          </w:tcPr>
          <w:p>
            <w:pPr>
              <w:pStyle w:val="Normal6a"/>
            </w:pPr>
            <w:r>
              <w:t>5.</w:t>
            </w:r>
            <w:r>
              <w:tab/>
            </w:r>
            <w:r>
              <w:t xml:space="preserve">La sugestia unui stat membru sau din proprie inițiativă, Comisia poate </w:t>
            </w:r>
            <w:r>
              <w:rPr>
                <w:b/>
                <w:i/>
              </w:rPr>
              <w:t>prezenta un proiect de act delegat pentru a</w:t>
            </w:r>
            <w:r>
              <w:t xml:space="preserve"> propune o modificare a formularului standard, în conformitate cu procedura menționată la alineatul (2) de la prezentul articol.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La sugestia unui stat membru sau din proprie inițiativă, Comisia poate </w:t>
            </w:r>
            <w:r>
              <w:rPr>
                <w:b/>
                <w:i/>
              </w:rPr>
              <w:t>propune o modificare a formularului</w:t>
            </w:r>
            <w:r>
              <w:t xml:space="preserve"> standard, în conformitate cu procedura menționată la alineatul (2) de la prezentul articol.</w:t>
            </w:r>
          </w:p>
        </w:tc>
        <w:tc>
          <w:tcPr>
            <w:tcW w:w="4876" w:type="dxa"/>
            <w:tcBorders>
              <w:top w:val="nil"/>
              <w:left w:val="nil"/>
              <w:bottom w:val="nil"/>
              <w:right w:val="nil"/>
            </w:tcBorders>
          </w:tcPr>
          <w:p>
            <w:pPr>
              <w:pStyle w:val="Normal6a"/>
            </w:pPr>
            <w:r>
              <w:t>5.</w:t>
            </w:r>
            <w:r>
              <w:tab/>
            </w:r>
            <w:r>
              <w:t xml:space="preserve">La sugestia unui stat membru sau din proprie inițiativă, Comisia poate </w:t>
            </w:r>
            <w:r>
              <w:rPr>
                <w:b/>
                <w:i/>
              </w:rPr>
              <w:t>prezenta un proiect de act delegat pentru a modifica formularul</w:t>
            </w:r>
            <w:r>
              <w:t xml:space="preserve"> standard, în conformitate cu procedura menționată la alineatul (2) de la prezentul articol.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La sugestia unui stat membru </w:t>
            </w:r>
            <w:r>
              <w:rPr>
                <w:b/>
                <w:i/>
              </w:rPr>
              <w:t>sau din proprie inițiativă</w:t>
            </w:r>
            <w:r>
              <w:t>, Comisia poate propune o modificare a formularului standard, în conformitate cu procedura menționată la alineatul (2) de la prezentul articol.</w:t>
            </w:r>
          </w:p>
        </w:tc>
        <w:tc>
          <w:tcPr>
            <w:tcW w:w="4876" w:type="dxa"/>
            <w:tcBorders>
              <w:top w:val="nil"/>
              <w:left w:val="nil"/>
              <w:bottom w:val="nil"/>
              <w:right w:val="nil"/>
            </w:tcBorders>
          </w:tcPr>
          <w:p>
            <w:pPr>
              <w:pStyle w:val="Normal6a"/>
            </w:pPr>
            <w:r>
              <w:t>5.</w:t>
            </w:r>
            <w:r>
              <w:tab/>
            </w:r>
            <w:r>
              <w:t>La sugestia unui stat membru, Comisia poate propune o modificare a formularului standard, în conformitate cu procedura menționată la alineatul (2) de la prezentul articol.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La sugestia unui stat membru sau</w:t>
            </w:r>
            <w:r>
              <w:t xml:space="preserve"> din proprie inițiativă, Comisia poate </w:t>
            </w:r>
            <w:r>
              <w:rPr>
                <w:b/>
                <w:i/>
              </w:rPr>
              <w:t>propune o modificare a formularului</w:t>
            </w:r>
            <w:r>
              <w:t xml:space="preserve"> standard, în conformitate cu procedura menționată la alineatul (2) de la prezentul articol.</w:t>
            </w:r>
          </w:p>
        </w:tc>
        <w:tc>
          <w:tcPr>
            <w:tcW w:w="4876" w:type="dxa"/>
            <w:tcBorders>
              <w:top w:val="nil"/>
              <w:left w:val="nil"/>
              <w:bottom w:val="nil"/>
              <w:right w:val="nil"/>
            </w:tcBorders>
          </w:tcPr>
          <w:p>
            <w:pPr>
              <w:pStyle w:val="Normal6a"/>
            </w:pPr>
            <w:r>
              <w:t>5.</w:t>
            </w:r>
            <w:r>
              <w:tab/>
            </w:r>
            <w:r>
              <w:t xml:space="preserve">Din proprie inițiativă, Comisia poate </w:t>
            </w:r>
            <w:r>
              <w:rPr>
                <w:b/>
                <w:i/>
              </w:rPr>
              <w:t>prezenta un proiect de act de punere în aplicare pentru a modifica formularul</w:t>
            </w:r>
            <w:r>
              <w:t xml:space="preserve"> standard, în conformitate cu procedura menționată la alineatul (2) de la prezentul articol.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Arba Kokalari, Andrea Wechsler,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5a.</w:t>
            </w:r>
            <w:r>
              <w:tab/>
            </w:r>
            <w:r>
              <w:rPr>
                <w:b/>
                <w:i/>
              </w:rPr>
              <w:t>Formularul standard este revizuit o dată la trei ani, acordând prioritate simplificării și reducerii sarcinilor administrative, evoluțiilor tehnologice și feedbackului din partea utilizatorilor, asigurându-se că acesta rămâne adecvat scopului său inițial.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Sebastian Kruis, Rachel Blom, Elisabeth Dieringer, Filip Turek, Marie Dauchy, Mélanie Disdier,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Articolul 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Rețeaua coordonată pentru monitorizarea detașării lucrătorilor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Pentru a simplifica procedurile administrative pe care le trebui să le îndeplinească întreprinderile care detașează lucrători și autoritățile publice responsabile de prelucrarea acestor declarații, precum și pentru a facilita controalele, a consolida monitorizarea eficace de către statele membre a respectării dreptului Uniunii și a dreptului intern privind protecția lucrătorilor detașați, a spori transparența și a promova cooperarea administrativă între autoritățile naționale competente, statele membre instituie o rețea coordonată de autorități naționale responsabile de monitorizarea detașării lucrătorilor.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Rețeaua coordonată este compusă dintr-un reprezentant al autorităților naționale competente din fiecare stat membru.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Rețeaua coordonată elaborează formularul standard menționat la articolul 4 alineatul (1) până la ... [6 luni de la intrarea în vigoare a prezentului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În scopul îndeplinirii obiectivelor prevăzute la articolul 1, datele cu caracter personal menționate la alineatele (2) și (3) pot fi prelucrate de interfața publică.</w:t>
            </w:r>
          </w:p>
        </w:tc>
        <w:tc>
          <w:tcPr>
            <w:tcW w:w="4876" w:type="dxa"/>
            <w:tcBorders>
              <w:top w:val="nil"/>
              <w:left w:val="nil"/>
              <w:bottom w:val="nil"/>
              <w:right w:val="nil"/>
            </w:tcBorders>
          </w:tcPr>
          <w:p>
            <w:pPr>
              <w:pStyle w:val="Normal6a"/>
            </w:pPr>
            <w:r>
              <w:t>1.</w:t>
            </w:r>
            <w:r>
              <w:tab/>
            </w:r>
            <w:r>
              <w:t xml:space="preserve">În scopul îndeplinirii obiectivelor prevăzute la articolul 1, datele cu caracter personal menționate la alineatele (2) și (3) pot fi prelucrate de interfața publică </w:t>
            </w:r>
            <w:r>
              <w:rPr>
                <w:b/>
                <w:i/>
              </w:rPr>
              <w:t>și de registrul IMI prevăzut în acest sens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În scopul îndeplinirii obiectivelor prevăzute la articolul 1, datele cu caracter personal menționate la alineatele (2) și (3) pot fi prelucrate de interfața publică.</w:t>
            </w:r>
          </w:p>
        </w:tc>
        <w:tc>
          <w:tcPr>
            <w:tcW w:w="4876" w:type="dxa"/>
            <w:tcBorders>
              <w:top w:val="nil"/>
              <w:left w:val="nil"/>
              <w:bottom w:val="nil"/>
              <w:right w:val="nil"/>
            </w:tcBorders>
          </w:tcPr>
          <w:p>
            <w:pPr>
              <w:pStyle w:val="Normal6a"/>
            </w:pPr>
            <w:r>
              <w:t>1.</w:t>
            </w:r>
            <w:r>
              <w:tab/>
            </w:r>
            <w:r>
              <w:t xml:space="preserve">În scopul îndeplinirii obiectivelor prevăzute la articolul 1, datele cu caracter personal menționate la alineatele (2) și (3) pot fi prelucrate de interfața publică </w:t>
            </w:r>
            <w:r>
              <w:rPr>
                <w:b/>
                <w:i/>
              </w:rPr>
              <w:t>și de registrul IMI prevăzut în acest sens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2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asigurarea securității și disponibilității interfeței publice;</w:t>
            </w:r>
          </w:p>
        </w:tc>
        <w:tc>
          <w:tcPr>
            <w:tcW w:w="4876" w:type="dxa"/>
            <w:tcBorders>
              <w:top w:val="nil"/>
              <w:left w:val="nil"/>
              <w:bottom w:val="nil"/>
              <w:right w:val="nil"/>
            </w:tcBorders>
          </w:tcPr>
          <w:p>
            <w:pPr>
              <w:pStyle w:val="Normal6a"/>
            </w:pPr>
            <w:r>
              <w:t>(a)</w:t>
            </w:r>
            <w:r>
              <w:tab/>
            </w:r>
            <w:r>
              <w:t xml:space="preserve">asigurarea securității și disponibilității interfeței publice </w:t>
            </w:r>
            <w:r>
              <w:rPr>
                <w:b/>
                <w:i/>
              </w:rPr>
              <w:t>și a registrului IMI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2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asigurarea securității și disponibilității interfeței publice;</w:t>
            </w:r>
          </w:p>
        </w:tc>
        <w:tc>
          <w:tcPr>
            <w:tcW w:w="4876" w:type="dxa"/>
            <w:tcBorders>
              <w:top w:val="nil"/>
              <w:left w:val="nil"/>
              <w:bottom w:val="nil"/>
              <w:right w:val="nil"/>
            </w:tcBorders>
          </w:tcPr>
          <w:p>
            <w:pPr>
              <w:pStyle w:val="Normal6a"/>
            </w:pPr>
            <w:r>
              <w:t>(a)</w:t>
            </w:r>
            <w:r>
              <w:tab/>
            </w:r>
            <w:r>
              <w:t xml:space="preserve">asigurarea securității și disponibilității interfeței publice </w:t>
            </w:r>
            <w:r>
              <w:rPr>
                <w:b/>
                <w:i/>
              </w:rPr>
              <w:t>și a registrului IMI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2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celelalte state membre în care lucrătorul este detașat în aceeași perioadă;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Brigitte van den Berg, Svenja Hahn,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identitatea </w:t>
            </w:r>
            <w:r>
              <w:rPr>
                <w:b/>
                <w:i/>
              </w:rPr>
              <w:t>unui lucrător detașat</w:t>
            </w:r>
            <w:r>
              <w:t>;</w:t>
            </w:r>
          </w:p>
        </w:tc>
        <w:tc>
          <w:tcPr>
            <w:tcW w:w="4876" w:type="dxa"/>
            <w:tcBorders>
              <w:top w:val="nil"/>
              <w:left w:val="nil"/>
              <w:bottom w:val="nil"/>
              <w:right w:val="nil"/>
            </w:tcBorders>
          </w:tcPr>
          <w:p>
            <w:pPr>
              <w:pStyle w:val="Normal6a"/>
            </w:pPr>
            <w:r>
              <w:t>(b)</w:t>
            </w:r>
            <w:r>
              <w:tab/>
            </w:r>
            <w:r>
              <w:t xml:space="preserve">identitatea </w:t>
            </w:r>
            <w:r>
              <w:rPr>
                <w:b/>
                <w:i/>
              </w:rPr>
              <w:t>lucrătorilor detașați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Brigitte van den Berg, Svenja Hahn,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 adresă de notificare electronică, cum ar fi o adresă </w:t>
            </w:r>
            <w:r>
              <w:rPr>
                <w:b/>
                <w:i/>
              </w:rPr>
              <w:t>poștală</w:t>
            </w:r>
            <w:r>
              <w:t>, a unui lucrător detașat pentru a informa lucrătorul detașat că a fost transmisă o declarație pentru lucrătorul respectiv;</w:t>
            </w:r>
          </w:p>
        </w:tc>
        <w:tc>
          <w:tcPr>
            <w:tcW w:w="4876" w:type="dxa"/>
            <w:tcBorders>
              <w:top w:val="nil"/>
              <w:left w:val="nil"/>
              <w:bottom w:val="nil"/>
              <w:right w:val="nil"/>
            </w:tcBorders>
          </w:tcPr>
          <w:p>
            <w:pPr>
              <w:pStyle w:val="Normal6a"/>
            </w:pPr>
            <w:r>
              <w:t>(c)</w:t>
            </w:r>
            <w:r>
              <w:tab/>
            </w:r>
            <w:r>
              <w:t xml:space="preserve">o adresă de notificare electronică, cum ar fi o adresă </w:t>
            </w:r>
            <w:r>
              <w:rPr>
                <w:b/>
                <w:i/>
              </w:rPr>
              <w:t>de e-mail</w:t>
            </w:r>
            <w:r>
              <w:t>, a unui lucrător detașat pentru a informa lucrătorul detașat că a fost transmisă o declarație pentru lucrătorul respectiv;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Brigitte van den Berg,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identitatea și datele de contact ale persoanei (persoanelor) de contact pentru a lua legătura cu autoritățile competente din statul membru gazdă sau cu partenerii sociali relevanți;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detaliile privind</w:t>
            </w:r>
            <w:r>
              <w:t xml:space="preserve"> identitatea și datele de contact ale </w:t>
            </w:r>
            <w:r>
              <w:rPr>
                <w:b/>
                <w:i/>
              </w:rPr>
              <w:t>persoanei</w:t>
            </w:r>
            <w:r>
              <w:t xml:space="preserve"> de contact </w:t>
            </w:r>
            <w:r>
              <w:rPr>
                <w:b/>
                <w:i/>
              </w:rPr>
              <w:t>a</w:t>
            </w:r>
            <w:r>
              <w:t xml:space="preserve"> prestatorului de servicii.</w:t>
            </w:r>
          </w:p>
        </w:tc>
        <w:tc>
          <w:tcPr>
            <w:tcW w:w="4876" w:type="dxa"/>
            <w:tcBorders>
              <w:top w:val="nil"/>
              <w:left w:val="nil"/>
              <w:bottom w:val="nil"/>
              <w:right w:val="nil"/>
            </w:tcBorders>
          </w:tcPr>
          <w:p>
            <w:pPr>
              <w:pStyle w:val="Normal6a"/>
            </w:pPr>
            <w:r>
              <w:t>(e)</w:t>
            </w:r>
            <w:r>
              <w:tab/>
            </w:r>
            <w:r>
              <w:t xml:space="preserve">identitatea și datele de contact ale </w:t>
            </w:r>
            <w:r>
              <w:rPr>
                <w:b/>
                <w:i/>
              </w:rPr>
              <w:t>persoanelor</w:t>
            </w:r>
            <w:r>
              <w:t xml:space="preserve"> de contact </w:t>
            </w:r>
            <w:r>
              <w:rPr>
                <w:b/>
                <w:i/>
              </w:rPr>
              <w:t>ale</w:t>
            </w:r>
            <w:r>
              <w:t xml:space="preserve"> prestatorului de servicii </w:t>
            </w:r>
            <w:r>
              <w:rPr>
                <w:b/>
                <w:i/>
              </w:rPr>
              <w:t>în temeiul articolului 9 alineatul (1) literele (e) și (f) din Directiva 2014/67/UE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detaliile privind</w:t>
            </w:r>
            <w:r>
              <w:t xml:space="preserve"> identitatea și datele de contact ale </w:t>
            </w:r>
            <w:r>
              <w:rPr>
                <w:b/>
                <w:i/>
              </w:rPr>
              <w:t>persoanei</w:t>
            </w:r>
            <w:r>
              <w:t xml:space="preserve"> de contact </w:t>
            </w:r>
            <w:r>
              <w:rPr>
                <w:b/>
                <w:i/>
              </w:rPr>
              <w:t>a</w:t>
            </w:r>
            <w:r>
              <w:t xml:space="preserve"> prestatorului de servicii.</w:t>
            </w:r>
          </w:p>
        </w:tc>
        <w:tc>
          <w:tcPr>
            <w:tcW w:w="4876" w:type="dxa"/>
            <w:tcBorders>
              <w:top w:val="nil"/>
              <w:left w:val="nil"/>
              <w:bottom w:val="nil"/>
              <w:right w:val="nil"/>
            </w:tcBorders>
          </w:tcPr>
          <w:p>
            <w:pPr>
              <w:pStyle w:val="Normal6a"/>
            </w:pPr>
            <w:r>
              <w:t>(e)</w:t>
            </w:r>
            <w:r>
              <w:tab/>
            </w:r>
            <w:r>
              <w:t xml:space="preserve">identitatea și datele de contact ale </w:t>
            </w:r>
            <w:r>
              <w:rPr>
                <w:b/>
                <w:i/>
              </w:rPr>
              <w:t>persoanelor</w:t>
            </w:r>
            <w:r>
              <w:t xml:space="preserve"> de contact </w:t>
            </w:r>
            <w:r>
              <w:rPr>
                <w:b/>
                <w:i/>
              </w:rPr>
              <w:t>ale</w:t>
            </w:r>
            <w:r>
              <w:t xml:space="preserve"> prestatorului de servicii </w:t>
            </w:r>
            <w:r>
              <w:rPr>
                <w:b/>
                <w:i/>
              </w:rPr>
              <w:t>în temeiul articolului 9 alineatul (1) literele (e) și (f) din Directiva 2014/67/UE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datele cu caracter personal conținute în documentele transmise interfeței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3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datele cu caracter personal conținute în documentele încărcate în interfața publică.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În cazul în care un stat membru primește suplimentar declarații de detașare prin intermediul interfeței publice din sistemul său back-end național, autoritatea națională competentă trebuie considerată operator în conformitate cu articolul 4 punctul 7 din Regulamentul (UE) 2016/679 în ceea ce privește prelucrarea datelor cu caracter personal conținute în aceste declarații de detașare.</w:t>
            </w:r>
          </w:p>
        </w:tc>
        <w:tc>
          <w:tcPr>
            <w:tcW w:w="4876" w:type="dxa"/>
            <w:tcBorders>
              <w:top w:val="nil"/>
              <w:left w:val="nil"/>
              <w:bottom w:val="nil"/>
              <w:right w:val="nil"/>
            </w:tcBorders>
          </w:tcPr>
          <w:p>
            <w:pPr>
              <w:pStyle w:val="Normal6a"/>
            </w:pPr>
            <w:r>
              <w:t>4.</w:t>
            </w:r>
            <w:r>
              <w:tab/>
            </w:r>
            <w:r>
              <w:t>În cazul în care un stat membru primește suplimentar declarații de detașare prin intermediul interfeței publice din sistemul său back-end național, autoritatea națională competentă trebuie considerată operator în conformitate cu articolul 4 punctul 7 din Regulamentul (UE) 2016/679 în ceea ce privește prelucrarea datelor cu caracter personal conținute în aceste declarații de detașare</w:t>
            </w:r>
            <w:r>
              <w:rPr>
                <w:b/>
                <w:i/>
              </w:rPr>
              <w:t>, inclusiv orice solicitare de informații suplimentare, pe lângă cele conținute în formularul standard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Interfața publică asigură ștergerea automată a informațiilor referitoare la o detașare care au fost transmise prin intermediul interfeței publice respective</w:t>
            </w:r>
            <w:r>
              <w:rPr>
                <w:b/>
                <w:i/>
              </w:rPr>
              <w:t>, la 36 de luni</w:t>
            </w:r>
            <w:r>
              <w:t xml:space="preserve"> de la data încheierii perioadei de detașare.</w:t>
            </w:r>
          </w:p>
        </w:tc>
        <w:tc>
          <w:tcPr>
            <w:tcW w:w="4876" w:type="dxa"/>
            <w:tcBorders>
              <w:top w:val="nil"/>
              <w:left w:val="nil"/>
              <w:bottom w:val="nil"/>
              <w:right w:val="nil"/>
            </w:tcBorders>
          </w:tcPr>
          <w:p>
            <w:pPr>
              <w:pStyle w:val="Normal6a"/>
            </w:pPr>
            <w:r>
              <w:t>5.</w:t>
            </w:r>
            <w:r>
              <w:tab/>
            </w:r>
            <w:r>
              <w:t xml:space="preserve">Interfața publică asigură ștergerea automată a informațiilor referitoare la o detașare care au fost transmise prin intermediul interfeței publice respective </w:t>
            </w:r>
            <w:r>
              <w:rPr>
                <w:b/>
                <w:i/>
              </w:rPr>
              <w:t>la 10 ani</w:t>
            </w:r>
            <w:r>
              <w:t xml:space="preserve"> de la data încheierii perioadei de detașare</w:t>
            </w:r>
            <w:r>
              <w:rPr>
                <w:b/>
                <w:i/>
              </w:rPr>
              <w:t>, cu excepția cazului în care informațiile respective sunt necesare în continuare în scopurile pentru care au fost colectate și prelucrate</w:t>
            </w:r>
            <w:r>
              <w:t xml:space="preserve">. </w:t>
            </w:r>
            <w:r>
              <w:rPr>
                <w:b/>
                <w:i/>
              </w:rPr>
              <w:t>Acest lucru este valabil și pentru informațiile transmise în cazul în care un stat membru a decis să nu mai utilizeze interfața publică.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Interfața publică asigură ștergerea automată a informațiilor referitoare la o detașare care au fost transmise prin intermediul interfeței publice respective, la </w:t>
            </w:r>
            <w:r>
              <w:rPr>
                <w:b/>
                <w:i/>
              </w:rPr>
              <w:t>36 de luni</w:t>
            </w:r>
            <w:r>
              <w:t xml:space="preserve"> de la data încheierii perioadei de detașare.</w:t>
            </w:r>
          </w:p>
        </w:tc>
        <w:tc>
          <w:tcPr>
            <w:tcW w:w="4876" w:type="dxa"/>
            <w:tcBorders>
              <w:top w:val="nil"/>
              <w:left w:val="nil"/>
              <w:bottom w:val="nil"/>
              <w:right w:val="nil"/>
            </w:tcBorders>
          </w:tcPr>
          <w:p>
            <w:pPr>
              <w:pStyle w:val="Normal6a"/>
            </w:pPr>
            <w:r>
              <w:t>5.</w:t>
            </w:r>
            <w:r>
              <w:tab/>
            </w:r>
            <w:r>
              <w:t xml:space="preserve">Interfața publică asigură ștergerea automată a informațiilor referitoare la o detașare care au fost transmise prin intermediul interfeței publice respective, la </w:t>
            </w:r>
            <w:r>
              <w:rPr>
                <w:b/>
                <w:i/>
              </w:rPr>
              <w:t>10 ani</w:t>
            </w:r>
            <w:r>
              <w:t xml:space="preserve"> de la data încheierii perioadei de detașare. </w:t>
            </w:r>
            <w:r>
              <w:rPr>
                <w:b/>
                <w:i/>
              </w:rPr>
              <w:t>Acest lucru se aplică și informațiilor transmise în cazurile în care un stat membru a decis să nu mai utilizeze interfața publică.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Brigitte van den Berg, Svenja Hahn,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Interfața publică asigură ștergerea automată a informațiilor referitoare la o detașare care au fost transmise prin intermediul interfeței publice respective, la </w:t>
            </w:r>
            <w:r>
              <w:rPr>
                <w:b/>
                <w:i/>
              </w:rPr>
              <w:t>36</w:t>
            </w:r>
            <w:r>
              <w:t xml:space="preserve"> de luni de la data încheierii perioadei de detașare.</w:t>
            </w:r>
          </w:p>
        </w:tc>
        <w:tc>
          <w:tcPr>
            <w:tcW w:w="4876" w:type="dxa"/>
            <w:tcBorders>
              <w:top w:val="nil"/>
              <w:left w:val="nil"/>
              <w:bottom w:val="nil"/>
              <w:right w:val="nil"/>
            </w:tcBorders>
          </w:tcPr>
          <w:p>
            <w:pPr>
              <w:pStyle w:val="Normal6a"/>
            </w:pPr>
            <w:r>
              <w:t>5.</w:t>
            </w:r>
            <w:r>
              <w:tab/>
            </w:r>
            <w:r>
              <w:t xml:space="preserve">Interfața publică asigură ștergerea automată a informațiilor </w:t>
            </w:r>
            <w:r>
              <w:rPr>
                <w:b/>
                <w:i/>
              </w:rPr>
              <w:t>și documentelor</w:t>
            </w:r>
            <w:r>
              <w:t xml:space="preserve"> referitoare la o detașare care au fost transmise prin intermediul interfeței publice respective, la </w:t>
            </w:r>
            <w:r>
              <w:rPr>
                <w:b/>
                <w:i/>
              </w:rPr>
              <w:t>24</w:t>
            </w:r>
            <w:r>
              <w:t xml:space="preserve"> de luni de la data încheierii perioadei de detașare.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Maria Grapini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Interfața publică asigură ștergerea automată a informațiilor referitoare la o detașare care au fost transmise prin intermediul interfeței publice respective, la </w:t>
            </w:r>
            <w:r>
              <w:rPr>
                <w:b/>
                <w:i/>
              </w:rPr>
              <w:t>36</w:t>
            </w:r>
            <w:r>
              <w:t xml:space="preserve"> de luni de la data încheierii perioadei de detașare.</w:t>
            </w:r>
          </w:p>
        </w:tc>
        <w:tc>
          <w:tcPr>
            <w:tcW w:w="4876" w:type="dxa"/>
            <w:tcBorders>
              <w:top w:val="nil"/>
              <w:left w:val="nil"/>
              <w:bottom w:val="nil"/>
              <w:right w:val="nil"/>
            </w:tcBorders>
          </w:tcPr>
          <w:p>
            <w:pPr>
              <w:pStyle w:val="Normal6a"/>
            </w:pPr>
            <w:r>
              <w:t>5.</w:t>
            </w:r>
            <w:r>
              <w:tab/>
            </w:r>
            <w:r>
              <w:t xml:space="preserve">Interfața publică asigură ștergerea automată a informațiilor referitoare la o detașare care au fost transmise prin intermediul interfeței publice respective, la </w:t>
            </w:r>
            <w:r>
              <w:rPr>
                <w:b/>
                <w:i/>
              </w:rPr>
              <w:t>48</w:t>
            </w:r>
            <w:r>
              <w:t xml:space="preserve"> de luni de la data încheierii perioadei de detașare.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Maria Grapini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Interfața publică permite ștergerea tuturor datelor cu caracter personal stocate în cadrul său și în conturile prestatorilor de servicii atunci când datele respective nu mai sunt necesare în scopurile pentru care au fost colectate și prelucrate.</w:t>
            </w:r>
          </w:p>
        </w:tc>
        <w:tc>
          <w:tcPr>
            <w:tcW w:w="4876" w:type="dxa"/>
            <w:tcBorders>
              <w:top w:val="nil"/>
              <w:left w:val="nil"/>
              <w:bottom w:val="nil"/>
              <w:right w:val="nil"/>
            </w:tcBorders>
          </w:tcPr>
          <w:p>
            <w:pPr>
              <w:pStyle w:val="Normal6a"/>
            </w:pPr>
            <w:r>
              <w:t>6.</w:t>
            </w:r>
            <w:r>
              <w:tab/>
            </w:r>
            <w:r>
              <w:t xml:space="preserve">Interfața publică permite ștergerea tuturor datelor cu caracter personal stocate în cadrul său și în conturile prestatorilor de servicii atunci când datele respective nu mai sunt necesare în scopurile pentru care au fost colectate și prelucrate </w:t>
            </w:r>
            <w:r>
              <w:rPr>
                <w:b/>
                <w:i/>
              </w:rPr>
              <w:t>sau la cererea lucrătorului detașat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Interfața publică permite ștergerea tuturor datelor cu caracter personal stocate </w:t>
            </w:r>
            <w:r>
              <w:rPr>
                <w:b/>
                <w:i/>
              </w:rPr>
              <w:t>în cadrul său și</w:t>
            </w:r>
            <w:r>
              <w:t xml:space="preserve"> în conturile prestatorilor de servicii atunci când datele respective nu mai sunt necesare în scopurile pentru care au fost colectate și prelucrate.</w:t>
            </w:r>
          </w:p>
        </w:tc>
        <w:tc>
          <w:tcPr>
            <w:tcW w:w="4876" w:type="dxa"/>
            <w:tcBorders>
              <w:top w:val="nil"/>
              <w:left w:val="nil"/>
              <w:bottom w:val="nil"/>
              <w:right w:val="nil"/>
            </w:tcBorders>
          </w:tcPr>
          <w:p>
            <w:pPr>
              <w:pStyle w:val="Normal6a"/>
            </w:pPr>
            <w:r>
              <w:t>6.</w:t>
            </w:r>
            <w:r>
              <w:tab/>
            </w:r>
            <w:r>
              <w:t xml:space="preserve">Interfața publică permite ștergerea tuturor datelor cu caracter personal </w:t>
            </w:r>
            <w:r>
              <w:rPr>
                <w:b/>
                <w:i/>
              </w:rPr>
              <w:t>și a documentelor</w:t>
            </w:r>
            <w:r>
              <w:t xml:space="preserve"> stocate în conturile prestatorilor de servicii atunci când datele respective nu mai sunt necesare în scopurile pentru care au fost colectate și prelucrate.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 stat membru poate permite </w:t>
            </w:r>
            <w:r>
              <w:rPr>
                <w:b/>
                <w:i/>
              </w:rPr>
              <w:t>autorității</w:t>
            </w:r>
            <w:r>
              <w:t xml:space="preserve"> naționale competente să </w:t>
            </w:r>
            <w:r>
              <w:rPr>
                <w:b/>
                <w:i/>
              </w:rPr>
              <w:t>le furnizeze</w:t>
            </w:r>
            <w:r>
              <w:t xml:space="preserve"> partenerilor sociali naționali, prin alte mijloace decât IMI, </w:t>
            </w:r>
            <w:r>
              <w:rPr>
                <w:b/>
                <w:i/>
              </w:rPr>
              <w:t>informații relevante disponibile în IMI în măsura necesară și exclusiv în scopul verificării respectării</w:t>
            </w:r>
            <w:r>
              <w:t xml:space="preserve"> normelor </w:t>
            </w:r>
            <w:r>
              <w:rPr>
                <w:b/>
                <w:i/>
              </w:rPr>
              <w:t>referitoare la detașare</w:t>
            </w:r>
            <w:r>
              <w:t xml:space="preserve"> și în conformitate cu dreptul intern și practicile naționale</w:t>
            </w:r>
            <w:r>
              <w:rPr>
                <w:b/>
                <w:i/>
              </w:rPr>
              <w:t>, cu condiția ca informațiile să fie legate de o detașare pe teritoriul statului membru în cauză</w:t>
            </w:r>
            <w:r>
              <w:t>.</w:t>
            </w:r>
          </w:p>
        </w:tc>
        <w:tc>
          <w:tcPr>
            <w:tcW w:w="4876" w:type="dxa"/>
            <w:tcBorders>
              <w:top w:val="nil"/>
              <w:left w:val="nil"/>
              <w:bottom w:val="nil"/>
              <w:right w:val="nil"/>
            </w:tcBorders>
          </w:tcPr>
          <w:p>
            <w:pPr>
              <w:pStyle w:val="Normal6a"/>
            </w:pPr>
            <w:r>
              <w:t>8.</w:t>
            </w:r>
            <w:r>
              <w:tab/>
            </w:r>
            <w:r>
              <w:rPr>
                <w:b/>
                <w:i/>
              </w:rPr>
              <w:t>În conformitate cu dreptul intern și practicile interne,</w:t>
            </w:r>
            <w:r>
              <w:t xml:space="preserve"> un stat membru poate permite </w:t>
            </w:r>
            <w:r>
              <w:rPr>
                <w:b/>
                <w:i/>
              </w:rPr>
              <w:t>autorităților</w:t>
            </w:r>
            <w:r>
              <w:t xml:space="preserve"> naționale competente să </w:t>
            </w:r>
            <w:r>
              <w:rPr>
                <w:b/>
                <w:i/>
              </w:rPr>
              <w:t>pună la dispoziția</w:t>
            </w:r>
            <w:r>
              <w:t xml:space="preserve"> partenerilor sociali naționali </w:t>
            </w:r>
            <w:r>
              <w:rPr>
                <w:b/>
                <w:i/>
              </w:rPr>
              <w:t>și a organismelor care acționează în numele acestora</w:t>
            </w:r>
            <w:r>
              <w:t xml:space="preserve">, </w:t>
            </w:r>
            <w:r>
              <w:rPr>
                <w:b/>
                <w:i/>
              </w:rPr>
              <w:t>precum și a altor actori care îndeplinesc o funcție de asigurare a respectării legii, inclusiv a autorităților locale, regionale și naționale și a fondurilor paritare sectoriale naționale, informațiile relevante partajate prin intermediul IMI.</w:t>
            </w:r>
            <w:r>
              <w:t xml:space="preserve"> </w:t>
            </w:r>
            <w:r>
              <w:rPr>
                <w:b/>
                <w:i/>
              </w:rPr>
              <w:t>Informațiile relevante sunt furnizate acestor actori</w:t>
            </w:r>
            <w:r>
              <w:t xml:space="preserve"> prin alte mijloace decât IMI, </w:t>
            </w:r>
            <w:r>
              <w:rPr>
                <w:b/>
                <w:i/>
              </w:rPr>
              <w:t>după cum este necesar pentru a verifica respectarea</w:t>
            </w:r>
            <w:r>
              <w:t xml:space="preserve"> normelor </w:t>
            </w:r>
            <w:r>
              <w:rPr>
                <w:b/>
                <w:i/>
              </w:rPr>
              <w:t>privind detașarea, a convențiilor colective de muncă aplicabile</w:t>
            </w:r>
            <w:r>
              <w:t xml:space="preserve"> și în conformitate cu dreptul intern și practicile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alineatul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 stat membru poate permite </w:t>
            </w:r>
            <w:r>
              <w:rPr>
                <w:b/>
                <w:i/>
              </w:rPr>
              <w:t>autorității</w:t>
            </w:r>
            <w:r>
              <w:t xml:space="preserve"> naționale competente să </w:t>
            </w:r>
            <w:r>
              <w:rPr>
                <w:b/>
                <w:i/>
              </w:rPr>
              <w:t>le</w:t>
            </w:r>
            <w:r>
              <w:t xml:space="preserve"> furnizeze </w:t>
            </w:r>
            <w:r>
              <w:rPr>
                <w:b/>
                <w:i/>
              </w:rPr>
              <w:t>partenerilor sociali naționali</w:t>
            </w:r>
            <w:r>
              <w:t xml:space="preserve">, prin alte mijloace decât IMI, </w:t>
            </w:r>
            <w:r>
              <w:rPr>
                <w:b/>
                <w:i/>
              </w:rPr>
              <w:t>informații</w:t>
            </w:r>
            <w:r>
              <w:t xml:space="preserve"> relevante disponibile în IMI </w:t>
            </w:r>
            <w:r>
              <w:rPr>
                <w:b/>
                <w:i/>
              </w:rPr>
              <w:t>în măsura necesară și exclusiv</w:t>
            </w:r>
            <w:r>
              <w:t xml:space="preserve"> în scopul verificării respectării normelor referitoare la detașare și </w:t>
            </w:r>
            <w:r>
              <w:rPr>
                <w:b/>
                <w:i/>
              </w:rPr>
              <w:t>în conformitate cu dreptul intern și practicile naționale, cu condiția ca informațiile să fie legate de o detașare pe teritoriul statului membru în cauză</w:t>
            </w:r>
            <w:r>
              <w:t>.</w:t>
            </w:r>
          </w:p>
        </w:tc>
        <w:tc>
          <w:tcPr>
            <w:tcW w:w="4876" w:type="dxa"/>
            <w:tcBorders>
              <w:top w:val="nil"/>
              <w:left w:val="nil"/>
              <w:bottom w:val="nil"/>
              <w:right w:val="nil"/>
            </w:tcBorders>
          </w:tcPr>
          <w:p>
            <w:pPr>
              <w:pStyle w:val="Normal6a"/>
            </w:pPr>
            <w:r>
              <w:t>8.</w:t>
            </w:r>
            <w:r>
              <w:tab/>
            </w:r>
            <w:r>
              <w:t xml:space="preserve">Un stat membru poate permite </w:t>
            </w:r>
            <w:r>
              <w:rPr>
                <w:b/>
                <w:i/>
              </w:rPr>
              <w:t>autorităților</w:t>
            </w:r>
            <w:r>
              <w:t xml:space="preserve"> naționale competente să furnizeze, prin alte mijloace decât IMI, </w:t>
            </w:r>
            <w:r>
              <w:rPr>
                <w:b/>
                <w:i/>
              </w:rPr>
              <w:t>partenerilor sociali naționali și organismelor care acționează în numele acestora, precum și altor actori cu o funcție de asigurare a respectării legii, inclusiv autorităților locale, regionale și naționale, informațiile</w:t>
            </w:r>
            <w:r>
              <w:t xml:space="preserve"> relevante disponibile în </w:t>
            </w:r>
            <w:r>
              <w:rPr>
                <w:b/>
                <w:i/>
              </w:rPr>
              <w:t>registrul </w:t>
            </w:r>
            <w:r>
              <w:t xml:space="preserve">IMI în scopul verificării respectării normelor referitoare la detașare și </w:t>
            </w:r>
            <w:r>
              <w:rPr>
                <w:b/>
                <w:i/>
              </w:rPr>
              <w:t>a convențiilor colective aplicabile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titlu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Prelucrarea informațiilor transmise prin intermediul IMI</w:t>
            </w:r>
          </w:p>
        </w:tc>
        <w:tc>
          <w:tcPr>
            <w:tcW w:w="4876" w:type="dxa"/>
            <w:tcBorders>
              <w:top w:val="nil"/>
              <w:left w:val="nil"/>
              <w:bottom w:val="nil"/>
              <w:right w:val="nil"/>
            </w:tcBorders>
          </w:tcPr>
          <w:p>
            <w:pPr>
              <w:pStyle w:val="Normal6a"/>
            </w:pPr>
            <w:r>
              <w:t xml:space="preserve">Prelucrarea informațiilor </w:t>
            </w:r>
            <w:r>
              <w:rPr>
                <w:b/>
                <w:i/>
              </w:rPr>
              <w:t>și a documentelor</w:t>
            </w:r>
            <w:r>
              <w:t xml:space="preserve"> transmise prin intermediul 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Villy Søvndal, Kim Van Sparrentak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Informațiile transmise prin intermediul interfeței publice sunt puse în IMI la dispoziția autorităților competente responsabile din statul membru gazdă pentru a atinge obiectivele prevăzute la articolul 1.</w:t>
            </w:r>
          </w:p>
        </w:tc>
        <w:tc>
          <w:tcPr>
            <w:tcW w:w="4876" w:type="dxa"/>
            <w:tcBorders>
              <w:top w:val="nil"/>
              <w:left w:val="nil"/>
              <w:bottom w:val="nil"/>
              <w:right w:val="nil"/>
            </w:tcBorders>
          </w:tcPr>
          <w:p>
            <w:pPr>
              <w:pStyle w:val="Normal6a"/>
            </w:pPr>
            <w:r>
              <w:t xml:space="preserve">Informațiile transmise </w:t>
            </w:r>
            <w:r>
              <w:rPr>
                <w:b/>
                <w:i/>
              </w:rPr>
              <w:t>și documentele încărcate</w:t>
            </w:r>
            <w:r>
              <w:t xml:space="preserve"> prin intermediul interfeței publice sunt puse în IMI la dispoziția autorităților competente responsabile din statul membru gazdă</w:t>
            </w:r>
            <w:r>
              <w:rPr>
                <w:b/>
                <w:i/>
              </w:rPr>
              <w:t>,</w:t>
            </w:r>
            <w:r>
              <w:t xml:space="preserve"> pentru a atinge obiectivele prevăzute la articolul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Informațiile disponibile în registrul IMI ar trebui puse și la dispoziția Autorității Europene a Muncii în scopul exercitării mandatului său în temeiul articolului 4 din Regulamentul 2019/1149 în ceea ce privește cooperarea și schimbul de informații între statele membre, coordonarea și sprijinirea inspecțiilor concertate și comune, a analizelor și a evaluărilor riscurilor.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Comisia creează funcționalitățile necesare în registrul IMI pentru a se asigura că informațiile transmise prin intermediul interfeței publice pot fi utilizate și în scopul agregării și extragerii datelor, pentru a îmbunătăți acuratețea statisticilor privind detașarea și analiza riscurilor legate de modelele de detașare de pe piața internă.</w:t>
            </w:r>
            <w:r>
              <w:t xml:space="preserve"> </w:t>
            </w:r>
            <w:r>
              <w:rPr>
                <w:b/>
                <w:i/>
              </w:rPr>
              <w:t>Comisia este responsabilă de dezvoltarea, întreținerea și operarea registrului 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Informațiile transmise prin intermediul interfeței publice sunt puse în IMI la dispoziția autorităților competente responsabile din statul membru gazdă pentru a atinge obiectivele prevăzute la articolul 1.</w:t>
            </w:r>
          </w:p>
        </w:tc>
        <w:tc>
          <w:tcPr>
            <w:tcW w:w="4876" w:type="dxa"/>
            <w:tcBorders>
              <w:top w:val="nil"/>
              <w:left w:val="nil"/>
              <w:bottom w:val="nil"/>
              <w:right w:val="nil"/>
            </w:tcBorders>
          </w:tcPr>
          <w:p>
            <w:pPr>
              <w:pStyle w:val="Normal6a"/>
            </w:pPr>
            <w:r>
              <w:t xml:space="preserve">Informațiile transmise prin intermediul interfeței publice sunt puse în IMI la dispoziția autorităților competente responsabile din statul membru gazdă pentru a atinge obiectivele prevăzute la articolul 1. </w:t>
            </w:r>
            <w:r>
              <w:rPr>
                <w:b/>
                <w:i/>
              </w:rPr>
              <w:t>În scopul cooperării administrative și al aplicării transfrontaliere, informațiile disponibile în registrul IMI sunt accesibile și statelor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Informațiile transmise prin intermediul interfeței publice sunt puse în IMI la dispoziția autorităților competente responsabile din statul membru gazdă pentru a atinge obiectivele prevăzute la articolul 1.</w:t>
            </w:r>
          </w:p>
        </w:tc>
        <w:tc>
          <w:tcPr>
            <w:tcW w:w="4876" w:type="dxa"/>
            <w:tcBorders>
              <w:top w:val="nil"/>
              <w:left w:val="nil"/>
              <w:bottom w:val="nil"/>
              <w:right w:val="nil"/>
            </w:tcBorders>
          </w:tcPr>
          <w:p>
            <w:pPr>
              <w:pStyle w:val="Normal6a"/>
            </w:pPr>
            <w:r>
              <w:t xml:space="preserve">Informațiile </w:t>
            </w:r>
            <w:r>
              <w:rPr>
                <w:b/>
                <w:i/>
              </w:rPr>
              <w:t>și documentele</w:t>
            </w:r>
            <w:r>
              <w:t xml:space="preserve"> transmise prin intermediul interfeței publice sunt puse în IMI la dispoziția autorităților competente responsabile din statul membru gazdă pentru a atinge obiectivele prevăzute la articolul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Pentru a detecta riscurile și abuzurile legate de sistemele de detașare, de exemplu pentru a identifica arhitecturile de mesagerie electronică și detașările false, și cu scopul de a îndeplini obiectivele prevăzute la articolul 4 din Directiva 2014/67/UE, funcționalitățile tehnice permit colectarea, analizarea și compararea, inclusiv agregarea și extragerea datelor conținute în informațiile transmise prin interfața publică, de către autoritățile naționale competente și entitățile menționate la articolul 5 alineatul (8) din statele membre participante, în sprijinul asistenței reciproce prevăzute la articolul 6 din Directiva 2014/67/UE.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Informațiile transmise prin intermediul interfeței publice sunt puse în IMI la dispoziția autorităților competente responsabile din statul membru de stabilire al prestatorului de servicii, pentru a asigura o cooperare administrativă eficace între autoritățile naționale competente din statele membre, în conformitate cu Directiva 2014/67/UE.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Informațiile disponibile în registrul IMI ar trebui puse și la dispoziția Autorității Europene a Muncii în scopul exercitării mandatului său în temeiul articolului 4 din Regulamentul 2019/1149 în ceea ce privește cooperarea și schimbul de informații între statele membre, coordonarea și sprijinirea inspecțiilor concertate și comune, a analizelor și a evaluărilor riscurilor.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Comisia creează funcționalitățile necesare în registrul IMI pentru a se asigura că informațiile transmise prin intermediul interfeței publice pot fi utilizate și în scopul agregării și extragerii datelor, pentru a îmbunătăți acuratețea statisticilor privind detașarea și a analiza riscurile legate de modelele de detașare de pe piața internă.</w:t>
            </w:r>
            <w:r>
              <w:t xml:space="preserve"> </w:t>
            </w:r>
            <w:r>
              <w:rPr>
                <w:b/>
                <w:i/>
              </w:rPr>
              <w:t>Comisia este responsabilă de dezvoltarea, întreținerea și operarea registrului 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Articolul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Exercitarea delegării de competențe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Competența de a adopta acte delegate este conferită Comisiei în condițiile prevăzute la prezentul articol.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Competența de a adopta acte delegate menționată la articolul 4 alineatul (2) se conferă Comisiei pentru o perioadă de ... ani începând cu ... [data intrării în vigoare a actului legislativ de bază sau o altă dată stabilită de colegiuitori].</w:t>
            </w:r>
            <w:r>
              <w:t xml:space="preserve"> </w:t>
            </w:r>
            <w:r>
              <w:rPr>
                <w:b/>
                <w:i/>
              </w:rPr>
              <w:t>Comisia elaborează un raport privind delegarea de competențe cel târziu cu nouă luni înainte de încheierea perioadei de … ani.</w:t>
            </w:r>
            <w:r>
              <w:t xml:space="preserve"> </w:t>
            </w:r>
            <w:r>
              <w:rPr>
                <w:b/>
                <w:i/>
              </w:rPr>
              <w:t>Delegarea de competențe se prelungește tacit cu perioade de timp identice, cu excepția cazului în care Parlamentul European sau Consiliul se opune prelungirii respective cu cel puțin trei luni înainte de încheierea fiecărei perioade.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Delegarea de competențe menționată la articolul 4 alineatul (2) poate fi revocată oricând de Parlamentul European sau de Consiliu.</w:t>
            </w:r>
            <w:r>
              <w:t xml:space="preserve"> </w:t>
            </w:r>
            <w:r>
              <w:rPr>
                <w:b/>
                <w:i/>
              </w:rPr>
              <w:t>O decizie de revocare pune capăt delegării de competențe specificate în decizia respectivă.</w:t>
            </w:r>
            <w:r>
              <w:t xml:space="preserve"> </w:t>
            </w:r>
            <w:r>
              <w:rPr>
                <w:b/>
                <w:i/>
              </w:rPr>
              <w:t>Decizia produce efecte din ziua care urmează datei publicării acesteia în Jurnalul Oficial al Uniunii Europene sau de la o dată ulterioară menționată în decizie.</w:t>
            </w:r>
            <w:r>
              <w:t xml:space="preserve"> </w:t>
            </w:r>
            <w:r>
              <w:rPr>
                <w:b/>
                <w:i/>
              </w:rPr>
              <w:t>Decizia nu aduce atingere actelor delegate care sunt deja în vigoare.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Înainte de adoptarea unui act delegat, Comisia consultă partenerii sociali și experții desemnați de fiecare stat membru în conformitate cu principiile prevăzute în Acordul interinstituțional din 13 aprilie 2016 privind o mai bună legiferare.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De îndată ce adoptă un act delegat, Comisia îl notifică simultan Parlamentului European și Consiliului.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Un act delegat adoptat în conformitate cu articolul 4 alineatul (2) intră în vigoare numai dacă Parlamentul European și Consiliul nu au exprimat nicio obiecție în termen de [două luni] de la notificarea acestuia către Parlamentul European și Consiliu sau în cazul în care, înaintea expirării termenului respectiv, atât Parlamentul European cât și Consiliul au informat Comisia că nu vor ridica obiecții.</w:t>
            </w:r>
            <w:r>
              <w:t xml:space="preserve"> </w:t>
            </w:r>
            <w:r>
              <w:rPr>
                <w:b/>
                <w:i/>
              </w:rPr>
              <w:t>Termenul respectiv se prelungește cu [două luni] la inițiativa Parlamentului European sau a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Sebastian Kruis, Rachel Blom, Elisabeth Dieringer, Filip Turek, Marie Dauchy, Mélanie Disdier,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8</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Procedura comitetului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Comisia este asistată de un comitet.</w:t>
            </w:r>
            <w:r>
              <w:rPr>
                <w:b/>
                <w:i/>
              </w:rPr>
              <w:t xml:space="preserve"> </w:t>
            </w:r>
            <w:r>
              <w:rPr>
                <w:b/>
                <w:i/>
              </w:rPr>
              <w:t>Comitetul respectiv este un comitet în sensul Regulamentului (UE) nr. 182/2011.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În cazul în care se face trimitere la prezentul alineat, se aplică articolul 4 din Regulamentul (UE) nr. 182/2011.</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8</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Procedura comitetului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Comisia este asistată de un comitet.</w:t>
            </w:r>
            <w:r>
              <w:rPr>
                <w:b/>
                <w:i/>
              </w:rPr>
              <w:t xml:space="preserve"> </w:t>
            </w:r>
            <w:r>
              <w:rPr>
                <w:b/>
                <w:i/>
              </w:rPr>
              <w:t>Comitetul respectiv este un comitet în sensul Regulamentului (UE) nr. 182/2011.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În cazul în care se face trimitere la prezentul alineat, se aplică articolul 4 din Regulamentul (UE) nr. 182/2011.</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 – titlu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Procedura comitetului</w:t>
            </w:r>
          </w:p>
        </w:tc>
        <w:tc>
          <w:tcPr>
            <w:tcW w:w="4876" w:type="dxa"/>
            <w:tcBorders>
              <w:top w:val="nil"/>
              <w:left w:val="nil"/>
              <w:bottom w:val="nil"/>
              <w:right w:val="nil"/>
            </w:tcBorders>
          </w:tcPr>
          <w:p>
            <w:pPr>
              <w:pStyle w:val="Normal6a"/>
            </w:pPr>
            <w:r>
              <w:rPr>
                <w:b/>
                <w:i/>
              </w:rPr>
              <w:t>Exercitarea delegării de competențe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Comisia este asistată de un comitet.</w:t>
            </w:r>
            <w:r>
              <w:t xml:space="preserve"> </w:t>
            </w:r>
            <w:r>
              <w:rPr>
                <w:b/>
                <w:i/>
              </w:rPr>
              <w:t>Comitetul respectiv este un comitet în sensul Regulamentului (UE) nr</w:t>
            </w:r>
            <w:r>
              <w:t xml:space="preserve">. </w:t>
            </w:r>
            <w:r>
              <w:rPr>
                <w:b/>
                <w:i/>
              </w:rPr>
              <w:t>182/2011.</w:t>
            </w:r>
          </w:p>
        </w:tc>
        <w:tc>
          <w:tcPr>
            <w:tcW w:w="4876" w:type="dxa"/>
            <w:tcBorders>
              <w:top w:val="nil"/>
              <w:left w:val="nil"/>
              <w:bottom w:val="nil"/>
              <w:right w:val="nil"/>
            </w:tcBorders>
          </w:tcPr>
          <w:p>
            <w:pPr>
              <w:pStyle w:val="Normal6a"/>
            </w:pPr>
            <w:r>
              <w:t>1.</w:t>
            </w:r>
            <w:r>
              <w:tab/>
            </w:r>
            <w:r>
              <w:rPr>
                <w:b/>
                <w:i/>
              </w:rPr>
              <w:t>Competența de a adopta acte delegate este conferită Comisiei în condițiile prevăzute la prezentul articol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Delegarea de competențe menționată la articolul 4 alineatul (2) poate fi revocată oricând de Parlamentul European sau de Consiliu.</w:t>
            </w:r>
            <w:r>
              <w:t xml:space="preserve"> </w:t>
            </w:r>
            <w:r>
              <w:rPr>
                <w:b/>
                <w:i/>
              </w:rPr>
              <w:t>O decizie de revocare pune capăt delegării de competențe specificate în decizia respectivă.</w:t>
            </w:r>
            <w:r>
              <w:t xml:space="preserve"> </w:t>
            </w:r>
            <w:r>
              <w:rPr>
                <w:b/>
                <w:i/>
              </w:rPr>
              <w:t>Decizia produce efecte din ziua care urmează datei publicării acesteia în Jurnalul Oficial al Uniunii Europene sau de la o dată ulterioară menționată în decizie.</w:t>
            </w:r>
            <w:r>
              <w:t xml:space="preserve"> </w:t>
            </w:r>
            <w:r>
              <w:rPr>
                <w:b/>
                <w:i/>
              </w:rPr>
              <w:t>Decizia nu aduce atingere actelor delegate care sunt deja în vigoare.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 – alineatul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Înainte de adoptarea unui act delegat, Comisia consultă experții desemnați de fiecare stat membru în conformitate cu principiile prevăzute în Acordul interinstituțional din 13 aprilie 2016 privind o mai bună legiferare.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 – alineatul 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De îndată ce adoptă un act delegat, Comisia îl notifică simultan Parlamentului European și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 – alineatul 1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Un act delegat adoptat în conformitate cu articolul 4 alineatul (2) intră în vigoare numai dacă Parlamentul European și Consiliul nu au exprimat nicio obiecție în termen de două luni de la notificarea acestuia către Parlamentul European și Consiliu sau în cazul în care, înaintea expirării termenului respectiv, atât Parlamentul European cât și Consiliul au informat Comisia că nu vor ridica obiecții.</w:t>
            </w:r>
            <w:r>
              <w:t xml:space="preserve"> </w:t>
            </w:r>
            <w:r>
              <w:rPr>
                <w:b/>
                <w:i/>
              </w:rPr>
              <w:t>Termenul respectiv se prelungește cu [două luni] la inițiativa Parlamentului European sau a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În cazul în care se face trimitere la prezentul alineat, se aplică</w:t>
            </w:r>
            <w:r>
              <w:t xml:space="preserve"> articolul 4 </w:t>
            </w:r>
            <w:r>
              <w:rPr>
                <w:b/>
                <w:i/>
              </w:rPr>
              <w:t>din Regulamentul (UE) nr. 182/2011</w:t>
            </w:r>
            <w:r>
              <w:t>.</w:t>
            </w:r>
          </w:p>
        </w:tc>
        <w:tc>
          <w:tcPr>
            <w:tcW w:w="4876" w:type="dxa"/>
            <w:tcBorders>
              <w:top w:val="nil"/>
              <w:left w:val="nil"/>
              <w:bottom w:val="nil"/>
              <w:right w:val="nil"/>
            </w:tcBorders>
          </w:tcPr>
          <w:p>
            <w:pPr>
              <w:pStyle w:val="Normal6a"/>
            </w:pPr>
            <w:r>
              <w:t>2.</w:t>
            </w:r>
            <w:r>
              <w:tab/>
            </w:r>
            <w:r>
              <w:rPr>
                <w:b/>
                <w:i/>
              </w:rPr>
              <w:t>Competența de a adopta acte delegate menționată la</w:t>
            </w:r>
            <w:r>
              <w:t xml:space="preserve"> articolul 4 </w:t>
            </w:r>
            <w:r>
              <w:rPr>
                <w:b/>
                <w:i/>
              </w:rPr>
              <w:t>alineatul (2) se conferă Comisiei pentru o perioadă de 4 ani începând cu ... [data intrării în vigoare a actului legislativ de bază sau o altă dată stabilită de colegiuitori]</w:t>
            </w:r>
            <w:r>
              <w:t xml:space="preserve">. </w:t>
            </w:r>
            <w:r>
              <w:rPr>
                <w:b/>
                <w:i/>
              </w:rPr>
              <w:t>Comisia elaborează un raport privind delegarea de competențe cu cel puțin nouă luni înainte de încheierea perioadei de patru ani.</w:t>
            </w:r>
            <w:r>
              <w:t xml:space="preserve"> </w:t>
            </w:r>
            <w:r>
              <w:rPr>
                <w:b/>
                <w:i/>
              </w:rPr>
              <w:t>Delegarea de competențe se prelungește tacit cu perioade de timp identice, cu excepția cazului în care Parlamentul European sau Consiliul se opune prelungirii respective cu cel puțin trei luni înainte de încheierea fiecărei perioade.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Comisia prezintă un raport privind experiența dobândită în aplicarea prezentului regulament în termen de [cinci ani de la intrarea în vigoare a regulamentului]. Mai precis, raportul examinează în ce măsură prezentul regulament s-a dovedit a fi practic pentru </w:t>
            </w:r>
            <w:r>
              <w:rPr>
                <w:b/>
                <w:i/>
              </w:rPr>
              <w:t>reducerea barierelor administrative din calea libertății de a presta servicii, facilitarea</w:t>
            </w:r>
            <w:r>
              <w:t xml:space="preserve"> monitorizării </w:t>
            </w:r>
            <w:r>
              <w:rPr>
                <w:b/>
                <w:i/>
              </w:rPr>
              <w:t>eficace</w:t>
            </w:r>
            <w:r>
              <w:t xml:space="preserve"> de către statele membre a respectării legislației UE menite să asigure protecția lucrătorilor detașați </w:t>
            </w:r>
            <w:r>
              <w:rPr>
                <w:b/>
                <w:i/>
              </w:rPr>
              <w:t>și</w:t>
            </w:r>
            <w:r>
              <w:t xml:space="preserve"> sprijinirea cooperării administrative aferente dintre autoritățile naționale competente din statele membre.</w:t>
            </w:r>
          </w:p>
        </w:tc>
        <w:tc>
          <w:tcPr>
            <w:tcW w:w="4876" w:type="dxa"/>
            <w:tcBorders>
              <w:top w:val="nil"/>
              <w:left w:val="nil"/>
              <w:bottom w:val="nil"/>
              <w:right w:val="nil"/>
            </w:tcBorders>
          </w:tcPr>
          <w:p>
            <w:pPr>
              <w:pStyle w:val="Normal6a"/>
            </w:pPr>
            <w:r>
              <w:t xml:space="preserve">Comisia prezintă un raport privind experiența dobândită în aplicarea prezentului regulament în termen de [cinci ani de la intrarea în vigoare a regulamentului]. Mai precis, raportul examinează în ce măsură prezentul regulament s-a dovedit a fi practic pentru </w:t>
            </w:r>
            <w:r>
              <w:rPr>
                <w:b/>
                <w:i/>
              </w:rPr>
              <w:t>consolidarea</w:t>
            </w:r>
            <w:r>
              <w:t xml:space="preserve"> monitorizării de către statele membre a respectării legislației UE menite să asigure protecția lucrătorilor detașați</w:t>
            </w:r>
            <w:r>
              <w:rPr>
                <w:b/>
                <w:i/>
              </w:rPr>
              <w:t>,</w:t>
            </w:r>
            <w:r>
              <w:t xml:space="preserve"> sprijinirea cooperării administrative aferente dintre autoritățile naționale competente din statele membre </w:t>
            </w:r>
            <w:r>
              <w:rPr>
                <w:b/>
                <w:i/>
              </w:rPr>
              <w:t>și îmbunătățirea colectării datelor privind detașarea lucrătorilor, raționalizând în același timp cerințele administrative privind libertatea de a presta servicii</w:t>
            </w:r>
            <w:r>
              <w:t>.</w:t>
            </w:r>
            <w:r>
              <w:rPr>
                <w:b/>
                <w:i/>
              </w:rPr>
              <w:t>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scopul evaluării respective, Comisia consultă autoritățile naționale competente ale statelor membre și partenerii sociali.</w:t>
            </w:r>
            <w:r>
              <w:t xml:space="preserve"> </w:t>
            </w:r>
            <w:r>
              <w:rPr>
                <w:b/>
                <w:i/>
              </w:rPr>
              <w:t>În cadrul acestei evaluări, Comisia analizează, de asemenea, ce cerințe suplimentare privind informațiile ar putea fi necesare pentru a fi incluse în formularul standard și în setul său comun de cerințe minime.</w:t>
            </w:r>
            <w:r>
              <w:t xml:space="preserve"> </w:t>
            </w:r>
            <w:r>
              <w:rPr>
                <w:b/>
                <w:i/>
              </w:rPr>
              <w:t>În plus, Comisia examinează posibilitatea de a apropia din punct de vedere tehnic declarația de detașare și cererea pentru un document portabil A1.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Grégory Allione, Valérie Devaux, Stéphanie Yon-Courtin, Marie-Pierre Vedrenne,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Comisia prezintă un raport privind experiența dobândită în aplicarea prezentului regulament în termen de [cinci ani de la intrarea în vigoare a regulamentului]. Mai precis, raportul examinează </w:t>
            </w:r>
            <w:r>
              <w:rPr>
                <w:b/>
                <w:i/>
              </w:rPr>
              <w:t>în</w:t>
            </w:r>
            <w:r>
              <w:t xml:space="preserve"> ce măsură prezentul regulament s-a dovedit a fi practic pentru reducerea </w:t>
            </w:r>
            <w:r>
              <w:rPr>
                <w:b/>
                <w:i/>
              </w:rPr>
              <w:t>barierelor</w:t>
            </w:r>
            <w:r>
              <w:t xml:space="preserve"> administrative din calea libertății de a presta servicii, facilitarea monitorizării eficace de către statele membre a respectării legislației UE menite să asigure protecția lucrătorilor detașați și sprijinirea cooperării administrative aferente dintre autoritățile naționale competente din statele membre.</w:t>
            </w:r>
          </w:p>
        </w:tc>
        <w:tc>
          <w:tcPr>
            <w:tcW w:w="4876" w:type="dxa"/>
            <w:tcBorders>
              <w:top w:val="nil"/>
              <w:left w:val="nil"/>
              <w:bottom w:val="nil"/>
              <w:right w:val="nil"/>
            </w:tcBorders>
          </w:tcPr>
          <w:p>
            <w:pPr>
              <w:pStyle w:val="Normal6a"/>
            </w:pPr>
            <w:r>
              <w:t>Comisia prezintă un raport privind experiența dobândită în aplicarea prezentului regulament în termen de [cinci ani de la intrarea în vigoare a regulamentului]. Mai precis, raportul examinează</w:t>
            </w:r>
            <w:r>
              <w:rPr>
                <w:b/>
                <w:i/>
              </w:rPr>
              <w:t>, în conformitate cu rapoartele Enrico Letta</w:t>
            </w:r>
            <w:r>
              <w:rPr>
                <w:b/>
                <w:i/>
                <w:vertAlign w:val="superscript"/>
              </w:rPr>
              <w:t>1a</w:t>
            </w:r>
            <w:r>
              <w:rPr>
                <w:b/>
                <w:i/>
              </w:rPr>
              <w:t> și Mario Draghi</w:t>
            </w:r>
            <w:r>
              <w:rPr>
                <w:b/>
                <w:i/>
                <w:vertAlign w:val="superscript"/>
              </w:rPr>
              <w:t>2a</w:t>
            </w:r>
            <w:r>
              <w:t xml:space="preserve">ce măsură prezentul regulament s-a dovedit a fi practic pentru reducerea </w:t>
            </w:r>
            <w:r>
              <w:rPr>
                <w:b/>
                <w:i/>
              </w:rPr>
              <w:t>obstacolelor</w:t>
            </w:r>
            <w:r>
              <w:t xml:space="preserve"> administrative din calea libertății de a presta servicii</w:t>
            </w:r>
            <w:r>
              <w:rPr>
                <w:b/>
                <w:i/>
              </w:rPr>
              <w:t>, reducerea efectivă a fragmentării pieței interne</w:t>
            </w:r>
            <w:r>
              <w:t xml:space="preserve">, facilitarea monitorizării eficace de către statele membre a respectării legislației UE menite să asigure protecția lucrătorilor detașați și sprijinirea cooperării administrative aferente dintre autoritățile naționale competente din statele membre. </w:t>
            </w:r>
            <w:r>
              <w:rPr>
                <w:b/>
                <w:i/>
              </w:rPr>
              <w:t>În plus, Comisia examinează posibila utilizare în viitor a interfeței publice pentru declarațiile prestatorilor de servicii stabiliți în afara Uniunii și pentru trimiterea lucrătorilor într-un stat membru pentru a presta servicii, precum și a persoanelor care desfășoară activități independente.</w:t>
            </w:r>
            <w:r>
              <w:t xml:space="preserve"> </w:t>
            </w:r>
            <w:r>
              <w:rPr>
                <w:b/>
                <w:i/>
              </w:rPr>
              <w:t>De asemenea, Comisia consultă părțile interesate relevante.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Raportul Enrico Letta „Much more than a market: </w:t>
            </w:r>
            <w:r>
              <w:t xml:space="preserve"> </w:t>
            </w:r>
            <w:r>
              <w:rPr>
                <w:b/>
                <w:i/>
              </w:rPr>
              <w:t>Empowering the Single Market to deliver a sustainable future and prosperity for all EU Citizens” (Mult mai mult decât o piață – Capacitarea pieței unice pentru a asigura tuturor cetățenilor UE prosperitate și un viitor durabil), aprilie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Raportul Draghi, „The future of European competitiveness” (Viitorul competitivității europene), septembrie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Andreas Schwab, Pascal Arimont,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Comisia prezintă un raport privind experiența dobândită în aplicarea prezentului regulament în termen de [cinci ani de la intrarea în vigoare a regulamentului]. Mai precis, raportul examinează în ce măsură prezentul regulament s-a dovedit a fi practic pentru reducerea barierelor administrative din calea libertății de a presta servicii, facilitarea monitorizării eficace de către statele membre a respectării legislației UE menite să asigure protecția lucrătorilor detașați și sprijinirea cooperării administrative aferente dintre autoritățile naționale competente din statele membre.</w:t>
            </w:r>
          </w:p>
        </w:tc>
        <w:tc>
          <w:tcPr>
            <w:tcW w:w="4876" w:type="dxa"/>
            <w:tcBorders>
              <w:top w:val="nil"/>
              <w:left w:val="nil"/>
              <w:bottom w:val="nil"/>
              <w:right w:val="nil"/>
            </w:tcBorders>
          </w:tcPr>
          <w:p>
            <w:pPr>
              <w:pStyle w:val="Normal6a"/>
            </w:pPr>
            <w:r>
              <w:t xml:space="preserve">Comisia prezintă un raport privind experiența dobândită în aplicarea prezentului regulament în termen de [cinci ani de la intrarea în vigoare a regulamentului]. Mai precis, raportul examinează în ce măsură prezentul regulament s-a dovedit a fi practic pentru reducerea barierelor administrative din calea libertății de a presta servicii, facilitarea monitorizării eficace de către statele membre a respectării legislației UE menite să asigure protecția lucrătorilor detașați și sprijinirea cooperării administrative aferente dintre autoritățile naționale competente din statele membre. </w:t>
            </w:r>
            <w:r>
              <w:rPr>
                <w:b/>
                <w:i/>
              </w:rPr>
              <w:t>Raportul examinează posibilitatea introducerii unei declarații obligatorii armonizate pentru toate statele membre.</w:t>
            </w:r>
            <w:r>
              <w:t xml:space="preserve"> </w:t>
            </w:r>
            <w:r>
              <w:rPr>
                <w:b/>
                <w:i/>
              </w:rPr>
              <w:t>Aceasta analizează, de asemenea, posibilitatea de a extinde reutilizarea datelor și utilizarea interfeței publice la documentul portabil A1 și analizează modalitățile de fuzionare din punct de vedere tehnic și juridic a acestora într-o singură declarație în viitor.</w:t>
            </w:r>
            <w:r>
              <w:t xml:space="preserve"> </w:t>
            </w:r>
            <w:r>
              <w:rPr>
                <w:b/>
                <w:i/>
              </w:rPr>
              <w:t>Comisia consultă părțile interesate relevante și ține seama de avizul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Pascal Arimont, Andreas Schwab,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Comisia prezintă un raport privind experiența dobândită în aplicarea prezentului regulament în termen de [</w:t>
            </w:r>
            <w:r>
              <w:rPr>
                <w:b/>
                <w:i/>
              </w:rPr>
              <w:t>cinci</w:t>
            </w:r>
            <w:r>
              <w:t xml:space="preserve"> ani de la intrarea în vigoare a regulamentului]. Mai precis, raportul examinează în ce măsură prezentul regulament s-a dovedit a fi practic pentru reducerea barierelor administrative din calea libertății de a presta servicii, facilitarea monitorizării eficace de către statele membre a respectării legislației UE menite să asigure protecția lucrătorilor detașați și sprijinirea cooperării administrative aferente dintre autoritățile naționale competente din statele membre.</w:t>
            </w:r>
          </w:p>
        </w:tc>
        <w:tc>
          <w:tcPr>
            <w:tcW w:w="4876" w:type="dxa"/>
            <w:tcBorders>
              <w:top w:val="nil"/>
              <w:left w:val="nil"/>
              <w:bottom w:val="nil"/>
              <w:right w:val="nil"/>
            </w:tcBorders>
          </w:tcPr>
          <w:p>
            <w:pPr>
              <w:pStyle w:val="Normal6a"/>
            </w:pPr>
            <w:r>
              <w:t>Comisia prezintă un raport privind experiența dobândită în aplicarea prezentului regulament în termen de [</w:t>
            </w:r>
            <w:r>
              <w:rPr>
                <w:b/>
                <w:i/>
              </w:rPr>
              <w:t>trei</w:t>
            </w:r>
            <w:r>
              <w:t xml:space="preserve"> ani de la intrarea în vigoare a regulamentului]. Mai precis, raportul examinează în ce măsură prezentul regulament s-a dovedit a fi practic pentru reducerea barierelor administrative din calea libertății de a presta servicii, </w:t>
            </w:r>
            <w:r>
              <w:rPr>
                <w:b/>
                <w:i/>
              </w:rPr>
              <w:t>pentru îmbunătățirea funcționării pieței interne, pentru încurajarea statelor membre să folosească interfața publică, pentru</w:t>
            </w:r>
            <w:r>
              <w:t xml:space="preserve"> facilitarea monitorizării eficace de către statele membre a respectării legislației UE menite să asigure protecția lucrătorilor detașați și </w:t>
            </w:r>
            <w:r>
              <w:rPr>
                <w:b/>
                <w:i/>
              </w:rPr>
              <w:t>pentru</w:t>
            </w:r>
            <w:r>
              <w:t xml:space="preserve"> sprijinirea cooperării administrative aferente dintre autoritățile naționale competente din statele membre. </w:t>
            </w:r>
            <w:r>
              <w:rPr>
                <w:b/>
                <w:i/>
              </w:rPr>
              <w:t>Pentru acest raport, Comisia ține seama de avizul părților interesate relevante, inclusiv al partenerilor sociali și al agențiilor naționale de aplicare a legii, al căror feedback va beneficia de o atenție specială în cadrul evaluării, deoarece acestea asigură aplicarea corectă a legislației.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Modificarea proiectului de raport.</w:t>
      </w:r>
    </w:p>
    <w:p>
      <w:pPr>
        <w:pStyle w:val="AmJustText"/>
      </w:pPr>
      <w:r>
        <w:t>Acest amendament subliniază necesitatea de a include în procesul de evaluare feedbackul agențiilor naționale de aplicare a legii din statele membre participante, întrucât expertiza acestora cu privire la condițiile concrete ale inspecțiilor și controalelor pe teren oferă o valoare adăugată semnificativă pentru îmbunătățirea interfeței publice.</w:t>
      </w:r>
    </w:p>
    <w:p>
      <w:r>
        <w:rPr>
          <w:rStyle w:val="HideTWBExt"/>
        </w:rPr>
        <w:t>&lt;/Amend&gt;</w:t>
      </w:r>
    </w:p>
    <w:p>
      <w:pPr>
        <w:pStyle w:val="AmNumberTabs"/>
      </w:pPr>
      <w:r>
        <w:rPr>
          <w:rStyle w:val="HideTWBExt"/>
        </w:rPr>
        <w:t>&lt;Amend&gt;</w:t>
      </w:r>
      <w:r>
        <w:t>Amendamentul</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Brigitte van den Berg, Svenja Hahn, Jana Toom,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Comisia prezintă un raport privind experiența dobândită în aplicarea prezentului regulament în termen de [</w:t>
            </w:r>
            <w:r>
              <w:rPr>
                <w:b/>
                <w:i/>
              </w:rPr>
              <w:t>cinci</w:t>
            </w:r>
            <w:r>
              <w:t xml:space="preserve"> ani de la intrarea în vigoare a regulamentului]. Mai precis, raportul examinează în ce măsură prezentul regulament s-a dovedit a fi practic pentru reducerea barierelor administrative din calea libertății de a presta servicii, facilitarea monitorizării eficace de către statele membre a respectării legislației UE menite să </w:t>
            </w:r>
            <w:r>
              <w:rPr>
                <w:b/>
                <w:i/>
              </w:rPr>
              <w:t>asigure</w:t>
            </w:r>
            <w:r>
              <w:t xml:space="preserve"> protecția lucrătorilor detașați și </w:t>
            </w:r>
            <w:r>
              <w:rPr>
                <w:b/>
                <w:i/>
              </w:rPr>
              <w:t>sprijinirea cooperării administrative aferente</w:t>
            </w:r>
            <w:r>
              <w:t xml:space="preserve"> dintre autoritățile naționale competente din statele membre.</w:t>
            </w:r>
          </w:p>
        </w:tc>
        <w:tc>
          <w:tcPr>
            <w:tcW w:w="4876" w:type="dxa"/>
            <w:tcBorders>
              <w:top w:val="nil"/>
              <w:left w:val="nil"/>
              <w:bottom w:val="nil"/>
              <w:right w:val="nil"/>
            </w:tcBorders>
          </w:tcPr>
          <w:p>
            <w:pPr>
              <w:pStyle w:val="Normal6a"/>
            </w:pPr>
            <w:r>
              <w:t>Comisia prezintă un raport privind experiența dobândită în aplicarea prezentului regulament în termen de [</w:t>
            </w:r>
            <w:r>
              <w:rPr>
                <w:b/>
                <w:i/>
              </w:rPr>
              <w:t>trei</w:t>
            </w:r>
            <w:r>
              <w:t xml:space="preserve"> ani de la intrarea în vigoare a regulamentului]. Mai precis, raportul examinează în ce măsură prezentul regulament s-a dovedit a fi practic pentru reducerea barierelor administrative din calea libertății de a presta servicii, </w:t>
            </w:r>
            <w:r>
              <w:rPr>
                <w:b/>
                <w:i/>
              </w:rPr>
              <w:t>pentru îmbunătățirea funcționării pieței interne, pentru reducerea fragmentării pieței interne, pentru</w:t>
            </w:r>
            <w:r>
              <w:t xml:space="preserve"> facilitarea monitorizării eficace de către statele membre a respectării legislației UE menite să </w:t>
            </w:r>
            <w:r>
              <w:rPr>
                <w:b/>
                <w:i/>
              </w:rPr>
              <w:t>îmbunătățească</w:t>
            </w:r>
            <w:r>
              <w:t xml:space="preserve"> protecția lucrătorilor detașați și </w:t>
            </w:r>
            <w:r>
              <w:rPr>
                <w:b/>
                <w:i/>
              </w:rPr>
              <w:t>să consolideze cooperarea administrativă aferentă</w:t>
            </w:r>
            <w:r>
              <w:t xml:space="preserve"> dintre autoritățile naționale competente din statele membre. </w:t>
            </w:r>
            <w:r>
              <w:rPr>
                <w:b/>
                <w:i/>
              </w:rPr>
              <w:t>Comisia se asigură că avizul părților interesate relevante, inclusiv al partenerilor sociali și al furnizorilor de servicii, în special al IMM-urilor, este luat în considerare la elaborarea raportului.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Arba Kokalari, Andrea Wechsler,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Comisia prezintă un raport privind experiența dobândită în aplicarea prezentului regulament în termen de [cinci ani de la intrarea în vigoare a regulamentului]. Mai precis, raportul examinează în ce măsură prezentul regulament s-a dovedit a fi practic pentru reducerea barierelor administrative din calea libertății de a presta servicii, facilitarea monitorizării eficace de către statele membre a respectării legislației UE menite să asigure protecția lucrătorilor detașați și sprijinirea cooperării administrative aferente dintre autoritățile naționale competente din statele membre.</w:t>
            </w:r>
          </w:p>
        </w:tc>
        <w:tc>
          <w:tcPr>
            <w:tcW w:w="4876" w:type="dxa"/>
            <w:tcBorders>
              <w:top w:val="nil"/>
              <w:left w:val="nil"/>
              <w:bottom w:val="nil"/>
              <w:right w:val="nil"/>
            </w:tcBorders>
          </w:tcPr>
          <w:p>
            <w:pPr>
              <w:pStyle w:val="Normal6a"/>
            </w:pPr>
            <w:r>
              <w:t xml:space="preserve">Comisia prezintă un raport privind experiența dobândită în aplicarea prezentului regulament în termen de [cinci ani de la intrarea în vigoare a regulamentului]. Mai precis, raportul examinează în ce măsură prezentul regulament s-a dovedit a fi practic pentru reducerea barierelor administrative din calea libertății de a presta servicii, facilitarea monitorizării eficace de către statele membre a respectării legislației UE menite să asigure protecția lucrătorilor detașați și sprijinirea cooperării administrative aferente dintre autoritățile naționale competente din statele membre. </w:t>
            </w:r>
            <w:r>
              <w:rPr>
                <w:b/>
                <w:i/>
              </w:rPr>
              <w:t>Raportul include o evaluare a ușurinței de utilizare.</w:t>
            </w:r>
            <w:r>
              <w:t xml:space="preserve"> </w:t>
            </w:r>
            <w:r>
              <w:rPr>
                <w:b/>
                <w:i/>
              </w:rPr>
              <w:t>Comisia propune, de asemenea, îmbunătățiri suplimentare pentru simplificarea procedurilor.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Comisia prezintă un raport privind experiența dobândită în aplicarea prezentului regulament în termen de [cinci ani de la intrarea în vigoare a regulamentului]. </w:t>
            </w:r>
            <w:r>
              <w:rPr>
                <w:b/>
                <w:i/>
              </w:rPr>
              <w:t>Mai precis,</w:t>
            </w:r>
            <w:r>
              <w:t xml:space="preserve"> raportul examinează în ce măsură prezentul regulament s-a dovedit a fi practic pentru </w:t>
            </w:r>
            <w:r>
              <w:rPr>
                <w:b/>
                <w:i/>
              </w:rPr>
              <w:t>reducerea barierelor administrative din calea libertății de a presta servicii, facilitarea</w:t>
            </w:r>
            <w:r>
              <w:t xml:space="preserve"> monitorizării </w:t>
            </w:r>
            <w:r>
              <w:rPr>
                <w:b/>
                <w:i/>
              </w:rPr>
              <w:t>eficace</w:t>
            </w:r>
            <w:r>
              <w:t xml:space="preserve"> de către statele membre a respectării legislației UE menite să asigure protecția lucrătorilor detașați </w:t>
            </w:r>
            <w:r>
              <w:rPr>
                <w:b/>
                <w:i/>
              </w:rPr>
              <w:t>și</w:t>
            </w:r>
            <w:r>
              <w:t xml:space="preserve"> sprijinirea cooperării administrative aferente dintre autoritățile naționale competente din statele membre.</w:t>
            </w:r>
          </w:p>
        </w:tc>
        <w:tc>
          <w:tcPr>
            <w:tcW w:w="4876" w:type="dxa"/>
            <w:tcBorders>
              <w:top w:val="nil"/>
              <w:left w:val="nil"/>
              <w:bottom w:val="nil"/>
              <w:right w:val="nil"/>
            </w:tcBorders>
          </w:tcPr>
          <w:p>
            <w:pPr>
              <w:pStyle w:val="Normal6a"/>
            </w:pPr>
            <w:r>
              <w:t xml:space="preserve">Comisia prezintă un raport privind experiența dobândită în aplicarea prezentului regulament în termen de [cinci ani de la intrarea în vigoare a regulamentului]. Raportul examinează </w:t>
            </w:r>
            <w:r>
              <w:rPr>
                <w:b/>
                <w:i/>
              </w:rPr>
              <w:t>mai ales</w:t>
            </w:r>
            <w:r>
              <w:t xml:space="preserve"> în ce măsură prezentul regulament s-a dovedit a fi practic pentru </w:t>
            </w:r>
            <w:r>
              <w:rPr>
                <w:b/>
                <w:i/>
              </w:rPr>
              <w:t>consolidarea</w:t>
            </w:r>
            <w:r>
              <w:t xml:space="preserve"> monitorizării de către statele membre a respectării legislației UE menite să asigure protecția lucrătorilor detașați</w:t>
            </w:r>
            <w:r>
              <w:rPr>
                <w:b/>
                <w:i/>
              </w:rPr>
              <w:t>,</w:t>
            </w:r>
            <w:r>
              <w:t xml:space="preserve"> sprijinirea cooperării administrative aferente dintre autoritățile naționale competente din statele membre </w:t>
            </w:r>
            <w:r>
              <w:rPr>
                <w:b/>
                <w:i/>
              </w:rPr>
              <w:t>și îmbunătățirea colectării datelor privind detașarea lucrătorilor, raționalizând în același timp cerințele administrative privind libertatea de a presta servicii</w:t>
            </w:r>
            <w:r>
              <w:t>.</w:t>
            </w:r>
            <w:r>
              <w:rPr>
                <w:b/>
                <w:i/>
              </w:rP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Comisia prezintă un raport privind experiența dobândită în aplicarea prezentului regulament în termen de [</w:t>
            </w:r>
            <w:r>
              <w:rPr>
                <w:b/>
                <w:i/>
              </w:rPr>
              <w:t>cinci</w:t>
            </w:r>
            <w:r>
              <w:t xml:space="preserve"> ani de la intrarea în vigoare a regulamentului]. </w:t>
            </w:r>
            <w:r>
              <w:rPr>
                <w:b/>
                <w:i/>
              </w:rPr>
              <w:t>Mai precis,</w:t>
            </w:r>
            <w:r>
              <w:t xml:space="preserve"> raportul examinează în ce măsură prezentul regulament s-a dovedit </w:t>
            </w:r>
            <w:r>
              <w:rPr>
                <w:b/>
                <w:i/>
              </w:rPr>
              <w:t>a fi</w:t>
            </w:r>
            <w:r>
              <w:t xml:space="preserve"> practic pentru reducerea barierelor administrative din calea libertății de a presta servicii, facilitarea monitorizării eficace de către statele membre a respectării legislației UE menite să asigure protecția lucrătorilor detașați și sprijinirea cooperării administrative aferente dintre autoritățile naționale competente din statele membre.</w:t>
            </w:r>
          </w:p>
        </w:tc>
        <w:tc>
          <w:tcPr>
            <w:tcW w:w="4876" w:type="dxa"/>
            <w:tcBorders>
              <w:top w:val="nil"/>
              <w:left w:val="nil"/>
              <w:bottom w:val="nil"/>
              <w:right w:val="nil"/>
            </w:tcBorders>
          </w:tcPr>
          <w:p>
            <w:pPr>
              <w:pStyle w:val="Normal6a"/>
            </w:pPr>
            <w:r>
              <w:t>Comisia prezintă un raport privind experiența dobândită în aplicarea prezentului regulament în termen de [</w:t>
            </w:r>
            <w:r>
              <w:rPr>
                <w:b/>
                <w:i/>
              </w:rPr>
              <w:t>trei</w:t>
            </w:r>
            <w:r>
              <w:t xml:space="preserve"> ani de la intrarea în vigoare a regulamentului]. Raportul examinează </w:t>
            </w:r>
            <w:r>
              <w:rPr>
                <w:b/>
                <w:i/>
              </w:rPr>
              <w:t>mai ales</w:t>
            </w:r>
            <w:r>
              <w:t xml:space="preserve"> în ce măsură prezentul regulament s-a dovedit practic pentru reducerea barierelor administrative din calea libertății de a presta servicii</w:t>
            </w:r>
            <w:r>
              <w:rPr>
                <w:b/>
                <w:i/>
              </w:rPr>
              <w:t>, reducerea costurilor și disponibilitatea serviciilor transfrontaliere</w:t>
            </w:r>
            <w:r>
              <w:t>, facilitarea monitorizării eficace de către statele membre a respectării legislației UE menite să asigure protecția lucrătorilor detașați și sprijinirea cooperării administrative aferente dintre autoritățile naționale competente din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Sebastian Kruis, Rachel Blom, Elisabeth Dieringer, Filip Turek, Ernő Schaller-Baross, Marie Dauchy, Mélanie Disdier, 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Comisia prezintă un raport privind experiența dobândită în aplicarea prezentului regulament în termen de [cinci ani de la intrarea în vigoare a regulamentului]. Mai precis, raportul examinează în ce măsură prezentul regulament s-a dovedit a fi practic pentru reducerea barierelor administrative din calea libertății de a presta servicii, facilitarea monitorizării eficace de către statele membre a respectării legislației </w:t>
            </w:r>
            <w:r>
              <w:rPr>
                <w:b/>
                <w:i/>
              </w:rPr>
              <w:t>UE</w:t>
            </w:r>
            <w:r>
              <w:t xml:space="preserve"> menite să asigure protecția lucrătorilor detașați și sprijinirea cooperării administrative aferente dintre autoritățile naționale competente din statele membre.</w:t>
            </w:r>
          </w:p>
        </w:tc>
        <w:tc>
          <w:tcPr>
            <w:tcW w:w="4876" w:type="dxa"/>
            <w:tcBorders>
              <w:top w:val="nil"/>
              <w:left w:val="nil"/>
              <w:bottom w:val="nil"/>
              <w:right w:val="nil"/>
            </w:tcBorders>
          </w:tcPr>
          <w:p>
            <w:pPr>
              <w:pStyle w:val="Normal6a"/>
            </w:pPr>
            <w:r>
              <w:t xml:space="preserve">Comisia prezintă un raport privind experiența dobândită în aplicarea prezentului regulament în termen de [cinci ani de la intrarea în vigoare a regulamentului]. Mai precis, raportul examinează în ce măsură prezentul regulament s-a dovedit a fi practic pentru reducerea barierelor administrative din calea libertății de a presta servicii, facilitarea monitorizării eficace de către statele membre a respectării legislației </w:t>
            </w:r>
            <w:r>
              <w:rPr>
                <w:b/>
                <w:i/>
              </w:rPr>
              <w:t>Uniunii și a legislației naționale</w:t>
            </w:r>
            <w:r>
              <w:t xml:space="preserve"> menite să asigure protecția lucrătorilor detașați și sprijinirea cooperării administrative aferente dintre autoritățile naționale competente din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Raportul evaluează în special măsura în care regulamentul contribuie la identificarea și abordarea modelelor de detașare cu grad ridicat de risc, inclusiv a celor care implică companii cu un istoric documentat de subminare a drepturilor sindicale și a libertății de asociere, de exemplu prin utilizarea sistematică a lucrătorilor detașați ca agenți de întrerupere a grevei, astfel cum se constată în cazul Tesla.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Hanna Gedin,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scopul acestei evaluări, Comisia consultă autoritățile naționale competente ale statelor membre și partenerii sociali.</w:t>
            </w:r>
            <w:r>
              <w:t xml:space="preserve"> </w:t>
            </w:r>
            <w:r>
              <w:rPr>
                <w:b/>
                <w:i/>
              </w:rPr>
              <w:t>În cadrul acestei evaluări, Comisia analizează, de asemenea, ce cerințe suplimentare privind informațiile ar putea fi necesare pentru a fi adăugate la rândul lor în formularul standard și în setul său comun de cerințe minime.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10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Prezentul regulament intră în vigoare la trei luni de la data publicării în Jurnalul Oficial al Uniunii Europene.</w:t>
            </w:r>
          </w:p>
        </w:tc>
        <w:tc>
          <w:tcPr>
            <w:tcW w:w="4876" w:type="dxa"/>
            <w:tcBorders>
              <w:top w:val="nil"/>
              <w:left w:val="nil"/>
              <w:bottom w:val="nil"/>
              <w:right w:val="nil"/>
            </w:tcBorders>
          </w:tcPr>
          <w:p>
            <w:pPr>
              <w:pStyle w:val="Normal6a"/>
            </w:pPr>
            <w:r>
              <w:t>Prezentul regulament intră în vigoare la trei luni de la data publicării în Jurnalul Oficial al Uniunii Europene.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Acesta se aplică de la 1 ianuarie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Andreas Schwab, Pascal Arimont,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Articolul 10a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Anexa Ia (nouă)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LISTA CERINȚELOR DE INFORMAȚII PENTRU FORMULARUL STANDARD ELECTRONIC COMUN – eDECLARAȚIE PENTRU DETAȘAREA LUCRĂTORILOR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 xml:space="preserve"> </w:t>
            </w:r>
            <w:r>
              <w:rPr>
                <w:b/>
                <w:i/>
              </w:rPr>
              <w:t>Informații referitoare la furnizorul de servicii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Identitatea persoanei care depune declarația (nume, telefon, e-mail)</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Tipul detașării: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Detașarea în temeiul unui contract de prestări servicii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detașare intragrup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detașare de către un agent de muncă temporară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 xml:space="preserve"> </w:t>
            </w:r>
            <w:r>
              <w:rPr>
                <w:b/>
                <w:i/>
              </w:rPr>
              <w:t>Pentru fiecare tip de detașare, dacă detașarea este: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în calitate de subcontractant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în lanț/detașare dublă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Denumirea societății care detașează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Țara în care este stabilită societatea care face detașarea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Adresa poștală completă a societății care face detașarea (strada, numărul, localitatea, codul poștal, țara)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Datele de contact ale societății care face detașarea (telefon, e-mail) [telefon general și e-mail, nu o persoană de contact]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Domeniul de activitate (clasificarea NACE cu text liber pentru identificarea clasificării NACE)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Codul UE de înregistrare în scopuri de TVA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Dacă nu e disponibil:</w:t>
            </w:r>
            <w:r>
              <w:t xml:space="preserve"> </w:t>
            </w:r>
            <w:r>
              <w:rPr>
                <w:b/>
                <w:i/>
              </w:rPr>
              <w:t>numărul de înscriere în registrul comerțului al societății care detașează în statul membru de stabilire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 xml:space="preserve"> </w:t>
            </w:r>
            <w:r>
              <w:rPr>
                <w:b/>
                <w:i/>
              </w:rPr>
              <w:t>Informații privind lucrătorul detașat</w:t>
            </w:r>
            <w:r>
              <w:rPr>
                <w:b/>
                <w:i/>
                <w:vertAlign w:val="superscript"/>
              </w:rPr>
              <w:t>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Numele și prenumele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Denumirea postului sau descrierea postului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Data nașterii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Numărul cărții de identitate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Naționalitatea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Adresa de e-mail (dacă funcționalitățile portalului electronic permit transmiterea automată a unei copii a declarației către lucrătorul detașat)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 xml:space="preserve"> </w:t>
            </w:r>
            <w:r>
              <w:rPr>
                <w:b/>
                <w:i/>
              </w:rPr>
              <w:t>Informații referitoare la detașare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Datele anticipate de începere și de încheiere a detașării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Data anticipată de începere și durata anticipată a detașării (calcularea automată a celeilalte)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Natura serviciului prestat/natura activității (clasificarea NACE cu text liber pentru identificarea clasificării NACE)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Adresa (adresele) locului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adresa beneficiarului serviciului ca loc de muncă și/sau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alte locuri de muncă (strada, numărul, codul poștal, localitatea sau coordonatele geografice)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Disponibilitatea documentelor: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 la persoana care asigură legătura cu autoritățile competente,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locul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altă locație (strada, numărul, codul poștal, localitatea)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electronic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 xml:space="preserve"> </w:t>
            </w:r>
            <w:r>
              <w:rPr>
                <w:b/>
                <w:i/>
              </w:rPr>
              <w:t>Informații referitoare la persoana care ia legătura cu autoritățile competente din statul membru gazdă [articolul 9 alineatul (1) litera (e) din Directiva 2014/67/UE]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Se indică dacă persoana de contact este: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unul dintre lucrătorii detașați,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 altă persoană fizică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o societate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Prenumele și numele SAU numele societății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Telefon [numai în cazul punctului 1 litera (b) sau (c)]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E-mail [numai în cazul punctului 1 litera (b) sau (c)]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Adresa poștală completă (strada, numărul, localitatea, codul poștal, țara) [numai în cazul punctului 1 litera (b) sau (c)]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w:t>
            </w:r>
            <w:r>
              <w:t xml:space="preserve"> </w:t>
            </w:r>
            <w:r>
              <w:rPr>
                <w:b/>
                <w:i/>
              </w:rPr>
              <w:t>Informații referitoare la beneficiarul serviciilor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cazul în care în secțiunea A punctul 2 a fost indicat unul dintre următoarele tipuri de detașare:</w:t>
            </w:r>
            <w:r>
              <w:t xml:space="preserve"> </w:t>
            </w:r>
            <w:r>
              <w:rPr>
                <w:b/>
                <w:i/>
              </w:rPr>
              <w:t>detașarea în temeiul unui contract de prestări servicii, detașarea intragrup: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Tipul de beneficiar al serviciilor: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societate</w:t>
            </w:r>
            <w:r>
              <w:rPr>
                <w:b/>
                <w:i/>
                <w:vertAlign w:val="superscript"/>
              </w:rPr>
              <w:t>1c</w:t>
            </w:r>
            <w:r>
              <w:t xml:space="preserve"> </w:t>
            </w:r>
            <w:r>
              <w:rPr>
                <w:b/>
                <w:i/>
              </w:rPr>
              <w:t>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persoană privată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Numele beneficiarului serviciului (în cazul societății)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Adresa beneficiarului serviciului (strada, numărul, codul poștal, localitatea) (în cazul societății)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Numărul de identificare fiscală al societății/beneficiarului serviciului în statul membru gazdă (în cazul societății)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cazul în care în secțiunea A punctul 2 a fost indicat următorul tip de detașare:</w:t>
            </w:r>
            <w:r>
              <w:t xml:space="preserve"> </w:t>
            </w:r>
            <w:r>
              <w:rPr>
                <w:b/>
                <w:i/>
              </w:rPr>
              <w:t>detașarea de către un agent de muncă temporară: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Denumirea societății utilizatoare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Adresa societății utilizatoare (strada, numărul, codul poștal, localitatea)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Numărul de identificare fiscală al societății utilizatoare în statul membru gazdă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Dacă este vorba de formularul central al UE, este posibil ca aceste informații să fie deja disponibile prin intermediul EU Login și să poată fi completate în prealabil.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Individual per lucrător detașat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Scopul este de a acoperi toți operatorii economici.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Johan Danielsson, Marc Angel, Gabriele Bischoff, Marianne Vind, Vivien Costanzo, Vilija Blinkevičiūtė, Brando Benifei, Marit Maij, Laura Ballarín Cereza, Adnan Dibrani, Idoia Mendia, Alicia Homs Ginel, Elisabeth Grossmann, François Kalfon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Articolul 10a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Anexa I – Formular standard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 xml:space="preserve"> </w:t>
            </w:r>
            <w:r>
              <w:rPr>
                <w:b/>
                <w:i/>
              </w:rPr>
              <w:t>INFORMAȚII PRIVIND FURNIZORUL DE SERVICII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Identitatea persoanei care depune declarația (nume, telefon, e-mail)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Tipul detașării: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detașarea în temeiul unui contract de prestări servicii,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detașare intragrup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detașarea de către un agent de muncă temporară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 xml:space="preserve"> </w:t>
            </w:r>
            <w:r>
              <w:rPr>
                <w:b/>
                <w:i/>
              </w:rPr>
              <w:t>Pentru fiecare tip de detașare, dacă detașarea este: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în calitate de subcontractant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în cazul în care răspunsul la litera (a) este „da”:</w:t>
            </w:r>
            <w:r>
              <w:t xml:space="preserve"> </w:t>
            </w:r>
            <w:r>
              <w:rPr>
                <w:b/>
                <w:i/>
              </w:rPr>
              <w:t>numărul de înscriere în registrul comerțului al contractantului principal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în lanț/detașare dublă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Denumirea societății care detașează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Țara în care este stabilită societatea care face detașarea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Adresa poștală completă a societății care face detașarea (strada, numărul, localitatea, codul poștal, țara)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Datele de contact ale societății care face detașarea (telefon, e-mail) [telefon general și e-mail, nu o persoană de contact]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Identitatea reprezentantului legal sau a altei persoane care reprezintă societatea în cadrul procedurilor administrative și judiciare (numele complet, data și locul nașterii, numărul cărții de identitate)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Domeniul de activitate (în conformitate cu sistemul național de clasificare aplicabil sau, în cazul în care nu există un sistem aplicabil, cu clasificarea NACE cu text liber pentru identificarea clasificării NACE)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Dacă este cazul, codul UE de înregistrare în scopuri de TVA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w:t>
            </w:r>
            <w:r>
              <w:t xml:space="preserve"> </w:t>
            </w:r>
            <w:r>
              <w:rPr>
                <w:b/>
                <w:i/>
              </w:rPr>
              <w:t>numărul de înscriere în registrul comerțului al societății care detașează în statul membru de stabilire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w:t>
            </w:r>
            <w:r>
              <w:t xml:space="preserve"> </w:t>
            </w:r>
            <w:r>
              <w:rPr>
                <w:b/>
                <w:i/>
              </w:rPr>
              <w:t>Numărul autorizației de a desfășura activități prin agent de muncă temporară, dacă este cazul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 xml:space="preserve"> </w:t>
            </w:r>
            <w:r>
              <w:rPr>
                <w:b/>
                <w:i/>
              </w:rPr>
              <w:t>INFORMAȚII PRIVIND LUCRĂTORUL DETAȘAT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Numele și prenumele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Denumirea postului sau descrierea postului pe care trebuie să îl ocupe în timpul detașării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Calificări profesionale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Data nașterii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Numărul pașaportului sau numărul cărții naționale de identitate (trebuie să corespundă formei de identificare utilizate de persoană în timpul șederii sale în statul membru de primire)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Numărul personal de identificare, cum ar fi un număr de identificare fiscală sau de securitate socială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Resortisant al unei țări terțe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În caz afirmativ:</w:t>
            </w:r>
            <w:r>
              <w:t xml:space="preserve"> </w:t>
            </w:r>
            <w:r>
              <w:rPr>
                <w:b/>
                <w:i/>
              </w:rPr>
              <w:t>naționalitatea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Data de începere a raportului de muncă în statul membru în care se desfășoară activitatea obișnuită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Statul membru de afiliere în scopuri de securitate socială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w:t>
            </w:r>
            <w:r>
              <w:t xml:space="preserve"> </w:t>
            </w:r>
            <w:r>
              <w:rPr>
                <w:b/>
                <w:i/>
              </w:rPr>
              <w:t>Numărul de telefon și adresa de e-mail a lucrătorului detașat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 xml:space="preserve"> </w:t>
            </w:r>
            <w:r>
              <w:rPr>
                <w:b/>
                <w:i/>
              </w:rPr>
              <w:t>INFORMAȚII PRIVIND DETAȘAREA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Data de începere și de încheiere a detașării SAU data de începere și durata anticipată a detașării (calcularea automată a celeilalte)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Natura serviciului prestat/natura activității (în conformitate cu sistemul național de clasificare aplicabil sau, în cazul în care nu există un sistem aplicabil, cu clasificarea NACE cu text liber pentru identificarea clasificării NACE)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Adresa (adresele) locului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adresa beneficiarului serviciului ca loc de muncă și/sau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alte locuri de muncă (strada, numărul, codul poștal, localitatea sau coordonatele geografice)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 completa pentru toți lucrătorii sau individual pentru fiecare lucrător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Programul de lucru: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Ora de începere la locul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Ora de încheiere la locul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Zile libere pe săptămână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Tarif orar al salariului sau primă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Cheltuieli de deplasare plătite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Cheltuieli de masă plătite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Cheltuieli de cazare plătite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Cazare colectivă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În caz afirmativ:</w:t>
            </w:r>
            <w:r>
              <w:t xml:space="preserve"> </w:t>
            </w:r>
            <w:r>
              <w:rPr>
                <w:b/>
                <w:i/>
              </w:rPr>
              <w:t>adresa (strada, numărul, codul poștal, localitatea sau coordonatele geografice)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w:t>
            </w:r>
            <w:r>
              <w:t xml:space="preserve"> </w:t>
            </w:r>
            <w:r>
              <w:rPr>
                <w:b/>
                <w:i/>
              </w:rPr>
              <w:t>Disponibilitatea documentelor: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 la persoana care asigură legătura cu autoritățile competente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locul de muncă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altă locație (strada, numărul, codul poștal, localitatea)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electronic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 xml:space="preserve"> </w:t>
            </w:r>
            <w:r>
              <w:rPr>
                <w:b/>
                <w:i/>
              </w:rPr>
              <w:t>INFORMAȚII REFERITOARE LA PERSOANA CARE ȚINE LEGĂTURA CU AUTORITĂȚILE COMPETENTE DIN STATUL MEMBRU GAZDĂ [ARTICOLUL </w:t>
            </w:r>
            <w:r>
              <w:t xml:space="preserve"> </w:t>
            </w:r>
            <w:r>
              <w:rPr>
                <w:b/>
                <w:i/>
              </w:rPr>
              <w:t>9 ALINEATUL (1) LITERA (E) DIN DIRECTIVA 2014/67/UE]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Se indică dacă persoana de contact este fie: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 altă persoană fie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 societate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Dacă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numele și prenumele și codul numeric personal, cum ar fi numărul de identificare fiscală sau de securitate socială, numărul pașaportului sau numărul cărții de identitate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Dacă (b)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denumirea societății și numărul de înscriere în registrul comerțului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Telefon și e-mail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Adresa (strada, numărul, localitatea, codul poștal, țara)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w:t>
            </w:r>
            <w:r>
              <w:t xml:space="preserve"> </w:t>
            </w:r>
            <w:r>
              <w:rPr>
                <w:b/>
                <w:i/>
              </w:rPr>
              <w:t>INFORMAȚII PRIVIND BENEFICIARUL DE SERVICII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cazul în care în secțiunea A punctul 2 a fost indicat unul dintre următoarele tipuri de detașare: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detașarea în temeiul unui contract de prestări servicii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detașare intragrup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Tipul de beneficiar al serviciilor: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societate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persoană privată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Numele beneficiarului serviciului (dacă este vorba de o societate)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Identitatea reprezentantului legal sau a altei persoane care reprezintă societatea în cadrul procedurilor administrative și judiciare (numele complet, data și locul nașterii, numărul cărții de identitate)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Adresa beneficiarului serviciului (dacă este vorba de o societate) (strada, numărul, codul poștal, localitatea)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Numărul de identificare fiscală al societății/beneficiarului serviciului în statul membru gazdă (dacă este vorba de o societate)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cazul în care în secțiunea A punctul 2 a fost indicat următorul tip de detașare: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detașarea de către un agent de muncă temporară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Denumirea societății utilizatoare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Identitatea reprezentantului legal sau a altei persoane care reprezintă beneficiarul serviciului în cadrul procedurilor administrative și judiciare (numele complet, data și locul nașterii, numărul cărții de identitate)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Adresa societății utilizatoare (strada, numărul, codul poștal, localitatea)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Numărul de identificare comercială al societății utilizatoare din statul membru gazdă în cazul unei detașări duble sau a unei detașări în lanț.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Numele societății utilizatoare și identitatea reprezentantului legal sau a altei persoane care reprezintă beneficiarul serviciului în cadrul procedurilor administrative și judiciare (numele complet, data și locul nașterii, numărul cărții de identitate)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Kim Van Sparrentak, Villy Søvndal</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Articolul 10a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Anexa I – Formular standard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 xml:space="preserve"> </w:t>
            </w:r>
            <w:r>
              <w:rPr>
                <w:b/>
                <w:i/>
              </w:rPr>
              <w:t>INFORMAȚII PRIVIND FURNIZORUL DE SERVICII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Identitatea persoanei care depune declarația (nume, telefon, e-mail)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Tipul detașării: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detașarea în temeiul unui contract de prestări servicii,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detașare intragrup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detașarea de către un agent de muncă temporară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 xml:space="preserve"> </w:t>
            </w:r>
            <w:r>
              <w:rPr>
                <w:b/>
                <w:i/>
              </w:rPr>
              <w:t>Pentru fiecare tip de detașare, dacă detașarea este: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în calitate de subcontractant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în cazul în care răspunsul la litera (a) este „da”:</w:t>
            </w:r>
            <w:r>
              <w:t xml:space="preserve"> </w:t>
            </w:r>
            <w:r>
              <w:rPr>
                <w:b/>
                <w:i/>
              </w:rPr>
              <w:t>numărul de înscriere în registrul comerțului al contractantului principal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în lanț/detașare dublă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Denumirea societății care detașează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Țara în care este stabilită societatea care face detașarea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Adresa poștală completă a societății care face detașarea (strada, numărul, localitatea, codul poștal, țara)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Datele de contact ale societății care face detașarea (telefon, e-mail) [telefon general și e-mail, nu o persoană de contact]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Identitatea reprezentantului legal sau a altei persoane care reprezintă societatea în cadrul procedurilor administrative și judiciare (numele complet, data și locul nașterii, numărul cărții de identitate)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Domeniul de activitate (în conformitate cu sistemul național de clasificare aplicabil sau, în cazul în care nu există un sistem aplicabil, cu clasificarea NACE cu text liber pentru identificarea clasificării NACE)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Dacă este cazul, codul UE de înregistrare în scopuri de TVA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w:t>
            </w:r>
            <w:r>
              <w:t xml:space="preserve"> </w:t>
            </w:r>
            <w:r>
              <w:rPr>
                <w:b/>
                <w:i/>
              </w:rPr>
              <w:t>numărul de înscriere în registrul comerțului al societății care detașează în statul membru de stabilire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w:t>
            </w:r>
            <w:r>
              <w:t xml:space="preserve"> </w:t>
            </w:r>
            <w:r>
              <w:rPr>
                <w:b/>
                <w:i/>
              </w:rPr>
              <w:t>Numărul autorizației de a desfășura activități prin agent de muncă temporară, dacă este cazul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 xml:space="preserve"> </w:t>
            </w:r>
            <w:r>
              <w:rPr>
                <w:b/>
                <w:i/>
              </w:rPr>
              <w:t>INFORMAȚII PRIVIND LUCRĂTORUL DETAȘAT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Numele și prenumele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Denumirea postului sau descrierea postului pe care trebuie să îl ocupe în timpul detașării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Calificarea profesională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Data nașterii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Numărul pașaportului sau numărul cărții naționale de identitate (trebuie să corespundă formei de identificare utilizate de persoană în timpul șederii sale în statul membru de primire)</w:t>
            </w:r>
            <w:r>
              <w:t xml:space="preserve"> </w:t>
            </w:r>
            <w:r>
              <w:rPr>
                <w:b/>
                <w:i/>
              </w:rPr>
              <w:t>6. Numărul personal de identificare, cum ar fi un număr de identificare fiscală sau de securitate socială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Resortisant al unei țări terțe [da] [nu] - În caz afirmativ:</w:t>
            </w:r>
            <w:r>
              <w:t xml:space="preserve"> </w:t>
            </w:r>
            <w:r>
              <w:rPr>
                <w:b/>
                <w:i/>
              </w:rPr>
              <w:t>naționalitatea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Data de începere a raportului de muncă în statul membru în care se desfășoară activitatea obișnuită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Statul membru de afiliere în scopuri de securitate socială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w:t>
            </w:r>
            <w:r>
              <w:t xml:space="preserve"> </w:t>
            </w:r>
            <w:r>
              <w:rPr>
                <w:b/>
                <w:i/>
              </w:rPr>
              <w:t>Numărul de telefon și adresa de e-mail a lucrătorului detașat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 xml:space="preserve"> </w:t>
            </w:r>
            <w:r>
              <w:rPr>
                <w:b/>
                <w:i/>
              </w:rPr>
              <w:t>INFORMAȚII PRIVIND DETAȘAREA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Data de începere și de încheiere a detașării SAU data de începere și durata anticipată a detașării (calcularea automată a celeilalte)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Natura serviciului prestat/natura activității (în conformitate cu sistemul național de clasificare aplicabil sau, în cazul în care nu există un sistem aplicabil, cu clasificarea NACE cu text liber pentru identificarea clasificării NACE)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Adresa (adresele) locului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adresa beneficiarului serviciului ca loc de muncă și/sau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alte locuri de muncă (strada, numărul, codul poștal, localitatea sau coordonatele geografice)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 completa pentru toți lucrătorii sau individual pentru fiecare lucrător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Programul de lucru: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Ora de începere la locul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Ora de încheiere la locul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Zile libere pe săptămână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Tarif orar al salariului sau primă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Cheltuieli de deplasare plătite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Cheltuieli de masă plătite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Cheltuieli de cazare plătite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Cazare colectivă (da) (nu)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În caz afirmativ:</w:t>
            </w:r>
            <w:r>
              <w:t xml:space="preserve"> </w:t>
            </w:r>
            <w:r>
              <w:rPr>
                <w:b/>
                <w:i/>
              </w:rPr>
              <w:t>adresa (strada, numărul, codul poștal, localitatea sau coordonatele geografice)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w:t>
            </w:r>
            <w:r>
              <w:t xml:space="preserve"> </w:t>
            </w:r>
            <w:r>
              <w:rPr>
                <w:b/>
                <w:i/>
              </w:rPr>
              <w:t>Disponibilitatea documentelor: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 la persoana care asigură legătura cu autoritățile competente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locul de muncă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altă locație (strada, numărul, codul poștal, localitatea)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electronic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 xml:space="preserve"> </w:t>
            </w:r>
            <w:r>
              <w:rPr>
                <w:b/>
                <w:i/>
              </w:rPr>
              <w:t>INFORMAȚII REFERITOARE LA PERSOANA CARE ȚINE LEGĂTURA CU AUTORITĂȚILE COMPETENTE DIN STATUL MEMBRU GAZDĂ [ARTICOLUL </w:t>
            </w:r>
            <w:r>
              <w:t xml:space="preserve"> </w:t>
            </w:r>
            <w:r>
              <w:rPr>
                <w:b/>
                <w:i/>
              </w:rPr>
              <w:t>9 ALINEATUL (1) LITERA (E) DIN DIRECTIVA 2014/67/UE]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Se indică dacă persoana de contact este fie: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 altă persoană fie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o societate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Dacă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numele și prenumele și codul numeric personal, cum ar fi numărul de identificare fiscală sau de securitate socială, numărul pașaportului sau numărul cărții de identitate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Dacă (b)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denumirea societății și numărul de înscriere în registrul comerțului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Telefon și e-mail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Adresa (strada, numărul, localitatea, codul poștal, țara)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w:t>
            </w:r>
            <w:r>
              <w:t xml:space="preserve"> </w:t>
            </w:r>
            <w:r>
              <w:rPr>
                <w:b/>
                <w:i/>
              </w:rPr>
              <w:t>INFORMAȚII PRIVIND BENEFICIARUL DE SERVICII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cazul în care în secțiunea A punctul 2 a fost indicat unul dintre următoarele tipuri de detașare: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detașarea în temeiul unui contract de prestări servicii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detașare intragrup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Tipul de beneficiar al serviciilor: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societate sau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persoană privată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Numele beneficiarului serviciului (dacă este vorba de o societate)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Identitatea reprezentantului legal sau a altei persoane care reprezintă societatea în cadrul procedurilor administrative și judiciare (numele complet, data și locul nașterii, numărul cărții de identitate)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Adresa beneficiarului serviciului (dacă este vorba de o societate) (strada, numărul, codul poștal, localitatea)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Numărul de identificare fiscală al societății/beneficiarului serviciului în statul membru gazdă (dacă este vorba de o societate)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cazul în care în secțiunea A punctul 2 a fost indicat următorul tip de detașare: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detașarea de către un agent de muncă temporară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Denumirea societății utilizatoare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Identitatea reprezentantului legal sau a altei persoane care reprezintă beneficiarul serviciului în cadrul procedurilor administrative și judiciare (numele complet, data și locul nașterii, numărul cărții de identitate)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Adresa societății utilizatoare (strada, numărul, codul poștal, localitatea)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Numărul de identificare comercială al societății utilizatoare din statul membru gazdă în cazul unei detașări duble sau a unei detașări în lanț.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Numele societății utilizatoare și identitatea reprezentantului legal sau a altei persoane care reprezintă beneficiarul serviciului în cadrul procedurilor administrative și judiciare (numele complet, data și locul nașterii, numărul cărții de identitate)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774.328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74</w:t>
    </w:r>
    <w:r>
      <w:fldChar w:fldCharType="end"/>
    </w:r>
    <w:r>
      <w:t>/</w:t>
    </w:r>
    <w:r>
      <w:fldChar w:fldCharType="begin"/>
    </w:r>
    <w:r>
      <w:instrText xml:space="preserve"> NUMPAGES </w:instrText>
    </w:r>
    <w:r>
      <w:fldChar w:fldCharType="separate"/>
    </w:r>
    <w:r>
      <w:t>74</w:t>
    </w:r>
    <w:r>
      <w:fldChar w:fldCharType="end"/>
    </w:r>
    <w:r>
      <w:tab/>
    </w:r>
    <w:r>
      <w:rPr>
        <w:rStyle w:val="HideTWBExt"/>
      </w:rPr>
      <w:t>&lt;PathFdR&gt;</w:t>
    </w:r>
    <w:r>
      <w:t>AM\1322377RO.docx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AM\1322377RO.docx</w:t>
    </w:r>
    <w:r>
      <w:rPr>
        <w:rStyle w:val="HideTWBExt"/>
      </w:rPr>
      <w:t>&lt;/PathFdR&gt;</w:t>
    </w:r>
    <w:r>
      <w:tab/>
    </w:r>
    <w:r>
      <w:fldChar w:fldCharType="begin"/>
    </w:r>
    <w:r>
      <w:instrText xml:space="preserve"> PAGE </w:instrText>
    </w:r>
    <w:r>
      <w:fldChar w:fldCharType="separate"/>
    </w:r>
    <w:r>
      <w:t>73</w:t>
    </w:r>
    <w:r>
      <w:fldChar w:fldCharType="end"/>
    </w:r>
    <w:r>
      <w:t>/</w:t>
    </w:r>
    <w:r>
      <w:fldChar w:fldCharType="begin"/>
    </w:r>
    <w:r>
      <w:instrText xml:space="preserve"> NUMPAGES </w:instrText>
    </w:r>
    <w:r>
      <w:fldChar w:fldCharType="separate"/>
    </w:r>
    <w:r>
      <w:t>74</w:t>
    </w:r>
    <w:r>
      <w:fldChar w:fldCharType="end"/>
    </w:r>
    <w:r>
      <w:tab/>
    </w:r>
    <w:r>
      <w:t>PE</w:t>
    </w:r>
    <w:r>
      <w:rPr>
        <w:rStyle w:val="HideTWBExt"/>
      </w:rPr>
      <w:t>&lt;NoPE&gt;</w:t>
    </w:r>
    <w:r>
      <w:t>774.328</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AM\1322377RO.docx</w:t>
    </w:r>
    <w:r>
      <w:rPr>
        <w:rStyle w:val="HideTWBExt"/>
      </w:rPr>
      <w:t>&lt;/PathFdR&gt;</w:t>
    </w:r>
    <w:r>
      <w:tab/>
    </w:r>
    <w:r>
      <w:tab/>
    </w:r>
    <w:r>
      <w:t>PE</w:t>
    </w:r>
    <w:r>
      <w:rPr>
        <w:rStyle w:val="HideTWBExt"/>
      </w:rPr>
      <w:t>&lt;NoPE&gt;</w:t>
    </w:r>
    <w:r>
      <w:t>774.328</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74</Pages>
  <Words>14372</Words>
  <Characters>87814</Characters>
  <Application>Microsoft Office Word</Application>
  <DocSecurity>0</DocSecurity>
  <Lines>1</Lines>
  <Paragraphs>1437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1322377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199942</vt:lpwstr>
  </property>
  <property fmtid="{D5CDD505-2E9C-101B-9397-08002B2CF9AE}" pid="7" name="dmxml.render.traceId">
    <vt:lpwstr>685422f0b03a0d8fe0b2efffce9db095</vt:lpwstr>
  </property>
  <property fmtid="{D5CDD505-2E9C-101B-9397-08002B2CF9AE}" pid="8" name="FooterPath">
    <vt:lpwstr>AM\1322377RO.docx</vt:lpwstr>
  </property>
  <property fmtid="{D5CDD505-2E9C-101B-9397-08002B2CF9AE}" pid="9" name="PE Number">
    <vt:lpwstr>774.328</vt:lpwstr>
  </property>
  <property fmtid="{D5CDD505-2E9C-101B-9397-08002B2CF9AE}" pid="10" name="UID">
    <vt:lpwstr>eu.europa.europarl-DIN1-2025-0000117686_02.00-ro-02.00_text-xml</vt:lpwstr>
  </property>
</Properties>
</file>