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{SEDE}</w:t>
      </w:r>
      <w:r>
        <w:t>Committee on Security and Defence</w:t>
      </w:r>
      <w:r>
        <w:br/>
      </w:r>
      <w:r>
        <w:rPr>
          <w:rStyle w:val="HideTWBInt"/>
        </w:rPr>
        <w:t>{AFCO}</w:t>
      </w:r>
      <w:r>
        <w:t>Committee on Constitutional Affairs</w:t>
      </w:r>
      <w:r>
        <w:rPr>
          <w:rStyle w:val="HideTWBExt"/>
        </w:rPr>
        <w:t>&lt;/Commission&gt;</w:t>
      </w:r>
    </w:p>
    <w:p>
      <w:pPr>
        <w:pStyle w:val="LineBottom"/>
      </w:pPr>
      <w:r>
        <w:t xml:space="preserve"> </w:t>
      </w:r>
    </w:p>
    <w:p>
      <w:pPr>
        <w:pStyle w:val="CoverReference"/>
      </w:pPr>
      <w:r>
        <w:rPr>
          <w:rStyle w:val="HideTWBExt"/>
        </w:rPr>
        <w:t>&lt;RefProc&gt;</w:t>
      </w:r>
      <w:r>
        <w:t>2025/2212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{07/10/2026}</w:t>
      </w:r>
      <w:r>
        <w:t>7.10.2026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322</w:t>
      </w:r>
      <w:r>
        <w:t xml:space="preserve"> - </w:t>
      </w:r>
      <w:r>
        <w:t>643</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Niclas Herbst, Salvatore De Meo</w:t>
      </w:r>
      <w:r>
        <w:rPr>
          <w:rStyle w:val="HideTWBExt"/>
        </w:rPr>
        <w:t>&lt;/Rapporteur&gt;</w:t>
      </w:r>
    </w:p>
    <w:p>
      <w:pPr>
        <w:pStyle w:val="CoverNormal24a"/>
      </w:pPr>
      <w:r>
        <w:rPr>
          <w:rStyle w:val="HideTWBExt"/>
        </w:rPr>
        <w:t>&lt;DocRefPE&gt;</w:t>
      </w:r>
      <w:r>
        <w:t>(PE790.810v01-00)</w:t>
      </w:r>
      <w:r>
        <w:rPr>
          <w:rStyle w:val="HideTWBExt"/>
        </w:rPr>
        <w:t>&lt;/DocRefPE&gt;</w:t>
      </w:r>
    </w:p>
    <w:p>
      <w:pPr>
        <w:pStyle w:val="CoverNormal"/>
      </w:pPr>
      <w:r>
        <w:rPr>
          <w:rStyle w:val="HideTWBExt"/>
        </w:rPr>
        <w:t>&lt;Titre&gt;</w:t>
      </w:r>
      <w:r>
        <w:t>Institutional aspects of the Common European Defence Union</w:t>
      </w:r>
      <w:r>
        <w:rPr>
          <w:rStyle w:val="HideTWBExt"/>
        </w:rPr>
        <w:t>&lt;/Titre&gt;</w:t>
      </w:r>
    </w:p>
    <w:p>
      <w:pPr>
        <w:pStyle w:val="CoverNormal24a"/>
      </w:pPr>
      <w:r>
        <w:rPr>
          <w:rStyle w:val="HideTWBExt"/>
        </w:rPr>
        <w:t>&lt;DocRef&gt;</w:t>
      </w:r>
      <w:r>
        <w:t>(2025/2212(INI))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credible mutual defence requires sustained political will, permanent institutions, common planning, interoperable capabilities and predictable decision-making; calls on the Council, with the Commission’s support, to establish permanent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Stresses that credible mutual defence requires sustained political will, permanent institutions, common planning, interoperable capabilities and predictable decision-making; calls on the Council, with the Commission’s support, to establish permanent procedures for contingency planning, political consultation, operational planning, intelligence-sharing and logistical coordination;</w:t>
            </w:r>
            <w:r>
              <w:rPr>
                <w:b/>
                <w:i/>
              </w:rPr>
              <w:t> stresses that these procedures should integrate military mobility to enable the rapid movement, reception and onward deployment of forces, equipment and supplies, in close coordination with NATO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w:t>
            </w:r>
            <w:r>
              <w:rPr>
                <w:b/>
                <w:i/>
              </w:rPr>
              <w:t>defence</w:t>
            </w:r>
            <w:r>
              <w:t xml:space="preserve"> requires </w:t>
            </w:r>
            <w:r>
              <w:rPr>
                <w:b/>
                <w:i/>
              </w:rPr>
              <w:t>sustained</w:t>
            </w:r>
            <w:r>
              <w:t xml:space="preserve"> political will</w:t>
            </w:r>
            <w:r>
              <w:rPr>
                <w:b/>
                <w:i/>
              </w:rPr>
              <w:t>, permanent institutions, common planning</w:t>
            </w:r>
            <w:r>
              <w:t xml:space="preserve">, interoperable capabilities and </w:t>
            </w:r>
            <w:r>
              <w:rPr>
                <w:b/>
                <w:i/>
              </w:rPr>
              <w:t>predictable decision-making</w:t>
            </w:r>
            <w:r>
              <w:t xml:space="preserve">; calls on the </w:t>
            </w:r>
            <w:r>
              <w:rPr>
                <w:b/>
                <w:i/>
              </w:rPr>
              <w:t>Council, with the Commission’s</w:t>
            </w:r>
            <w:r>
              <w:t xml:space="preserve"> support</w:t>
            </w:r>
            <w:r>
              <w:rPr>
                <w:b/>
                <w:i/>
              </w:rPr>
              <w:t>, to establish permanent procedures for</w:t>
            </w:r>
            <w:r>
              <w:t xml:space="preserve"> contingency planning, </w:t>
            </w:r>
            <w:r>
              <w:rPr>
                <w:b/>
                <w:i/>
              </w:rPr>
              <w:t>political</w:t>
            </w:r>
            <w:r>
              <w:t xml:space="preserve"> consultation</w:t>
            </w:r>
            <w:r>
              <w:rPr>
                <w:b/>
                <w:i/>
              </w:rPr>
              <w:t>, operational planning</w:t>
            </w:r>
            <w:r>
              <w:t>,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w:t>
            </w:r>
            <w:r>
              <w:rPr>
                <w:b/>
                <w:i/>
              </w:rPr>
              <w:t>assistance</w:t>
            </w:r>
            <w:r>
              <w:t xml:space="preserve"> requires political will, interoperable capabilities and </w:t>
            </w:r>
            <w:r>
              <w:rPr>
                <w:b/>
                <w:i/>
              </w:rPr>
              <w:t>effective coordination</w:t>
            </w:r>
            <w:r>
              <w:t xml:space="preserve">; calls on the </w:t>
            </w:r>
            <w:r>
              <w:rPr>
                <w:b/>
                <w:i/>
              </w:rPr>
              <w:t>Member States, with</w:t>
            </w:r>
            <w:r>
              <w:t xml:space="preserve"> support </w:t>
            </w:r>
            <w:r>
              <w:rPr>
                <w:b/>
                <w:i/>
              </w:rPr>
              <w:t>from EU institutions where requested, to improve</w:t>
            </w:r>
            <w:r>
              <w:t xml:space="preserve"> contingency planning, consultation, intelligence-sharing and logistical coordination </w:t>
            </w:r>
            <w:r>
              <w:rPr>
                <w:b/>
                <w:i/>
              </w:rPr>
              <w:t>under Article 42(7) TEU</w:t>
            </w:r>
            <w:r>
              <w:t xml:space="preserve">; </w:t>
            </w:r>
            <w:r>
              <w:rPr>
                <w:b/>
                <w:i/>
              </w:rPr>
              <w:t>underlines that decisions on the form and deployment of assistance remain with Member States, subject to their Treaty obligations and constitutional requirements, and that arrangements should use existing national and NATO structures wherever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on the </w:t>
            </w:r>
            <w:r>
              <w:rPr>
                <w:b/>
                <w:i/>
              </w:rPr>
              <w:t>Council, with the Commission’s support, to establish permanent</w:t>
            </w:r>
            <w:r>
              <w:t xml:space="preserve">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on the </w:t>
            </w:r>
            <w:r>
              <w:rPr>
                <w:b/>
                <w:i/>
              </w:rPr>
              <w:t>Member States, in cooperation relevant EU bodies, to develop practical</w:t>
            </w:r>
            <w:r>
              <w:t xml:space="preserve"> procedures for contingency planning, political consultation, operational planning, intelligence-sharing and logistical coordination </w:t>
            </w:r>
            <w:r>
              <w:rPr>
                <w:b/>
                <w:i/>
              </w:rPr>
              <w:t>under Article 42(7) TEU, without creating parallel structures to NATO and without prejudice to national command authority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w:t>
            </w:r>
            <w:r>
              <w:rPr>
                <w:b/>
                <w:i/>
              </w:rPr>
              <w:t>mutual</w:t>
            </w:r>
            <w:r>
              <w:t xml:space="preserve"> defence </w:t>
            </w:r>
            <w:r>
              <w:rPr>
                <w:b/>
                <w:i/>
              </w:rPr>
              <w:t>requires</w:t>
            </w:r>
            <w:r>
              <w:t xml:space="preserve"> sustained political will, </w:t>
            </w:r>
            <w:r>
              <w:rPr>
                <w:b/>
                <w:i/>
              </w:rPr>
              <w:t>permanent institutions, common planning, interoperable</w:t>
            </w:r>
            <w:r>
              <w:t xml:space="preserve"> capabilities and </w:t>
            </w:r>
            <w:r>
              <w:rPr>
                <w:b/>
                <w:i/>
              </w:rPr>
              <w:t>predictable decision-making</w:t>
            </w:r>
            <w:r>
              <w:t xml:space="preserve">; calls on </w:t>
            </w:r>
            <w:r>
              <w:rPr>
                <w:b/>
                <w:i/>
              </w:rPr>
              <w:t>the Council, with the Commission’s support, to establish permanent procedures for contingency planning, political consultation, operational planning,</w:t>
            </w:r>
            <w:r>
              <w:t xml:space="preserve">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w:t>
            </w:r>
            <w:r>
              <w:rPr>
                <w:b/>
                <w:i/>
              </w:rPr>
              <w:t>deterrence and</w:t>
            </w:r>
            <w:r>
              <w:t xml:space="preserve"> defence </w:t>
            </w:r>
            <w:r>
              <w:rPr>
                <w:b/>
                <w:i/>
              </w:rPr>
              <w:t>require</w:t>
            </w:r>
            <w:r>
              <w:t xml:space="preserve"> sustained political will, </w:t>
            </w:r>
            <w:r>
              <w:rPr>
                <w:b/>
                <w:i/>
              </w:rPr>
              <w:t>robust national</w:t>
            </w:r>
            <w:r>
              <w:t xml:space="preserve"> capabilities and </w:t>
            </w:r>
            <w:r>
              <w:rPr>
                <w:b/>
                <w:i/>
              </w:rPr>
              <w:t>full interoperability with NATO standards</w:t>
            </w:r>
            <w:r>
              <w:t xml:space="preserve">; calls on </w:t>
            </w:r>
            <w:r>
              <w:rPr>
                <w:b/>
                <w:i/>
              </w:rPr>
              <w:t>Member States to intensify voluntary</w:t>
            </w:r>
            <w:r>
              <w:t xml:space="preserve"> intelligence-sharing and logistical coordination </w:t>
            </w:r>
            <w:r>
              <w:rPr>
                <w:b/>
                <w:i/>
              </w:rPr>
              <w:t>where appropriate, while ensuring that strategic planning, contingency planning and intelligence frameworks remain strictly centred within national authorities and NATO structures, in order to avoid fragmentation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defence requires sustained political will, </w:t>
            </w:r>
            <w:r>
              <w:rPr>
                <w:b/>
                <w:i/>
              </w:rPr>
              <w:t>permanent institutions</w:t>
            </w:r>
            <w:r>
              <w:t>, common planning, interoperable capabilities and predictable decision-making; calls on the Council, with the Commission’s support</w:t>
            </w:r>
            <w:r>
              <w:rPr>
                <w:b/>
                <w:i/>
              </w:rPr>
              <w:t>, to establish permanent</w:t>
            </w:r>
            <w:r>
              <w:t xml:space="preserve">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defence requires sustained political will, </w:t>
            </w:r>
            <w:r>
              <w:rPr>
                <w:b/>
                <w:i/>
              </w:rPr>
              <w:t>effective cooperation</w:t>
            </w:r>
            <w:r>
              <w:t xml:space="preserve">, common planning, interoperable capabilities and predictable decision-making; calls on the Council, with the Commission’s support </w:t>
            </w:r>
            <w:r>
              <w:rPr>
                <w:b/>
                <w:i/>
              </w:rPr>
              <w:t>where appropriate, to strengthen</w:t>
            </w:r>
            <w:r>
              <w:t xml:space="preserve"> procedures for contingency planning, political consultation, operational planning, intelligence-sharing and logistical coordination</w:t>
            </w:r>
            <w:r>
              <w:rPr>
                <w:b/>
                <w:i/>
              </w:rPr>
              <w:t>, while respecting Member States’ sovereignty and national competences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Stresses that credible mutual defence requires sustained political will, permanent institutions, common planning, interoperable capabilities and predictable decision-making;</w:t>
            </w:r>
            <w:r>
              <w:t xml:space="preserve"> </w:t>
            </w:r>
            <w:r>
              <w:rPr>
                <w:b/>
                <w:i/>
              </w:rPr>
              <w:t>calls on the Council, with the Commission’s support, to establish permanent</w:t>
            </w:r>
            <w:r>
              <w:t xml:space="preserve"> procedures </w:t>
            </w:r>
            <w:r>
              <w:rPr>
                <w:b/>
                <w:i/>
              </w:rPr>
              <w:t>for contingency planning, political consultation, operational planning, intelligence-sharing and logistical coordination</w:t>
            </w:r>
            <w:r>
              <w:t>;</w:t>
            </w:r>
          </w:p>
        </w:tc>
        <w:tc>
          <w:tcPr>
            <w:tcW w:w="4876" w:type="dxa"/>
            <w:tcBorders>
              <w:top w:val="nil"/>
              <w:left w:val="nil"/>
              <w:bottom w:val="nil"/>
              <w:right w:val="nil"/>
            </w:tcBorders>
          </w:tcPr>
          <w:p>
            <w:pPr>
              <w:pStyle w:val="Normal6a"/>
            </w:pPr>
            <w:r>
              <w:t>13.</w:t>
            </w:r>
            <w:r>
              <w:tab/>
            </w:r>
            <w:r>
              <w:rPr>
                <w:b/>
                <w:i/>
              </w:rPr>
              <w:t>Emphasises that the implementation of Article 42(7) TEU must remain the responsibility of the Member States, which will determine the nature and extent of the assistance provided, in full respect of their constitutional</w:t>
            </w:r>
            <w:r>
              <w:t xml:space="preserve"> procedures </w:t>
            </w:r>
            <w:r>
              <w:rPr>
                <w:b/>
                <w:i/>
              </w:rPr>
              <w:t>and, for the states that are members of the Alliance, their commitments under the NATO framework</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w:t>
            </w:r>
            <w:r>
              <w:rPr>
                <w:b/>
                <w:i/>
              </w:rPr>
              <w:t>on the Council, with the Commission’s support,</w:t>
            </w:r>
            <w:r>
              <w:t xml:space="preserve"> to establish permanent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w:t>
            </w:r>
            <w:r>
              <w:rPr>
                <w:b/>
                <w:i/>
              </w:rPr>
              <w:t>and common regular threat assessments</w:t>
            </w:r>
            <w:r>
              <w:t xml:space="preserve">, interoperable capabilities and predictable decision-making; calls </w:t>
            </w:r>
            <w:r>
              <w:rPr>
                <w:b/>
                <w:i/>
              </w:rPr>
              <w:t>for implementing legislation under the ordinary legislative procedure</w:t>
            </w:r>
            <w:r>
              <w:t xml:space="preserve"> to establish permanent procedures for contingency planning, political consultation, operational planning, intelligence-sharing and logistical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credible mutual defence requires sustained political will, permanent institutions, common planning, interoperable capabilities and predictable decision-making; calls on the Council, with the Commission’s support, to establish permanent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on the Council, with the Commission’s support, to establish permanent procedures for contingency planning, political consultation, operational planning, intelligence-sharing and logistical coordination </w:t>
            </w:r>
            <w:r>
              <w:rPr>
                <w:b/>
                <w:i/>
              </w:rPr>
              <w:t>and conduct regular stress tests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on the Council, with the Commission’s support, to establish </w:t>
            </w:r>
            <w:r>
              <w:rPr>
                <w:b/>
                <w:i/>
              </w:rPr>
              <w:t>permanent</w:t>
            </w:r>
            <w:r>
              <w:t xml:space="preserve">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Stresses that credible mutual defence requires sustained political will, permanent institutions, common planning, interoperable capabilities and predictable decision-making; calls on the Council, with the Commission’s support, to establish procedures for contingency planning, political consultation, operational planning, intelligence-sharing and logistical coordination;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Council, acting unanimously and without prejudice to Member States’ national constitutional requirements, to agree in advance, where appropriate, contingency plans and predefined arrangements for mutual assistance, including assistance procedures, logistical arrangements, military mobility routes, secure communication protocols, host-nation support arrangements and predefined capability packages potentially available for assistance; considers that, once such arrangements have been unanimously agreed, their technical and administrative implementation should be entrusted, within the agreed mandate, to the appropriate Union and national military structures, without requiring renewed political authorisation for purely implementing measures; stresses that any decision concerning the deployment or use of national armed forces or the commitment of national military capabilities remains with the Member States in accordance with the Treaties and their national constitutional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Stresses that making Article 42(7) operational does not rely only on political and legal clarification, but also on the increase of capabilities and resources; stresses that none of these capabilities can be delivered at the pace or scale required without a genuinely efficient single market for defence; emphasizes that the fragmentation in areas such as procurement rules, certification and licensing schemes impacts the operationalisation of Article 42(7) in practical terms; calls for further action by the Commission to overcome this fragmentation and enable the creation of a truly reliable and efficient single market defence in its Communication on the Single Market for Defence, which is long overdue;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Considers that, within the current Treaty framework, the obligation of aid and assistance under Article 42(7) TEU requires Member States to assist a Member State that is the victim of armed aggression on its territory, in accordance with Article 51 of the UN Charter; stresses that such assistance should contribute to restoring security and strengthening deterrence in the Union, while respecting national defence responsibilities and being consistent with the commitments of Member States under the North Atlantic Treaty; recalls that Article 42(7) TEU does not specify the obligation of assistance according to the origin of the armed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Joachim Streit,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t>14.</w:t>
            </w:r>
            <w:r>
              <w:tab/>
            </w:r>
            <w:r>
              <w:t xml:space="preserve">Calls for an EU operational readiness review based on existing mechanisms, identifying strengths, capability gaps, dependencies and strategic enablers, while respecting confidentiality; </w:t>
            </w:r>
            <w:r>
              <w:rPr>
                <w:b/>
                <w:i/>
              </w:rPr>
              <w:t>considers that such a review should also assess the condition of dual-use transport infrastructure along the military mobility corridors, in particular bridges, tunnels, roads and railway lines, a significant share of which falls under the responsibility of municipal, local and regional authorities, as well as the civil protection capacities available at regional and local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t>14.</w:t>
            </w:r>
            <w:r>
              <w:tab/>
            </w:r>
            <w:r>
              <w:t xml:space="preserve">Calls for an EU operational readiness review based on existing mechanisms, identifying strengths, capability gaps, dependencies and strategic enablers, while respecting confidentiality; </w:t>
            </w:r>
            <w:r>
              <w:rPr>
                <w:b/>
                <w:i/>
              </w:rPr>
              <w:t>considers that this review, together with the Capability Development Plan and the Coordinated Annual Review on Defence, should use NATO’s capability targets as the benchmark for the European level of ambition and identify, as a priority, the capabilities needed to fill the gaps that a reduction in the United States’ contribution to European defence would create;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r>
              <w:rPr>
                <w:b/>
                <w:i/>
              </w:rPr>
              <w:t> stresses that such a review should be based on a 360-degree approach to European security, taking into account the specific security challenges and capability needs of all geographical areas of the Union, including its eastern, northern, southern and south-eastern flanks, as well as the Baltic, Black Sea, Mediterranean and Adriatic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t>14.</w:t>
            </w:r>
            <w:r>
              <w:tab/>
            </w:r>
            <w:r>
              <w:t xml:space="preserve">Calls for an EU operational readiness review based on existing mechanisms, identifying strengths, capability gaps, dependencies and strategic enablers, while respecting confidentiality; </w:t>
            </w:r>
            <w:r>
              <w:rPr>
                <w:b/>
                <w:i/>
              </w:rPr>
              <w:t>stresses that the assessment of dependencies should take into account the reliability and diversification of suppliers, security of supply arrangements, availability of alternative sources, production and maintenance capacity within the Union, industrial cooperation with trusted partners and the time and cost required for substitution;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w:t>
            </w:r>
            <w:r>
              <w:rPr>
                <w:b/>
                <w:i/>
              </w:rPr>
              <w:t>an EU operational readiness review based on existing mechanisms, identifying strengths,</w:t>
            </w:r>
            <w:r>
              <w:t xml:space="preserve"> capability gaps, dependencies and strategic enablers, </w:t>
            </w:r>
            <w:r>
              <w:rPr>
                <w:b/>
                <w:i/>
              </w:rPr>
              <w:t>while respecting confidentiality</w:t>
            </w:r>
            <w:r>
              <w:t>;</w:t>
            </w:r>
          </w:p>
        </w:tc>
        <w:tc>
          <w:tcPr>
            <w:tcW w:w="4876" w:type="dxa"/>
            <w:tcBorders>
              <w:top w:val="nil"/>
              <w:left w:val="nil"/>
              <w:bottom w:val="nil"/>
              <w:right w:val="nil"/>
            </w:tcBorders>
          </w:tcPr>
          <w:p>
            <w:pPr>
              <w:pStyle w:val="Normal6a"/>
            </w:pPr>
            <w:r>
              <w:t>14.</w:t>
            </w:r>
            <w:r>
              <w:tab/>
            </w:r>
            <w:r>
              <w:t xml:space="preserve">Calls for </w:t>
            </w:r>
            <w:r>
              <w:rPr>
                <w:b/>
                <w:i/>
              </w:rPr>
              <w:t>closer voluntary cooperation among Member States to identify</w:t>
            </w:r>
            <w:r>
              <w:t xml:space="preserve"> capability gaps, dependencies and strategic enablers, </w:t>
            </w:r>
            <w:r>
              <w:rPr>
                <w:b/>
                <w:i/>
              </w:rPr>
              <w:t>ensuring that all assessments remain strictly confidential, respect national sovereignty and are fully aligned and coordinated with NATO’s Defence Planning Process (NDPP)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an EU operational readiness review based on existing mechanisms, identifying strengths, capability gaps, dependencies and strategic enablers, while respecting confidentiality;</w:t>
            </w:r>
          </w:p>
        </w:tc>
        <w:tc>
          <w:tcPr>
            <w:tcW w:w="4876" w:type="dxa"/>
            <w:tcBorders>
              <w:top w:val="nil"/>
              <w:left w:val="nil"/>
              <w:bottom w:val="nil"/>
              <w:right w:val="nil"/>
            </w:tcBorders>
          </w:tcPr>
          <w:p>
            <w:pPr>
              <w:pStyle w:val="Normal6a"/>
            </w:pPr>
            <w:r>
              <w:t>14.</w:t>
            </w:r>
            <w:r>
              <w:tab/>
            </w:r>
            <w:r>
              <w:t xml:space="preserve">Calls for an EU operational readiness review based on existing mechanisms, identifying strengths, capability gaps, dependencies and strategic enablers </w:t>
            </w:r>
            <w:r>
              <w:rPr>
                <w:b/>
                <w:i/>
              </w:rPr>
              <w:t>and assessing the resilience of supply chains</w:t>
            </w:r>
            <w:r>
              <w:t>, while respecting confidentiality;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the establishment of a secure, confidential and voluntary EU Mutual Assistance Capability Registry, maintained by the EU Military Staff, with the support of the European Defence Agency within their respective mandates, through which Member States may indicate capabilities that could potentially be made available in response to a request for mutual assistance, including air and missile defence, counter-UAS capabilities, cyber-response teams, electronic warfare, military engineering, strategic and tactical lift, medical evacuation, CBRN capabilities, satellite imagery, military bridging, logistics and repair units; stresses that registration of a capability must not constitute an automatic commitment, pre-authorisation of deployment or transfer of command and that all registered assets must remain under national ownership and command and may be made available only following a sovereign decision by the contributing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military mobility and resilient dual-use infrastructure are indispensable enablers of a credible CEDU; calls for defence planning to identify and address remaining infrastructure and logistical bottlenecks, including ports, rail and road connections, bridges, airports, secure logistics hubs and fuel infrastructure, and to ensure the continuity of strategic military corridors, including connections with NATO Allies and candidate countries in the Union’s immediate neighbourhood;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for greater convergence of defence standards, certification and qualification procedures, ensuring mutual recognition wherever appropriate and avoiding unnecessary re-certification of systems and components already certified according to equivalent standards applied by NATO or trusted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for an Article 42(7) TEU playbook </w:t>
            </w:r>
            <w:r>
              <w:rPr>
                <w:b/>
                <w:i/>
              </w:rPr>
              <w:t>that defines</w:t>
            </w:r>
            <w:r>
              <w:t xml:space="preserve"> activation procedures, assistance modalities and coordination mechanisms for scenarios including hybrid</w:t>
            </w:r>
            <w:r>
              <w:rPr>
                <w:b/>
                <w:i/>
              </w:rPr>
              <w:t>, cyber</w:t>
            </w:r>
            <w:r>
              <w:t>, critical infrastructure, space and subsea attacks;</w:t>
            </w:r>
          </w:p>
        </w:tc>
        <w:tc>
          <w:tcPr>
            <w:tcW w:w="4876" w:type="dxa"/>
            <w:tcBorders>
              <w:top w:val="nil"/>
              <w:left w:val="nil"/>
              <w:bottom w:val="nil"/>
              <w:right w:val="nil"/>
            </w:tcBorders>
          </w:tcPr>
          <w:p>
            <w:pPr>
              <w:pStyle w:val="Normal6a"/>
            </w:pPr>
            <w:r>
              <w:t>15.</w:t>
            </w:r>
            <w:r>
              <w:tab/>
            </w:r>
            <w:r>
              <w:t xml:space="preserve">Calls for an Article 42(7) TEU playbook </w:t>
            </w:r>
            <w:r>
              <w:rPr>
                <w:b/>
                <w:i/>
              </w:rPr>
              <w:t>defining</w:t>
            </w:r>
            <w:r>
              <w:t xml:space="preserve"> activation procedures, assistance modalities and coordination mechanisms for scenarios including hybrid </w:t>
            </w:r>
            <w:r>
              <w:rPr>
                <w:b/>
                <w:i/>
              </w:rPr>
              <w:t>warfare</w:t>
            </w:r>
            <w:r>
              <w:t>, critical infrastructure, space and subsea attacks</w:t>
            </w:r>
            <w:r>
              <w:rPr>
                <w:b/>
                <w:i/>
              </w:rPr>
              <w:t>, clarifying who activates the mechanism, who is responsible for coordinating the response, what is available, and when specific responses are executed</w:t>
            </w:r>
            <w:r>
              <w:t xml:space="preserve">; </w:t>
            </w:r>
            <w:r>
              <w:rPr>
                <w:b/>
                <w:i/>
              </w:rPr>
              <w:t>considers that this playbook should establish a graduated cascade of decision-making thresholds, namely: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for a direct territorial attack, pre-approved activation on the basis of pre-delegated authority, with the relevant command structure acting and the European Security Council, involving the affected countries, merely deciding whether or not the thresholds have been met;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for retaliatory or defensive measures in the face of a credible and imminent attack in line with the UN Charter and the principles of necessity and proportionality, activation requiring approval by the European Security Council if covered by a pre-agreed playbook, by way of a qualified majority with the possibility of constructive abstention or by proposing military measures to national government 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for the deployment of troops or capabilities beyond pre-approved commitments, a decision reserved exclusively to the national governments and parliaments concerned, upon proposal by the ESC;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underlines that this cascade is essential to operationalise the ‘separable but not separate’ principle in a manner that preserves both the Union's ability to deter and to act rapidly and Member States' sovereignty over the ultimate decision to deploy their forces and use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r>
              <w:rPr>
                <w:b/>
                <w:i/>
              </w:rPr>
              <w:t>, as well as coordinated foreign information manipulation and interference campaigns that accompany or prepare acts of aggression</w:t>
            </w:r>
            <w:r>
              <w:t xml:space="preserve">; </w:t>
            </w:r>
            <w:r>
              <w:rPr>
                <w:b/>
                <w:i/>
              </w:rPr>
              <w:t>including arrangements for the advance authorisation of pre-identified assistance measures, so that they can be activated without delay once the clause is invoked; considers that the playbook should include pre-designated support packages specifying each Member State’s contribution in advance, such as transfers of ammunition and air defence, overflight and transit authorisations, logistics corridors, intelligence-sharing and cyber assistance, while providing appropriate roles, including logistical, humanitarian and budgetary support, for Member States with specific security and defence policies; stresses that pre-assigned roles strengthen deterrence by signalling to any aggressor that crossing a threshold sets in motion a predetermined response;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for </w:t>
            </w:r>
            <w:r>
              <w:rPr>
                <w:b/>
                <w:i/>
              </w:rPr>
              <w:t>an</w:t>
            </w:r>
            <w:r>
              <w:t xml:space="preserve"> Article 42(7) TEU </w:t>
            </w:r>
            <w:r>
              <w:rPr>
                <w:b/>
                <w:i/>
              </w:rPr>
              <w:t>playbook</w:t>
            </w:r>
            <w:r>
              <w:t xml:space="preserve">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 xml:space="preserve">Calls for </w:t>
            </w:r>
            <w:r>
              <w:rPr>
                <w:b/>
                <w:i/>
              </w:rPr>
              <w:t>implementing legislation of</w:t>
            </w:r>
            <w:r>
              <w:t xml:space="preserve"> Article 42(7) TEU </w:t>
            </w:r>
            <w:r>
              <w:rPr>
                <w:b/>
                <w:i/>
              </w:rPr>
              <w:t>under the ordinary legislative procedure</w:t>
            </w:r>
            <w:r>
              <w:t xml:space="preserve"> that defines activation procedures, assistance modalities and coordination mechanisms for scenarios including hybrid, cyber, critical infrastructure, space and subsea attacks; </w:t>
            </w:r>
            <w:r>
              <w:rPr>
                <w:b/>
                <w:i/>
              </w:rPr>
              <w:t>stresses that the EU institutions should use this to provide clear guidance on the implementation of Article 42(7) TEU as a cornerstone of a genuine CEDU; believes that this should establish a cascade of decision-making thresholds as regards direct territorial attacks, retaliatory or pre-emptive action in response to an imminent attack, and the deployment of troops or capabilities beyond pre-approved commitments; points out that this implementing legislation should look into related areas such as communications, transport, energy, raw materials, defence production, budgets and currencies;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Joachim Streit,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 xml:space="preserve">Calls for an Article 42(7) TEU playbook that defines activation procedures, assistance modalities and coordination mechanisms for scenarios including hybrid, cyber, critical infrastructure, space and subsea attacks; </w:t>
            </w:r>
            <w:r>
              <w:rPr>
                <w:b/>
                <w:i/>
              </w:rPr>
              <w:t>stresses that such a playbook must clarify the interplay between Article 42(7) TEU, Article 222 TFEU and the Union Civil Protection Mechanism; underlines that, in the event of hybrid, cyber or critical infrastructure attacks, municipal, local and regional authorities, their fire and rescue services and local operators of energy and water supply are often the first to be affected and the first to respond; calls, therefore, for the playbook to define their role, in full respect of national competences, and to ensure timely information flows to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 xml:space="preserve">Calls for an Article 42(7) TEU playbook that defines activation procedures, assistance modalities and coordination mechanisms for scenarios including hybrid, cyber, critical infrastructure, space and subsea attacks; </w:t>
            </w:r>
            <w:r>
              <w:rPr>
                <w:b/>
                <w:i/>
              </w:rPr>
              <w:t>calls for this playbook to be supported by a common analytical framework for assessing security incidents, exchanging information and identifying appropriate response options; stresses that it should establish clear arrangements for moving from consultation to agreement on coordinated assistance, deterrence and defence measures, while providing for de-escalation and respecting the conditions for invoking Article 42(7)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 xml:space="preserve">Calls for an Article 42(7) TEU playbook that defines activation procedures, assistance modalities and coordination mechanisms for scenarios including hybrid, cyber, critical infrastructure, space and subsea attacks; </w:t>
            </w:r>
            <w:r>
              <w:rPr>
                <w:b/>
                <w:i/>
              </w:rPr>
              <w:t>reiterates its proposal to develop an EU framework to enable the adoption of collective countermeasures, defining what an internationally wrongful act is and to adopt minimum thresholds for the triggering of countermeasures as a result of this new definition, which should be accompanied by an impact assessment to provide legal certainty;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for an Article 42(7) TEU playbook that defines activation procedures, assistance modalities and coordination mechanisms </w:t>
            </w:r>
            <w:r>
              <w:rPr>
                <w:b/>
                <w:i/>
              </w:rPr>
              <w:t>for</w:t>
            </w:r>
            <w:r>
              <w:t xml:space="preserve"> scenarios </w:t>
            </w:r>
            <w:r>
              <w:rPr>
                <w:b/>
                <w:i/>
              </w:rPr>
              <w:t>including</w:t>
            </w:r>
            <w:r>
              <w:t xml:space="preserve"> hybrid, cyber, critical infrastructure, space and subsea attacks;</w:t>
            </w:r>
          </w:p>
        </w:tc>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w:t>
            </w:r>
            <w:r>
              <w:rPr>
                <w:b/>
                <w:i/>
              </w:rPr>
              <w:t>, including for complex</w:t>
            </w:r>
            <w:r>
              <w:t xml:space="preserve"> scenarios </w:t>
            </w:r>
            <w:r>
              <w:rPr>
                <w:b/>
                <w:i/>
              </w:rPr>
              <w:t>involving</w:t>
            </w:r>
            <w:r>
              <w:t xml:space="preserve"> hybrid, cyber, critical infrastructure, space and subsea attacks; </w:t>
            </w:r>
            <w:r>
              <w:rPr>
                <w:b/>
                <w:i/>
              </w:rPr>
              <w:t>further calls for appropriate EU mechanisms to address acts of aggression or coercion affecting the territorial integrity, sovereignty or sovereign rights of a Member State; stresses the particular importance of protecting critical energy and connectivity infrastructure of strategic importance to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Calls for an</w:t>
            </w:r>
            <w:r>
              <w:t xml:space="preserve"> Article 42(7) TEU playbook that defines activation procedures, assistance modalities and coordination mechanisms </w:t>
            </w:r>
            <w:r>
              <w:rPr>
                <w:b/>
                <w:i/>
              </w:rPr>
              <w:t>for scenarios</w:t>
            </w:r>
            <w:r>
              <w:t xml:space="preserve"> including hybrid, cyber, critical infrastructure, space and subsea attacks;</w:t>
            </w:r>
          </w:p>
        </w:tc>
        <w:tc>
          <w:tcPr>
            <w:tcW w:w="4876" w:type="dxa"/>
            <w:tcBorders>
              <w:top w:val="nil"/>
              <w:left w:val="nil"/>
              <w:bottom w:val="nil"/>
              <w:right w:val="nil"/>
            </w:tcBorders>
          </w:tcPr>
          <w:p>
            <w:pPr>
              <w:pStyle w:val="Normal6a"/>
            </w:pPr>
            <w:r>
              <w:t>15.</w:t>
            </w:r>
            <w:r>
              <w:tab/>
            </w:r>
            <w:r>
              <w:rPr>
                <w:b/>
                <w:i/>
              </w:rPr>
              <w:t>Recalls that the EU and its Member States have committed, in the Strategic Compass for Security and Defence, to defining the arrangements and scenarios for the operationalisation of</w:t>
            </w:r>
            <w:r>
              <w:t xml:space="preserve"> Article 42(7) TEU</w:t>
            </w:r>
            <w:r>
              <w:rPr>
                <w:b/>
                <w:i/>
              </w:rPr>
              <w:t>, and calls them on delivering the</w:t>
            </w:r>
            <w:r>
              <w:t xml:space="preserve"> playbook that defines activation procedures, assistance modalities and coordination mechanisms including hybrid, cyber, critical infrastructure, space and subsea attacks </w:t>
            </w:r>
            <w:r>
              <w:rPr>
                <w:b/>
                <w:i/>
              </w:rPr>
              <w:t>they committed 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for </w:t>
            </w:r>
            <w:r>
              <w:rPr>
                <w:b/>
                <w:i/>
              </w:rPr>
              <w:t>an</w:t>
            </w:r>
            <w:r>
              <w:t xml:space="preserve"> Article 42(7) TEU </w:t>
            </w:r>
            <w:r>
              <w:rPr>
                <w:b/>
                <w:i/>
              </w:rPr>
              <w:t>playbook that defines activation procedures, assistance modalities and coordination mechanisms for scenarios including hybrid, cyber, critical infrastructure, space and subsea attacks</w:t>
            </w:r>
            <w:r>
              <w:t>;</w:t>
            </w:r>
          </w:p>
        </w:tc>
        <w:tc>
          <w:tcPr>
            <w:tcW w:w="4876" w:type="dxa"/>
            <w:tcBorders>
              <w:top w:val="nil"/>
              <w:left w:val="nil"/>
              <w:bottom w:val="nil"/>
              <w:right w:val="nil"/>
            </w:tcBorders>
          </w:tcPr>
          <w:p>
            <w:pPr>
              <w:pStyle w:val="Normal6a"/>
            </w:pPr>
            <w:r>
              <w:t>15.</w:t>
            </w:r>
            <w:r>
              <w:tab/>
            </w:r>
            <w:r>
              <w:t xml:space="preserve">Calls for </w:t>
            </w:r>
            <w:r>
              <w:rPr>
                <w:b/>
                <w:i/>
              </w:rPr>
              <w:t>a non-binding compendium providing further understanding regarding the implementation of Article 42(7) in relation to the potential EU-level support only that could be provided, if requested by the affected Member State, fully in line with paragraph 2 of Article 42(7) TEU. Any assistance provided under</w:t>
            </w:r>
            <w:r>
              <w:t xml:space="preserve"> Article 42(7) TEU </w:t>
            </w:r>
            <w:r>
              <w:rPr>
                <w:b/>
                <w:i/>
              </w:rPr>
              <w:t>remains a national decision of each Member State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w:t>
            </w:r>
            <w:r>
              <w:rPr>
                <w:b/>
                <w:i/>
              </w:rPr>
              <w:t>for an Article 42(7) TEU playbook that defines activation procedures, assistance modalities and</w:t>
            </w:r>
            <w:r>
              <w:t xml:space="preserve"> coordination </w:t>
            </w:r>
            <w:r>
              <w:rPr>
                <w:b/>
                <w:i/>
              </w:rPr>
              <w:t>mechanisms for scenarios including</w:t>
            </w:r>
            <w:r>
              <w:t xml:space="preserve"> hybrid, cyber, critical infrastructure, space and subsea </w:t>
            </w:r>
            <w:r>
              <w:rPr>
                <w:b/>
                <w:i/>
              </w:rPr>
              <w:t>attacks</w:t>
            </w:r>
            <w:r>
              <w:t>;</w:t>
            </w:r>
          </w:p>
        </w:tc>
        <w:tc>
          <w:tcPr>
            <w:tcW w:w="4876" w:type="dxa"/>
            <w:tcBorders>
              <w:top w:val="nil"/>
              <w:left w:val="nil"/>
              <w:bottom w:val="nil"/>
              <w:right w:val="nil"/>
            </w:tcBorders>
          </w:tcPr>
          <w:p>
            <w:pPr>
              <w:pStyle w:val="Normal6a"/>
            </w:pPr>
            <w:r>
              <w:t>15.</w:t>
            </w:r>
            <w:r>
              <w:tab/>
            </w:r>
            <w:r>
              <w:t xml:space="preserve">Calls </w:t>
            </w:r>
            <w:r>
              <w:rPr>
                <w:b/>
                <w:i/>
              </w:rPr>
              <w:t>on Member States to enhance</w:t>
            </w:r>
            <w:r>
              <w:t xml:space="preserve"> coordination</w:t>
            </w:r>
            <w:r>
              <w:rPr>
                <w:b/>
                <w:i/>
              </w:rPr>
              <w:t>, preparedness and information-sharing in order to better counter</w:t>
            </w:r>
            <w:r>
              <w:t xml:space="preserve"> hybrid, cyber, critical infrastructure, space and subsea </w:t>
            </w:r>
            <w:r>
              <w:rPr>
                <w:b/>
                <w:i/>
              </w:rPr>
              <w:t>threats, while ensuring that all response or coordination mechanisms remain strictly Member States driven and fully aligned with NATO’s established strategies and procedures for addressing hybrid warfare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r>
              <w:rPr>
                <w:b/>
                <w:i/>
              </w:rPr>
              <w:t>, as well as hybrid threats involving the instrumentalisation of migration or coordinated pressure against the Union’s external borders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an Article 42(7) TEU playbook that defines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t xml:space="preserve">Calls for an Article 42(7) TEU playbook that defines activation procedures, assistance modalities and coordination mechanisms for scenarios including hybrid, cyber, critical infrastructure, </w:t>
            </w:r>
            <w:r>
              <w:rPr>
                <w:b/>
                <w:i/>
              </w:rPr>
              <w:t>unlawful incursions into airspace, attacks on the EU's external borders,</w:t>
            </w:r>
            <w:r>
              <w:t xml:space="preserve"> space and subsea attacks;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Calls for</w:t>
            </w:r>
            <w:r>
              <w:t xml:space="preserve"> an Article 42(7) TEU playbook </w:t>
            </w:r>
            <w:r>
              <w:rPr>
                <w:b/>
                <w:i/>
              </w:rPr>
              <w:t>that defines</w:t>
            </w:r>
            <w:r>
              <w:t xml:space="preserve"> activation procedures, assistance modalities and coordination mechanisms for scenarios including hybrid, cyber, critical infrastructure, space and subsea attacks;</w:t>
            </w:r>
          </w:p>
        </w:tc>
        <w:tc>
          <w:tcPr>
            <w:tcW w:w="4876" w:type="dxa"/>
            <w:tcBorders>
              <w:top w:val="nil"/>
              <w:left w:val="nil"/>
              <w:bottom w:val="nil"/>
              <w:right w:val="nil"/>
            </w:tcBorders>
          </w:tcPr>
          <w:p>
            <w:pPr>
              <w:pStyle w:val="Normal6a"/>
            </w:pPr>
            <w:r>
              <w:t>15.</w:t>
            </w:r>
            <w:r>
              <w:tab/>
            </w:r>
            <w:r>
              <w:rPr>
                <w:b/>
                <w:i/>
              </w:rPr>
              <w:t>Proposes that</w:t>
            </w:r>
            <w:r>
              <w:t xml:space="preserve"> an Article 42(7) TEU playbook </w:t>
            </w:r>
            <w:r>
              <w:rPr>
                <w:b/>
                <w:i/>
              </w:rPr>
              <w:t>be drawn up to define</w:t>
            </w:r>
            <w:r>
              <w:t xml:space="preserve"> activation procedures, assistance modalities and coordination mechanisms for scenarios including hybrid, cyber, critical infrastructure, space and subsea attacks;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for the development of an Emergency Security Protocol enabling any Member State facing a serious security threat, including an incident below the threshold of armed aggression, to request immediate consultations and a coordinated assessment of possible EU and Member State responses; considers that such consultations should take place within the Political and Security Committee, with urgent meetings of the Council or the European Council convened where the gravity of the situation so requires; calls for the Protocol to specify the conditions for its activation, the responsibilities of the participating bodies and the procedures for agreeing proportionate measures to mitigate the impact, deter further hostile action and prevent escalation; stresses that the Protocol should complement consultations under Article 4 of the North Atlantic Treaty, without altering the conditions for invoking Article 42(7)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Stresses the need to clarify the operational interaction between Article 42(7) TEU and the solidarity clause under Article 222 TFEU, particularly in situations involving hybrid threats, the instrumentalisation of migration, serious pressure on external borders or other hostile actions that threaten the security, territorial integrity or essential functions of a Member State without necessarily reaching the threshold of conventional armed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Stresses that the operationalisation of Article 42(7) TEU must reflect a 360-degree approach covering the whole territory of the Member States, including the outermost regions, and their maritime approaches in the Atlantic, the Mediterranean and the Baltic and Black Seas; considers that planning under Article 42(7) TEU should give particular attention to the protection of sea lines of communication and of critical undersea and space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on the Commission and the Council to prepare standing protocols, to be activated upon invocation of Article 42(7) TEU, for emergency defence procurement financing within fixed timeframes, economic and financial stabilisation measures with full respect for the independence of the European Central Bank, and the swift adoption of pre-agreed sanctions against the aggressor;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Salvatore De Meo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the Article 42(7) TEU playbook and the regional defence plans to be tested through regular high-level political-military exercises involving Heads of State or Government, Defence Ministers and Chiefs of Defence, so that decision-making procedures, command arrangements and escalation protocols are validated before a crisis occurs rather than improvised during 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Welcomes the increased regional security and defence cooperation among the Member States, which contributes positively to defence readiness through increased coordination and mutual cooperation at higher levels of efficiency;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Calls for the accelerated implementation of the Critical Entities Resilience Directive, including stress tests based on wartime scenarios; calls for pre-agreed energy emergency protocols providing for cross-border electricity transfers, emergency fuel reserves and the deployment of mobile generation capacity where a Member State’s energy infrastructure comes under attack; calls for these protocols to be connected with Article 222 TFEU and the Preparedness Union Strategy, including the planned EU crisis hub;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Welcomes the so far achieved results of the Defence Readiness Omnibus, notably on permit granting, simplification of security and defence procurement and defence investment and calls for their swift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Calls on the Council and the VP/HR to clarify the applicability of Article 42(7) TEU to the overseas countries and territories of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Reiterates its call for seamless and efficient cross-border military mobility, underpinned by ongoing efforts to simplify and accelerate procedures for authorising cross-border movements, as well as by adequate and sustained funding for the necessary infrastructure and transport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Calls for a more frequent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Vasile Dîncu, Thijs Reuten,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r>
              <w:rPr>
                <w:b/>
                <w:i/>
              </w:rPr>
              <w:t>, including civil-military exercises to familiarise political leaders with decision-making under Article 42(7) TEU</w:t>
            </w:r>
            <w:r>
              <w:t xml:space="preserve">; </w:t>
            </w:r>
            <w:r>
              <w:rPr>
                <w:b/>
                <w:i/>
              </w:rPr>
              <w:t>calls for Union funding for the expansion, modernisation and digitisation of large-scale training areas capable of accommodating combined-arms brigades, including in cooperation with Ukraine; calls for the exercises to test military mobility, the protection of critical infrastructure, energy and digital resilience and response capacity on the eastern flank and in the Black Sea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for </w:t>
            </w:r>
            <w:r>
              <w:rPr>
                <w:b/>
                <w:i/>
              </w:rPr>
              <w:t>a more</w:t>
            </w:r>
            <w:r>
              <w:t xml:space="preserve"> frequent </w:t>
            </w:r>
            <w:r>
              <w:rPr>
                <w:b/>
                <w:i/>
              </w:rPr>
              <w:t>execution</w:t>
            </w:r>
            <w:r>
              <w:t xml:space="preserve"> of annual </w:t>
            </w:r>
            <w:r>
              <w:rPr>
                <w:b/>
                <w:i/>
              </w:rPr>
              <w:t>EU-wide</w:t>
            </w:r>
            <w:r>
              <w:t xml:space="preserve"> security and defence exercises for multiple scenarios involving </w:t>
            </w:r>
            <w:r>
              <w:rPr>
                <w:b/>
                <w:i/>
              </w:rPr>
              <w:t>relevant actors</w:t>
            </w:r>
            <w:r>
              <w:t xml:space="preserve"> and, where appropriate, NATO allies;</w:t>
            </w:r>
          </w:p>
        </w:tc>
        <w:tc>
          <w:tcPr>
            <w:tcW w:w="4876" w:type="dxa"/>
            <w:tcBorders>
              <w:top w:val="nil"/>
              <w:left w:val="nil"/>
              <w:bottom w:val="nil"/>
              <w:right w:val="nil"/>
            </w:tcBorders>
          </w:tcPr>
          <w:p>
            <w:pPr>
              <w:pStyle w:val="Normal6a"/>
            </w:pPr>
            <w:r>
              <w:t>16.</w:t>
            </w:r>
            <w:r>
              <w:tab/>
            </w:r>
            <w:r>
              <w:t xml:space="preserve">Calls for frequent </w:t>
            </w:r>
            <w:r>
              <w:rPr>
                <w:b/>
                <w:i/>
              </w:rPr>
              <w:t>conduct</w:t>
            </w:r>
            <w:r>
              <w:t xml:space="preserve"> of annual </w:t>
            </w:r>
            <w:r>
              <w:rPr>
                <w:b/>
                <w:i/>
              </w:rPr>
              <w:t>Union-wide</w:t>
            </w:r>
            <w:r>
              <w:t xml:space="preserve"> security and defence exercises for multiple scenarios involving </w:t>
            </w:r>
            <w:r>
              <w:rPr>
                <w:b/>
                <w:i/>
              </w:rPr>
              <w:t>the whole-of-society</w:t>
            </w:r>
            <w:r>
              <w:t xml:space="preserve"> and, where appropriate, NATO Allies</w:t>
            </w:r>
            <w:r>
              <w:rPr>
                <w:b/>
                <w:i/>
              </w:rPr>
              <w:t>, as well as the forward deployment of military forces, in particular on the Eastern Flank</w:t>
            </w:r>
            <w:r>
              <w:t xml:space="preserve">; </w:t>
            </w:r>
            <w:r>
              <w:rPr>
                <w:b/>
                <w:i/>
              </w:rPr>
              <w:t>underlines, in this regard, that the Integrated Political Crisis Response mechanism (Council Decision 2014/415) provides a useful template for such Article 42(7) TEU playbook;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for </w:t>
            </w:r>
            <w:r>
              <w:rPr>
                <w:b/>
                <w:i/>
              </w:rPr>
              <w:t>a more</w:t>
            </w:r>
            <w:r>
              <w:t xml:space="preserve"> frequent </w:t>
            </w:r>
            <w:r>
              <w:rPr>
                <w:b/>
                <w:i/>
              </w:rPr>
              <w:t>execution</w:t>
            </w:r>
            <w:r>
              <w:t xml:space="preserve"> of annual EU-wide security and defence exercises for multiple scenarios involving </w:t>
            </w:r>
            <w:r>
              <w:rPr>
                <w:b/>
                <w:i/>
              </w:rPr>
              <w:t>relevant actors</w:t>
            </w:r>
            <w:r>
              <w:t xml:space="preserve"> and, where appropriate, NATO allies;</w:t>
            </w:r>
          </w:p>
        </w:tc>
        <w:tc>
          <w:tcPr>
            <w:tcW w:w="4876" w:type="dxa"/>
            <w:tcBorders>
              <w:top w:val="nil"/>
              <w:left w:val="nil"/>
              <w:bottom w:val="nil"/>
              <w:right w:val="nil"/>
            </w:tcBorders>
          </w:tcPr>
          <w:p>
            <w:pPr>
              <w:pStyle w:val="Normal6a"/>
            </w:pPr>
            <w:r>
              <w:t>16.</w:t>
            </w:r>
            <w:r>
              <w:tab/>
            </w:r>
            <w:r>
              <w:t xml:space="preserve">Calls for frequent </w:t>
            </w:r>
            <w:r>
              <w:rPr>
                <w:b/>
                <w:i/>
              </w:rPr>
              <w:t>conduct</w:t>
            </w:r>
            <w:r>
              <w:t xml:space="preserve"> of annual EU-wide security and defence exercises for multiple scenarios involving </w:t>
            </w:r>
            <w:r>
              <w:rPr>
                <w:b/>
                <w:i/>
              </w:rPr>
              <w:t>the whole-of-society</w:t>
            </w:r>
            <w:r>
              <w:t xml:space="preserve"> and, where appropriate, NATO Allies</w:t>
            </w:r>
            <w:r>
              <w:rPr>
                <w:b/>
                <w:i/>
              </w:rPr>
              <w:t>, as well as the forward deployment of military forces, in particular on the Eastern Flank</w:t>
            </w:r>
            <w:r>
              <w:t xml:space="preserve">; </w:t>
            </w:r>
            <w:r>
              <w:rPr>
                <w:b/>
                <w:i/>
              </w:rPr>
              <w:t>underlines, in this regard, that the Integrated Political Crisis Response mechanism (Council Decision 2014/415) provides a useful template for such Article 42 (7) TEU implementing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r>
              <w:rPr>
                <w:b/>
                <w:i/>
              </w:rPr>
              <w:t> Calls for a more frequent execution of annual EU-wide security and defence exercises for multiple scenarios involving relevant actors and, where appropriate, NATO Allies, ensuring interoperability with NATO procedures and standards and testing civil-military coordination, military mobility, Host Nation Support and the resilience of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for a more frequent execution of annual EU-wide security </w:t>
            </w:r>
            <w:r>
              <w:rPr>
                <w:b/>
                <w:i/>
              </w:rPr>
              <w:t>and</w:t>
            </w:r>
            <w:r>
              <w:t xml:space="preserve"> defence exercises </w:t>
            </w:r>
            <w:r>
              <w:rPr>
                <w:b/>
                <w:i/>
              </w:rPr>
              <w:t>for multiple</w:t>
            </w:r>
            <w:r>
              <w:t xml:space="preserve"> scenarios involving relevant actors and</w:t>
            </w:r>
            <w:r>
              <w:rPr>
                <w:b/>
                <w:i/>
              </w:rPr>
              <w:t>, where appropriate, NATO allies</w:t>
            </w:r>
            <w:r>
              <w:t>;</w:t>
            </w:r>
          </w:p>
        </w:tc>
        <w:tc>
          <w:tcPr>
            <w:tcW w:w="4876" w:type="dxa"/>
            <w:tcBorders>
              <w:top w:val="nil"/>
              <w:left w:val="nil"/>
              <w:bottom w:val="nil"/>
              <w:right w:val="nil"/>
            </w:tcBorders>
          </w:tcPr>
          <w:p>
            <w:pPr>
              <w:pStyle w:val="Normal6a"/>
            </w:pPr>
            <w:r>
              <w:t>16.</w:t>
            </w:r>
            <w:r>
              <w:tab/>
            </w:r>
            <w:r>
              <w:t>Calls for a more frequent execution of annual EU-wide security</w:t>
            </w:r>
            <w:r>
              <w:rPr>
                <w:b/>
                <w:i/>
              </w:rPr>
              <w:t>,</w:t>
            </w:r>
            <w:r>
              <w:t xml:space="preserve"> defence </w:t>
            </w:r>
            <w:r>
              <w:rPr>
                <w:b/>
                <w:i/>
              </w:rPr>
              <w:t>and preparedness</w:t>
            </w:r>
            <w:r>
              <w:t xml:space="preserve"> exercises </w:t>
            </w:r>
            <w:r>
              <w:rPr>
                <w:b/>
                <w:i/>
              </w:rPr>
              <w:t>covering a broad range of</w:t>
            </w:r>
            <w:r>
              <w:t xml:space="preserve"> scenarios involving relevant </w:t>
            </w:r>
            <w:r>
              <w:rPr>
                <w:b/>
                <w:i/>
              </w:rPr>
              <w:t>civilian and military</w:t>
            </w:r>
            <w:r>
              <w:t xml:space="preserve"> actors</w:t>
            </w:r>
            <w:r>
              <w:rPr>
                <w:b/>
                <w:i/>
              </w:rPr>
              <w:t>; calls for strengthened parallel</w:t>
            </w:r>
            <w:r>
              <w:t xml:space="preserve"> and </w:t>
            </w:r>
            <w:r>
              <w:rPr>
                <w:b/>
                <w:i/>
              </w:rPr>
              <w:t>coordinated exercises between the EU and NATO, in full respect of the autonomy of both organisations, in order to test interoperability, information-sharing, military mobility, civil-military coordination, critical infrastructure protection and responses to hybrid threats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for </w:t>
            </w:r>
            <w:r>
              <w:rPr>
                <w:b/>
                <w:i/>
              </w:rPr>
              <w:t>a more frequent execution of annual EU-wide</w:t>
            </w:r>
            <w:r>
              <w:t xml:space="preserve"> security and defence exercises </w:t>
            </w:r>
            <w:r>
              <w:rPr>
                <w:b/>
                <w:i/>
              </w:rPr>
              <w:t>for multiple scenarios involving relevant actors and, where appropriate, NATO allies</w:t>
            </w:r>
            <w:r>
              <w:t>;</w:t>
            </w:r>
          </w:p>
        </w:tc>
        <w:tc>
          <w:tcPr>
            <w:tcW w:w="4876" w:type="dxa"/>
            <w:tcBorders>
              <w:top w:val="nil"/>
              <w:left w:val="nil"/>
              <w:bottom w:val="nil"/>
              <w:right w:val="nil"/>
            </w:tcBorders>
          </w:tcPr>
          <w:p>
            <w:pPr>
              <w:pStyle w:val="Normal6a"/>
            </w:pPr>
            <w:r>
              <w:t>16.</w:t>
            </w:r>
            <w:r>
              <w:tab/>
            </w:r>
            <w:r>
              <w:t xml:space="preserve">Calls for </w:t>
            </w:r>
            <w:r>
              <w:rPr>
                <w:b/>
                <w:i/>
              </w:rPr>
              <w:t>enhanced coordination among Member States to support national and NATO-led</w:t>
            </w:r>
            <w:r>
              <w:t xml:space="preserve"> security and defence exercises</w:t>
            </w:r>
            <w:r>
              <w:rPr>
                <w:b/>
                <w:i/>
              </w:rPr>
              <w:t>, ensuring that all EU-supported activities are fully voluntary, focused on civil resilience or military mobility, and systematically coordinated with NATO to avoid any duplication in scheduling, training standards or resource allocation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t>16.</w:t>
            </w:r>
            <w:r>
              <w:tab/>
            </w:r>
            <w:r>
              <w:t xml:space="preserve">Calls for a more frequent execution of annual EU-wide security and defence exercises for multiple scenarios involving relevant actors and, where appropriate, NATO allies; </w:t>
            </w:r>
            <w:r>
              <w:rPr>
                <w:b/>
                <w:i/>
              </w:rPr>
              <w:t>recalls its position on the importance of drawing on the lessons learned and best practices emerging from Ukraine’s experience of modern warfare;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w:t>
            </w:r>
            <w:r>
              <w:rPr>
                <w:b/>
                <w:i/>
              </w:rPr>
              <w:t>, including hybrid attacks, major disruptions at external borders and the instrumentalisation of migration by hostile actors,</w:t>
            </w:r>
            <w:r>
              <w:t xml:space="preserve"> involving relevant actors and, where appropriate, NATO allies;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for </w:t>
            </w:r>
            <w:r>
              <w:rPr>
                <w:b/>
                <w:i/>
              </w:rPr>
              <w:t>a more frequent</w:t>
            </w:r>
            <w:r>
              <w:t xml:space="preserve"> execution of annual EU-wide security and defence exercises for multiple scenarios involving relevant actors and, where appropriate, NATO allies;</w:t>
            </w:r>
          </w:p>
        </w:tc>
        <w:tc>
          <w:tcPr>
            <w:tcW w:w="4876" w:type="dxa"/>
            <w:tcBorders>
              <w:top w:val="nil"/>
              <w:left w:val="nil"/>
              <w:bottom w:val="nil"/>
              <w:right w:val="nil"/>
            </w:tcBorders>
          </w:tcPr>
          <w:p>
            <w:pPr>
              <w:pStyle w:val="Normal6a"/>
            </w:pPr>
            <w:r>
              <w:t>16.</w:t>
            </w:r>
            <w:r>
              <w:tab/>
            </w:r>
            <w:r>
              <w:t xml:space="preserve">Calls for </w:t>
            </w:r>
            <w:r>
              <w:rPr>
                <w:b/>
                <w:i/>
              </w:rPr>
              <w:t>the</w:t>
            </w:r>
            <w:r>
              <w:t xml:space="preserve"> execution of annual EU-wide security and defence exercises for multiple scenarios involving relevant actors and, where appropriate, NATO allies;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w:t>
            </w:r>
            <w:r>
              <w:rPr>
                <w:b/>
                <w:i/>
              </w:rPr>
              <w:t>, where appropriate,</w:t>
            </w:r>
            <w:r>
              <w:t xml:space="preserve"> NATO allies;</w:t>
            </w:r>
          </w:p>
        </w:tc>
        <w:tc>
          <w:tcPr>
            <w:tcW w:w="4876" w:type="dxa"/>
            <w:tcBorders>
              <w:top w:val="nil"/>
              <w:left w:val="nil"/>
              <w:bottom w:val="nil"/>
              <w:right w:val="nil"/>
            </w:tcBorders>
          </w:tcPr>
          <w:p>
            <w:pPr>
              <w:pStyle w:val="Normal6a"/>
            </w:pPr>
            <w:r>
              <w:t>16.</w:t>
            </w:r>
            <w:r>
              <w:tab/>
            </w:r>
            <w:r>
              <w:t>Calls for a more frequent execution of annual EU-wide security and defence exercises for multiple scenarios involving relevant actors and NATO allies;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Welcomes the announcement of Commission President Von der Leyen to initiate a new European instrument for strategic enablers; proposes the creation of strategic enablers at EU level with equipment that is jointly procured, owned, and crewed; underlines that Member States would continue to operate the relevant assets with their own personnel, with operational execution remaining in the hands of the Member States; notes that comparable and effective multinational arrangements already exist, including EU's rescEU, the Multinational Multi-Role Tanker Transport Fleet and the European Air Transport Command, as well as NATO’s Airborne Early Warning and Control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Calls for strengthened EU-NATO cooperation in situational awareness, early warning and the identification of hybrid threats, while fully respecting the autonomy, competences and information-security requirements of both organisations; calls for strengthened mechanisms for the timely exchange of relevant information and assessments, particularly concerning hybrid activities, cyber threats, critical infrastructure and the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Welcomes the full operationalisation of the Rapid Deployment Capacity; insists on the necessity of learning from the failed experience of the ad hoc EU Battlegroups; suggests further expanding the Rapid Deployment Capacity while building on the Eurocorps structure and its cooperation with the MPCC, which could lead to the creation of European rapid reaction forces as a standing, multinational force package built from national and multinational contributions; considers that such rapid reaction forces should operate standardised equipment and doctrine and have joint command; underlines that the rotation, size and composition of each Member State's contribution, while fulfilling commonly agreed force structure targets, ultimately remains a national decision subject to national parliamentary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Stresses the particular responsibility and added value of the Union in strengthening the resilience of European societies through its instruments in areas including transport, energy, cybersecurity, civil protection and critical infrastructure; emphasises that strengthening civilian preparedness and the capacity of essential infrastructure and services to continue functioning during crises is an integral part of European security and a crucial contribution to credible deterrence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t>17.</w:t>
            </w:r>
            <w:r>
              <w:tab/>
            </w:r>
            <w:r>
              <w:t xml:space="preserve">Calls on the Commission to propose a defence-readiness omnibus enabling the coordinated use of EU legislation upon activation of Article 42(7) TEU, including in the areas of communications, transport, energy, raw materials, defence production, budgets and currencies; </w:t>
            </w:r>
            <w:r>
              <w:rPr>
                <w:b/>
                <w:i/>
              </w:rPr>
              <w:t>underlines that the Commission should identify and remove legal and administrative barriers that may delay the peacetime mobilisation, production, procurement or movement of defence capabilities to ensure effective defence in the application of Article 42(7);</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Claudiu-Richard Târziu,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Calls on the Commission to </w:t>
            </w:r>
            <w:r>
              <w:rPr>
                <w:b/>
                <w:i/>
              </w:rPr>
              <w:t>propose a defence-readiness omnibus</w:t>
            </w:r>
            <w:r>
              <w:t xml:space="preserve"> enabling the coordinated use of EU legislation upon activation of Article </w:t>
            </w:r>
            <w:r>
              <w:rPr>
                <w:b/>
                <w:i/>
              </w:rPr>
              <w:t>42(7) TEU, including in the areas of</w:t>
            </w:r>
            <w:r>
              <w:t xml:space="preserve"> communications, transport, energy, raw materials</w:t>
            </w:r>
            <w:r>
              <w:rPr>
                <w:b/>
                <w:i/>
              </w:rPr>
              <w:t>,</w:t>
            </w:r>
            <w:r>
              <w:t xml:space="preserve"> defence production</w:t>
            </w:r>
            <w:r>
              <w:rPr>
                <w:b/>
                <w:i/>
              </w:rPr>
              <w:t>, budgets and currencies</w:t>
            </w:r>
            <w:r>
              <w:t>;</w:t>
            </w:r>
          </w:p>
        </w:tc>
        <w:tc>
          <w:tcPr>
            <w:tcW w:w="4876" w:type="dxa"/>
            <w:tcBorders>
              <w:top w:val="nil"/>
              <w:left w:val="nil"/>
              <w:bottom w:val="nil"/>
              <w:right w:val="nil"/>
            </w:tcBorders>
          </w:tcPr>
          <w:p>
            <w:pPr>
              <w:pStyle w:val="Normal6a"/>
            </w:pPr>
            <w:r>
              <w:t>17.</w:t>
            </w:r>
            <w:r>
              <w:tab/>
            </w:r>
            <w:r>
              <w:t xml:space="preserve">Calls on the Commission to </w:t>
            </w:r>
            <w:r>
              <w:rPr>
                <w:b/>
                <w:i/>
              </w:rPr>
              <w:t>support Member States in strengthening societal and industrial resilience, while ensuring that measure</w:t>
            </w:r>
            <w:r>
              <w:t xml:space="preserve"> enabling the coordinated use of EU legislation</w:t>
            </w:r>
            <w:r>
              <w:rPr>
                <w:b/>
                <w:i/>
              </w:rPr>
              <w:t>,</w:t>
            </w:r>
            <w:r>
              <w:t xml:space="preserve"> upon activation of Article </w:t>
            </w:r>
            <w:r>
              <w:rPr>
                <w:b/>
                <w:i/>
              </w:rPr>
              <w:t>42 (7) TEU in critical sectors — such as</w:t>
            </w:r>
            <w:r>
              <w:t xml:space="preserve"> communications, transport, energy, raw materials </w:t>
            </w:r>
            <w:r>
              <w:rPr>
                <w:b/>
                <w:i/>
              </w:rPr>
              <w:t>and</w:t>
            </w:r>
            <w:r>
              <w:t xml:space="preserve"> defence production </w:t>
            </w:r>
            <w:r>
              <w:rPr>
                <w:b/>
                <w:i/>
              </w:rPr>
              <w:t>— strictly respects the division of competences laid down in the Treaties, national sovereignty, national budgetary competences and the intergovernmental nature of security and defence policies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Calls on the Commission to propose</w:t>
            </w:r>
            <w:r>
              <w:t xml:space="preserve"> a defence-readiness omnibus </w:t>
            </w:r>
            <w:r>
              <w:rPr>
                <w:b/>
                <w:i/>
              </w:rPr>
              <w:t>enabling the coordinated use of EU legislation upon activation of Article 42(7) TEU</w:t>
            </w:r>
            <w:r>
              <w:t>,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t>17.</w:t>
            </w:r>
            <w:r>
              <w:tab/>
            </w:r>
            <w:r>
              <w:rPr>
                <w:b/>
                <w:i/>
              </w:rPr>
              <w:t>Rejects any proposal for</w:t>
            </w:r>
            <w:r>
              <w:t xml:space="preserve"> a defence-readiness omnibus </w:t>
            </w:r>
            <w:r>
              <w:rPr>
                <w:b/>
                <w:i/>
              </w:rPr>
              <w:t>that would confer on the Commission emergency powers</w:t>
            </w:r>
            <w:r>
              <w:t xml:space="preserve">, including in the areas of communications, transport, energy, raw materials, defence production, budgets and currencies; </w:t>
            </w:r>
            <w:r>
              <w:rPr>
                <w:b/>
                <w:i/>
              </w:rPr>
              <w:t>recalls that, pursuant to Article 4(2) TEU, national security remains the sole responsibility of each Member State and that, pursuant to Article 41(2) TEU, operating expenditure arising from operations having military or defence implications may not be charged to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t>17.</w:t>
            </w:r>
            <w:r>
              <w:tab/>
            </w:r>
            <w:r>
              <w:t xml:space="preserve">Calls on the Commission to propose a defence-readiness omnibus enabling the coordinated use of EU legislation upon activation of Article 42(7) TEU, including in the areas of communications, transport, energy, raw materials, defence production, budgets and currencies; </w:t>
            </w:r>
            <w:r>
              <w:rPr>
                <w:b/>
                <w:i/>
              </w:rPr>
              <w:t>acknowledges the space domain as a relevant field and undertakes steps to include all space-related areas into a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t>17.</w:t>
            </w:r>
            <w:r>
              <w:tab/>
            </w:r>
            <w:r>
              <w:t>Calls on the Commission</w:t>
            </w:r>
            <w:r>
              <w:rPr>
                <w:b/>
                <w:i/>
              </w:rPr>
              <w:t>, within the framework of the guidelines laid down by the Council,</w:t>
            </w:r>
            <w:r>
              <w:t xml:space="preserve"> to propose a defence-readiness omnibus enabling the coordinated use of EU legislation upon activation of Article 42(7) TEU, including in the areas of communications, transport, energy, raw materials, defence production, budgets and currencies;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on the Commission to propose a defence-readiness omnibus enabling the coordinated use of EU legislation upon activation of Article 42(7) TEU, including in the areas of communications, transport, energy, raw materials, defence production, budgets and currencies;</w:t>
            </w:r>
          </w:p>
        </w:tc>
        <w:tc>
          <w:tcPr>
            <w:tcW w:w="4876" w:type="dxa"/>
            <w:tcBorders>
              <w:top w:val="nil"/>
              <w:left w:val="nil"/>
              <w:bottom w:val="nil"/>
              <w:right w:val="nil"/>
            </w:tcBorders>
          </w:tcPr>
          <w:p>
            <w:pPr>
              <w:pStyle w:val="Normal6a"/>
            </w:pPr>
            <w:r>
              <w:t>17.</w:t>
            </w:r>
            <w:r>
              <w:tab/>
            </w:r>
            <w:r>
              <w:t xml:space="preserve">Calls on the Commission to propose a defence-readiness omnibus enabling the coordinated use of EU legislation upon activation of Article 42(7) TEU, including in the areas of </w:t>
            </w:r>
            <w:r>
              <w:rPr>
                <w:b/>
                <w:i/>
              </w:rPr>
              <w:t>the internal market,</w:t>
            </w:r>
            <w:r>
              <w:t xml:space="preserve"> communications, transport, energy, raw materials, defence production, budgets and currencies;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for the establishment of another off-budget financial facility learning from and improving upon SAFE, which would sufficiently pool and Europeanise parts of national defence budgets at EU level and address the entire life cycle of military capabilities, from collaborative R&amp;D and joint procurement to joint maintenance, training and security of supply, including by maximising the potential of EDPCI and SEAP and which is, like the current off-budget European Peace Facility (EPF), open to non-EU countries such as Norway and the UK; stresses therefore the need to improve decision-making and oversight procedures compared to the current EPF governance model;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Stresses that credible European security and defence require a whole-of-society approach to preparedness and resilience, involving public authorities at all levels, the private sector, civil society and citizens; emphasises that the ability of society to maintain essential functions and recover rapidly from disruptions in times of peace, crisis and conflict is an integral part of European security and contributes to credible deterrence; calls, in this regard, for strengthened public-private cooperation, security of supply, strategic reserves, resilient and decentralised energy systems, continuity planning for essential services and improved population preparedness;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for the development of CEDU/Union-wide escalation management protocols, to respond in a more unified and consistent fashion to probing, hybrid warfare, and escalations below the threshold of Article 42(7) TEU, including asymmetrical retaliation;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on the Commission, in cooperation with the EDA and Member States, to assess joint procurement and voluntary pre-positioning of strategic reserves to strengthen preparedness, security of supply and European defence industrial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Considers that, in the event of an effective activation of NATO's Article 5 by the North Atlantic Council, the default command structure should prevail, with SACEUR in operational command of the CEDU; considers that where NATO's Article 5 and the EU's Article 42(7) TEU would be simultaneously activated, NATO and the EU complement each other according to their respective specialisations;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Proposes that, in the event of a failure to activate Article 5 but a willingness on the part of the ESC to respond collectively by activating Article 42(7) TEU, the CEDU would operate separately from NATO, with the EMHQ in operational command; considers that a pre-authorisation protocol should be written into the CEDU's founding instrument, ensuring that, upon activation of NATO's Article 5, the CEDU would operate along the default NATO command structure and its capabilities and forces would be automatically released to SACEUR's operational authority, subject to national pre-authorisation; considers that this would address concerns around force availability and duplication, as well as scenarios in which Article 5 would not apply or would be irrelevant;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Calls on the EU institutions to provide clear guidance on the implementation of Article 42(7) TEU as a cornerstone of a genuine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Calls on the EU institutions to provide clear guidance on the implementation of Article 42(7) TEU as a cornerstone of a genuine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Calls on the EU institutions to provide clear guidance on the implementation of Article 42(7) TEU as a cornerstone of a genuine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on </w:t>
            </w:r>
            <w:r>
              <w:rPr>
                <w:b/>
                <w:i/>
              </w:rPr>
              <w:t>the EU institutions to provide</w:t>
            </w:r>
            <w:r>
              <w:t xml:space="preserve"> clear </w:t>
            </w:r>
            <w:r>
              <w:rPr>
                <w:b/>
                <w:i/>
              </w:rPr>
              <w:t>guidance</w:t>
            </w:r>
            <w:r>
              <w:t xml:space="preserve"> on the implementation of Article 42(7) TEU </w:t>
            </w:r>
            <w:r>
              <w:rPr>
                <w:b/>
                <w:i/>
              </w:rPr>
              <w:t>as a</w:t>
            </w:r>
            <w:r>
              <w:t xml:space="preserve"> cornerstone of </w:t>
            </w:r>
            <w:r>
              <w:rPr>
                <w:b/>
                <w:i/>
              </w:rPr>
              <w:t>a genuine CEDU</w:t>
            </w:r>
            <w:r>
              <w:t>;</w:t>
            </w:r>
          </w:p>
        </w:tc>
        <w:tc>
          <w:tcPr>
            <w:tcW w:w="4876" w:type="dxa"/>
            <w:tcBorders>
              <w:top w:val="nil"/>
              <w:left w:val="nil"/>
              <w:bottom w:val="nil"/>
              <w:right w:val="nil"/>
            </w:tcBorders>
          </w:tcPr>
          <w:p>
            <w:pPr>
              <w:pStyle w:val="Normal6a"/>
            </w:pPr>
            <w:r>
              <w:t>18.</w:t>
            </w:r>
            <w:r>
              <w:tab/>
            </w:r>
            <w:r>
              <w:t xml:space="preserve">Calls on </w:t>
            </w:r>
            <w:r>
              <w:rPr>
                <w:b/>
                <w:i/>
              </w:rPr>
              <w:t>Member States to maintain a</w:t>
            </w:r>
            <w:r>
              <w:t xml:space="preserve"> clear </w:t>
            </w:r>
            <w:r>
              <w:rPr>
                <w:b/>
                <w:i/>
              </w:rPr>
              <w:t>structured intergovernmental dialogue</w:t>
            </w:r>
            <w:r>
              <w:t xml:space="preserve"> on the implementation of Article 42(7) TEU</w:t>
            </w:r>
            <w:r>
              <w:rPr>
                <w:b/>
                <w:i/>
              </w:rPr>
              <w:t>, while reaffirming that NATO remains the</w:t>
            </w:r>
            <w:r>
              <w:t xml:space="preserve"> cornerstone of </w:t>
            </w:r>
            <w:r>
              <w:rPr>
                <w:b/>
                <w:i/>
              </w:rPr>
              <w:t>collective defence for its members and avoiding the creation of parallel supranational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Calls on the EU institutions to provide clear guidance on the implementation of</w:t>
            </w:r>
            <w:r>
              <w:t xml:space="preserve"> Article 42(7) TEU </w:t>
            </w:r>
            <w:r>
              <w:rPr>
                <w:b/>
                <w:i/>
              </w:rPr>
              <w:t>as a cornerstone of a genuine</w:t>
            </w:r>
            <w:r>
              <w:t xml:space="preserve"> CEDU;</w:t>
            </w:r>
          </w:p>
        </w:tc>
        <w:tc>
          <w:tcPr>
            <w:tcW w:w="4876" w:type="dxa"/>
            <w:tcBorders>
              <w:top w:val="nil"/>
              <w:left w:val="nil"/>
              <w:bottom w:val="nil"/>
              <w:right w:val="nil"/>
            </w:tcBorders>
          </w:tcPr>
          <w:p>
            <w:pPr>
              <w:pStyle w:val="Normal6a"/>
            </w:pPr>
            <w:r>
              <w:t>18.</w:t>
            </w:r>
            <w:r>
              <w:tab/>
            </w:r>
            <w:r>
              <w:rPr>
                <w:b/>
                <w:i/>
              </w:rPr>
              <w:t>Recalls that</w:t>
            </w:r>
            <w:r>
              <w:t xml:space="preserve"> Article 42(7) TEU </w:t>
            </w:r>
            <w:r>
              <w:rPr>
                <w:b/>
                <w:i/>
              </w:rPr>
              <w:t>is an obligation of aid and assistance among Member States, acted upon by those States with the means they choose; underlines that it is not a legal basis for a</w:t>
            </w:r>
            <w:r>
              <w:t xml:space="preserve">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the EU institutions to provide clear guidance on the implementation of Article 42(7) TEU as a cornerstone of a genuine CEDU;</w:t>
            </w:r>
          </w:p>
        </w:tc>
        <w:tc>
          <w:tcPr>
            <w:tcW w:w="4876" w:type="dxa"/>
            <w:tcBorders>
              <w:top w:val="nil"/>
              <w:left w:val="nil"/>
              <w:bottom w:val="nil"/>
              <w:right w:val="nil"/>
            </w:tcBorders>
          </w:tcPr>
          <w:p>
            <w:pPr>
              <w:pStyle w:val="Normal6a"/>
            </w:pPr>
            <w:r>
              <w:t>18.</w:t>
            </w:r>
            <w:r>
              <w:tab/>
            </w:r>
            <w:r>
              <w:t>Calls on the EU institutions to provide</w:t>
            </w:r>
            <w:r>
              <w:rPr>
                <w:b/>
                <w:i/>
              </w:rPr>
              <w:t>, in consultation with the Member States,</w:t>
            </w:r>
            <w:r>
              <w:t xml:space="preserve"> clear guidance on the implementation of Article 42(7) TEU as a cornerstone of a genuine CEDU;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Welcomes the Council Decision of 28 September 2026 on the EU Space Threat Response Architecture; calls for its articulation with Article 42(7) TEU to be clarified, in particular as regards attacks on space assets that may amount to armed aggression against a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Institutional architecture of the CEDU</w:t>
            </w:r>
          </w:p>
        </w:tc>
        <w:tc>
          <w:tcPr>
            <w:tcW w:w="4876" w:type="dxa"/>
            <w:tcBorders>
              <w:top w:val="nil"/>
              <w:left w:val="nil"/>
              <w:bottom w:val="nil"/>
              <w:right w:val="nil"/>
            </w:tcBorders>
          </w:tcPr>
          <w:p>
            <w:pPr>
              <w:pStyle w:val="Normal6a"/>
            </w:pPr>
            <w:r>
              <w:rPr>
                <w:b/>
                <w:i/>
              </w:rPr>
              <w:t>Pillar III: Capabilities and forces —Strategic Enablers and the European Rapid Reaction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Considers that the credibility of the CEDU requires a permanent institutional architecture that ensures political direction, coordination, command and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Considers that the credibility of the CEDU requires a permanent institutional architecture that ensures political direction, coordination, command and democratic accountability;</w:t>
            </w:r>
          </w:p>
        </w:tc>
        <w:tc>
          <w:tcPr>
            <w:tcW w:w="4876" w:type="dxa"/>
            <w:tcBorders>
              <w:top w:val="nil"/>
              <w:left w:val="nil"/>
              <w:bottom w:val="nil"/>
              <w:right w:val="nil"/>
            </w:tcBorders>
          </w:tcPr>
          <w:p>
            <w:pPr>
              <w:pStyle w:val="Normal6a"/>
            </w:pPr>
            <w:r>
              <w:t>19.</w:t>
            </w:r>
            <w:r>
              <w:tab/>
            </w:r>
            <w:r>
              <w:t>Considers that the credibility of the CEDU requires a permanent institutional architecture that ensures political direction, coordination, command and democratic accountability</w:t>
            </w:r>
            <w:r>
              <w:rPr>
                <w:b/>
                <w:i/>
              </w:rPr>
              <w:t>, at the same time, it should full use of existing EU institutional structures and should avoid creating unnecessary new permanent bodies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Considers that </w:t>
            </w:r>
            <w:r>
              <w:rPr>
                <w:b/>
                <w:i/>
              </w:rPr>
              <w:t>the credibility of the CEDU</w:t>
            </w:r>
            <w:r>
              <w:t xml:space="preserve"> requires a </w:t>
            </w:r>
            <w:r>
              <w:rPr>
                <w:b/>
                <w:i/>
              </w:rPr>
              <w:t>permanent institutional architecture that</w:t>
            </w:r>
            <w:r>
              <w:t xml:space="preserve"> ensures </w:t>
            </w:r>
            <w:r>
              <w:rPr>
                <w:b/>
                <w:i/>
              </w:rPr>
              <w:t>political direction,</w:t>
            </w:r>
            <w:r>
              <w:t xml:space="preserve"> coordination, </w:t>
            </w:r>
            <w:r>
              <w:rPr>
                <w:b/>
                <w:i/>
              </w:rPr>
              <w:t>command and democratic accountability</w:t>
            </w:r>
            <w:r>
              <w:t>;</w:t>
            </w:r>
          </w:p>
        </w:tc>
        <w:tc>
          <w:tcPr>
            <w:tcW w:w="4876" w:type="dxa"/>
            <w:tcBorders>
              <w:top w:val="nil"/>
              <w:left w:val="nil"/>
              <w:bottom w:val="nil"/>
              <w:right w:val="nil"/>
            </w:tcBorders>
          </w:tcPr>
          <w:p>
            <w:pPr>
              <w:pStyle w:val="Normal6a"/>
            </w:pPr>
            <w:r>
              <w:t>19.</w:t>
            </w:r>
            <w:r>
              <w:tab/>
            </w:r>
            <w:r>
              <w:t xml:space="preserve">Considers that </w:t>
            </w:r>
            <w:r>
              <w:rPr>
                <w:b/>
                <w:i/>
              </w:rPr>
              <w:t>enhanced intergovernmental cooperation in the field of defence</w:t>
            </w:r>
            <w:r>
              <w:t xml:space="preserve"> requires a </w:t>
            </w:r>
            <w:r>
              <w:rPr>
                <w:b/>
                <w:i/>
              </w:rPr>
              <w:t>framework that respects national sovereignty and</w:t>
            </w:r>
            <w:r>
              <w:t xml:space="preserve"> ensures </w:t>
            </w:r>
            <w:r>
              <w:rPr>
                <w:b/>
                <w:i/>
              </w:rPr>
              <w:t>voluntary</w:t>
            </w:r>
            <w:r>
              <w:t xml:space="preserve"> coordination, </w:t>
            </w:r>
            <w:r>
              <w:rPr>
                <w:b/>
                <w:i/>
              </w:rPr>
              <w:t>while strengthening national capabilities and full compatibility with NATO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Considers that the credibility of the CEDU requires </w:t>
            </w:r>
            <w:r>
              <w:rPr>
                <w:b/>
                <w:i/>
              </w:rPr>
              <w:t>a permanent institutional architecture that ensures</w:t>
            </w:r>
            <w:r>
              <w:t xml:space="preserve"> political direction, coordination, command and democratic accountability;</w:t>
            </w:r>
          </w:p>
        </w:tc>
        <w:tc>
          <w:tcPr>
            <w:tcW w:w="4876" w:type="dxa"/>
            <w:tcBorders>
              <w:top w:val="nil"/>
              <w:left w:val="nil"/>
              <w:bottom w:val="nil"/>
              <w:right w:val="nil"/>
            </w:tcBorders>
          </w:tcPr>
          <w:p>
            <w:pPr>
              <w:pStyle w:val="Normal6a"/>
            </w:pPr>
            <w:r>
              <w:t>19.</w:t>
            </w:r>
            <w:r>
              <w:tab/>
            </w:r>
            <w:r>
              <w:t xml:space="preserve">Considers that the credibility of the CEDU requires </w:t>
            </w:r>
            <w:r>
              <w:rPr>
                <w:b/>
                <w:i/>
              </w:rPr>
              <w:t>effective</w:t>
            </w:r>
            <w:r>
              <w:t xml:space="preserve"> political direction, coordination, command and democratic accountability</w:t>
            </w:r>
            <w:r>
              <w:rPr>
                <w:b/>
                <w:i/>
              </w:rPr>
              <w:t>, while respecting Member States’ sovereignty and national competences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Considers that the credibility of </w:t>
            </w:r>
            <w:r>
              <w:rPr>
                <w:b/>
                <w:i/>
              </w:rPr>
              <w:t>the CEDU requires a permanent institutional architecture that ensures political direction, coordination, command and</w:t>
            </w:r>
            <w:r>
              <w:t xml:space="preserve"> democratic accountability;</w:t>
            </w:r>
          </w:p>
        </w:tc>
        <w:tc>
          <w:tcPr>
            <w:tcW w:w="4876" w:type="dxa"/>
            <w:tcBorders>
              <w:top w:val="nil"/>
              <w:left w:val="nil"/>
              <w:bottom w:val="nil"/>
              <w:right w:val="nil"/>
            </w:tcBorders>
          </w:tcPr>
          <w:p>
            <w:pPr>
              <w:pStyle w:val="Normal6a"/>
            </w:pPr>
            <w:r>
              <w:t>19.</w:t>
            </w:r>
            <w:r>
              <w:tab/>
            </w:r>
            <w:r>
              <w:t xml:space="preserve">Considers that the credibility of </w:t>
            </w:r>
            <w:r>
              <w:rPr>
                <w:b/>
                <w:i/>
              </w:rPr>
              <w:t>European defence depends on ready forces, filled stockpiles, industrial capacity and national</w:t>
            </w:r>
            <w:r>
              <w:t xml:space="preserve">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Considers that the credibility of the CEDU requires a permanent institutional architecture that ensures </w:t>
            </w:r>
            <w:r>
              <w:rPr>
                <w:b/>
                <w:i/>
              </w:rPr>
              <w:t>political direction, coordination</w:t>
            </w:r>
            <w:r>
              <w:t xml:space="preserve">, command </w:t>
            </w:r>
            <w:r>
              <w:rPr>
                <w:b/>
                <w:i/>
              </w:rPr>
              <w:t>and democratic accountability</w:t>
            </w:r>
            <w:r>
              <w:t>;</w:t>
            </w:r>
          </w:p>
        </w:tc>
        <w:tc>
          <w:tcPr>
            <w:tcW w:w="4876" w:type="dxa"/>
            <w:tcBorders>
              <w:top w:val="nil"/>
              <w:left w:val="nil"/>
              <w:bottom w:val="nil"/>
              <w:right w:val="nil"/>
            </w:tcBorders>
          </w:tcPr>
          <w:p>
            <w:pPr>
              <w:pStyle w:val="Normal6a"/>
            </w:pPr>
            <w:r>
              <w:t>19.</w:t>
            </w:r>
            <w:r>
              <w:tab/>
            </w:r>
            <w:r>
              <w:t xml:space="preserve">Considers that the credibility of the CEDU requires a permanent institutional architecture that ensures </w:t>
            </w:r>
            <w:r>
              <w:rPr>
                <w:b/>
                <w:i/>
              </w:rPr>
              <w:t>effective decision-making, coordinated implementation</w:t>
            </w:r>
            <w:r>
              <w:t xml:space="preserve">, </w:t>
            </w:r>
            <w:r>
              <w:rPr>
                <w:b/>
                <w:i/>
              </w:rPr>
              <w:t>and operational</w:t>
            </w:r>
            <w:r>
              <w:t xml:space="preserve"> command;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Proposes that, in the event of a failure to activate Article 5 of the North Atlantic Treaty, but a willingness on the part of the ESC to respond collectively by activating Article 42(7) TEU, the CEDU would operate separately from NATO, with the EMHQ in operational command; considers that a pre-authorisation protocol should be written into the CEDU's founding instrument, ensuring that, upon activation of NATO's Article 5, the CEDU would operate along the default NATO command structure and its capabilities and forces would be automatically released to SACEUR's operational authority, subject to national pre-authorisation; considers that this would address concerns around force availability and duplication, as well as scenarios in which Article 5 would not apply or would be irrelevant;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Proposes that the core of shared capabilities and forces of the CEDU should 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CEDU procured, owned and maintained strategic enablers, in particular C4ISTAR platforms, which are too expensive for a single Member State to create at meaningful scale, with operational execution and personnel remaining in the hands of the CEDU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standing, multinational force package which in effect fulfils the European NATO New Force Model targets while supplementing, and if necessary replacing, the US rapid reaction forces currently stationed in Europe, which no single Member State has the ability to generate at scale but is critical at responding in force to an attack on European territory by a (near) peer adversary;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Takes note of the structured strategic dialogue on the European dimension of deterrence that France has established with European partners since March 2026; considers that the CEDU's institutional architecture should provide a framework for such strategic dialogue among Member States, in full complementarity with NATO's nuclear deterrence, on which the security of its European Allies continues to rest first and foremost;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Strategic enablers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w:t>
            </w:r>
            <w:r>
              <w:rPr>
                <w:b/>
                <w:i/>
              </w:rPr>
              <w:t>as the CEDU’s permanent</w:t>
            </w:r>
            <w:r>
              <w:t xml:space="preserve"> strategic </w:t>
            </w:r>
            <w:r>
              <w:rPr>
                <w:b/>
                <w:i/>
              </w:rPr>
              <w:t>body, which would be responsible for coordinating Article 42(7) TEU</w:t>
            </w:r>
            <w:r>
              <w:t xml:space="preserve"> responses </w:t>
            </w:r>
            <w:r>
              <w:rPr>
                <w:b/>
                <w:i/>
              </w:rPr>
              <w:t>and ensuring coherence between EU external,</w:t>
            </w:r>
            <w:r>
              <w:t xml:space="preserve"> security and defence </w:t>
            </w:r>
            <w:r>
              <w:rPr>
                <w:b/>
                <w:i/>
              </w:rPr>
              <w:t>policies; considers that</w:t>
            </w:r>
            <w:r>
              <w:t xml:space="preserve"> participation of </w:t>
            </w:r>
            <w:r>
              <w:rPr>
                <w:b/>
                <w:i/>
              </w:rPr>
              <w:t>other European countries, in particular the</w:t>
            </w:r>
            <w:r>
              <w:t xml:space="preserve"> strategic security and defence partners </w:t>
            </w:r>
            <w:r>
              <w:rPr>
                <w:b/>
                <w:i/>
              </w:rPr>
              <w:t>of the EU</w:t>
            </w:r>
            <w:r>
              <w:t xml:space="preserve">, including Ukraine, </w:t>
            </w:r>
            <w:r>
              <w:rPr>
                <w:b/>
                <w:i/>
              </w:rPr>
              <w:t>should be envisaged</w:t>
            </w:r>
            <w:r>
              <w:t>;</w:t>
            </w:r>
          </w:p>
        </w:tc>
        <w:tc>
          <w:tcPr>
            <w:tcW w:w="4876" w:type="dxa"/>
            <w:tcBorders>
              <w:top w:val="nil"/>
              <w:left w:val="nil"/>
              <w:bottom w:val="nil"/>
              <w:right w:val="nil"/>
            </w:tcBorders>
          </w:tcPr>
          <w:p>
            <w:pPr>
              <w:pStyle w:val="Normal6a"/>
            </w:pPr>
            <w:r>
              <w:t>20.</w:t>
            </w:r>
            <w:r>
              <w:tab/>
            </w:r>
            <w:r>
              <w:t xml:space="preserve">Calls for the establishment of a European Security Council </w:t>
            </w:r>
            <w:r>
              <w:rPr>
                <w:b/>
                <w:i/>
              </w:rPr>
              <w:t>as a permanent intergovernmental forum within the existing European Council and Council framework</w:t>
            </w:r>
            <w:r>
              <w:t xml:space="preserve">, composed of Heads of State or Government and chaired by the President of the European Council, </w:t>
            </w:r>
            <w:r>
              <w:rPr>
                <w:b/>
                <w:i/>
              </w:rPr>
              <w:t>to provide</w:t>
            </w:r>
            <w:r>
              <w:t xml:space="preserve"> strategic </w:t>
            </w:r>
            <w:r>
              <w:rPr>
                <w:b/>
                <w:i/>
              </w:rPr>
              <w:t>direction, facilitate consultations and coordinate common</w:t>
            </w:r>
            <w:r>
              <w:t xml:space="preserve"> responses </w:t>
            </w:r>
            <w:r>
              <w:rPr>
                <w:b/>
                <w:i/>
              </w:rPr>
              <w:t>to</w:t>
            </w:r>
            <w:r>
              <w:t xml:space="preserve"> security and defence </w:t>
            </w:r>
            <w:r>
              <w:rPr>
                <w:b/>
                <w:i/>
              </w:rPr>
              <w:t>threats, including assistance under Article 42(7) TEU; calls for the President of the European Parliament to participate in its meetings; stresses that its mandate and decision-making arrangements should respect the competences of the existing EU institutions and ensure complementarity with NATO; supports the</w:t>
            </w:r>
            <w:r>
              <w:t xml:space="preserve"> participation</w:t>
            </w:r>
            <w:r>
              <w:rPr>
                <w:b/>
                <w:i/>
              </w:rPr>
              <w:t>, where relevant,</w:t>
            </w:r>
            <w:r>
              <w:t xml:space="preserve"> of strategic security and defence partners, including Ukraine, </w:t>
            </w:r>
            <w:r>
              <w:rPr>
                <w:b/>
                <w:i/>
              </w:rPr>
              <w:t>the United Kingdom, Norway and Canada, while preserving the autonomy of EU decision-making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w:t>
            </w:r>
            <w:r>
              <w:t xml:space="preserve">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Considers that participation of other European countries, in particular the strategic security and defence partners of the EU, including Ukraine,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the establishment of a</w:t>
            </w:r>
            <w:r>
              <w:t xml:space="preserve"> European Security Council</w:t>
            </w:r>
            <w:r>
              <w:rPr>
                <w:b/>
                <w:i/>
              </w:rPr>
              <w:t>,</w:t>
            </w:r>
            <w:r>
              <w:t xml:space="preserve"> composed of </w:t>
            </w:r>
            <w:r>
              <w:rPr>
                <w:b/>
                <w:i/>
              </w:rPr>
              <w:t>Heads of State or Government and chaired by the President</w:t>
            </w:r>
            <w:r>
              <w:t xml:space="preserve"> of the </w:t>
            </w:r>
            <w:r>
              <w:rPr>
                <w:b/>
                <w:i/>
              </w:rPr>
              <w:t>European Council, as the CEDU’s permanent strategic body, which would be responsible for coordinating Article 42(7) TEU responses and ensuring coherence between EU external, security and defence policies;</w:t>
            </w:r>
            <w:r>
              <w:t xml:space="preserve"> </w:t>
            </w:r>
            <w:r>
              <w:rPr>
                <w:b/>
                <w:i/>
              </w:rPr>
              <w:t>considers that participation of other European countries, in particular the strategic security and defence partners of the EU, including Ukraine,</w:t>
            </w:r>
            <w:r>
              <w:t xml:space="preserve"> should be </w:t>
            </w:r>
            <w:r>
              <w:rPr>
                <w:b/>
                <w:i/>
              </w:rPr>
              <w:t>envisaged</w:t>
            </w:r>
            <w:r>
              <w:t>;</w:t>
            </w:r>
          </w:p>
        </w:tc>
        <w:tc>
          <w:tcPr>
            <w:tcW w:w="4876" w:type="dxa"/>
            <w:tcBorders>
              <w:top w:val="nil"/>
              <w:left w:val="nil"/>
              <w:bottom w:val="nil"/>
              <w:right w:val="nil"/>
            </w:tcBorders>
          </w:tcPr>
          <w:p>
            <w:pPr>
              <w:pStyle w:val="Normal6a"/>
            </w:pPr>
            <w:r>
              <w:t>20.</w:t>
            </w:r>
            <w:r>
              <w:tab/>
            </w:r>
            <w:r>
              <w:rPr>
                <w:b/>
                <w:i/>
              </w:rPr>
              <w:t>Notes that a potential</w:t>
            </w:r>
            <w:r>
              <w:t xml:space="preserve"> European Security Council </w:t>
            </w:r>
            <w:r>
              <w:rPr>
                <w:b/>
                <w:i/>
              </w:rPr>
              <w:t>should be</w:t>
            </w:r>
            <w:r>
              <w:t xml:space="preserve"> composed of </w:t>
            </w:r>
            <w:r>
              <w:rPr>
                <w:b/>
                <w:i/>
              </w:rPr>
              <w:t>political representatives of all</w:t>
            </w:r>
            <w:r>
              <w:t xml:space="preserve"> of the </w:t>
            </w:r>
            <w:r>
              <w:rPr>
                <w:b/>
                <w:i/>
              </w:rPr>
              <w:t>Member States and that its decisions</w:t>
            </w:r>
            <w:r>
              <w:t xml:space="preserve"> should be </w:t>
            </w:r>
            <w:r>
              <w:rPr>
                <w:b/>
                <w:i/>
              </w:rPr>
              <w:t>taken unanimously</w:t>
            </w:r>
            <w:r>
              <w:t xml:space="preserve">; </w:t>
            </w:r>
            <w:r>
              <w:rPr>
                <w:b/>
                <w:i/>
              </w:rPr>
              <w:t>recalls the need to define command structures that would potentially act under the orders of the Council;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w:t>
            </w:r>
            <w:r>
              <w:rPr>
                <w:b/>
                <w:i/>
              </w:rPr>
              <w:t>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w:t>
            </w:r>
            <w:r>
              <w:t xml:space="preserve"> defence </w:t>
            </w:r>
            <w:r>
              <w:rPr>
                <w:b/>
                <w:i/>
              </w:rPr>
              <w:t>policies;</w:t>
            </w:r>
            <w:r>
              <w:t xml:space="preserve"> </w:t>
            </w:r>
            <w:r>
              <w:rPr>
                <w:b/>
                <w:i/>
              </w:rPr>
              <w:t>considers that participation of other European countries, in particular the strategic security and defence partners of the EU, including Ukraine, should be envisaged</w:t>
            </w:r>
            <w:r>
              <w:t>;</w:t>
            </w:r>
          </w:p>
        </w:tc>
        <w:tc>
          <w:tcPr>
            <w:tcW w:w="4876" w:type="dxa"/>
            <w:tcBorders>
              <w:top w:val="nil"/>
              <w:left w:val="nil"/>
              <w:bottom w:val="nil"/>
              <w:right w:val="nil"/>
            </w:tcBorders>
          </w:tcPr>
          <w:p>
            <w:pPr>
              <w:pStyle w:val="Normal6a"/>
            </w:pPr>
            <w:r>
              <w:t>20.</w:t>
            </w:r>
            <w:r>
              <w:tab/>
            </w:r>
            <w:r>
              <w:t xml:space="preserve">Calls for </w:t>
            </w:r>
            <w:r>
              <w:rPr>
                <w:b/>
                <w:i/>
              </w:rPr>
              <w:t>closer cooperation among Member States on</w:t>
            </w:r>
            <w:r>
              <w:t xml:space="preserve"> defence </w:t>
            </w:r>
            <w:r>
              <w:rPr>
                <w:b/>
                <w:i/>
              </w:rPr>
              <w:t>through existing structures and intergovernmental mechanisms to prevent new supranational structures being set up that duplicate national competences or structures that already exist in NATO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w:t>
            </w:r>
            <w:r>
              <w:rPr>
                <w:b/>
                <w:i/>
              </w:rPr>
              <w:t>welcomes the announcement by the President of the Commission, in her State of the Union address of 16 September 2026, that the Commission will set out ideas to make a European Security Council a reality;</w:t>
            </w:r>
            <w:r>
              <w:t xml:space="preserve"> considers that participation of other European countries, in particular the strategic security and defence partners of the EU, including Ukraine,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the establishment of</w:t>
            </w:r>
            <w:r>
              <w:t xml:space="preserve">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w:t>
            </w:r>
            <w:r>
              <w:rPr>
                <w:b/>
                <w:i/>
              </w:rPr>
              <w:t>countries</w:t>
            </w:r>
            <w:r>
              <w:t>,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rPr>
                <w:b/>
                <w:i/>
              </w:rPr>
              <w:t>Strongly welcomes the Commission President’s proposal to establish</w:t>
            </w:r>
            <w:r>
              <w:t xml:space="preserve"> a European Security Council</w:t>
            </w:r>
            <w:r>
              <w:rPr>
                <w:b/>
                <w:i/>
              </w:rPr>
              <w:t>; </w:t>
            </w:r>
            <w:r>
              <w:rPr>
                <w:b/>
                <w:i/>
              </w:rPr>
              <w:t>is of the view that this Council should be</w:t>
            </w:r>
            <w:r>
              <w:t xml:space="preserve">,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w:t>
            </w:r>
            <w:r>
              <w:rPr>
                <w:b/>
                <w:i/>
              </w:rPr>
              <w:t>or like-minded partners</w:t>
            </w:r>
            <w:r>
              <w:t>, in particular the strategic security and defence partners of the EU, including Ukraine,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 </w:t>
            </w:r>
            <w:r>
              <w:rPr>
                <w:b/>
                <w:i/>
              </w:rPr>
              <w:t>points out, meanwhile, that a European Security Council must not lead to any duplication of the structures currently provided by NATO;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w:t>
            </w:r>
            <w:r>
              <w:rPr>
                <w:b/>
                <w:i/>
              </w:rPr>
              <w:t>and like-minded countries of the EU’s neighbourhood willing to contribute to peace and security in Europe in general, and the objectives of CEDU in particular,</w:t>
            </w:r>
            <w:r>
              <w:t xml:space="preserv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 </w:t>
            </w:r>
            <w:r>
              <w:rPr>
                <w:b/>
                <w:i/>
              </w:rPr>
              <w:t>underlines that the Security Council should focus on strategic steering and political decisions and not duplicate the work of existing Council formations;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the establishment of a European Security Council, composed </w:t>
            </w:r>
            <w:r>
              <w:rPr>
                <w:b/>
                <w:i/>
              </w:rPr>
              <w:t>of Heads of State or Government and chaired by the President of the</w:t>
            </w:r>
            <w:r>
              <w:t xml:space="preserve"> European </w:t>
            </w:r>
            <w:r>
              <w:rPr>
                <w:b/>
                <w:i/>
              </w:rPr>
              <w:t>Council</w:t>
            </w:r>
            <w:r>
              <w:t>,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w:t>
            </w:r>
            <w:r>
              <w:rPr>
                <w:b/>
                <w:i/>
              </w:rPr>
              <w:t>by EU Member States and other</w:t>
            </w:r>
            <w:r>
              <w:t xml:space="preserve"> European </w:t>
            </w:r>
            <w:r>
              <w:rPr>
                <w:b/>
                <w:i/>
              </w:rPr>
              <w:t>partners willing to work under Qualified Majority Voting, with the participation of the VP/HR, who should prepare its work and ensure the implementation of its decisions</w:t>
            </w:r>
            <w:r>
              <w:t>,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w:t>
            </w:r>
            <w:r>
              <w:rPr>
                <w:b/>
                <w:i/>
              </w:rPr>
              <w:t>the establishment of a European Security Council, composed</w:t>
            </w:r>
            <w:r>
              <w:t xml:space="preserve"> of Heads of State or Government </w:t>
            </w:r>
            <w:r>
              <w:rPr>
                <w:b/>
                <w:i/>
              </w:rPr>
              <w:t>and chaired by the President of</w:t>
            </w:r>
            <w:r>
              <w:t xml:space="preserve"> the European Council, </w:t>
            </w:r>
            <w:r>
              <w:rPr>
                <w:b/>
                <w:i/>
              </w:rPr>
              <w:t>as the CEDU’s permanent strategic body, which would be responsible for coordinating</w:t>
            </w:r>
            <w:r>
              <w:t xml:space="preserve"> Article 42(7) TEU responses and </w:t>
            </w:r>
            <w:r>
              <w:rPr>
                <w:b/>
                <w:i/>
              </w:rPr>
              <w:t>ensuring</w:t>
            </w:r>
            <w:r>
              <w:t xml:space="preserve"> coherence between EU external, security and defence policies; considers that </w:t>
            </w:r>
            <w:r>
              <w:rPr>
                <w:b/>
                <w:i/>
              </w:rPr>
              <w:t>participation of other</w:t>
            </w:r>
            <w:r>
              <w:t xml:space="preserve"> European countries, in particular the strategic security and defence partners of the EU, </w:t>
            </w:r>
            <w:r>
              <w:rPr>
                <w:b/>
                <w:i/>
              </w:rPr>
              <w:t>including Ukraine, should</w:t>
            </w:r>
            <w:r>
              <w:t xml:space="preserve"> be envisaged;</w:t>
            </w:r>
          </w:p>
        </w:tc>
        <w:tc>
          <w:tcPr>
            <w:tcW w:w="4876" w:type="dxa"/>
            <w:tcBorders>
              <w:top w:val="nil"/>
              <w:left w:val="nil"/>
              <w:bottom w:val="nil"/>
              <w:right w:val="nil"/>
            </w:tcBorders>
          </w:tcPr>
          <w:p>
            <w:pPr>
              <w:pStyle w:val="Normal6a"/>
            </w:pPr>
            <w:r>
              <w:t>20.</w:t>
            </w:r>
            <w:r>
              <w:tab/>
            </w:r>
            <w:r>
              <w:t xml:space="preserve">Calls for </w:t>
            </w:r>
            <w:r>
              <w:rPr>
                <w:b/>
                <w:i/>
              </w:rPr>
              <w:t>enhanced coordination among Member States at the level</w:t>
            </w:r>
            <w:r>
              <w:t xml:space="preserve"> of Heads of State or Government</w:t>
            </w:r>
            <w:r>
              <w:rPr>
                <w:b/>
                <w:i/>
              </w:rPr>
              <w:t>, within</w:t>
            </w:r>
            <w:r>
              <w:t xml:space="preserve"> the European Council, </w:t>
            </w:r>
            <w:r>
              <w:rPr>
                <w:b/>
                <w:i/>
              </w:rPr>
              <w:t>to strengthen coordination of</w:t>
            </w:r>
            <w:r>
              <w:t xml:space="preserve"> Article 42(7) TEU responses and coherence between EU external, security and defence policies; considers that </w:t>
            </w:r>
            <w:r>
              <w:rPr>
                <w:b/>
                <w:i/>
              </w:rPr>
              <w:t>cooperation with</w:t>
            </w:r>
            <w:r>
              <w:t xml:space="preserve"> European countries, in particular the strategic security and defence partners of the EU, </w:t>
            </w:r>
            <w:r>
              <w:rPr>
                <w:b/>
                <w:i/>
              </w:rPr>
              <w:t>may</w:t>
            </w:r>
            <w:r>
              <w:t xml:space="preserve"> be envisaged </w:t>
            </w:r>
            <w:r>
              <w:rPr>
                <w:b/>
                <w:i/>
              </w:rPr>
              <w:t>where appropriate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w:t>
            </w:r>
            <w:r>
              <w:rPr>
                <w:b/>
                <w:i/>
              </w:rPr>
              <w:t>, composed of Heads of State or Government and chaired by the President of the European Council,</w:t>
            </w:r>
            <w:r>
              <w:t xml:space="preserve">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Calls for the establishment of a European Security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w:t>
            </w:r>
            <w:r>
              <w:t xml:space="preserve"> the establishment of a European Security Council</w:t>
            </w:r>
            <w:r>
              <w:rPr>
                <w:b/>
                <w:i/>
              </w:rPr>
              <w:t>, composed of Heads of State or Government and chaired by the President of the European Council, as the CEDU’s</w:t>
            </w:r>
            <w:r>
              <w:t xml:space="preserve"> permanent strategic body</w:t>
            </w:r>
            <w:r>
              <w:rPr>
                <w:b/>
                <w:i/>
              </w:rPr>
              <w:t>, which would be responsible for coordinating Article 42(7) TEU responses and ensuring coherence between EU external, security and</w:t>
            </w:r>
            <w:r>
              <w:t xml:space="preserve"> defence </w:t>
            </w:r>
            <w:r>
              <w:rPr>
                <w:b/>
                <w:i/>
              </w:rPr>
              <w:t>policies</w:t>
            </w:r>
            <w:r>
              <w:t xml:space="preserve">; considers that </w:t>
            </w:r>
            <w:r>
              <w:rPr>
                <w:b/>
                <w:i/>
              </w:rPr>
              <w:t>participation of other European countries, in particular the strategic security and defence</w:t>
            </w:r>
            <w:r>
              <w:t xml:space="preserve"> partners </w:t>
            </w:r>
            <w:r>
              <w:rPr>
                <w:b/>
                <w:i/>
              </w:rPr>
              <w:t>of the EU</w:t>
            </w:r>
            <w:r>
              <w:t>, including Ukraine</w:t>
            </w:r>
            <w:r>
              <w:rPr>
                <w:b/>
                <w:i/>
              </w:rPr>
              <w:t>, should be envisaged</w:t>
            </w:r>
            <w:r>
              <w:t>;</w:t>
            </w:r>
          </w:p>
        </w:tc>
        <w:tc>
          <w:tcPr>
            <w:tcW w:w="4876" w:type="dxa"/>
            <w:tcBorders>
              <w:top w:val="nil"/>
              <w:left w:val="nil"/>
              <w:bottom w:val="nil"/>
              <w:right w:val="nil"/>
            </w:tcBorders>
          </w:tcPr>
          <w:p>
            <w:pPr>
              <w:pStyle w:val="Normal6a"/>
            </w:pPr>
            <w:r>
              <w:t>20.</w:t>
            </w:r>
            <w:r>
              <w:tab/>
            </w:r>
            <w:r>
              <w:rPr>
                <w:b/>
                <w:i/>
              </w:rPr>
              <w:t>Rejects</w:t>
            </w:r>
            <w:r>
              <w:t xml:space="preserve"> the establishment of a European Security Council </w:t>
            </w:r>
            <w:r>
              <w:rPr>
                <w:b/>
                <w:i/>
              </w:rPr>
              <w:t>as a</w:t>
            </w:r>
            <w:r>
              <w:t xml:space="preserve"> permanent strategic body </w:t>
            </w:r>
            <w:r>
              <w:rPr>
                <w:b/>
                <w:i/>
              </w:rPr>
              <w:t>of a</w:t>
            </w:r>
            <w:r>
              <w:t xml:space="preserve"> Defence </w:t>
            </w:r>
            <w:r>
              <w:rPr>
                <w:b/>
                <w:i/>
              </w:rPr>
              <w:t>Union; notes that the European Council and the Council already exist and that NATO already provides the forum for collective defence</w:t>
            </w:r>
            <w:r>
              <w:t xml:space="preserve">; considers that </w:t>
            </w:r>
            <w:r>
              <w:rPr>
                <w:b/>
                <w:i/>
              </w:rPr>
              <w:t>consultation with</w:t>
            </w:r>
            <w:r>
              <w:t xml:space="preserve"> partners, including Ukraine </w:t>
            </w:r>
            <w:r>
              <w:rPr>
                <w:b/>
                <w:i/>
              </w:rPr>
              <w:t>and the United Kingdom, is useful but cannot confer decision-making rights in EU defence bodies or substitute for NATO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w:t>
            </w:r>
            <w:r>
              <w:t xml:space="preserve"> the establishment of a European Security Council</w:t>
            </w:r>
            <w:r>
              <w:rPr>
                <w:b/>
                <w:i/>
              </w:rPr>
              <w:t>, composed of Heads of State or Government and chaired by the President of</w:t>
            </w:r>
            <w:r>
              <w:t xml:space="preserve"> the European Council</w:t>
            </w:r>
            <w:r>
              <w:rPr>
                <w:b/>
                <w:i/>
              </w:rPr>
              <w:t>, as the CEDU’s permanent strategic body, which would be responsible for coordinating Article 42(7) TEU responses and ensuring coherence between EU external, security and defence policies</w:t>
            </w:r>
            <w:r>
              <w:t xml:space="preserve">; considers that </w:t>
            </w:r>
            <w:r>
              <w:rPr>
                <w:b/>
                <w:i/>
              </w:rPr>
              <w:t>participation of other</w:t>
            </w:r>
            <w:r>
              <w:t xml:space="preserve"> European countries, in particular the </w:t>
            </w:r>
            <w:r>
              <w:rPr>
                <w:b/>
                <w:i/>
              </w:rPr>
              <w:t>strategic</w:t>
            </w:r>
            <w:r>
              <w:t xml:space="preserve"> security and defence </w:t>
            </w:r>
            <w:r>
              <w:rPr>
                <w:b/>
                <w:i/>
              </w:rPr>
              <w:t>partners</w:t>
            </w:r>
            <w:r>
              <w:t xml:space="preserve"> of the </w:t>
            </w:r>
            <w:r>
              <w:rPr>
                <w:b/>
                <w:i/>
              </w:rPr>
              <w:t>EU, including Ukraine, should be envisaged</w:t>
            </w:r>
            <w:r>
              <w:t>;</w:t>
            </w:r>
          </w:p>
        </w:tc>
        <w:tc>
          <w:tcPr>
            <w:tcW w:w="4876" w:type="dxa"/>
            <w:tcBorders>
              <w:top w:val="nil"/>
              <w:left w:val="nil"/>
              <w:bottom w:val="nil"/>
              <w:right w:val="nil"/>
            </w:tcBorders>
          </w:tcPr>
          <w:p>
            <w:pPr>
              <w:pStyle w:val="Normal6a"/>
            </w:pPr>
            <w:r>
              <w:t>20.</w:t>
            </w:r>
            <w:r>
              <w:tab/>
            </w:r>
            <w:r>
              <w:rPr>
                <w:b/>
                <w:i/>
              </w:rPr>
              <w:t>Opposes</w:t>
            </w:r>
            <w:r>
              <w:t xml:space="preserve"> the establishment of a European Security Council </w:t>
            </w:r>
            <w:r>
              <w:rPr>
                <w:b/>
                <w:i/>
              </w:rPr>
              <w:t>as an additional permanent body, which would duplicate</w:t>
            </w:r>
            <w:r>
              <w:t xml:space="preserve"> the European Council </w:t>
            </w:r>
            <w:r>
              <w:rPr>
                <w:b/>
                <w:i/>
              </w:rPr>
              <w:t>and existing NATO structures</w:t>
            </w:r>
            <w:r>
              <w:t xml:space="preserve">; considers that </w:t>
            </w:r>
            <w:r>
              <w:rPr>
                <w:b/>
                <w:i/>
              </w:rPr>
              <w:t>strategic coordination should take place in flexible intergovernmental formats among those Member States that make substantial contributions to</w:t>
            </w:r>
            <w:r>
              <w:t xml:space="preserve"> European </w:t>
            </w:r>
            <w:r>
              <w:rPr>
                <w:b/>
                <w:i/>
              </w:rPr>
              <w:t>defence, with decisions adopted unanimously by the participants; stresses that third</w:t>
            </w:r>
            <w:r>
              <w:t xml:space="preserve"> countries, in particular </w:t>
            </w:r>
            <w:r>
              <w:rPr>
                <w:b/>
                <w:i/>
              </w:rPr>
              <w:t>states engaged in an ongoing armed conflict, must not take part in decision-making on</w:t>
            </w:r>
            <w:r>
              <w:t xml:space="preserve"> the security and defence of the </w:t>
            </w:r>
            <w:r>
              <w:rPr>
                <w:b/>
                <w:i/>
              </w:rPr>
              <w:t>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w:t>
            </w:r>
            <w:r>
              <w:rPr>
                <w:b/>
                <w:i/>
              </w:rPr>
              <w:t>the establishment of a European Security Council, composed of Heads of State or Government and chaired by the President</w:t>
            </w:r>
            <w:r>
              <w:t xml:space="preserve"> of the </w:t>
            </w:r>
            <w:r>
              <w:rPr>
                <w:b/>
                <w:i/>
              </w:rPr>
              <w:t>European Council, as the CEDU’s permanent strategic body, which would be responsible for coordinating Article 42(7) TEU responses and ensuring coherence between EU external,</w:t>
            </w:r>
            <w:r>
              <w:t xml:space="preserve"> security and defence </w:t>
            </w:r>
            <w:r>
              <w:rPr>
                <w:b/>
                <w:i/>
              </w:rPr>
              <w:t>policies</w:t>
            </w:r>
            <w:r>
              <w:t xml:space="preserve">; considers that participation of </w:t>
            </w:r>
            <w:r>
              <w:rPr>
                <w:b/>
                <w:i/>
              </w:rPr>
              <w:t>other European</w:t>
            </w:r>
            <w:r>
              <w:t xml:space="preserve"> countries</w:t>
            </w:r>
            <w:r>
              <w:rPr>
                <w:b/>
                <w:i/>
              </w:rPr>
              <w:t>, in particular the strategic security and defence partners of the EU, including Ukraine, should be envisaged</w:t>
            </w:r>
            <w:r>
              <w:t>;</w:t>
            </w:r>
          </w:p>
        </w:tc>
        <w:tc>
          <w:tcPr>
            <w:tcW w:w="4876" w:type="dxa"/>
            <w:tcBorders>
              <w:top w:val="nil"/>
              <w:left w:val="nil"/>
              <w:bottom w:val="nil"/>
              <w:right w:val="nil"/>
            </w:tcBorders>
          </w:tcPr>
          <w:p>
            <w:pPr>
              <w:pStyle w:val="Normal6a"/>
            </w:pPr>
            <w:r>
              <w:t>20.</w:t>
            </w:r>
            <w:r>
              <w:tab/>
            </w:r>
            <w:r>
              <w:t xml:space="preserve">Calls for </w:t>
            </w:r>
            <w:r>
              <w:rPr>
                <w:b/>
                <w:i/>
              </w:rPr>
              <w:t>a strengthening</w:t>
            </w:r>
            <w:r>
              <w:t xml:space="preserve"> of the </w:t>
            </w:r>
            <w:r>
              <w:rPr>
                <w:b/>
                <w:i/>
              </w:rPr>
              <w:t>existing institutional framework for EU</w:t>
            </w:r>
            <w:r>
              <w:t xml:space="preserve"> security and defence</w:t>
            </w:r>
            <w:r>
              <w:rPr>
                <w:b/>
                <w:i/>
              </w:rPr>
              <w:t>, rather than the creation of parallel structures; stresses that any new institutional body with autonomous decision-making powers would require Treaty change under Article 48 TEU, while any informal coordination format must not bypass existing institutions, the community method, or European Parliament scrutiny</w:t>
            </w:r>
            <w:r>
              <w:t xml:space="preserve">; considers that </w:t>
            </w:r>
            <w:r>
              <w:rPr>
                <w:b/>
                <w:i/>
              </w:rPr>
              <w:t>any</w:t>
            </w:r>
            <w:r>
              <w:t xml:space="preserve"> participation of </w:t>
            </w:r>
            <w:r>
              <w:rPr>
                <w:b/>
                <w:i/>
              </w:rPr>
              <w:t>third</w:t>
            </w:r>
            <w:r>
              <w:t xml:space="preserve"> countries </w:t>
            </w:r>
            <w:r>
              <w:rPr>
                <w:b/>
                <w:i/>
              </w:rPr>
              <w:t>must be based on formal agreements and must not grant decision-making rights in EU institutional matters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should be envisaged;</w:t>
            </w:r>
          </w:p>
        </w:tc>
        <w:tc>
          <w:tcPr>
            <w:tcW w:w="4876" w:type="dxa"/>
            <w:tcBorders>
              <w:top w:val="nil"/>
              <w:left w:val="nil"/>
              <w:bottom w:val="nil"/>
              <w:right w:val="nil"/>
            </w:tcBorders>
          </w:tcPr>
          <w:p>
            <w:pPr>
              <w:pStyle w:val="Normal6a"/>
            </w:pPr>
            <w:r>
              <w:t>20.</w:t>
            </w:r>
            <w:r>
              <w:tab/>
            </w:r>
            <w:r>
              <w:t xml:space="preserve">Calls for the establishment of a European Security Council, composed of Heads of State or Government and chaired by the President of the European Council, as the CEDU’s permanent strategic body, which would be responsible for coordinating Article 42(7) TEU responses and ensuring coherence between EU external, security and defence policies; considers that participation of other European countries, in particular the strategic security and defence partners of the EU, including Ukraine </w:t>
            </w:r>
            <w:r>
              <w:rPr>
                <w:b/>
                <w:i/>
              </w:rPr>
              <w:t>and the United Kingdom</w:t>
            </w:r>
            <w:r>
              <w:t>, should be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the establishment of a European Security Council, composed of Heads of State or Government and chaired by the President</w:t>
            </w:r>
            <w:r>
              <w:t xml:space="preserve"> of the European Council</w:t>
            </w:r>
            <w:r>
              <w:rPr>
                <w:b/>
                <w:i/>
              </w:rPr>
              <w:t>, as the CEDU’s permanent</w:t>
            </w:r>
            <w:r>
              <w:t xml:space="preserve"> strategic </w:t>
            </w:r>
            <w:r>
              <w:rPr>
                <w:b/>
                <w:i/>
              </w:rPr>
              <w:t>body, which would be responsible for coordinating Article 42(7) TEU responses and ensuring coherence between EU external,</w:t>
            </w:r>
            <w:r>
              <w:t xml:space="preserve"> security and defence </w:t>
            </w:r>
            <w:r>
              <w:rPr>
                <w:b/>
                <w:i/>
              </w:rPr>
              <w:t>policies; considers that participation of other</w:t>
            </w:r>
            <w:r>
              <w:t xml:space="preserve"> European </w:t>
            </w:r>
            <w:r>
              <w:rPr>
                <w:b/>
                <w:i/>
              </w:rPr>
              <w:t>countries, in particular the strategic</w:t>
            </w:r>
            <w:r>
              <w:t xml:space="preserve"> security and defence </w:t>
            </w:r>
            <w:r>
              <w:rPr>
                <w:b/>
                <w:i/>
              </w:rPr>
              <w:t>partners of the EU, including Ukraine, should be envisaged</w:t>
            </w:r>
            <w:r>
              <w:t>;</w:t>
            </w:r>
          </w:p>
        </w:tc>
        <w:tc>
          <w:tcPr>
            <w:tcW w:w="4876" w:type="dxa"/>
            <w:tcBorders>
              <w:top w:val="nil"/>
              <w:left w:val="nil"/>
              <w:bottom w:val="nil"/>
              <w:right w:val="nil"/>
            </w:tcBorders>
          </w:tcPr>
          <w:p>
            <w:pPr>
              <w:pStyle w:val="Normal6a"/>
            </w:pPr>
            <w:r>
              <w:t>20.</w:t>
            </w:r>
            <w:r>
              <w:tab/>
            </w:r>
            <w:r>
              <w:rPr>
                <w:b/>
                <w:i/>
              </w:rPr>
              <w:t>Recalls the central role</w:t>
            </w:r>
            <w:r>
              <w:t xml:space="preserve"> of the European Council </w:t>
            </w:r>
            <w:r>
              <w:rPr>
                <w:b/>
                <w:i/>
              </w:rPr>
              <w:t>in providing the Union with</w:t>
            </w:r>
            <w:r>
              <w:t xml:space="preserve"> strategic </w:t>
            </w:r>
            <w:r>
              <w:rPr>
                <w:b/>
                <w:i/>
              </w:rPr>
              <w:t>direction in</w:t>
            </w:r>
            <w:r>
              <w:t xml:space="preserve"> security and defence </w:t>
            </w:r>
            <w:r>
              <w:rPr>
                <w:b/>
                <w:i/>
              </w:rPr>
              <w:t>matters and calls for better use of existing Treaty-based structures to strengthen coordination between Member States, improve coherence in</w:t>
            </w:r>
            <w:r>
              <w:t xml:space="preserve"> European security and defence </w:t>
            </w:r>
            <w:r>
              <w:rPr>
                <w:b/>
                <w:i/>
              </w:rPr>
              <w:t>policy and ensure effective coordination with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w:t>
            </w:r>
            <w:r>
              <w:rPr>
                <w:b/>
                <w:i/>
              </w:rPr>
              <w:t>the establishment of a European Security Council, composed of</w:t>
            </w:r>
            <w:r>
              <w:t xml:space="preserve"> Heads of State or Government </w:t>
            </w:r>
            <w:r>
              <w:rPr>
                <w:b/>
                <w:i/>
              </w:rPr>
              <w:t>and chaired by the President of</w:t>
            </w:r>
            <w:r>
              <w:t xml:space="preserve"> the European Council</w:t>
            </w:r>
            <w:r>
              <w:rPr>
                <w:b/>
                <w:i/>
              </w:rPr>
              <w:t>, as the CEDU’s permanent strategic body, which would be responsible for coordinating Article 42(7) TEU responses and ensuring coherence between EU external, security and defence policies</w:t>
            </w:r>
            <w:r>
              <w:t xml:space="preserve">; considers that </w:t>
            </w:r>
            <w:r>
              <w:rPr>
                <w:b/>
                <w:i/>
              </w:rPr>
              <w:t>participation of other</w:t>
            </w:r>
            <w:r>
              <w:t xml:space="preserve"> European </w:t>
            </w:r>
            <w:r>
              <w:rPr>
                <w:b/>
                <w:i/>
              </w:rPr>
              <w:t>countries, in particular the strategic</w:t>
            </w:r>
            <w:r>
              <w:t xml:space="preserve"> security </w:t>
            </w:r>
            <w:r>
              <w:rPr>
                <w:b/>
                <w:i/>
              </w:rPr>
              <w:t>and</w:t>
            </w:r>
            <w:r>
              <w:t xml:space="preserve"> defence </w:t>
            </w:r>
            <w:r>
              <w:rPr>
                <w:b/>
                <w:i/>
              </w:rPr>
              <w:t>partners of the EU, including Ukraine, should be envisaged</w:t>
            </w:r>
            <w:r>
              <w:t>;</w:t>
            </w:r>
          </w:p>
        </w:tc>
        <w:tc>
          <w:tcPr>
            <w:tcW w:w="4876" w:type="dxa"/>
            <w:tcBorders>
              <w:top w:val="nil"/>
              <w:left w:val="nil"/>
              <w:bottom w:val="nil"/>
              <w:right w:val="nil"/>
            </w:tcBorders>
          </w:tcPr>
          <w:p>
            <w:pPr>
              <w:pStyle w:val="Normal6a"/>
            </w:pPr>
            <w:r>
              <w:t>20.</w:t>
            </w:r>
            <w:r>
              <w:tab/>
            </w:r>
            <w:r>
              <w:t xml:space="preserve">Calls for </w:t>
            </w:r>
            <w:r>
              <w:rPr>
                <w:b/>
                <w:i/>
              </w:rPr>
              <w:t>closer strategic consultation among</w:t>
            </w:r>
            <w:r>
              <w:t xml:space="preserve"> Heads of State or Government </w:t>
            </w:r>
            <w:r>
              <w:rPr>
                <w:b/>
                <w:i/>
              </w:rPr>
              <w:t>through</w:t>
            </w:r>
            <w:r>
              <w:t xml:space="preserve"> the European Council </w:t>
            </w:r>
            <w:r>
              <w:rPr>
                <w:b/>
                <w:i/>
              </w:rPr>
              <w:t>and existing intergovernmental formats; considers that cooperation with relevant European partners should be strengthened through appropriate arrangements</w:t>
            </w:r>
            <w:r>
              <w:t xml:space="preserve">; considers that </w:t>
            </w:r>
            <w:r>
              <w:rPr>
                <w:b/>
                <w:i/>
              </w:rPr>
              <w:t>any proposal for a new</w:t>
            </w:r>
            <w:r>
              <w:t xml:space="preserve"> European Security </w:t>
            </w:r>
            <w:r>
              <w:rPr>
                <w:b/>
                <w:i/>
              </w:rPr>
              <w:t>Council should first demonstrate a clear operational need, an appropriate legal basis and added value over existing EU and NATO structures, without transferring national</w:t>
            </w:r>
            <w:r>
              <w:t xml:space="preserve"> defence </w:t>
            </w:r>
            <w:r>
              <w:rPr>
                <w:b/>
                <w:i/>
              </w:rPr>
              <w:t>competences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the establishment of a</w:t>
            </w:r>
            <w:r>
              <w:t xml:space="preserve"> European Security Council</w:t>
            </w:r>
            <w:r>
              <w:rPr>
                <w:b/>
                <w:i/>
              </w:rPr>
              <w:t>, composed of Heads of State or Government and chaired by the President of the European Council, as the CEDU’s permanent strategic body, which would be responsible for coordinating</w:t>
            </w:r>
            <w:r>
              <w:t xml:space="preserve"> Article 42(7) TEU </w:t>
            </w:r>
            <w:r>
              <w:rPr>
                <w:b/>
                <w:i/>
              </w:rPr>
              <w:t>responses and ensuring coherence between EU external, security and defence policies</w:t>
            </w:r>
            <w:r>
              <w:t xml:space="preserve">; considers that </w:t>
            </w:r>
            <w:r>
              <w:rPr>
                <w:b/>
                <w:i/>
              </w:rPr>
              <w:t>participation of other European countries, in particular the</w:t>
            </w:r>
            <w:r>
              <w:t xml:space="preserve"> strategic security </w:t>
            </w:r>
            <w:r>
              <w:rPr>
                <w:b/>
                <w:i/>
              </w:rPr>
              <w:t>and defence</w:t>
            </w:r>
            <w:r>
              <w:t xml:space="preserve"> partners </w:t>
            </w:r>
            <w:r>
              <w:rPr>
                <w:b/>
                <w:i/>
              </w:rPr>
              <w:t>of the EU, including Ukraine,</w:t>
            </w:r>
            <w:r>
              <w:t xml:space="preserve"> should be </w:t>
            </w:r>
            <w:r>
              <w:rPr>
                <w:b/>
                <w:i/>
              </w:rPr>
              <w:t>envisaged</w:t>
            </w:r>
            <w:r>
              <w:t>;</w:t>
            </w:r>
          </w:p>
        </w:tc>
        <w:tc>
          <w:tcPr>
            <w:tcW w:w="4876" w:type="dxa"/>
            <w:tcBorders>
              <w:top w:val="nil"/>
              <w:left w:val="nil"/>
              <w:bottom w:val="nil"/>
              <w:right w:val="nil"/>
            </w:tcBorders>
          </w:tcPr>
          <w:p>
            <w:pPr>
              <w:pStyle w:val="Normal6a"/>
            </w:pPr>
            <w:r>
              <w:t>20.</w:t>
            </w:r>
            <w:r>
              <w:tab/>
            </w:r>
            <w:r>
              <w:rPr>
                <w:b/>
                <w:i/>
              </w:rPr>
              <w:t>Reaffirms that the European Council remains the highest intergovernmental forum for defining the Union’s strategic interests and objectives and firmly rejects the creation of a separate</w:t>
            </w:r>
            <w:r>
              <w:t xml:space="preserve"> European Security Council</w:t>
            </w:r>
            <w:r>
              <w:rPr>
                <w:b/>
                <w:i/>
              </w:rPr>
              <w:t>; underlines that any coordination of responses under</w:t>
            </w:r>
            <w:r>
              <w:t xml:space="preserve"> Article 42(7) TEU </w:t>
            </w:r>
            <w:r>
              <w:rPr>
                <w:b/>
                <w:i/>
              </w:rPr>
              <w:t>must be conducted through existing intergovernmental formats and in full accordance with NATO planning</w:t>
            </w:r>
            <w:r>
              <w:t xml:space="preserve">; considers that </w:t>
            </w:r>
            <w:r>
              <w:rPr>
                <w:b/>
                <w:i/>
              </w:rPr>
              <w:t>closer</w:t>
            </w:r>
            <w:r>
              <w:t xml:space="preserve"> strategic </w:t>
            </w:r>
            <w:r>
              <w:rPr>
                <w:b/>
                <w:i/>
              </w:rPr>
              <w:t>dialogue with key European</w:t>
            </w:r>
            <w:r>
              <w:t xml:space="preserve"> security partners should be </w:t>
            </w:r>
            <w:r>
              <w:rPr>
                <w:b/>
                <w:i/>
              </w:rPr>
              <w:t>pursued within established frameworks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Proposes the creation of a European Strategic Enabler Unit (ESEU), building on the model of rescEU, with its equipment fully financed and legally owned by the CEDU, while the ESEU retains authority over tasking and can station assets across the territory of the CEDU's Member States, which would not be able to unilaterally withdraw a capability once committed; underlines that Member States would continue to operate the relevant assets with their own personnel, with operational execution remaining in the hands of the Member States; further proposes that the ESEU should be made up of various sub-units filling the various critical gaps in strategic enablers outlined below; notes that comparable and effective multinational arrangements already exist, including the Multinational Multi-Role Tanker Transport Fleet and the European Air Transport Command, as well as NATO’s Airborne Early Warning and Control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Considers that the European Security Council should be supported by a permanent strategic analysis and crisis management capability able to compile intelligence assessments, identify emerging threats and develop options for rapid political action;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Calls on the European Council to provide regular strategic guidance on European defence and on the implementation of the Union's mutual assistance mechanisms, while allowing close consultation with relevant partners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Calls for the adoption, at the start of each Commission mandate, of a regular European Security Strategy setting out clear threat perceptions, regional and thematic prioritisation, and quantifiable targets and timelines;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Considers that the EU’s own navigation, earth observation and communications satellite constellations, namely Galileo, Copernicus and IRIS², constitute a further, EU-owned asset base on which the ESEU should be able to draw;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Recalls the calls made in the resolution of 21 January 2026 on the implementation of the Common Security and Defence Policy for new ways for the EU and its Member States to acquire joint assets to support military use, including strategic enablers, on the understanding that the ‘military or defence implications’ referred to in Article 41(2) TEU arise from the use of assets for military purposes and not from their mere ownership or maintenance; considers, on this basis, that the ownership and maintenance of strategic enablers by CEDU-level structures should not, by itself, be considered to trigger the prohibition in Article 41(2) TEU; calls on the Commission and the VP/HR to bring forward a joint legal opinion or Council conclusions formally confirming this interpretation before substantial assets are committed on the basis of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Considers, on this basis, that the following strategic enablers should take priority for CEDU-level ownership or joint procurement: layered air and missile defence, including upper-tier exo-atmospheric interceptors and sensors; deep precision strike; air-to-air refuelling and strategic airlift; suppression of enemy air defences; rail, road, air and sea logistics and transport in support of military mobility; space infrastructure, including secure satellite communications, earth observation and precision navigation and timing, and their protection; electromagnetic spectrum operations; cyber capabilities; artificial intelligence; counter-unmanned aerial systems; and intelligence, surveillance, target acquisition and reconnaissance and intelligence fusion, in coordination with the EMIC;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Rapid Reaction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Building on the Eurocorps structure and its cooperation with the MPCC, proposes the establishment of a European Rapid Reaction Force (ERRF) as a standing, multinational force package built from national and multinational contributions committed by Member States on a rotational basis; considers that each contributing Member State should retain command of its own contingent for national administrative, disciplinary and force-generation purposes, while operational command of the assembled force is assigned, for the duration of each rotation, to a European three-star general serving as ERRF Force Commander, integrated into and subordinate to the EMHQ; proposes that the ERRF build directly on, and absorb, the Union's existing Rapid Deployment Capacity and over time, do the same for multinational Member State contributions; proposes that Member States commit forces to the ERRF roster on a standing, rotational basis, so that a fully constituted, high-readiness force package is available to the EMHQ commander at all times; considers that the ERRF should operate standardised equipment and doctrine, and have elements exercised regularly, and where appropriate pre-positioned, in the Eastern Flank and other potential flare-up regions, so that readiness and interoperability is genuine rather than declaratory; underlines that the rotation, size and composition of each Member State's contribution, while fulfilling commonly agreed force structure targets, ultimately remains a national decision subject to national parliamentary oversight, exercised in agreement with the EMHQ and subject to the cascade of decision-making thresholds set out above;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Underlines that the establishment of the ERRF would not require Member States to abolish or subordinate their national militaries, while Member States continue to field national forces for home defence and other purposes; considers that, should a Member State wish to place additional national forces under the temporary or permanent command of the EMHQ, it may do so on the basis of a proposal to the ESC, ensuring that the division of labour and the chain of command remain clear and subject to the cascade of decision-making thresholds;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Calls for CEDU-level financing of the ERRF and the ESEU to move beyond loan-based instruments; stresses that European defence, preparedness and resilience are European public goods and must be financed accordingly at Union level; calls for a predictable multiannual financial framework for defence industrial and capability objectives, with sufficiently clear budget lines and fiscal sustainability, anti-fraud safeguards, transparency, full parliamentary scrutiny and fair access for all Member States; calls on the Commission to bring forward proposals for mutualised financing of these capabilities, whether through common debt, new dedicated own resources, or a ‘golden rule’ excluding qualifying defence investment from deficit calculations, recalling that the accumulation of national defence expenditure does not by itself contribute to a common European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Capability planning and standard setting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Stresses that the objective must be for the Member States to invest more together, more efficiently and more strategically, on the basis of common priorities and predictable multiannual planning; underlines that as part of the institutional design for a CEDU, the overlap, divergence and fragmentation between the Union's military capability-planning cycle and NATO's Defence Planning Process needs to be removed; recalls that EU’s Community and defence policy instrument can, under the right conditions, serve as critical tools to efficiently achieve capability targets, especially in relation to strategic enablers; underlines that closing this planning divergence is beneficial to member countries of both EU and NATO and does not require either organisation to share its full underlying military assessments, but requires structured mutual visibility; suggest that the new European Defence Authority should be mandated to propose binding capability targets, joint and common procurement targets and standards for defence products; proposes that the European Defence Authority is mandated to certify, before any CEDU capability-financing decision is disbursed by the EU, that the capability in question has been cross-checked against mutually agreed capability targets; suggests that the NATO-EU Capability Group needs to be reviewed and reinvigorated depending on the pathway(s) chosen, with a mandate to flag both unfunded NATO targets and capability duplication to the European Defence Authority and governance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the establishment of a permanent defence council, bringing together ministers of defence and chaired by the VP/HR, to coordinate capability planning, military readiness, common procurement, defence industrial initiatives and the implementation of CEDU decisions; </w:t>
            </w:r>
            <w:r>
              <w:rPr>
                <w:b/>
                <w:i/>
              </w:rPr>
              <w:t>stresses that such coordination should fully respect Member States’ prerogatives to determine their national defence requirements and to take final decisions on defence procurement; stresses that common procurement and defence industrial initiatives should promote cross-border industrial participation, prevent excessive market concentration and enable undertakings from all Member States to participate at appropriate levels; stresses that common procurement should be supported by adequate Union-level financial incentives;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for </w:t>
            </w:r>
            <w:r>
              <w:rPr>
                <w:b/>
                <w:i/>
              </w:rPr>
              <w:t>the establishment of a permanent defence</w:t>
            </w:r>
            <w:r>
              <w:t xml:space="preserve"> council</w:t>
            </w:r>
            <w:r>
              <w:rPr>
                <w:b/>
                <w:i/>
              </w:rPr>
              <w:t>, bringing together ministers of defence and chaired by the VP/HR, to coordinate</w:t>
            </w:r>
            <w:r>
              <w:t xml:space="preserve"> capability </w:t>
            </w:r>
            <w:r>
              <w:rPr>
                <w:b/>
                <w:i/>
              </w:rPr>
              <w:t>planning</w:t>
            </w:r>
            <w:r>
              <w:t xml:space="preserve">, military readiness, </w:t>
            </w:r>
            <w:r>
              <w:rPr>
                <w:b/>
                <w:i/>
              </w:rPr>
              <w:t>common</w:t>
            </w:r>
            <w:r>
              <w:t xml:space="preserve"> procurement</w:t>
            </w:r>
            <w:r>
              <w:rPr>
                <w:b/>
                <w:i/>
              </w:rPr>
              <w:t>,</w:t>
            </w:r>
            <w:r>
              <w:t xml:space="preserve"> defence industrial </w:t>
            </w:r>
            <w:r>
              <w:rPr>
                <w:b/>
                <w:i/>
              </w:rPr>
              <w:t>initiatives and the implementation of CEDU</w:t>
            </w:r>
            <w:r>
              <w:t xml:space="preserve"> decisions;</w:t>
            </w:r>
          </w:p>
        </w:tc>
        <w:tc>
          <w:tcPr>
            <w:tcW w:w="4876" w:type="dxa"/>
            <w:tcBorders>
              <w:top w:val="nil"/>
              <w:left w:val="nil"/>
              <w:bottom w:val="nil"/>
              <w:right w:val="nil"/>
            </w:tcBorders>
          </w:tcPr>
          <w:p>
            <w:pPr>
              <w:pStyle w:val="Normal6a"/>
            </w:pPr>
            <w:r>
              <w:t>21.</w:t>
            </w:r>
            <w:r>
              <w:tab/>
            </w:r>
            <w:r>
              <w:t xml:space="preserve">Calls for </w:t>
            </w:r>
            <w:r>
              <w:rPr>
                <w:b/>
                <w:i/>
              </w:rPr>
              <w:t>strengthening the effectiveness of the existing Foreign Affairs</w:t>
            </w:r>
            <w:r>
              <w:t xml:space="preserve"> Council </w:t>
            </w:r>
            <w:r>
              <w:rPr>
                <w:b/>
                <w:i/>
              </w:rPr>
              <w:t>in its defence-related configurations in order to improve coordination between Member States on</w:t>
            </w:r>
            <w:r>
              <w:t xml:space="preserve"> capability </w:t>
            </w:r>
            <w:r>
              <w:rPr>
                <w:b/>
                <w:i/>
              </w:rPr>
              <w:t>development</w:t>
            </w:r>
            <w:r>
              <w:t xml:space="preserve">, military readiness, </w:t>
            </w:r>
            <w:r>
              <w:rPr>
                <w:b/>
                <w:i/>
              </w:rPr>
              <w:t>defence</w:t>
            </w:r>
            <w:r>
              <w:t xml:space="preserve"> procurement </w:t>
            </w:r>
            <w:r>
              <w:rPr>
                <w:b/>
                <w:i/>
              </w:rPr>
              <w:t>and</w:t>
            </w:r>
            <w:r>
              <w:t xml:space="preserve"> defence industrial </w:t>
            </w:r>
            <w:r>
              <w:rPr>
                <w:b/>
                <w:i/>
              </w:rPr>
              <w:t>cooperation, without establishing additional permanent EU defence structures.</w:t>
            </w:r>
            <w:r>
              <w:t xml:space="preserve"> </w:t>
            </w:r>
            <w:r>
              <w:rPr>
                <w:b/>
                <w:i/>
              </w:rPr>
              <w:t>Decisions</w:t>
            </w:r>
            <w:r>
              <w:t xml:space="preserve"> </w:t>
            </w:r>
            <w:r>
              <w:rPr>
                <w:b/>
                <w:i/>
              </w:rPr>
              <w:t>concerning defence policy, military operations and capability commitments shall remain subject to Member States' sovereign</w:t>
            </w:r>
            <w:r>
              <w:t xml:space="preserve">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for </w:t>
            </w:r>
            <w:r>
              <w:rPr>
                <w:b/>
                <w:i/>
              </w:rPr>
              <w:t>the establishment of a permanent defence</w:t>
            </w:r>
            <w:r>
              <w:t xml:space="preserve"> council</w:t>
            </w:r>
            <w:r>
              <w:rPr>
                <w:b/>
                <w:i/>
              </w:rPr>
              <w:t>,</w:t>
            </w:r>
            <w:r>
              <w:t xml:space="preserve"> bringing together ministers of defence </w:t>
            </w:r>
            <w:r>
              <w:rPr>
                <w:b/>
                <w:i/>
              </w:rPr>
              <w:t>and</w:t>
            </w:r>
            <w:r>
              <w:t xml:space="preserve">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w:t>
            </w:r>
            <w:r>
              <w:rPr>
                <w:b/>
                <w:i/>
              </w:rPr>
              <w:t>a standing configuration of the</w:t>
            </w:r>
            <w:r>
              <w:t xml:space="preserve"> Council bringing together ministers of defence</w:t>
            </w:r>
            <w:r>
              <w:rPr>
                <w:b/>
                <w:i/>
              </w:rPr>
              <w:t>,</w:t>
            </w:r>
            <w:r>
              <w:t xml:space="preserve"> chaired by the VP/HR, to coordinate capability planning, military readiness, common procurement, defence industrial initiatives and the implementation of CEDU decisions; </w:t>
            </w:r>
            <w:r>
              <w:rPr>
                <w:b/>
                <w:i/>
              </w:rPr>
              <w:t>considers that this configuration should provide the ministerial follow-up to the strategic guidance of the European Security Council, supported by the Political and Security Committee and the relevant EU military bodies, with clearly defined responsibilities and reporting arrangements;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the establishment of a permanent defence council, bringing together ministers of defence and chaired by the VP/HR, to coordinate capability planning, military readiness, common procurement, defence industrial initiatives and the implementation of CEDU decisions; </w:t>
            </w:r>
            <w:r>
              <w:rPr>
                <w:b/>
                <w:i/>
              </w:rPr>
              <w:t>stresses that such a defence council must not replace, or compete with, existing NATO structures, but should rather help to strengthen the European pillar within NATO;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w:t>
            </w:r>
            <w:r>
              <w:rPr>
                <w:b/>
                <w:i/>
              </w:rPr>
              <w:t>military mobility, </w:t>
            </w:r>
            <w:r>
              <w:t>common procurement, defence industrial initiatives and the implementation of CEDU decisions;</w:t>
            </w:r>
            <w:r>
              <w:rPr>
                <w:b/>
                <w:i/>
              </w:rPr>
              <w:t> stresses that its work on military mobility should be closely coordinated with the Commission and the competent national transport, customs and infrastructure authorities, building on existing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Calls for the establishment of a permanent</w:t>
            </w:r>
            <w:r>
              <w:t xml:space="preserve"> defence </w:t>
            </w:r>
            <w:r>
              <w:rPr>
                <w:b/>
                <w:i/>
              </w:rPr>
              <w:t>council, bringing together</w:t>
            </w:r>
            <w:r>
              <w:t xml:space="preserve"> ministers </w:t>
            </w:r>
            <w:r>
              <w:rPr>
                <w:b/>
                <w:i/>
              </w:rPr>
              <w:t>of defence and chaired by the VP/HR, to coordinate</w:t>
            </w:r>
            <w:r>
              <w:t xml:space="preserve"> capability </w:t>
            </w:r>
            <w:r>
              <w:rPr>
                <w:b/>
                <w:i/>
              </w:rPr>
              <w:t>planning</w:t>
            </w:r>
            <w:r>
              <w:t xml:space="preserve">, </w:t>
            </w:r>
            <w:r>
              <w:rPr>
                <w:b/>
                <w:i/>
              </w:rPr>
              <w:t>military</w:t>
            </w:r>
            <w:r>
              <w:t xml:space="preserve"> readiness</w:t>
            </w:r>
            <w:r>
              <w:rPr>
                <w:b/>
                <w:i/>
              </w:rPr>
              <w:t>, common</w:t>
            </w:r>
            <w:r>
              <w:t xml:space="preserve"> procurement</w:t>
            </w:r>
            <w:r>
              <w:rPr>
                <w:b/>
                <w:i/>
              </w:rPr>
              <w:t>,</w:t>
            </w:r>
            <w:r>
              <w:t xml:space="preserve"> defence </w:t>
            </w:r>
            <w:r>
              <w:rPr>
                <w:b/>
                <w:i/>
              </w:rPr>
              <w:t>industrial initiatives and the implementation of CEDU decisions</w:t>
            </w:r>
            <w:r>
              <w:t>;</w:t>
            </w:r>
          </w:p>
        </w:tc>
        <w:tc>
          <w:tcPr>
            <w:tcW w:w="4876" w:type="dxa"/>
            <w:tcBorders>
              <w:top w:val="nil"/>
              <w:left w:val="nil"/>
              <w:bottom w:val="nil"/>
              <w:right w:val="nil"/>
            </w:tcBorders>
          </w:tcPr>
          <w:p>
            <w:pPr>
              <w:pStyle w:val="Normal6a"/>
            </w:pPr>
            <w:r>
              <w:t>21.</w:t>
            </w:r>
            <w:r>
              <w:tab/>
            </w:r>
            <w:r>
              <w:rPr>
                <w:b/>
                <w:i/>
              </w:rPr>
              <w:t>Supports regular meetings of Member States’</w:t>
            </w:r>
            <w:r>
              <w:t xml:space="preserve"> defence ministers </w:t>
            </w:r>
            <w:r>
              <w:rPr>
                <w:b/>
                <w:i/>
              </w:rPr>
              <w:t>within existing Council arrangements to improve</w:t>
            </w:r>
            <w:r>
              <w:t xml:space="preserve"> capability </w:t>
            </w:r>
            <w:r>
              <w:rPr>
                <w:b/>
                <w:i/>
              </w:rPr>
              <w:t>coordination</w:t>
            </w:r>
            <w:r>
              <w:t xml:space="preserve">, readiness </w:t>
            </w:r>
            <w:r>
              <w:rPr>
                <w:b/>
                <w:i/>
              </w:rPr>
              <w:t>and voluntary joint</w:t>
            </w:r>
            <w:r>
              <w:t xml:space="preserve"> procurement</w:t>
            </w:r>
            <w:r>
              <w:rPr>
                <w:b/>
                <w:i/>
              </w:rPr>
              <w:t>; stresses that these arrangements must respect national</w:t>
            </w:r>
            <w:r>
              <w:t xml:space="preserve"> defence </w:t>
            </w:r>
            <w:r>
              <w:rPr>
                <w:b/>
                <w:i/>
              </w:rPr>
              <w:t>planning and budgetary responsibilities and should not create a separate supranational authority over Member States’ armed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the establishment of a permanent defence council, bringing together ministers of defence and chaired by the VP/HR, to coordinate capability planning, military readiness, common procurement, </w:t>
            </w:r>
            <w:r>
              <w:rPr>
                <w:b/>
                <w:i/>
              </w:rPr>
              <w:t>joint priorities and investments in defence research, innovation and technology development,</w:t>
            </w:r>
            <w:r>
              <w:t xml:space="preserve"> defence industrial initiatives and the implementation of CEDU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Calls for the establishment of a permanent</w:t>
            </w:r>
            <w:r>
              <w:t xml:space="preserve"> defence </w:t>
            </w:r>
            <w:r>
              <w:rPr>
                <w:b/>
                <w:i/>
              </w:rPr>
              <w:t>council, bringing together</w:t>
            </w:r>
            <w:r>
              <w:t xml:space="preserve"> ministers of </w:t>
            </w:r>
            <w:r>
              <w:rPr>
                <w:b/>
                <w:i/>
              </w:rPr>
              <w:t>defence and chaired by the VP/HR</w:t>
            </w:r>
            <w:r>
              <w:t xml:space="preserve">, </w:t>
            </w:r>
            <w:r>
              <w:rPr>
                <w:b/>
                <w:i/>
              </w:rPr>
              <w:t>to coordinate</w:t>
            </w:r>
            <w:r>
              <w:t xml:space="preserve"> capability planning, </w:t>
            </w:r>
            <w:r>
              <w:rPr>
                <w:b/>
                <w:i/>
              </w:rPr>
              <w:t>military readiness, common</w:t>
            </w:r>
            <w:r>
              <w:t xml:space="preserve"> procurement</w:t>
            </w:r>
            <w:r>
              <w:rPr>
                <w:b/>
                <w:i/>
              </w:rPr>
              <w:t>,</w:t>
            </w:r>
            <w:r>
              <w:t xml:space="preserve"> defence industrial initiatives </w:t>
            </w:r>
            <w:r>
              <w:rPr>
                <w:b/>
                <w:i/>
              </w:rPr>
              <w:t>and the implementation of CEDU decisions</w:t>
            </w:r>
            <w:r>
              <w:t>;</w:t>
            </w:r>
          </w:p>
        </w:tc>
        <w:tc>
          <w:tcPr>
            <w:tcW w:w="4876" w:type="dxa"/>
            <w:tcBorders>
              <w:top w:val="nil"/>
              <w:left w:val="nil"/>
              <w:bottom w:val="nil"/>
              <w:right w:val="nil"/>
            </w:tcBorders>
          </w:tcPr>
          <w:p>
            <w:pPr>
              <w:pStyle w:val="Normal6a"/>
            </w:pPr>
            <w:r>
              <w:t>21.</w:t>
            </w:r>
            <w:r>
              <w:tab/>
            </w:r>
            <w:r>
              <w:rPr>
                <w:b/>
                <w:i/>
              </w:rPr>
              <w:t>Encourages more regular and structured voluntary meetings of</w:t>
            </w:r>
            <w:r>
              <w:t xml:space="preserve"> defence ministers of </w:t>
            </w:r>
            <w:r>
              <w:rPr>
                <w:b/>
                <w:i/>
              </w:rPr>
              <w:t>the Member States within the existing Council format</w:t>
            </w:r>
            <w:r>
              <w:t xml:space="preserve">, </w:t>
            </w:r>
            <w:r>
              <w:rPr>
                <w:b/>
                <w:i/>
              </w:rPr>
              <w:t>in order to strengthen intergovernmental cooperation on</w:t>
            </w:r>
            <w:r>
              <w:t xml:space="preserve"> capability planning, </w:t>
            </w:r>
            <w:r>
              <w:rPr>
                <w:b/>
                <w:i/>
              </w:rPr>
              <w:t>joint</w:t>
            </w:r>
            <w:r>
              <w:t xml:space="preserve"> procurement </w:t>
            </w:r>
            <w:r>
              <w:rPr>
                <w:b/>
                <w:i/>
              </w:rPr>
              <w:t>and</w:t>
            </w:r>
            <w:r>
              <w:t xml:space="preserve"> defence industrial initiatives</w:t>
            </w:r>
            <w:r>
              <w:rPr>
                <w:b/>
                <w:i/>
              </w:rPr>
              <w:t>, while ensuring full alignment with NATO frameworks and strictly respecting national budgetary sovereignty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Calls for the establishment of a</w:t>
            </w:r>
            <w:r>
              <w:t xml:space="preserve"> permanent defence council</w:t>
            </w:r>
            <w:r>
              <w:rPr>
                <w:b/>
                <w:i/>
              </w:rPr>
              <w:t>, bringing together ministers of defence and chaired by the VP/HR, to coordinate</w:t>
            </w:r>
            <w:r>
              <w:t xml:space="preserve"> capability planning</w:t>
            </w:r>
            <w:r>
              <w:rPr>
                <w:b/>
                <w:i/>
              </w:rPr>
              <w:t>, military readiness, common</w:t>
            </w:r>
            <w:r>
              <w:t xml:space="preserve"> procurement</w:t>
            </w:r>
            <w:r>
              <w:rPr>
                <w:b/>
                <w:i/>
              </w:rPr>
              <w:t>, defence industrial initiatives and the implementation of CEDU decisions</w:t>
            </w:r>
            <w:r>
              <w:t>;</w:t>
            </w:r>
          </w:p>
        </w:tc>
        <w:tc>
          <w:tcPr>
            <w:tcW w:w="4876" w:type="dxa"/>
            <w:tcBorders>
              <w:top w:val="nil"/>
              <w:left w:val="nil"/>
              <w:bottom w:val="nil"/>
              <w:right w:val="nil"/>
            </w:tcBorders>
          </w:tcPr>
          <w:p>
            <w:pPr>
              <w:pStyle w:val="Normal6a"/>
            </w:pPr>
            <w:r>
              <w:t>21.</w:t>
            </w:r>
            <w:r>
              <w:tab/>
            </w:r>
            <w:r>
              <w:rPr>
                <w:b/>
                <w:i/>
              </w:rPr>
              <w:t>Notes that defence ministers already meet in existing Council formats; sees no case for a new</w:t>
            </w:r>
            <w:r>
              <w:t xml:space="preserve"> permanent defence council </w:t>
            </w:r>
            <w:r>
              <w:rPr>
                <w:b/>
                <w:i/>
              </w:rPr>
              <w:t>with a mandate to implement ‘CEDU decisions’; considers that</w:t>
            </w:r>
            <w:r>
              <w:t xml:space="preserve"> capability planning </w:t>
            </w:r>
            <w:r>
              <w:rPr>
                <w:b/>
                <w:i/>
              </w:rPr>
              <w:t>and</w:t>
            </w:r>
            <w:r>
              <w:t xml:space="preserve"> procurement </w:t>
            </w:r>
            <w:r>
              <w:rPr>
                <w:b/>
                <w:i/>
              </w:rPr>
              <w:t>cooperation should remain Member State-led, subject to national budgetary and parliamentary approval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the establishment of a permanent defence council, bringing together ministers of defence and chaired by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the establishment of a permanent defence council, bringing together ministers of defence and chaired by the VP/HR </w:t>
            </w:r>
            <w:r>
              <w:rPr>
                <w:b/>
                <w:i/>
              </w:rPr>
              <w:t>and/or the Commissioner for Defence and Space</w:t>
            </w:r>
            <w:r>
              <w:t>, to coordinate capability planning, military readiness, common procurement, defence industrial initiatives and the implementation of CEDU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for </w:t>
            </w:r>
            <w:r>
              <w:rPr>
                <w:b/>
                <w:i/>
              </w:rPr>
              <w:t>the establishment of a permanent defence council, bringing together</w:t>
            </w:r>
            <w:r>
              <w:t xml:space="preserve"> ministers of defence and </w:t>
            </w:r>
            <w:r>
              <w:rPr>
                <w:b/>
                <w:i/>
              </w:rPr>
              <w:t>chaired by</w:t>
            </w:r>
            <w:r>
              <w:t xml:space="preserve"> the VP/HR,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 xml:space="preserve">Calls for </w:t>
            </w:r>
            <w:r>
              <w:rPr>
                <w:b/>
                <w:i/>
              </w:rPr>
              <w:t>a better coordination between</w:t>
            </w:r>
            <w:r>
              <w:t xml:space="preserve"> ministers of defence and the VP/HR, to coordinate capability planning, military readiness, common procurement, defence industrial initiatives and the implementation of CEDU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for the establishment of a permanent defence council, bringing together ministers of defence </w:t>
            </w:r>
            <w:r>
              <w:rPr>
                <w:b/>
                <w:i/>
              </w:rPr>
              <w:t>and chaired by the VP/HR,</w:t>
            </w:r>
            <w:r>
              <w:t xml:space="preserve"> to coordinate capability planning, military readiness, common procurement, defence industrial initiatives and the implementation of CEDU decisions;</w:t>
            </w:r>
          </w:p>
        </w:tc>
        <w:tc>
          <w:tcPr>
            <w:tcW w:w="4876" w:type="dxa"/>
            <w:tcBorders>
              <w:top w:val="nil"/>
              <w:left w:val="nil"/>
              <w:bottom w:val="nil"/>
              <w:right w:val="nil"/>
            </w:tcBorders>
          </w:tcPr>
          <w:p>
            <w:pPr>
              <w:pStyle w:val="Normal6a"/>
            </w:pPr>
            <w:r>
              <w:t>21.</w:t>
            </w:r>
            <w:r>
              <w:tab/>
            </w:r>
            <w:r>
              <w:t>Calls for the establishment of a permanent defence council, bringing together ministers of defence to coordinate capability planning, military readiness, common procurement, defence industrial initiatives and the implementation of CEDU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that participation in common procurement and capability-development initiatives should take into account existing national defence inventories, established capability plans and long-term procurement commitments of Member States; stresses that the development of common European capabilities should not require Member States to replace existing national capability programmes where those programmes contribute to agreed European or NATO capability requirements and meet agreed operational and interoperability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Encourages willing Member States to develop regional capability clusters, including joint procurement, training and operational cooperation, building on successful existing models and in coordination with NATO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Calls for a stronger coordinating role for the VP/HR in EU foreign, security and defence policy; calls for clarification of the respective roles of the VP/HR and the Commissioner for Defence and Space in order to avoid institutional overlap;</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Calls for a stronger coordinating role for the VP/HR in EU foreign, security and defence policy; calls for clarification of the respective roles of the VP/HR and the Commissioner for Defence and Space in order to avoid institutional overlap;</w:t>
            </w:r>
          </w:p>
        </w:tc>
        <w:tc>
          <w:tcPr>
            <w:tcW w:w="4876" w:type="dxa"/>
            <w:tcBorders>
              <w:top w:val="nil"/>
              <w:left w:val="nil"/>
              <w:bottom w:val="nil"/>
              <w:right w:val="nil"/>
            </w:tcBorders>
          </w:tcPr>
          <w:p>
            <w:pPr>
              <w:pStyle w:val="Normal6a"/>
            </w:pPr>
            <w:r>
              <w:t>22.</w:t>
            </w:r>
            <w:r>
              <w:tab/>
            </w:r>
            <w:r>
              <w:t>Calls for a stronger coordinating role for the VP/HR in EU foreign, security and defence policy</w:t>
            </w:r>
            <w:r>
              <w:rPr>
                <w:b/>
                <w:i/>
              </w:rPr>
              <w:t>; as provided for in Articles 18(4), 21(3) and 27 TEU; stresses that the definition of capability priorities and the use of force rest with the European Council, the Council and the VP/HR, while the Commission contributes through its competences in industry, the internal market, research, space and the Union budget</w:t>
            </w:r>
            <w:r>
              <w:t>; calls for clarification of the respective roles of the VP/HR and the Commissioner for Defence and Space in order to avoid institutional overlap</w:t>
            </w:r>
            <w:r>
              <w:rPr>
                <w:b/>
                <w:i/>
              </w:rPr>
              <w:t>, with the latter acting under the coordination of the VP/HR in defence matters</w:t>
            </w:r>
            <w:r>
              <w:t xml:space="preserve">; </w:t>
            </w:r>
            <w:r>
              <w:rPr>
                <w:b/>
                <w:i/>
              </w:rPr>
              <w:t>opposes any reform that would place the VP/HR or the European External Action Service under the authority of the President of the Commission in CFSP matters, as incompatible with the Treaties and with the functional autonomy of the EEAS under Council Decision 2010/427/EU;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Calls for a stronger coordinating role for the VP/HR in EU foreign, security and defence policy; calls for clarification of the respective roles of the VP/HR and the Commissioner for Defence and Space in order to avoid institutional overlap;</w:t>
            </w:r>
          </w:p>
        </w:tc>
        <w:tc>
          <w:tcPr>
            <w:tcW w:w="4876" w:type="dxa"/>
            <w:tcBorders>
              <w:top w:val="nil"/>
              <w:left w:val="nil"/>
              <w:bottom w:val="nil"/>
              <w:right w:val="nil"/>
            </w:tcBorders>
          </w:tcPr>
          <w:p>
            <w:pPr>
              <w:pStyle w:val="Normal6a"/>
            </w:pPr>
            <w:r>
              <w:t>22.</w:t>
            </w:r>
            <w:r>
              <w:tab/>
            </w:r>
            <w:r>
              <w:t xml:space="preserve">Calls for a stronger coordinating role for the VP/HR in EU foreign, security and defence policy; calls for clarification of the respective roles of the VP/HR and the Commissioner for Defence and Space in order to avoid institutional overlap; </w:t>
            </w:r>
            <w:r>
              <w:rPr>
                <w:b/>
                <w:i/>
              </w:rPr>
              <w:t>considers that the Commissioner for Defence and Space should be responsible for the internal-market and industrial dimension of defence, including the enforcement of Directive 2009/81/EC and the monitoring of the use of Article 346 TFEU, and that the EDA should focus on capability prioritisation and cooperative projects defined on the basis of common European needs rather than on the mere aggregation of national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Calls for a stronger coordinating role for the VP/HR in EU foreign, security and defence policy; calls for clarification of the respective roles of the VP/HR and the Commissioner for Defence and Space in order to avoid institutional overlap;</w:t>
            </w:r>
          </w:p>
        </w:tc>
        <w:tc>
          <w:tcPr>
            <w:tcW w:w="4876" w:type="dxa"/>
            <w:tcBorders>
              <w:top w:val="nil"/>
              <w:left w:val="nil"/>
              <w:bottom w:val="nil"/>
              <w:right w:val="nil"/>
            </w:tcBorders>
          </w:tcPr>
          <w:p>
            <w:pPr>
              <w:pStyle w:val="Normal6a"/>
            </w:pPr>
            <w:r>
              <w:t>22.</w:t>
            </w:r>
            <w:r>
              <w:tab/>
            </w:r>
            <w:r>
              <w:t>Calls for a stronger coordinating role for the VP/HR in EU foreign, security and defence policy; calls for clarification of the respective roles of the VP/HR and the Commissioner for Defence and Space in order to avoid institutional overlap;</w:t>
            </w:r>
            <w:r>
              <w:rPr>
                <w:b/>
                <w:i/>
              </w:rPr>
              <w:t> notes the organisational disconnect between the European Defence Agency, which reports to the VP/HR, and the Commission's Directorate-General for Defence Industry and Space, which reports to the Commissioner, and calls for closer integration of their work on capability planning and industrial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Claudiu-Richard Târziu,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Calls for a stronger coordinating role for</w:t>
            </w:r>
            <w:r>
              <w:t xml:space="preserve"> the VP/HR </w:t>
            </w:r>
            <w:r>
              <w:rPr>
                <w:b/>
                <w:i/>
              </w:rPr>
              <w:t>in EU</w:t>
            </w:r>
            <w:r>
              <w:t xml:space="preserve"> foreign</w:t>
            </w:r>
            <w:r>
              <w:rPr>
                <w:b/>
                <w:i/>
              </w:rPr>
              <w:t>,</w:t>
            </w:r>
            <w:r>
              <w:t xml:space="preserve"> security </w:t>
            </w:r>
            <w:r>
              <w:rPr>
                <w:b/>
                <w:i/>
              </w:rPr>
              <w:t>and defence</w:t>
            </w:r>
            <w:r>
              <w:t xml:space="preserve"> policy; calls for </w:t>
            </w:r>
            <w:r>
              <w:rPr>
                <w:b/>
                <w:i/>
              </w:rPr>
              <w:t>clarification</w:t>
            </w:r>
            <w:r>
              <w:t xml:space="preserve"> of the respective </w:t>
            </w:r>
            <w:r>
              <w:rPr>
                <w:b/>
                <w:i/>
              </w:rPr>
              <w:t>roles of</w:t>
            </w:r>
            <w:r>
              <w:t xml:space="preserve"> the VP/HR and the Commissioner for Defence and Space </w:t>
            </w:r>
            <w:r>
              <w:rPr>
                <w:b/>
                <w:i/>
              </w:rPr>
              <w:t>in order to avoid institutional overlap</w:t>
            </w:r>
            <w:r>
              <w:t>;</w:t>
            </w:r>
          </w:p>
        </w:tc>
        <w:tc>
          <w:tcPr>
            <w:tcW w:w="4876" w:type="dxa"/>
            <w:tcBorders>
              <w:top w:val="nil"/>
              <w:left w:val="nil"/>
              <w:bottom w:val="nil"/>
              <w:right w:val="nil"/>
            </w:tcBorders>
          </w:tcPr>
          <w:p>
            <w:pPr>
              <w:pStyle w:val="Normal6a"/>
            </w:pPr>
            <w:r>
              <w:t>22.</w:t>
            </w:r>
            <w:r>
              <w:tab/>
            </w:r>
            <w:r>
              <w:rPr>
                <w:b/>
                <w:i/>
              </w:rPr>
              <w:t>Underlines that the role of</w:t>
            </w:r>
            <w:r>
              <w:t xml:space="preserve"> the VP/HR </w:t>
            </w:r>
            <w:r>
              <w:rPr>
                <w:b/>
                <w:i/>
              </w:rPr>
              <w:t>must strictly respect the intergovernmental nature of the Common</w:t>
            </w:r>
            <w:r>
              <w:t xml:space="preserve"> Foreign </w:t>
            </w:r>
            <w:r>
              <w:rPr>
                <w:b/>
                <w:i/>
              </w:rPr>
              <w:t>and</w:t>
            </w:r>
            <w:r>
              <w:t xml:space="preserve"> Security Policy</w:t>
            </w:r>
            <w:r>
              <w:rPr>
                <w:b/>
                <w:i/>
              </w:rPr>
              <w:t>, acting exclusively on the basis of Member States’ consensus</w:t>
            </w:r>
            <w:r>
              <w:t xml:space="preserve">; calls for </w:t>
            </w:r>
            <w:r>
              <w:rPr>
                <w:b/>
                <w:i/>
              </w:rPr>
              <w:t>a clear delineation</w:t>
            </w:r>
            <w:r>
              <w:t xml:space="preserve"> of the respective </w:t>
            </w:r>
            <w:r>
              <w:rPr>
                <w:b/>
                <w:i/>
              </w:rPr>
              <w:t>responsibilities of both</w:t>
            </w:r>
            <w:r>
              <w:t xml:space="preserve"> the VP/HR and the Commissioner for Defence and Space</w:t>
            </w:r>
            <w:r>
              <w:rPr>
                <w:b/>
                <w:i/>
              </w:rPr>
              <w:t>, to ensure that they do not encroach upon national competences or create parallel structures overlapping with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Calls for a stronger coordinating role for the VP/HR in EU foreign, security and defence policy;</w:t>
            </w:r>
            <w:r>
              <w:t xml:space="preserve"> calls for clarification of the respective roles of the VP/HR and the Commissioner for Defence and Space in order to avoid institutional overlap;</w:t>
            </w:r>
          </w:p>
        </w:tc>
        <w:tc>
          <w:tcPr>
            <w:tcW w:w="4876" w:type="dxa"/>
            <w:tcBorders>
              <w:top w:val="nil"/>
              <w:left w:val="nil"/>
              <w:bottom w:val="nil"/>
              <w:right w:val="nil"/>
            </w:tcBorders>
          </w:tcPr>
          <w:p>
            <w:pPr>
              <w:pStyle w:val="Normal6a"/>
            </w:pPr>
            <w:r>
              <w:t>22.</w:t>
            </w:r>
            <w:r>
              <w:tab/>
            </w:r>
            <w:r>
              <w:t>Calls for clarification of the respective roles of the VP/HR and the Commissioner for Defence and Space in order to avoid institutional overlap;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Calls for a stronger coordinating role for the VP/HR</w:t>
            </w:r>
            <w:r>
              <w:t xml:space="preserve"> in EU foreign, security and defence policy</w:t>
            </w:r>
            <w:r>
              <w:rPr>
                <w:b/>
                <w:i/>
              </w:rPr>
              <w:t>;</w:t>
            </w:r>
            <w:r>
              <w:t xml:space="preserve"> calls for </w:t>
            </w:r>
            <w:r>
              <w:rPr>
                <w:b/>
                <w:i/>
              </w:rPr>
              <w:t>clarification of the respective roles of</w:t>
            </w:r>
            <w:r>
              <w:t xml:space="preserve"> the VP/HR and the Commissioner for Defence and Space </w:t>
            </w:r>
            <w:r>
              <w:rPr>
                <w:b/>
                <w:i/>
              </w:rPr>
              <w:t>in order to avoid</w:t>
            </w:r>
            <w:r>
              <w:t xml:space="preserve"> institutional </w:t>
            </w:r>
            <w:r>
              <w:rPr>
                <w:b/>
                <w:i/>
              </w:rPr>
              <w:t>overlap</w:t>
            </w:r>
            <w:r>
              <w:t>;</w:t>
            </w:r>
          </w:p>
        </w:tc>
        <w:tc>
          <w:tcPr>
            <w:tcW w:w="4876" w:type="dxa"/>
            <w:tcBorders>
              <w:top w:val="nil"/>
              <w:left w:val="nil"/>
              <w:bottom w:val="nil"/>
              <w:right w:val="nil"/>
            </w:tcBorders>
          </w:tcPr>
          <w:p>
            <w:pPr>
              <w:pStyle w:val="Normal6a"/>
            </w:pPr>
            <w:r>
              <w:t>22.</w:t>
            </w:r>
            <w:r>
              <w:tab/>
            </w:r>
            <w:r>
              <w:rPr>
                <w:b/>
                <w:i/>
              </w:rPr>
              <w:t>Stresses the importance of clear and well-defined responsibilities</w:t>
            </w:r>
            <w:r>
              <w:t xml:space="preserve"> in EU foreign, security and defence policy </w:t>
            </w:r>
            <w:r>
              <w:rPr>
                <w:b/>
                <w:i/>
              </w:rPr>
              <w:t>and</w:t>
            </w:r>
            <w:r>
              <w:t xml:space="preserve"> calls for </w:t>
            </w:r>
            <w:r>
              <w:rPr>
                <w:b/>
                <w:i/>
              </w:rPr>
              <w:t>effective coordination between</w:t>
            </w:r>
            <w:r>
              <w:t xml:space="preserve"> the VP/HR and the Commissioner for Defence and Space</w:t>
            </w:r>
            <w:r>
              <w:rPr>
                <w:b/>
                <w:i/>
              </w:rPr>
              <w:t>, while respecting the existing</w:t>
            </w:r>
            <w:r>
              <w:t xml:space="preserve"> institutional </w:t>
            </w:r>
            <w:r>
              <w:rPr>
                <w:b/>
                <w:i/>
              </w:rPr>
              <w:t>framework and Member States’ competences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Underlines that a strong CEDU requires streamlined and agile security and defence procurement procedures; calls for a comprehensive reform of the European framework for security and defence procurement; underlines that any future reform must enhance our ability to swiftly acquire new capabilities, in line with the gaps in critical defence capabilities identified by NATO; highlights that the establishment of a European preference in this field should follow a pragmatic and flexible approach, allowing for the swift procurement of critical defence capabilities from non-EU trusted partners to close the capability gaps and ensure 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Warns against a defence policy built by aggregation of industrial and budgetary instruments without a prior political and strategic decision; insists on the logical sequence whereby threat assessment, doctrine and capability planning, coherent with NATO capability targets, define military requirements and aggregated European demand, which the Union’s industrial, budgetary and regulatory instruments then help to meet; calls, to this end, for the capability planning of the European Defence Agency and the Commission’s defence funding programmes to be steered by a joint board chaired by the VP/HR;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for active coordination with Justice and Home Affairs ministers in order to respond to any disruptions at the EU’s external borders and the instrumentalisation of migration by hostile actors;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Stresses that European defence procurement must ensure full interoperability with NATO standards and should not exclude allied suppliers where European alternatives are unavailable;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Reaffirms the HR/VP's coordinating role in CFSP and CSDP, calls for a clear division of responsibilities with the Commissioner responsible for Defence and Space, and stresses the need to respect the institutional balance established by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Stresses that European defence policy must be strategy-led and capability-driven; calls for a coherent sequence from threat assessment and strategic objectives to operational requirements, capability development and, subsequently, industrial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Supports the gradual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Vasile Dîncu, Lucia Annunziata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t xml:space="preserve">Supports the gradual development of the Military Planning and Conduct Capability, including the capability for strategic planning, operational coordination, intelligence fusion, logistics and command support; </w:t>
            </w:r>
            <w:r>
              <w:rPr>
                <w:b/>
                <w:i/>
              </w:rPr>
              <w:t>calls for the readiness of the Union’s command structures to be raised in view of Article 42(7) TEU scenarios; calls for the EU Rapid Deployment Capacity and the Cyber Rapid Response Teams to be trained and equipped to provide supplementary support to national armed forces; supports the integration of the European Drone Defence Initiative and the Eastern Flank Watch with the operations of the European Border and Coast Guard Agency to protect the Union’s external borders against hybrid attacks, including from Russia’s shadow fleet;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Supports the </w:t>
            </w:r>
            <w:r>
              <w:rPr>
                <w:b/>
                <w:i/>
              </w:rPr>
              <w:t>gradual</w:t>
            </w:r>
            <w:r>
              <w:t xml:space="preserve">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t xml:space="preserve">Supports the development of the Military Planning and Conduct Capability, </w:t>
            </w:r>
            <w:r>
              <w:rPr>
                <w:b/>
                <w:i/>
              </w:rPr>
              <w:t>into a permanent headquarters able to plan, command and conduct operations at the strategic, operational and tactical levels</w:t>
            </w:r>
            <w:r>
              <w:t xml:space="preserve"> including the capability for strategic planning, operational coordination, intelligence fusion, logistics and command support</w:t>
            </w:r>
            <w:r>
              <w:rPr>
                <w:b/>
                <w:i/>
              </w:rPr>
              <w:t>, with reinforced staffing, secure infrastructure and an integrated civilian-military interface</w:t>
            </w:r>
            <w:r>
              <w:t xml:space="preserve">; </w:t>
            </w:r>
            <w:r>
              <w:rPr>
                <w:b/>
                <w:i/>
              </w:rPr>
              <w:t>considers that it should contribute to the permanent operational planning required for the implementation of Article 42(7) TEU, while avoiding unnecessary duplication with NATO's Supreme Headquarters Allied Powers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Supports the gradual development of</w:t>
            </w:r>
            <w:r>
              <w:t xml:space="preserve">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rPr>
                <w:b/>
                <w:i/>
              </w:rPr>
              <w:t>Calls on the Council, on a proposal from the VP/HR, to revise Decision (CFSP) 2017/971 in order to consolidate</w:t>
            </w:r>
            <w:r>
              <w:t xml:space="preserve"> the Military Planning and Conduct Capability </w:t>
            </w:r>
            <w:r>
              <w:rPr>
                <w:b/>
                <w:i/>
              </w:rPr>
              <w:t>(MPCC) as the Union’s permanent strategic military headquarters, able to plan and conduct non-executive missions and executive operations</w:t>
            </w:r>
            <w:r>
              <w:t xml:space="preserve">, including the </w:t>
            </w:r>
            <w:r>
              <w:rPr>
                <w:b/>
                <w:i/>
              </w:rPr>
              <w:t>full Rapid Deployment Capacity, and to coordinate assistance under Article 42(7) TEU; calls for a corresponding increase in its staff and budget and for the development of its</w:t>
            </w:r>
            <w:r>
              <w:t xml:space="preserve"> capability for strategic planning, operational coordination, intelligence fusion, logistics and command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t xml:space="preserve">Supports the gradual development of the Military Planning and Conduct Capability, including the capability for strategic planning, operational coordination, intelligence fusion, logistics and command support; </w:t>
            </w:r>
            <w:r>
              <w:rPr>
                <w:b/>
                <w:i/>
              </w:rPr>
              <w:t>stresses that the development and exercise of such capabilities must fully respect Member States’ ultimate authority over their armed forces and national chains of command and that any transfer of operational command or control over national forces must be based on an explicit decision and authorisation by the Member State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r>
              <w:rPr>
                <w:b/>
                <w:i/>
              </w:rPr>
              <w:t>, while ensuring complementarity and interoperability with NATO command structures and avoiding unnecessary duplication of existing military planning and command capabilities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Supports the gradual development</w:t>
            </w:r>
            <w:r>
              <w:t xml:space="preserve"> of the Military Planning and Conduct Capability</w:t>
            </w:r>
            <w:r>
              <w:rPr>
                <w:b/>
                <w:i/>
              </w:rPr>
              <w:t>, including the capability for strategic planning, operational coordination, intelligence fusion, logistics and</w:t>
            </w:r>
            <w:r>
              <w:t xml:space="preserve"> command </w:t>
            </w:r>
            <w:r>
              <w:rPr>
                <w:b/>
                <w:i/>
              </w:rPr>
              <w:t>support</w:t>
            </w:r>
            <w:r>
              <w:t>;</w:t>
            </w:r>
          </w:p>
        </w:tc>
        <w:tc>
          <w:tcPr>
            <w:tcW w:w="4876" w:type="dxa"/>
            <w:tcBorders>
              <w:top w:val="nil"/>
              <w:left w:val="nil"/>
              <w:bottom w:val="nil"/>
              <w:right w:val="nil"/>
            </w:tcBorders>
          </w:tcPr>
          <w:p>
            <w:pPr>
              <w:pStyle w:val="Normal6a"/>
            </w:pPr>
            <w:r>
              <w:t>23.</w:t>
            </w:r>
            <w:r>
              <w:tab/>
            </w:r>
            <w:r>
              <w:rPr>
                <w:b/>
                <w:i/>
              </w:rPr>
              <w:t>Takes note of the existing role</w:t>
            </w:r>
            <w:r>
              <w:t xml:space="preserve"> of the Military Planning and Conduct Capability </w:t>
            </w:r>
            <w:r>
              <w:rPr>
                <w:b/>
                <w:i/>
              </w:rPr>
              <w:t>(MPCC); underlines that any further development of the MPCC must remain based on decisions of the Member States, use capabilities provided by them and avoid unnecessary duplication of NATO’s established military</w:t>
            </w:r>
            <w:r>
              <w:t xml:space="preserve"> command </w:t>
            </w:r>
            <w:r>
              <w:rPr>
                <w:b/>
                <w:i/>
              </w:rPr>
              <w:t>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p>
        </w:tc>
        <w:tc>
          <w:tcPr>
            <w:tcW w:w="4876" w:type="dxa"/>
            <w:tcBorders>
              <w:top w:val="nil"/>
              <w:left w:val="nil"/>
              <w:bottom w:val="nil"/>
              <w:right w:val="nil"/>
            </w:tcBorders>
          </w:tcPr>
          <w:p>
            <w:pPr>
              <w:pStyle w:val="Normal6a"/>
            </w:pPr>
            <w:r>
              <w:t>23.</w:t>
            </w:r>
            <w:r>
              <w:tab/>
            </w:r>
            <w:r>
              <w:t>Supports the gradual development of the Military Planning and Conduct Capability, including the capability for strategic planning, operational coordination, intelligence fusion, logistics and command support</w:t>
            </w:r>
            <w:r>
              <w:rPr>
                <w:b/>
                <w:i/>
              </w:rPr>
              <w:t>, in close consultation with NATO so as to prevent any duplication of responsibilities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Supports the </w:t>
            </w:r>
            <w:r>
              <w:rPr>
                <w:b/>
                <w:i/>
              </w:rPr>
              <w:t>gradual</w:t>
            </w:r>
            <w:r>
              <w:t xml:space="preserve"> development of the Military Planning and Conduct Capability</w:t>
            </w:r>
            <w:r>
              <w:rPr>
                <w:b/>
                <w:i/>
              </w:rPr>
              <w:t>, including the</w:t>
            </w:r>
            <w:r>
              <w:t xml:space="preserve"> capability for </w:t>
            </w:r>
            <w:r>
              <w:rPr>
                <w:b/>
                <w:i/>
              </w:rPr>
              <w:t>strategic planning, operational coordination, intelligence fusion, logistics and</w:t>
            </w:r>
            <w:r>
              <w:t xml:space="preserve"> command </w:t>
            </w:r>
            <w:r>
              <w:rPr>
                <w:b/>
                <w:i/>
              </w:rPr>
              <w:t>support</w:t>
            </w:r>
            <w:r>
              <w:t>;</w:t>
            </w:r>
          </w:p>
        </w:tc>
        <w:tc>
          <w:tcPr>
            <w:tcW w:w="4876" w:type="dxa"/>
            <w:tcBorders>
              <w:top w:val="nil"/>
              <w:left w:val="nil"/>
              <w:bottom w:val="nil"/>
              <w:right w:val="nil"/>
            </w:tcBorders>
          </w:tcPr>
          <w:p>
            <w:pPr>
              <w:pStyle w:val="Normal6a"/>
            </w:pPr>
            <w:r>
              <w:t>23.</w:t>
            </w:r>
            <w:r>
              <w:tab/>
            </w:r>
            <w:r>
              <w:t xml:space="preserve">Supports the </w:t>
            </w:r>
            <w:r>
              <w:rPr>
                <w:b/>
                <w:i/>
              </w:rPr>
              <w:t>further</w:t>
            </w:r>
            <w:r>
              <w:t xml:space="preserve"> development of the Military Planning and Conduct Capability </w:t>
            </w:r>
            <w:r>
              <w:rPr>
                <w:b/>
                <w:i/>
              </w:rPr>
              <w:t>as a planning and coordination</w:t>
            </w:r>
            <w:r>
              <w:t xml:space="preserve"> capability for </w:t>
            </w:r>
            <w:r>
              <w:rPr>
                <w:b/>
                <w:i/>
              </w:rPr>
              <w:t>EU military operations, where requested by the Member States, while ensuring that it does not duplicate NATO</w:t>
            </w:r>
            <w:r>
              <w:t xml:space="preserve"> command </w:t>
            </w:r>
            <w:r>
              <w:rPr>
                <w:b/>
                <w:i/>
              </w:rPr>
              <w:t>structures or undermine national command authority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on the Commission, in preparing its upcoming security strategy, to base it on a shared threat assessment drawn up together with Member States and their intelligence and security services, in full respect of Article 4(2) TEU; stresses that the strategy should be coherent with national security strategies and with NATO's Strategic Concept, avoid duplication, and focus on areas where the Union can bring clear added value, namely hybrid and cyber threats, critical infrastructure protection, military mobility, supply chain resilience and the defence industrial base; calls on the Commission to set out clear timelines, responsibilities and funding sources within the existing multiannual financial framework; and calls for Parliament and national parliaments to be consulted before its adoption and regularly informed of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Underlines that the EUs existing Military Planning and Conduct Capability (MPCC) lacks sufficient resources and calls upon Member States to better equip it; therefore proposes to expand the MPCC with additional funding, personnel and facilities to be able to provide more complex and large scale operational command and control functions; proposes that this could lead to the establishment of a European military headquarter which could ensure a single, unified and unambiguous chain of command over the CEDU’s standing capabilities and logistical backbone; further proposes that Article 42(2) TEU and a revised Article 44 TEU could together confer on such a European military headquarter an explicit mandate covering collective territorial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Notes that Eurocorps, a corps-level multinational headquarters with its own legal personality under the Treaty of Strasbourg and able to command a force of around 60 000 troops, has served as Force Headquarters of the EU Battlegroup since July 2025 and, in the MILEX 26 exercise, as deployed operational headquarters under the MPCC; calls for this MPCC–Eurocorps command chain to be institutionalised, making Eurocorps the Union’s permanent multinational operational headquarters, and invites all Member States not yet participating to join it as associated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Underlines that a credible CEDU requires a strong and competitive European defence industrial and technological base; stresses the importance of integrating small and medium-sized enterprises and regional defence industrial clusters across all Member States into European procurement and research programmes, in order to avoid capability and value chains being concentrated in a limited number of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Vasile Dîncu,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for a common framework for trustworthy and responsible artificial intelligence in defence, including rigorous testing, cybersecurity, traceability, accountability and meaningful human control over decisions involving the use of force; stresses the need for democratic oversight and full compliance with international humanitarian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for strengthening the MPCC's planning and command capabilities, staffing and resources, in accordance with the Treaties and Member States' decisions, while ensuring complementarity with national and NATO command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Treaty changes and decision-making under the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Treaty changes and</w:t>
            </w:r>
            <w:r>
              <w:t xml:space="preserve"> decision-making </w:t>
            </w:r>
            <w:r>
              <w:rPr>
                <w:b/>
                <w:i/>
              </w:rPr>
              <w:t>under the CEDU</w:t>
            </w:r>
          </w:p>
        </w:tc>
        <w:tc>
          <w:tcPr>
            <w:tcW w:w="4876" w:type="dxa"/>
            <w:tcBorders>
              <w:top w:val="nil"/>
              <w:left w:val="nil"/>
              <w:bottom w:val="nil"/>
              <w:right w:val="nil"/>
            </w:tcBorders>
          </w:tcPr>
          <w:p>
            <w:pPr>
              <w:pStyle w:val="Normal6a"/>
            </w:pPr>
            <w:r>
              <w:t xml:space="preserve">Decision-making </w:t>
            </w:r>
            <w:r>
              <w:rPr>
                <w:b/>
                <w:i/>
              </w:rPr>
              <w:t>as part of intergovernmental defence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Treaty changes</w:t>
            </w:r>
            <w:r>
              <w:t xml:space="preserve"> and decision-making </w:t>
            </w:r>
            <w:r>
              <w:rPr>
                <w:b/>
                <w:i/>
              </w:rPr>
              <w:t>under the CEDU</w:t>
            </w:r>
          </w:p>
        </w:tc>
        <w:tc>
          <w:tcPr>
            <w:tcW w:w="4876" w:type="dxa"/>
            <w:tcBorders>
              <w:top w:val="nil"/>
              <w:left w:val="nil"/>
              <w:bottom w:val="nil"/>
              <w:right w:val="nil"/>
            </w:tcBorders>
          </w:tcPr>
          <w:p>
            <w:pPr>
              <w:pStyle w:val="Normal6a"/>
            </w:pPr>
            <w:r>
              <w:rPr>
                <w:b/>
                <w:i/>
              </w:rPr>
              <w:t>National sovereignty</w:t>
            </w:r>
            <w:r>
              <w:t xml:space="preserve"> and decision-making </w:t>
            </w:r>
            <w:r>
              <w:rPr>
                <w:b/>
                <w:i/>
              </w:rPr>
              <w:t>on defence matters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Treaty changes and decision-making under the CEDU</w:t>
            </w:r>
          </w:p>
        </w:tc>
        <w:tc>
          <w:tcPr>
            <w:tcW w:w="4876" w:type="dxa"/>
            <w:tcBorders>
              <w:top w:val="nil"/>
              <w:left w:val="nil"/>
              <w:bottom w:val="nil"/>
              <w:right w:val="nil"/>
            </w:tcBorders>
          </w:tcPr>
          <w:p>
            <w:pPr>
              <w:pStyle w:val="Normal6a"/>
            </w:pPr>
            <w:r>
              <w:rPr>
                <w:b/>
                <w:i/>
              </w:rPr>
              <w:t>Pillar IV: Industrial and logistical backbone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Considers that CEDU decision-making must balance national sovereignty with the EU’s need for timely action;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Considers that CEDU decision-making must balance national sovereignty with the EU’s need for timely action;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Considers that CEDU decision-making must balance national sovereignty with the EU’s need for timely action;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Considers that CEDU decision-making must balance national sovereignty </w:t>
            </w:r>
            <w:r>
              <w:rPr>
                <w:b/>
                <w:i/>
              </w:rPr>
              <w:t>with</w:t>
            </w:r>
            <w:r>
              <w:t xml:space="preserve"> the EU’s need for timely action;</w:t>
            </w:r>
          </w:p>
        </w:tc>
        <w:tc>
          <w:tcPr>
            <w:tcW w:w="4876" w:type="dxa"/>
            <w:tcBorders>
              <w:top w:val="nil"/>
              <w:left w:val="nil"/>
              <w:bottom w:val="nil"/>
              <w:right w:val="nil"/>
            </w:tcBorders>
          </w:tcPr>
          <w:p>
            <w:pPr>
              <w:pStyle w:val="Normal6a"/>
            </w:pPr>
            <w:r>
              <w:t>24.</w:t>
            </w:r>
            <w:r>
              <w:tab/>
            </w:r>
            <w:r>
              <w:t>Considers that CEDU decision-making must balance national sovereignty</w:t>
            </w:r>
            <w:r>
              <w:rPr>
                <w:b/>
                <w:i/>
              </w:rPr>
              <w:t>, democratic legitimacy and</w:t>
            </w:r>
            <w:r>
              <w:t xml:space="preserve"> the EU’s need for timely action; </w:t>
            </w:r>
            <w:r>
              <w:rPr>
                <w:b/>
                <w:i/>
              </w:rPr>
              <w:t>stresses that efficiency must not come at the expense of parliamentary scrutiny, transparency, and respect for constitutional procedures; recalls that decisions under the CFSP/CSDP framework are taken by unanimity under Article 31(1) TEU, with the possibility of constructive abstention;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Considers that CEDU decision-making must balance</w:t>
            </w:r>
            <w:r>
              <w:t xml:space="preserve"> national sovereignty </w:t>
            </w:r>
            <w:r>
              <w:rPr>
                <w:b/>
                <w:i/>
              </w:rPr>
              <w:t>with the EU’s need for timely action</w:t>
            </w:r>
            <w:r>
              <w:t>;</w:t>
            </w:r>
          </w:p>
        </w:tc>
        <w:tc>
          <w:tcPr>
            <w:tcW w:w="4876" w:type="dxa"/>
            <w:tcBorders>
              <w:top w:val="nil"/>
              <w:left w:val="nil"/>
              <w:bottom w:val="nil"/>
              <w:right w:val="nil"/>
            </w:tcBorders>
          </w:tcPr>
          <w:p>
            <w:pPr>
              <w:pStyle w:val="Normal6a"/>
            </w:pPr>
            <w:r>
              <w:t>24.</w:t>
            </w:r>
            <w:r>
              <w:tab/>
            </w:r>
            <w:r>
              <w:rPr>
                <w:b/>
                <w:i/>
              </w:rPr>
              <w:t>Recalls and reaffirms that defence and</w:t>
            </w:r>
            <w:r>
              <w:t xml:space="preserve"> national </w:t>
            </w:r>
            <w:r>
              <w:rPr>
                <w:b/>
                <w:i/>
              </w:rPr>
              <w:t>security are essential responsibilities of the Member States;</w:t>
            </w:r>
            <w:r>
              <w:t xml:space="preserve"> </w:t>
            </w:r>
            <w:r>
              <w:rPr>
                <w:b/>
                <w:i/>
              </w:rPr>
              <w:t>stresses that cooperation at European level must support and complement national capacities, in full respect of the</w:t>
            </w:r>
            <w:r>
              <w:t xml:space="preserve"> sovereignty </w:t>
            </w:r>
            <w:r>
              <w:rPr>
                <w:b/>
                <w:i/>
              </w:rPr>
              <w:t>of the Member States, their competences and their respective constitutional orders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Considers </w:t>
            </w:r>
            <w:r>
              <w:rPr>
                <w:b/>
                <w:i/>
              </w:rPr>
              <w:t>that CEDU decision-making must balance national sovereignty</w:t>
            </w:r>
            <w:r>
              <w:t xml:space="preserve"> with the </w:t>
            </w:r>
            <w:r>
              <w:rPr>
                <w:b/>
                <w:i/>
              </w:rPr>
              <w:t>EU’s need for timely action</w:t>
            </w:r>
            <w:r>
              <w:t>;</w:t>
            </w:r>
          </w:p>
        </w:tc>
        <w:tc>
          <w:tcPr>
            <w:tcW w:w="4876" w:type="dxa"/>
            <w:tcBorders>
              <w:top w:val="nil"/>
              <w:left w:val="nil"/>
              <w:bottom w:val="nil"/>
              <w:right w:val="nil"/>
            </w:tcBorders>
          </w:tcPr>
          <w:p>
            <w:pPr>
              <w:pStyle w:val="Normal6a"/>
            </w:pPr>
            <w:r>
              <w:t>24.</w:t>
            </w:r>
            <w:r>
              <w:tab/>
            </w:r>
            <w:r>
              <w:t xml:space="preserve">Considers </w:t>
            </w:r>
            <w:r>
              <w:rPr>
                <w:b/>
                <w:i/>
              </w:rPr>
              <w:t>deepened defence cooperation on the intergovernmental level to be of utmost importance; Reaffirms that decisions having military or defence implications must be made in line</w:t>
            </w:r>
            <w:r>
              <w:t xml:space="preserve"> with the </w:t>
            </w:r>
            <w:r>
              <w:rPr>
                <w:b/>
                <w:i/>
              </w:rPr>
              <w:t>unanimity requirements laid down in the Treaties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Considers that CEDU decision-making </w:t>
            </w:r>
            <w:r>
              <w:rPr>
                <w:b/>
                <w:i/>
              </w:rPr>
              <w:t>must balance</w:t>
            </w:r>
            <w:r>
              <w:t xml:space="preserve"> national sovereignty </w:t>
            </w:r>
            <w:r>
              <w:rPr>
                <w:b/>
                <w:i/>
              </w:rPr>
              <w:t>with the EU’s need for</w:t>
            </w:r>
            <w:r>
              <w:t xml:space="preserve"> timely action;</w:t>
            </w:r>
          </w:p>
        </w:tc>
        <w:tc>
          <w:tcPr>
            <w:tcW w:w="4876" w:type="dxa"/>
            <w:tcBorders>
              <w:top w:val="nil"/>
              <w:left w:val="nil"/>
              <w:bottom w:val="nil"/>
              <w:right w:val="nil"/>
            </w:tcBorders>
          </w:tcPr>
          <w:p>
            <w:pPr>
              <w:pStyle w:val="Normal6a"/>
            </w:pPr>
            <w:r>
              <w:t>24.</w:t>
            </w:r>
            <w:r>
              <w:tab/>
            </w:r>
            <w:r>
              <w:t xml:space="preserve">Considers that CEDU decision-making </w:t>
            </w:r>
            <w:r>
              <w:rPr>
                <w:b/>
                <w:i/>
              </w:rPr>
              <w:t>regarding the creation of military missions or operations with an executive mandate under the CSDP must respect</w:t>
            </w:r>
            <w:r>
              <w:t xml:space="preserve"> national sovereignty</w:t>
            </w:r>
            <w:r>
              <w:rPr>
                <w:b/>
                <w:i/>
              </w:rPr>
              <w:t>, while aiming for collective</w:t>
            </w:r>
            <w:r>
              <w:t xml:space="preserve"> timely action </w:t>
            </w:r>
            <w:r>
              <w:rPr>
                <w:b/>
                <w:i/>
              </w:rPr>
              <w:t>on EU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Considers that </w:t>
            </w:r>
            <w:r>
              <w:rPr>
                <w:b/>
                <w:i/>
              </w:rPr>
              <w:t>CEDU decision-making must balance national</w:t>
            </w:r>
            <w:r>
              <w:t xml:space="preserve"> sovereignty </w:t>
            </w:r>
            <w:r>
              <w:rPr>
                <w:b/>
                <w:i/>
              </w:rPr>
              <w:t>with the EU’s need for timely action</w:t>
            </w:r>
            <w:r>
              <w:t>;</w:t>
            </w:r>
          </w:p>
        </w:tc>
        <w:tc>
          <w:tcPr>
            <w:tcW w:w="4876" w:type="dxa"/>
            <w:tcBorders>
              <w:top w:val="nil"/>
              <w:left w:val="nil"/>
              <w:bottom w:val="nil"/>
              <w:right w:val="nil"/>
            </w:tcBorders>
          </w:tcPr>
          <w:p>
            <w:pPr>
              <w:pStyle w:val="Normal6a"/>
            </w:pPr>
            <w:r>
              <w:t>24.</w:t>
            </w:r>
            <w:r>
              <w:tab/>
            </w:r>
            <w:r>
              <w:t xml:space="preserve">Considers that </w:t>
            </w:r>
            <w:r>
              <w:rPr>
                <w:b/>
                <w:i/>
              </w:rPr>
              <w:t>effective European defence cooperation requires timely and coordinated action while fully respecting Member States’</w:t>
            </w:r>
            <w:r>
              <w:t xml:space="preserve"> sovereignty</w:t>
            </w:r>
            <w:r>
              <w:rPr>
                <w:b/>
                <w:i/>
              </w:rPr>
              <w:t>, constitutional requirements and responsibilities for national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Claudiu-Richard Târziu, Alexandr Vondra, Elena Donazzan, Sander Smit,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Considers that CEDU decision-making must balance national sovereignty with the EU’s need for timely action</w:t>
            </w:r>
            <w:r>
              <w:t>;</w:t>
            </w:r>
          </w:p>
        </w:tc>
        <w:tc>
          <w:tcPr>
            <w:tcW w:w="4876" w:type="dxa"/>
            <w:tcBorders>
              <w:top w:val="nil"/>
              <w:left w:val="nil"/>
              <w:bottom w:val="nil"/>
              <w:right w:val="nil"/>
            </w:tcBorders>
          </w:tcPr>
          <w:p>
            <w:pPr>
              <w:pStyle w:val="Normal6a"/>
            </w:pPr>
            <w:r>
              <w:t>24.</w:t>
            </w:r>
            <w:r>
              <w:tab/>
            </w:r>
            <w:r>
              <w:rPr>
                <w:b/>
                <w:i/>
              </w:rPr>
              <w:t>Reaffirms that decisions having military or defence implications must respect the unanimity requirements and other safeguards laid down in the Treaties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Proposes that the core of the industrial and logistical backbone of the CEDU should 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Single European Defence Authority that ensures joint procurement becomes the rule, rather than the exception, thus creating significant interoperability and cost savings;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European Sustainment and Force Generation Command (ESGC) which ensures pre-agreed clarity on depth, scalability and theatre wide resilience for any collective defence scenario’s;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Acknowledges the strong interest of Member States in deeper integration towards the establishment of the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Single European Defence Authority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Proposes the establishment of a single European Defence Authority, merging the European Defence Agency and the Commission's Directorate-General for Defence Industry and Space, including the Defence Industrial Readiness Board, into one institution responsible for: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Capability target-setting, aligned with NATO's Defence Planning Process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Administration of joint capability financing (EDF, EDIP, SAFE and successors) under one roof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Structuring and promotion of joint ownership vehicles (SEAP)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Security-of-supply monitoring and crisis-response coordination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Internal market administration: harmonised standards, mutual recognition, oversight of Article 346 TFEU exemption use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Simplification and administration of intra-EU transfer licensing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Coordination and harmonisation of export-licensing practice among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Monitoring and reporting on collaborative-procurement and EDTIB-sourcing targets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Proactive brokering of multinational co-development consortia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Administration of third-country and partner participation and financial-contribution terms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Single interface between Member States' capability needs and available financing channels (EU budget, EIB, partner financing);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Considers that this merger is a strong option to prevent the emergence of competing rather than complementary centres of gravity in European defence-industrial governance and create the synergies necessary to end the persistent fragmentation in the European defence internal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Proposes that the Single European Defence Authority operates on a dual legal basis combining Article 45 TEU and Articles 173, 212 and 322 TFEU, exercising its Common Foreign and Security Policy-derived functions on an intergovernmental basis and its Treaty on the Functioning of the European Union-derived functions on a supranational basis, in a manner comparable to the hybrid governance model of the European Stability Mechanism; proposes that its Steering Board be constituted as the Security and Defence Council of Ministers, formalising the existing overlap between that configuration and the EDA Steering Board; proposes that its Chief Executive be double-hatted;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Underlines that the merger proposed above does not resolve the underlying difference in the applicable accountability regimes between the Authority's Common Foreign and Security Policy-derived and Treaty on the Functioning of the European Union-derived functions, given the limited jurisdiction of the Court of Justice of the European Union over Common Foreign and Security Policy acts under Article 24(1) TEU and Article 275 TFEU; calls, therefore, for full existing parliamentary and judicial scrutiny to continue to apply to the Authority's Treaty on the Functioning of the European Union-derived functions, and for enhanced, though not full, parliamentary scrutiny, including structured hearings and reporting obligations, to be established over its Common Foreign and Security Policy-derived functions, without prejudging the more far-reaching reforms addressed in the section on democratic accountability below;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24f.</w:t>
            </w:r>
            <w:r>
              <w:tab/>
            </w:r>
            <w:r>
              <w:rPr>
                <w:b/>
                <w:i/>
              </w:rPr>
              <w:t>Proposes that the CEDU's systems be jointly procured, in the near term, through the pooling of national defence budgets and further promoting and mandating common procurement; considers that, more optimally in the longer run, successor programmes to Security Action for Europe should carry much stronger conditions on joint procurement and make stronger use of legal structures and reward schemes such as European Defence Projects of Common Interest and the Structure for European Armament Programme; stresses that defence preparedness depends on the availability of a sufficient, skilled and protected workforce in critical industries and sectors; calls for EU programmes relevant to defence, resilience and preparedness to include measures for training, upskilling and reskilling, as well as social conditionalities in line with Union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24g.</w:t>
            </w:r>
            <w:r>
              <w:tab/>
            </w:r>
            <w:r>
              <w:rPr>
                <w:b/>
                <w:i/>
              </w:rPr>
              <w:t>Considers that procurement execution should remain the responsibility of a body distinct from the European Defence Authority, thus separating policy and standard setting from implementation; considers it should be open to all envisaged members of the CEDU (i.e. not just Union Member States) to leverage scale; proposes that this role could be fulfilled by OCCAR or similar, such as the envisaged Multilateral Defence Mechanism as long as it is subject to appropriate legal framework, accountability, oversight and audit; considers that the ESGC, through such as procurement mechanism, could itself jointly procure the required strategic enablers and create aggregate demand for standardisation; notes that, for some of the most critical capability gaps, in particular deep precision strike and integrated air and missile defence, the challenge lies in arsenal depth rather than a lack of available options, and that ambitious joint procurement would address production bottlenecks, the fragmentation of systems, and long lead times;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Recalls its resolution of 22 November 2023 on proposals of the European Parliament for the amendment of the Treaties, while recognising that Treaty revision faces exceptional political challenges under the current circumstances;</w:t>
            </w:r>
            <w:r>
              <w:t xml:space="preserve"> </w:t>
            </w:r>
            <w:r>
              <w:rPr>
                <w:b/>
                <w:i/>
              </w:rPr>
              <w:t>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w:t>
            </w:r>
            <w:r>
              <w:rPr>
                <w:b/>
                <w:i/>
              </w:rPr>
              <w:t>initiate a structured reflection on</w:t>
            </w:r>
            <w:r>
              <w:t xml:space="preserve"> the establishment of a </w:t>
            </w:r>
            <w:r>
              <w:rPr>
                <w:b/>
                <w:i/>
              </w:rPr>
              <w:t>CEDU as an objective of the EU, with a view to defining at Treaty level its governance, financing arrangements,</w:t>
            </w:r>
            <w:r>
              <w:t xml:space="preserve"> command </w:t>
            </w:r>
            <w:r>
              <w:rPr>
                <w:b/>
                <w:i/>
              </w:rPr>
              <w:t>structures and framework for democratic accountability</w:t>
            </w:r>
            <w:r>
              <w:t>;</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t>
            </w:r>
            <w:r>
              <w:rPr>
                <w:b/>
                <w:i/>
              </w:rPr>
              <w:t>and its resolution of 22 October 2025 on the institutional consequences of the EU enlargement negotiations</w:t>
            </w:r>
            <w:r>
              <w:t xml:space="preserve">, while recognising that Treaty revision faces exceptional political challenges under the current circumstances; calls, nevertheless, on the European Council to </w:t>
            </w:r>
            <w:r>
              <w:rPr>
                <w:b/>
                <w:i/>
              </w:rPr>
              <w:t>adopt a position on these proposed amendments with a view to convene a convention in the sense of Article 48(3) TEU; reaffirms its commitment to revise the CFSP clauses to bring security and defence under shared competence through</w:t>
            </w:r>
            <w:r>
              <w:t xml:space="preserve"> the establishment of a </w:t>
            </w:r>
            <w:r>
              <w:rPr>
                <w:b/>
                <w:i/>
              </w:rPr>
              <w:t>Defence Union, which must include military units under the operational</w:t>
            </w:r>
            <w:r>
              <w:t xml:space="preserve"> command </w:t>
            </w:r>
            <w:r>
              <w:rPr>
                <w:b/>
                <w:i/>
              </w:rPr>
              <w:t>of the Union, while enabling Member States to provide additional capabilities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Recalls its resolution of 22 November 2023 on proposals of the European Parliament for the amendment of the Treaties, while recognising that</w:t>
            </w:r>
            <w:r>
              <w:t xml:space="preserve"> Treaty </w:t>
            </w:r>
            <w:r>
              <w:rPr>
                <w:b/>
                <w:i/>
              </w:rPr>
              <w:t>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r>
              <w:t>;</w:t>
            </w:r>
          </w:p>
        </w:tc>
        <w:tc>
          <w:tcPr>
            <w:tcW w:w="4876" w:type="dxa"/>
            <w:tcBorders>
              <w:top w:val="nil"/>
              <w:left w:val="nil"/>
              <w:bottom w:val="nil"/>
              <w:right w:val="nil"/>
            </w:tcBorders>
          </w:tcPr>
          <w:p>
            <w:pPr>
              <w:pStyle w:val="Normal6a"/>
            </w:pPr>
            <w:r>
              <w:t>25.</w:t>
            </w:r>
            <w:r>
              <w:tab/>
            </w:r>
            <w:r>
              <w:rPr>
                <w:b/>
                <w:i/>
              </w:rPr>
              <w:t>Stresses that any</w:t>
            </w:r>
            <w:r>
              <w:t xml:space="preserve"> Treaty </w:t>
            </w:r>
            <w:r>
              <w:rPr>
                <w:b/>
                <w:i/>
              </w:rPr>
              <w:t>change must respect the procedures of Article 48 TEU and the constitutional requirements of each Member State, including referendums where applicable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 </w:t>
            </w:r>
            <w:r>
              <w:rPr>
                <w:b/>
                <w:i/>
              </w:rPr>
              <w:t>stresses that any Treaty revision in this regard should be limited to clearly identified amendments necessary for the establishment and functioning of the CEDU, building on the possibilities provided for in Article 48 TEU and subject to agreement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w:t>
            </w:r>
            <w:r>
              <w:rPr>
                <w:b/>
                <w:i/>
              </w:rPr>
              <w:t>initiate a structured reflection on the establishment of a CEDU</w:t>
            </w:r>
            <w:r>
              <w:t xml:space="preserve">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w:t>
            </w:r>
            <w:r>
              <w:rPr>
                <w:b/>
                <w:i/>
              </w:rPr>
              <w:t>immediately establish a European Defence Union</w:t>
            </w:r>
            <w:r>
              <w:t xml:space="preserve"> as an objective of the EU, with a view to defining at Treaty level its governance, financing arrangements, command structures and framework for democratic accountability </w:t>
            </w:r>
            <w:r>
              <w:rPr>
                <w:b/>
                <w:i/>
              </w:rPr>
              <w:t>through parliamentary oversight</w:t>
            </w:r>
            <w:r>
              <w:t xml:space="preserve">; </w:t>
            </w:r>
            <w:r>
              <w:rPr>
                <w:b/>
                <w:i/>
              </w:rPr>
              <w:t>urges Parliament to be presented with relevant information and consulted on the design and implementation at timely intervals;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w:t>
            </w:r>
            <w:r>
              <w:rPr>
                <w:b/>
                <w:i/>
              </w:rPr>
              <w:t>and that any such revision would require the unanimous agreement of the Member States and ratification in accordance with their respective constitutional requirements</w:t>
            </w:r>
            <w:r>
              <w:t>;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Claudiu-Richard Târziu, 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w:t>
            </w:r>
            <w:r>
              <w:rPr>
                <w:b/>
                <w:i/>
              </w:rPr>
              <w:t>its resolution of 22 November 2023 on proposals of the European Parliament for the amendment of the Treaties, while recognising</w:t>
            </w:r>
            <w:r>
              <w:t xml:space="preserve"> that Treaty revision </w:t>
            </w:r>
            <w:r>
              <w:rPr>
                <w:b/>
                <w:i/>
              </w:rPr>
              <w:t>faces exceptional political challenges under the current circumstances; calls, nevertheless, on the European Council to initiate a</w:t>
            </w:r>
            <w:r>
              <w:t xml:space="preserve"> structured reflection </w:t>
            </w:r>
            <w:r>
              <w:rPr>
                <w:b/>
                <w:i/>
              </w:rPr>
              <w:t>on the establishment of a CEDU as an objective of the EU, with a view to</w:t>
            </w:r>
            <w:r>
              <w:t xml:space="preserve"> defining </w:t>
            </w:r>
            <w:r>
              <w:rPr>
                <w:b/>
                <w:i/>
              </w:rPr>
              <w:t>at Treaty level its</w:t>
            </w:r>
            <w:r>
              <w:t xml:space="preserve"> governance, financing arrangements</w:t>
            </w:r>
            <w:r>
              <w:rPr>
                <w:b/>
                <w:i/>
              </w:rPr>
              <w:t>,</w:t>
            </w:r>
            <w:r>
              <w:t xml:space="preserve"> command structures </w:t>
            </w:r>
            <w:r>
              <w:rPr>
                <w:b/>
                <w:i/>
              </w:rPr>
              <w:t>and framework for democratic accountability</w:t>
            </w:r>
            <w:r>
              <w:t>;</w:t>
            </w:r>
          </w:p>
        </w:tc>
        <w:tc>
          <w:tcPr>
            <w:tcW w:w="4876" w:type="dxa"/>
            <w:tcBorders>
              <w:top w:val="nil"/>
              <w:left w:val="nil"/>
              <w:bottom w:val="nil"/>
              <w:right w:val="nil"/>
            </w:tcBorders>
          </w:tcPr>
          <w:p>
            <w:pPr>
              <w:pStyle w:val="Normal6a"/>
            </w:pPr>
            <w:r>
              <w:t>25.</w:t>
            </w:r>
            <w:r>
              <w:tab/>
            </w:r>
            <w:r>
              <w:t xml:space="preserve">Recalls that </w:t>
            </w:r>
            <w:r>
              <w:rPr>
                <w:b/>
                <w:i/>
              </w:rPr>
              <w:t>any</w:t>
            </w:r>
            <w:r>
              <w:t xml:space="preserve"> Treaty revision </w:t>
            </w:r>
            <w:r>
              <w:rPr>
                <w:b/>
                <w:i/>
              </w:rPr>
              <w:t>must strictly respect the principle of voluntary intergovernmental cooperation and the sovereign consent of all Member States; firmly rejects the initiation of any</w:t>
            </w:r>
            <w:r>
              <w:t xml:space="preserve"> structured reflection </w:t>
            </w:r>
            <w:r>
              <w:rPr>
                <w:b/>
                <w:i/>
              </w:rPr>
              <w:t>aimed at establishing a supranational European Defence Union or</w:t>
            </w:r>
            <w:r>
              <w:t xml:space="preserve"> defining </w:t>
            </w:r>
            <w:r>
              <w:rPr>
                <w:b/>
                <w:i/>
              </w:rPr>
              <w:t>centralised</w:t>
            </w:r>
            <w:r>
              <w:t xml:space="preserve"> governance, financing arrangements </w:t>
            </w:r>
            <w:r>
              <w:rPr>
                <w:b/>
                <w:i/>
              </w:rPr>
              <w:t>or</w:t>
            </w:r>
            <w:r>
              <w:t xml:space="preserve"> command structures </w:t>
            </w:r>
            <w:r>
              <w:rPr>
                <w:b/>
                <w:i/>
              </w:rPr>
              <w:t>at Treaty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w:t>
            </w:r>
            <w:r>
              <w:rPr>
                <w:b/>
                <w:i/>
              </w:rPr>
              <w:t>initiate a structured reflection on the establishment of a CEDU as an objective of the EU, with a view to defining at</w:t>
            </w:r>
            <w:r>
              <w:t xml:space="preserve"> Treaty </w:t>
            </w:r>
            <w:r>
              <w:rPr>
                <w:b/>
                <w:i/>
              </w:rPr>
              <w:t>level its governance, financing arrangements, command structures and framework for democratic accountability;</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calls, nevertheless, on the European Council to </w:t>
            </w:r>
            <w:r>
              <w:rPr>
                <w:b/>
                <w:i/>
              </w:rPr>
              <w:t>make full use of existing Treaty provisions before considering institutional reforms requiring</w:t>
            </w:r>
            <w:r>
              <w:t xml:space="preserve"> Treaty </w:t>
            </w:r>
            <w:r>
              <w:rPr>
                <w:b/>
                <w:i/>
              </w:rPr>
              <w:t>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 and framework for democratic accountability;</w:t>
            </w:r>
          </w:p>
        </w:tc>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 while recognising that Treaty revision faces exceptional political challenges under the current circumstances; calls, nevertheless, on the European Council to initiate a structured reflection on the establishment of a CEDU as an objective of the EU, with a view to defining at Treaty level its governance, financing arrangements, command structures</w:t>
            </w:r>
            <w:r>
              <w:rPr>
                <w:b/>
                <w:i/>
              </w:rPr>
              <w:t>, the functioning of the internal market for defence, including the scope of Article 346 TFEU</w:t>
            </w:r>
            <w:r>
              <w:t xml:space="preserve"> and framework for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Recalls its resolution of 22 November 2023 on proposals of the European Parliament for the</w:t>
            </w:r>
            <w:r>
              <w:t xml:space="preserve"> amendment of the Treaties</w:t>
            </w:r>
            <w:r>
              <w:rPr>
                <w:b/>
                <w:i/>
              </w:rPr>
              <w:t>, while recognising that Treaty revision faces exceptional political challenges under the current circumstances;</w:t>
            </w:r>
            <w:r>
              <w:t xml:space="preserve"> </w:t>
            </w:r>
            <w:r>
              <w:rPr>
                <w:b/>
                <w:i/>
              </w:rPr>
              <w:t>calls, nevertheless, on the European Council to initiate a structured reflection on the establishment of a CEDU as an objective of</w:t>
            </w:r>
            <w:r>
              <w:t xml:space="preserve"> the EU</w:t>
            </w:r>
            <w:r>
              <w:rPr>
                <w:b/>
                <w:i/>
              </w:rPr>
              <w:t>, with a view to defining at Treaty level its governance, financing arrangements,</w:t>
            </w:r>
            <w:r>
              <w:t xml:space="preserve"> command structures </w:t>
            </w:r>
            <w:r>
              <w:rPr>
                <w:b/>
                <w:i/>
              </w:rPr>
              <w:t>and framework for democratic accountability</w:t>
            </w:r>
            <w:r>
              <w:t>;</w:t>
            </w:r>
          </w:p>
        </w:tc>
        <w:tc>
          <w:tcPr>
            <w:tcW w:w="4876" w:type="dxa"/>
            <w:tcBorders>
              <w:top w:val="nil"/>
              <w:left w:val="nil"/>
              <w:bottom w:val="nil"/>
              <w:right w:val="nil"/>
            </w:tcBorders>
          </w:tcPr>
          <w:p>
            <w:pPr>
              <w:pStyle w:val="Normal6a"/>
            </w:pPr>
            <w:r>
              <w:t>25.</w:t>
            </w:r>
            <w:r>
              <w:tab/>
            </w:r>
            <w:r>
              <w:rPr>
                <w:b/>
                <w:i/>
              </w:rPr>
              <w:t>Rejects any</w:t>
            </w:r>
            <w:r>
              <w:t xml:space="preserve"> amendment of the Treaties </w:t>
            </w:r>
            <w:r>
              <w:rPr>
                <w:b/>
                <w:i/>
              </w:rPr>
              <w:t>that aims to transfer new defence competences to</w:t>
            </w:r>
            <w:r>
              <w:t xml:space="preserve"> the EU </w:t>
            </w:r>
            <w:r>
              <w:rPr>
                <w:b/>
                <w:i/>
              </w:rPr>
              <w:t>or establish supranational</w:t>
            </w:r>
            <w:r>
              <w:t xml:space="preserve"> command </w:t>
            </w:r>
            <w:r>
              <w:rPr>
                <w:b/>
                <w:i/>
              </w:rPr>
              <w:t>and military decision-making</w:t>
            </w:r>
            <w:r>
              <w:t xml:space="preserve"> structures</w:t>
            </w:r>
            <w:r>
              <w:rPr>
                <w:b/>
                <w:i/>
              </w:rPr>
              <w:t>;</w:t>
            </w:r>
            <w:r>
              <w:t xml:space="preserve"> </w:t>
            </w:r>
            <w:r>
              <w:rPr>
                <w:b/>
                <w:i/>
              </w:rPr>
              <w:t>considers that stronger European defence capabilities should be based on cooperation among sovereign states and, for those Member States that are members of it, in full synergy with NATO, as the cornerstone of collective defence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Recalls its resolution of 22 November 2023 on proposals of the European Parliament for the amendment of the Treaties, while recognising that</w:t>
            </w:r>
            <w:r>
              <w:t xml:space="preserve"> Treaty revision </w:t>
            </w:r>
            <w:r>
              <w:rPr>
                <w:b/>
                <w:i/>
              </w:rPr>
              <w:t>faces exceptional political challenges under the current circumstances; calls, nevertheless, on the European Council to initiate a structured reflection on the establishment of a CEDU as an objective</w:t>
            </w:r>
            <w:r>
              <w:t xml:space="preserve"> of the </w:t>
            </w:r>
            <w:r>
              <w:rPr>
                <w:b/>
                <w:i/>
              </w:rPr>
              <w:t>EU, with a view to defining at Treaty level its governance, financing arrangements, command structures and framework for</w:t>
            </w:r>
            <w:r>
              <w:t xml:space="preserve"> democratic </w:t>
            </w:r>
            <w:r>
              <w:rPr>
                <w:b/>
                <w:i/>
              </w:rPr>
              <w:t>accountability</w:t>
            </w:r>
            <w:r>
              <w:t>;</w:t>
            </w:r>
          </w:p>
        </w:tc>
        <w:tc>
          <w:tcPr>
            <w:tcW w:w="4876" w:type="dxa"/>
            <w:tcBorders>
              <w:top w:val="nil"/>
              <w:left w:val="nil"/>
              <w:bottom w:val="nil"/>
              <w:right w:val="nil"/>
            </w:tcBorders>
          </w:tcPr>
          <w:p>
            <w:pPr>
              <w:pStyle w:val="Normal6a"/>
            </w:pPr>
            <w:r>
              <w:t>25.</w:t>
            </w:r>
            <w:r>
              <w:tab/>
            </w:r>
            <w:r>
              <w:rPr>
                <w:b/>
                <w:i/>
              </w:rPr>
              <w:t>Considers that the immediate priority should be effective implementation of existing cooperation mechanisms and delivery of military capabilities; does not consider further transfers of national defence competences or</w:t>
            </w:r>
            <w:r>
              <w:t xml:space="preserve"> Treaty revision </w:t>
            </w:r>
            <w:r>
              <w:rPr>
                <w:b/>
                <w:i/>
              </w:rPr>
              <w:t>a prerequisite for improved readiness; stresses that any future proposal for Treaty change must follow Article 48 TEU and the constitutional requirements</w:t>
            </w:r>
            <w:r>
              <w:t xml:space="preserve"> of the </w:t>
            </w:r>
            <w:r>
              <w:rPr>
                <w:b/>
                <w:i/>
              </w:rPr>
              <w:t>Member States, with full</w:t>
            </w:r>
            <w:r>
              <w:t xml:space="preserve"> democratic </w:t>
            </w:r>
            <w:r>
              <w:rPr>
                <w:b/>
                <w:i/>
              </w:rPr>
              <w:t>scrutiny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w:t>
            </w:r>
            <w:r>
              <w:rPr>
                <w:b/>
                <w:i/>
              </w:rPr>
              <w:t>, while recognising that</w:t>
            </w:r>
            <w:r>
              <w:t xml:space="preserve"> Treaty </w:t>
            </w:r>
            <w:r>
              <w:rPr>
                <w:b/>
                <w:i/>
              </w:rPr>
              <w:t>revision faces exceptional political challenges under the current circumstances; calls, nevertheless, on</w:t>
            </w:r>
            <w:r>
              <w:t xml:space="preserve"> the European Council </w:t>
            </w:r>
            <w:r>
              <w:rPr>
                <w:b/>
                <w:i/>
              </w:rPr>
              <w:t>to initiate a structured reflection on the establishment of a CEDU as an objective of the EU, with a view to defining at Treaty level its governance, financing arrangements, command structures and framework for democratic accountability</w:t>
            </w:r>
            <w:r>
              <w:t>;</w:t>
            </w:r>
          </w:p>
        </w:tc>
        <w:tc>
          <w:tcPr>
            <w:tcW w:w="4876" w:type="dxa"/>
            <w:tcBorders>
              <w:top w:val="nil"/>
              <w:left w:val="nil"/>
              <w:bottom w:val="nil"/>
              <w:right w:val="nil"/>
            </w:tcBorders>
          </w:tcPr>
          <w:p>
            <w:pPr>
              <w:pStyle w:val="Normal6a"/>
            </w:pPr>
            <w:r>
              <w:t>25.</w:t>
            </w:r>
            <w:r>
              <w:tab/>
            </w:r>
            <w:r>
              <w:t>Recalls its resolution of 22 November 2023 on proposals of the European Parliament for the amendment of the Treaties</w:t>
            </w:r>
            <w:r>
              <w:rPr>
                <w:b/>
                <w:i/>
              </w:rPr>
              <w:t>; rejects any</w:t>
            </w:r>
            <w:r>
              <w:t xml:space="preserve"> Treaty </w:t>
            </w:r>
            <w:r>
              <w:rPr>
                <w:b/>
                <w:i/>
              </w:rPr>
              <w:t>change aimed at transferring competences in the field of defence to the Union, establishing supranational command structures or abolishing unanimity; recalls that, pursuant to Article 42(2) TEU, a common defence may only be established by a unanimous decision of</w:t>
            </w:r>
            <w:r>
              <w:t xml:space="preserve"> the European Council </w:t>
            </w:r>
            <w:r>
              <w:rPr>
                <w:b/>
                <w:i/>
              </w:rPr>
              <w:t>and its adoption by the Member States in accordance with their respective constitutional requirements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w:t>
            </w:r>
            <w:r>
              <w:rPr>
                <w:b/>
                <w:i/>
              </w:rPr>
              <w:t>calls, nevertheless, on the European Council to initiate a structured reflection on the establishment of a CEDU as an objective of the EU, with a view to defining at Treaty</w:t>
            </w:r>
            <w:r>
              <w:t xml:space="preserve"> level </w:t>
            </w:r>
            <w:r>
              <w:rPr>
                <w:b/>
                <w:i/>
              </w:rPr>
              <w:t>its</w:t>
            </w:r>
            <w:r>
              <w:t xml:space="preserve"> governance, financing </w:t>
            </w:r>
            <w:r>
              <w:rPr>
                <w:b/>
                <w:i/>
              </w:rPr>
              <w:t>arrangements</w:t>
            </w:r>
            <w:r>
              <w:t xml:space="preserve">, command </w:t>
            </w:r>
            <w:r>
              <w:rPr>
                <w:b/>
                <w:i/>
              </w:rPr>
              <w:t>structures and framework for democratic</w:t>
            </w:r>
            <w:r>
              <w:t xml:space="preserve"> accountability;</w:t>
            </w:r>
          </w:p>
        </w:tc>
        <w:tc>
          <w:tcPr>
            <w:tcW w:w="4876" w:type="dxa"/>
            <w:tcBorders>
              <w:top w:val="nil"/>
              <w:left w:val="nil"/>
              <w:bottom w:val="nil"/>
              <w:right w:val="nil"/>
            </w:tcBorders>
          </w:tcPr>
          <w:p>
            <w:pPr>
              <w:pStyle w:val="Normal6a"/>
            </w:pPr>
            <w:r>
              <w:t>25.</w:t>
            </w:r>
            <w:r>
              <w:tab/>
            </w:r>
            <w:r>
              <w:t xml:space="preserve">Recalls its resolution of 22 November 2023 on proposals of the European Parliament for the amendment of the Treaties, while recognising that Treaty revision faces exceptional political challenges under the current circumstances; </w:t>
            </w:r>
            <w:r>
              <w:rPr>
                <w:b/>
                <w:i/>
              </w:rPr>
              <w:t>recalls that any CEDU</w:t>
            </w:r>
            <w:r>
              <w:t xml:space="preserve"> level governance, financing, command </w:t>
            </w:r>
            <w:r>
              <w:rPr>
                <w:b/>
                <w:i/>
              </w:rPr>
              <w:t>and</w:t>
            </w:r>
            <w:r>
              <w:t xml:space="preserve"> accountability </w:t>
            </w:r>
            <w:r>
              <w:rPr>
                <w:b/>
                <w:i/>
              </w:rPr>
              <w:t>arrangements shall be established through Article 48 TEU and not through accumulated practice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Sustainment and Force Generation Command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Proposes the establishment of a European Sustainment and Force Generation Command (ESGC), forming a CEDU counterpart to NATO's Allied Command Transformation, with authority over the logistical activities required to sustain and generate forces, including military mobility, training and exercises, ammunition storage and dispersal, and pre-war planning for surges at military installations; considers that the ESGC should coordinate with the various defence-industrial, whole-of-society resilience, military mobility and other non-executive defence readiness and preparedness instruments and bodies provided by the EU, and should ensure that interoperability and joint procurement become the rule rather than the exception; recalls that the EU has already trained close to 100 000 Ukrainian service members through the EU Military Assistance Mission in support of Ukraine (EUMAM Ukraine), and considers this a relevant precedent for the training and force-generation role to be exercised by the ESGC;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Calls for greater use of qualified majority voting in capability development, defence industry, procurement and financing, while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 greater use of qualified majority voting in</w:t>
            </w:r>
            <w:r>
              <w:t xml:space="preserve"> capability development, defence </w:t>
            </w:r>
            <w:r>
              <w:rPr>
                <w:b/>
                <w:i/>
              </w:rPr>
              <w:t>industry,</w:t>
            </w:r>
            <w:r>
              <w:t xml:space="preserve"> procurement and financing</w:t>
            </w:r>
            <w:r>
              <w:rPr>
                <w:b/>
                <w:i/>
              </w:rPr>
              <w:t>, while exploring</w:t>
            </w:r>
            <w:r>
              <w:t xml:space="preserve"> decision-making </w:t>
            </w:r>
            <w:r>
              <w:rPr>
                <w:b/>
                <w:i/>
              </w:rPr>
              <w:t>mechanisms</w:t>
            </w:r>
            <w:r>
              <w:t xml:space="preserve"> for military deployments </w:t>
            </w:r>
            <w:r>
              <w:rPr>
                <w:b/>
                <w:i/>
              </w:rPr>
              <w:t>that preserve national sovereignty without allowing blockage</w:t>
            </w:r>
            <w:r>
              <w:t>;</w:t>
            </w:r>
          </w:p>
        </w:tc>
        <w:tc>
          <w:tcPr>
            <w:tcW w:w="4876" w:type="dxa"/>
            <w:tcBorders>
              <w:top w:val="nil"/>
              <w:left w:val="nil"/>
              <w:bottom w:val="nil"/>
              <w:right w:val="nil"/>
            </w:tcBorders>
          </w:tcPr>
          <w:p>
            <w:pPr>
              <w:pStyle w:val="Normal6a"/>
            </w:pPr>
            <w:r>
              <w:t>26.</w:t>
            </w:r>
            <w:r>
              <w:tab/>
            </w:r>
            <w:r>
              <w:rPr>
                <w:b/>
                <w:i/>
              </w:rPr>
              <w:t>Insists that decisions on</w:t>
            </w:r>
            <w:r>
              <w:t xml:space="preserve"> capability development, defence procurement and </w:t>
            </w:r>
            <w:r>
              <w:rPr>
                <w:b/>
                <w:i/>
              </w:rPr>
              <w:t>the</w:t>
            </w:r>
            <w:r>
              <w:t xml:space="preserve"> financing </w:t>
            </w:r>
            <w:r>
              <w:rPr>
                <w:b/>
                <w:i/>
              </w:rPr>
              <w:t>of military operations remain the responsibility of the Member States and, insofar as they are taken within the common security and defence policy, are adopted unanimously; stresses that any deployment of armed forces requires the sovereign decision of the Member State concerned and, where provided for by its constitutional law, the prior consent of its national parliament; rejects any</w:t>
            </w:r>
            <w:r>
              <w:t xml:space="preserve"> decision-making </w:t>
            </w:r>
            <w:r>
              <w:rPr>
                <w:b/>
                <w:i/>
              </w:rPr>
              <w:t>mechanism</w:t>
            </w:r>
            <w:r>
              <w:t xml:space="preserve"> for military deployments </w:t>
            </w:r>
            <w:r>
              <w:rPr>
                <w:b/>
                <w:i/>
              </w:rPr>
              <w:t>under which a Member State could be outvoted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greater </w:t>
            </w:r>
            <w:r>
              <w:rPr>
                <w:b/>
                <w:i/>
              </w:rPr>
              <w:t>use of qualified majority voting</w:t>
            </w:r>
            <w:r>
              <w:t xml:space="preserve"> in capability development, defence industry, procurement and financing, while </w:t>
            </w:r>
            <w:r>
              <w:rPr>
                <w:b/>
                <w:i/>
              </w:rPr>
              <w:t>exploring decision-making mechanisms for military deployments that preserve</w:t>
            </w:r>
            <w:r>
              <w:t xml:space="preserve"> national </w:t>
            </w:r>
            <w:r>
              <w:rPr>
                <w:b/>
                <w:i/>
              </w:rPr>
              <w:t>sovereignty without allowing blockage</w:t>
            </w:r>
            <w:r>
              <w:t>;</w:t>
            </w:r>
          </w:p>
        </w:tc>
        <w:tc>
          <w:tcPr>
            <w:tcW w:w="4876" w:type="dxa"/>
            <w:tcBorders>
              <w:top w:val="nil"/>
              <w:left w:val="nil"/>
              <w:bottom w:val="nil"/>
              <w:right w:val="nil"/>
            </w:tcBorders>
          </w:tcPr>
          <w:p>
            <w:pPr>
              <w:pStyle w:val="Normal6a"/>
            </w:pPr>
            <w:r>
              <w:t>26.</w:t>
            </w:r>
            <w:r>
              <w:tab/>
            </w:r>
            <w:r>
              <w:t xml:space="preserve">Calls for greater </w:t>
            </w:r>
            <w:r>
              <w:rPr>
                <w:b/>
                <w:i/>
              </w:rPr>
              <w:t>practical cooperation among Member States</w:t>
            </w:r>
            <w:r>
              <w:t xml:space="preserve"> in capability development, defence industry, procurement and financing, while </w:t>
            </w:r>
            <w:r>
              <w:rPr>
                <w:b/>
                <w:i/>
              </w:rPr>
              <w:t>stressing that decisions concerning the deployment and use of</w:t>
            </w:r>
            <w:r>
              <w:t xml:space="preserve"> national </w:t>
            </w:r>
            <w:r>
              <w:rPr>
                <w:b/>
                <w:i/>
              </w:rPr>
              <w:t>armed forces must remain subject to the constitutional and democratic procedures of the Member States concerned. Stresses the importance of maintaining consensus among Member States in matters with direct implications for national security and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w:t>
            </w:r>
            <w:r>
              <w:rPr>
                <w:b/>
                <w:i/>
              </w:rPr>
              <w:t>greater use of qualified majority voting</w:t>
            </w:r>
            <w:r>
              <w:t xml:space="preserve"> in capability development, defence industry, procurement and financing</w:t>
            </w:r>
            <w:r>
              <w:rPr>
                <w:b/>
                <w:i/>
              </w:rPr>
              <w:t>, while exploring decision-making mechanisms for</w:t>
            </w:r>
            <w:r>
              <w:t xml:space="preserve"> military </w:t>
            </w:r>
            <w:r>
              <w:rPr>
                <w:b/>
                <w:i/>
              </w:rPr>
              <w:t>deployments that preserve national sovereignty without allowing blockage</w:t>
            </w:r>
            <w:r>
              <w:t>;</w:t>
            </w:r>
          </w:p>
        </w:tc>
        <w:tc>
          <w:tcPr>
            <w:tcW w:w="4876" w:type="dxa"/>
            <w:tcBorders>
              <w:top w:val="nil"/>
              <w:left w:val="nil"/>
              <w:bottom w:val="nil"/>
              <w:right w:val="nil"/>
            </w:tcBorders>
          </w:tcPr>
          <w:p>
            <w:pPr>
              <w:pStyle w:val="Normal6a"/>
            </w:pPr>
            <w:r>
              <w:t>26.</w:t>
            </w:r>
            <w:r>
              <w:tab/>
            </w:r>
            <w:r>
              <w:t xml:space="preserve">Calls for </w:t>
            </w:r>
            <w:r>
              <w:rPr>
                <w:b/>
                <w:i/>
              </w:rPr>
              <w:t>the deletion of the unanimity rule in foreign and security policy in the Council, including especially</w:t>
            </w:r>
            <w:r>
              <w:t xml:space="preserve"> in capability development, defence industry, </w:t>
            </w:r>
            <w:r>
              <w:rPr>
                <w:b/>
                <w:i/>
              </w:rPr>
              <w:t>and</w:t>
            </w:r>
            <w:r>
              <w:t xml:space="preserve"> procurement and financing</w:t>
            </w:r>
            <w:r>
              <w:rPr>
                <w:b/>
                <w:i/>
              </w:rPr>
              <w:t>; calls for an amendment to Article 46(6) TEU to allow for qualified majority voting instead of unanimity in the management of permanent structured cooperation, with the exception of decisions leading to the creation of</w:t>
            </w:r>
            <w:r>
              <w:t xml:space="preserve"> military </w:t>
            </w:r>
            <w:r>
              <w:rPr>
                <w:b/>
                <w:i/>
              </w:rPr>
              <w:t>missions or operations with an executive mandate under the CSDP, which must remain under unanimity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 greater use of qualified majority voting</w:t>
            </w:r>
            <w:r>
              <w:t xml:space="preserve"> in capability development, defence industry</w:t>
            </w:r>
            <w:r>
              <w:rPr>
                <w:b/>
                <w:i/>
              </w:rPr>
              <w:t>,</w:t>
            </w:r>
            <w:r>
              <w:t xml:space="preserve"> procurement and </w:t>
            </w:r>
            <w:r>
              <w:rPr>
                <w:b/>
                <w:i/>
              </w:rPr>
              <w:t>financing, while exploring</w:t>
            </w:r>
            <w:r>
              <w:t xml:space="preserve"> decision-making </w:t>
            </w:r>
            <w:r>
              <w:rPr>
                <w:b/>
                <w:i/>
              </w:rPr>
              <w:t>mechanisms for</w:t>
            </w:r>
            <w:r>
              <w:t xml:space="preserve"> military deployments </w:t>
            </w:r>
            <w:r>
              <w:rPr>
                <w:b/>
                <w:i/>
              </w:rPr>
              <w:t>that preserve</w:t>
            </w:r>
            <w:r>
              <w:t xml:space="preserve"> national </w:t>
            </w:r>
            <w:r>
              <w:rPr>
                <w:b/>
                <w:i/>
              </w:rPr>
              <w:t>sovereignty</w:t>
            </w:r>
            <w:r>
              <w:t xml:space="preserve"> without </w:t>
            </w:r>
            <w:r>
              <w:rPr>
                <w:b/>
                <w:i/>
              </w:rPr>
              <w:t>allowing blockage</w:t>
            </w:r>
            <w:r>
              <w:t>;</w:t>
            </w:r>
          </w:p>
        </w:tc>
        <w:tc>
          <w:tcPr>
            <w:tcW w:w="4876" w:type="dxa"/>
            <w:tcBorders>
              <w:top w:val="nil"/>
              <w:left w:val="nil"/>
              <w:bottom w:val="nil"/>
              <w:right w:val="nil"/>
            </w:tcBorders>
          </w:tcPr>
          <w:p>
            <w:pPr>
              <w:pStyle w:val="Normal6a"/>
            </w:pPr>
            <w:r>
              <w:t>26.</w:t>
            </w:r>
            <w:r>
              <w:tab/>
            </w:r>
            <w:r>
              <w:rPr>
                <w:b/>
                <w:i/>
              </w:rPr>
              <w:t>Supports more effective voluntary cooperation</w:t>
            </w:r>
            <w:r>
              <w:t xml:space="preserve"> in capability development, defence industry </w:t>
            </w:r>
            <w:r>
              <w:rPr>
                <w:b/>
                <w:i/>
              </w:rPr>
              <w:t>and</w:t>
            </w:r>
            <w:r>
              <w:t xml:space="preserve"> procurement </w:t>
            </w:r>
            <w:r>
              <w:rPr>
                <w:b/>
                <w:i/>
              </w:rPr>
              <w:t>where it delivers measurable benefits; stresses that each measure must respect its applicable Treaty legal basis</w:t>
            </w:r>
            <w:r>
              <w:t xml:space="preserve"> and decision-making </w:t>
            </w:r>
            <w:r>
              <w:rPr>
                <w:b/>
                <w:i/>
              </w:rPr>
              <w:t>procedure; insists that decisions on</w:t>
            </w:r>
            <w:r>
              <w:t xml:space="preserve"> military deployments </w:t>
            </w:r>
            <w:r>
              <w:rPr>
                <w:b/>
                <w:i/>
              </w:rPr>
              <w:t>and</w:t>
            </w:r>
            <w:r>
              <w:t xml:space="preserve"> national </w:t>
            </w:r>
            <w:r>
              <w:rPr>
                <w:b/>
                <w:i/>
              </w:rPr>
              <w:t>defence expenditure remain subject to national constitutional procedures and parliamentary control, and rejects arrangements that would oblige a Member State to deploy its armed forces</w:t>
            </w:r>
            <w:r>
              <w:t xml:space="preserve"> without </w:t>
            </w:r>
            <w:r>
              <w:rPr>
                <w:b/>
                <w:i/>
              </w:rPr>
              <w:t>its consent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w:t>
            </w:r>
            <w:r>
              <w:rPr>
                <w:b/>
                <w:i/>
              </w:rPr>
              <w:t>greater use of</w:t>
            </w:r>
            <w:r>
              <w:t xml:space="preserve"> qualified majority voting in capability development, defence industry, procurement and financing, while exploring decision-making mechanisms for </w:t>
            </w:r>
            <w:r>
              <w:rPr>
                <w:b/>
                <w:i/>
              </w:rPr>
              <w:t>military deployments that preserve national sovereignty without allowing blockage</w:t>
            </w:r>
            <w:r>
              <w:t>;</w:t>
            </w:r>
          </w:p>
        </w:tc>
        <w:tc>
          <w:tcPr>
            <w:tcW w:w="4876" w:type="dxa"/>
            <w:tcBorders>
              <w:top w:val="nil"/>
              <w:left w:val="nil"/>
              <w:bottom w:val="nil"/>
              <w:right w:val="nil"/>
            </w:tcBorders>
          </w:tcPr>
          <w:p>
            <w:pPr>
              <w:pStyle w:val="Normal6a"/>
            </w:pPr>
            <w:r>
              <w:t>26.</w:t>
            </w:r>
            <w:r>
              <w:tab/>
            </w:r>
            <w:r>
              <w:t xml:space="preserve">Calls for </w:t>
            </w:r>
            <w:r>
              <w:rPr>
                <w:b/>
                <w:i/>
              </w:rPr>
              <w:t>a Treaty amendment to make</w:t>
            </w:r>
            <w:r>
              <w:t xml:space="preserve"> qualified majority voting </w:t>
            </w:r>
            <w:r>
              <w:rPr>
                <w:b/>
                <w:i/>
              </w:rPr>
              <w:t>the default decision-making mechanism</w:t>
            </w:r>
            <w:r>
              <w:t xml:space="preserve"> in capability development, defence industry, procurement and financing, while exploring decision-making mechanisms for </w:t>
            </w:r>
            <w:r>
              <w:rPr>
                <w:b/>
                <w:i/>
              </w:rPr>
              <w:t>decisions on missions or operations with an executive mandate referred to in current Article 42(4a)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 greater use of qualified majority voting in capability development,</w:t>
            </w:r>
            <w:r>
              <w:t xml:space="preserve"> defence </w:t>
            </w:r>
            <w:r>
              <w:rPr>
                <w:b/>
                <w:i/>
              </w:rPr>
              <w:t>industry</w:t>
            </w:r>
            <w:r>
              <w:t xml:space="preserve">, </w:t>
            </w:r>
            <w:r>
              <w:rPr>
                <w:b/>
                <w:i/>
              </w:rPr>
              <w:t>procurement and financing, while exploring decision-making mechanisms for military deployments that preserve</w:t>
            </w:r>
            <w:r>
              <w:t xml:space="preserve"> national sovereignty </w:t>
            </w:r>
            <w:r>
              <w:rPr>
                <w:b/>
                <w:i/>
              </w:rPr>
              <w:t>without allowing blockage</w:t>
            </w:r>
            <w:r>
              <w:t>;</w:t>
            </w:r>
          </w:p>
        </w:tc>
        <w:tc>
          <w:tcPr>
            <w:tcW w:w="4876" w:type="dxa"/>
            <w:tcBorders>
              <w:top w:val="nil"/>
              <w:left w:val="nil"/>
              <w:bottom w:val="nil"/>
              <w:right w:val="nil"/>
            </w:tcBorders>
          </w:tcPr>
          <w:p>
            <w:pPr>
              <w:pStyle w:val="Normal6a"/>
            </w:pPr>
            <w:r>
              <w:t>26.</w:t>
            </w:r>
            <w:r>
              <w:tab/>
            </w:r>
            <w:r>
              <w:rPr>
                <w:b/>
                <w:i/>
              </w:rPr>
              <w:t>Emphasises that the requirement of unanimity in the Treaties reflects the sensitive nature of security and</w:t>
            </w:r>
            <w:r>
              <w:t xml:space="preserve"> defence </w:t>
            </w:r>
            <w:r>
              <w:rPr>
                <w:b/>
                <w:i/>
              </w:rPr>
              <w:t>policy</w:t>
            </w:r>
            <w:r>
              <w:t xml:space="preserve">, </w:t>
            </w:r>
            <w:r>
              <w:rPr>
                <w:b/>
                <w:i/>
              </w:rPr>
              <w:t>and the will of</w:t>
            </w:r>
            <w:r>
              <w:t xml:space="preserve"> national </w:t>
            </w:r>
            <w:r>
              <w:rPr>
                <w:b/>
                <w:i/>
              </w:rPr>
              <w:t>electorates, parliaments and governments to retain influence over questions of importance to their own</w:t>
            </w:r>
            <w:r>
              <w:t xml:space="preserve">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Claudiu-Richard Târziu, Alexandr Vondra, Sander Smit,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greater </w:t>
            </w:r>
            <w:r>
              <w:rPr>
                <w:b/>
                <w:i/>
              </w:rPr>
              <w:t>use of qualified majority voting</w:t>
            </w:r>
            <w:r>
              <w:t xml:space="preserve"> in capability development, defence industry, procurement and financing</w:t>
            </w:r>
            <w:r>
              <w:rPr>
                <w:b/>
                <w:i/>
              </w:rPr>
              <w:t>, while exploring decision-making mechanisms for</w:t>
            </w:r>
            <w:r>
              <w:t xml:space="preserve"> military deployments </w:t>
            </w:r>
            <w:r>
              <w:rPr>
                <w:b/>
                <w:i/>
              </w:rPr>
              <w:t>that preserve</w:t>
            </w:r>
            <w:r>
              <w:t xml:space="preserve"> national </w:t>
            </w:r>
            <w:r>
              <w:rPr>
                <w:b/>
                <w:i/>
              </w:rPr>
              <w:t>sovereignty without allowing blockage</w:t>
            </w:r>
            <w:r>
              <w:t>;</w:t>
            </w:r>
          </w:p>
        </w:tc>
        <w:tc>
          <w:tcPr>
            <w:tcW w:w="4876" w:type="dxa"/>
            <w:tcBorders>
              <w:top w:val="nil"/>
              <w:left w:val="nil"/>
              <w:bottom w:val="nil"/>
              <w:right w:val="nil"/>
            </w:tcBorders>
          </w:tcPr>
          <w:p>
            <w:pPr>
              <w:pStyle w:val="Normal6a"/>
            </w:pPr>
            <w:r>
              <w:t>26.</w:t>
            </w:r>
            <w:r>
              <w:tab/>
            </w:r>
            <w:r>
              <w:t xml:space="preserve">Calls for greater </w:t>
            </w:r>
            <w:r>
              <w:rPr>
                <w:b/>
                <w:i/>
              </w:rPr>
              <w:t>cooperation among Member States</w:t>
            </w:r>
            <w:r>
              <w:t xml:space="preserve"> in capability development, defence industry, </w:t>
            </w:r>
            <w:r>
              <w:rPr>
                <w:b/>
                <w:i/>
              </w:rPr>
              <w:t>public</w:t>
            </w:r>
            <w:r>
              <w:t xml:space="preserve"> procurement and financing</w:t>
            </w:r>
            <w:r>
              <w:rPr>
                <w:b/>
                <w:i/>
              </w:rPr>
              <w:t>; insists that any decision concerning</w:t>
            </w:r>
            <w:r>
              <w:t xml:space="preserve"> military deployments </w:t>
            </w:r>
            <w:r>
              <w:rPr>
                <w:b/>
                <w:i/>
              </w:rPr>
              <w:t>must remain within the exclusive and sovereign competence of each individual Member State, firmly rejecting any decision-making mechanism designed to circumvent the</w:t>
            </w:r>
            <w:r>
              <w:t xml:space="preserve"> national </w:t>
            </w:r>
            <w:r>
              <w:rPr>
                <w:b/>
                <w:i/>
              </w:rPr>
              <w:t>right of veto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w:t>
            </w:r>
            <w:r>
              <w:rPr>
                <w:b/>
                <w:i/>
              </w:rPr>
              <w:t>greater use of qualified majority voting in capability development, defence industry, procurement and financing, while</w:t>
            </w:r>
            <w:r>
              <w:t xml:space="preserve"> exploring decision-making mechanisms for military deployments that preserve national sovereignty without allowing blockage;</w:t>
            </w:r>
          </w:p>
        </w:tc>
        <w:tc>
          <w:tcPr>
            <w:tcW w:w="4876" w:type="dxa"/>
            <w:tcBorders>
              <w:top w:val="nil"/>
              <w:left w:val="nil"/>
              <w:bottom w:val="nil"/>
              <w:right w:val="nil"/>
            </w:tcBorders>
          </w:tcPr>
          <w:p>
            <w:pPr>
              <w:pStyle w:val="Normal6a"/>
            </w:pPr>
            <w:r>
              <w:t>26.</w:t>
            </w:r>
            <w:r>
              <w:tab/>
            </w:r>
            <w:r>
              <w:t>Calls for exploring decision-making mechanisms for military deployments that preserve national sovereignty without allowing blockage;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 greater use of</w:t>
            </w:r>
            <w:r>
              <w:t xml:space="preserve"> qualified majority voting </w:t>
            </w:r>
            <w:r>
              <w:rPr>
                <w:b/>
                <w:i/>
              </w:rPr>
              <w:t>in</w:t>
            </w:r>
            <w:r>
              <w:t xml:space="preserve"> capability development, defence </w:t>
            </w:r>
            <w:r>
              <w:rPr>
                <w:b/>
                <w:i/>
              </w:rPr>
              <w:t>industry, procurement and</w:t>
            </w:r>
            <w:r>
              <w:t xml:space="preserve"> financing</w:t>
            </w:r>
            <w:r>
              <w:rPr>
                <w:b/>
                <w:i/>
              </w:rPr>
              <w:t>, while exploring decision-making mechanisms</w:t>
            </w:r>
            <w:r>
              <w:t xml:space="preserve"> for military deployments </w:t>
            </w:r>
            <w:r>
              <w:rPr>
                <w:b/>
                <w:i/>
              </w:rPr>
              <w:t>that preserve national</w:t>
            </w:r>
            <w:r>
              <w:t xml:space="preserve"> sovereignty without </w:t>
            </w:r>
            <w:r>
              <w:rPr>
                <w:b/>
                <w:i/>
              </w:rPr>
              <w:t>allowing</w:t>
            </w:r>
            <w:r>
              <w:t xml:space="preserve"> blockage;</w:t>
            </w:r>
          </w:p>
        </w:tc>
        <w:tc>
          <w:tcPr>
            <w:tcW w:w="4876" w:type="dxa"/>
            <w:tcBorders>
              <w:top w:val="nil"/>
              <w:left w:val="nil"/>
              <w:bottom w:val="nil"/>
              <w:right w:val="nil"/>
            </w:tcBorders>
          </w:tcPr>
          <w:p>
            <w:pPr>
              <w:pStyle w:val="Normal6a"/>
            </w:pPr>
            <w:r>
              <w:t>26.</w:t>
            </w:r>
            <w:r>
              <w:tab/>
            </w:r>
            <w:r>
              <w:rPr>
                <w:b/>
                <w:i/>
              </w:rPr>
              <w:t>Rejects</w:t>
            </w:r>
            <w:r>
              <w:t xml:space="preserve"> qualified majority voting </w:t>
            </w:r>
            <w:r>
              <w:rPr>
                <w:b/>
                <w:i/>
              </w:rPr>
              <w:t>for</w:t>
            </w:r>
            <w:r>
              <w:t xml:space="preserve"> capability development </w:t>
            </w:r>
            <w:r>
              <w:rPr>
                <w:b/>
                <w:i/>
              </w:rPr>
              <w:t>mandates</w:t>
            </w:r>
            <w:r>
              <w:t xml:space="preserve">, defence financing </w:t>
            </w:r>
            <w:r>
              <w:rPr>
                <w:b/>
                <w:i/>
              </w:rPr>
              <w:t>with military implications, and any mechanism</w:t>
            </w:r>
            <w:r>
              <w:t xml:space="preserve"> for military deployments </w:t>
            </w:r>
            <w:r>
              <w:rPr>
                <w:b/>
                <w:i/>
              </w:rPr>
              <w:t>designed to prevent a Member State from blocking a decision; insists that no formula of ‘</w:t>
            </w:r>
            <w:r>
              <w:t>sovereignty without blockage</w:t>
            </w:r>
            <w:r>
              <w:rPr>
                <w:b/>
                <w:i/>
              </w:rPr>
              <w:t>’ can lawfully or democratically overrule a national parliament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 greater use of</w:t>
            </w:r>
            <w:r>
              <w:t xml:space="preserve"> qualified majority voting </w:t>
            </w:r>
            <w:r>
              <w:rPr>
                <w:b/>
                <w:i/>
              </w:rPr>
              <w:t>in capability development, defence industry, procurement and financing, while exploring decision-making mechanisms for</w:t>
            </w:r>
            <w:r>
              <w:t xml:space="preserve"> military </w:t>
            </w:r>
            <w:r>
              <w:rPr>
                <w:b/>
                <w:i/>
              </w:rPr>
              <w:t>deployments that preserve</w:t>
            </w:r>
            <w:r>
              <w:t xml:space="preserve"> national </w:t>
            </w:r>
            <w:r>
              <w:rPr>
                <w:b/>
                <w:i/>
              </w:rPr>
              <w:t>sovereignty without allowing blockage</w:t>
            </w:r>
            <w:r>
              <w:t>;</w:t>
            </w:r>
          </w:p>
        </w:tc>
        <w:tc>
          <w:tcPr>
            <w:tcW w:w="4876" w:type="dxa"/>
            <w:tcBorders>
              <w:top w:val="nil"/>
              <w:left w:val="nil"/>
              <w:bottom w:val="nil"/>
              <w:right w:val="nil"/>
            </w:tcBorders>
          </w:tcPr>
          <w:p>
            <w:pPr>
              <w:pStyle w:val="Normal6a"/>
            </w:pPr>
            <w:r>
              <w:t>26.</w:t>
            </w:r>
            <w:r>
              <w:tab/>
            </w:r>
            <w:r>
              <w:rPr>
                <w:b/>
                <w:i/>
              </w:rPr>
              <w:t>Rejects any attempt to replace unanimity with</w:t>
            </w:r>
            <w:r>
              <w:t xml:space="preserve"> qualified majority voting </w:t>
            </w:r>
            <w:r>
              <w:rPr>
                <w:b/>
                <w:i/>
              </w:rPr>
              <w:t>on decisions with</w:t>
            </w:r>
            <w:r>
              <w:t xml:space="preserve"> military </w:t>
            </w:r>
            <w:r>
              <w:rPr>
                <w:b/>
                <w:i/>
              </w:rPr>
              <w:t>or defence implications;</w:t>
            </w:r>
            <w:r>
              <w:t xml:space="preserve"> </w:t>
            </w:r>
            <w:r>
              <w:rPr>
                <w:b/>
                <w:i/>
              </w:rPr>
              <w:t>reaffirms that no Member State should be forced, against its will, to accept decisions affecting its</w:t>
            </w:r>
            <w:r>
              <w:t xml:space="preserve"> national </w:t>
            </w:r>
            <w:r>
              <w:rPr>
                <w:b/>
                <w:i/>
              </w:rPr>
              <w:t>defence, armed forces or essential security interests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Marta Wcisło, Kamila Gasiuk-Pihowicz, Bartłomiej Sienkiewicz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w:t>
            </w:r>
            <w:r>
              <w:rPr>
                <w:b/>
                <w:i/>
              </w:rPr>
              <w:t>greater use of qualified majority voting</w:t>
            </w:r>
            <w:r>
              <w:t xml:space="preserve"> in capability development, defence industry, procurement and financing, </w:t>
            </w:r>
            <w:r>
              <w:rPr>
                <w:b/>
                <w:i/>
              </w:rPr>
              <w:t>while exploring</w:t>
            </w:r>
            <w:r>
              <w:t xml:space="preserve"> decision-making </w:t>
            </w:r>
            <w:r>
              <w:rPr>
                <w:b/>
                <w:i/>
              </w:rPr>
              <w:t>mechanisms for military deployments that preserve</w:t>
            </w:r>
            <w:r>
              <w:t xml:space="preserve"> national sovereignty </w:t>
            </w:r>
            <w:r>
              <w:rPr>
                <w:b/>
                <w:i/>
              </w:rPr>
              <w:t>without allowing</w:t>
            </w:r>
            <w:r>
              <w:t xml:space="preserve"> blockage;</w:t>
            </w:r>
          </w:p>
        </w:tc>
        <w:tc>
          <w:tcPr>
            <w:tcW w:w="4876" w:type="dxa"/>
            <w:tcBorders>
              <w:top w:val="nil"/>
              <w:left w:val="nil"/>
              <w:bottom w:val="nil"/>
              <w:right w:val="nil"/>
            </w:tcBorders>
          </w:tcPr>
          <w:p>
            <w:pPr>
              <w:pStyle w:val="Normal6a"/>
            </w:pPr>
            <w:r>
              <w:t>26.</w:t>
            </w:r>
            <w:r>
              <w:tab/>
            </w:r>
            <w:r>
              <w:t xml:space="preserve">Calls for </w:t>
            </w:r>
            <w:r>
              <w:rPr>
                <w:b/>
                <w:i/>
              </w:rPr>
              <w:t>more effective and timely decision-making</w:t>
            </w:r>
            <w:r>
              <w:t xml:space="preserve"> in capability development, defence industry, procurement and financing, </w:t>
            </w:r>
            <w:r>
              <w:rPr>
                <w:b/>
                <w:i/>
              </w:rPr>
              <w:t>using the</w:t>
            </w:r>
            <w:r>
              <w:t xml:space="preserve"> decision-making </w:t>
            </w:r>
            <w:r>
              <w:rPr>
                <w:b/>
                <w:i/>
              </w:rPr>
              <w:t>procedures provided for by the Treaties under the applicable legal bases, while preserving</w:t>
            </w:r>
            <w:r>
              <w:t xml:space="preserve"> national sovereignty </w:t>
            </w:r>
            <w:r>
              <w:rPr>
                <w:b/>
                <w:i/>
              </w:rPr>
              <w:t>and avoiding</w:t>
            </w:r>
            <w:r>
              <w:t xml:space="preserve"> blockage;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Stresses that European preference should be applied in a proportionate manner, reflecting the reality of globally integrated defence value chains, and must not be pursued at the expense of the defence readiness of the Union, given the extent of international supply and value chains in the defence sector; recognises that immediate defence needs still need to be met and may require supplies or support from non-EU countries and that the transition from external dependencies towards greater European strategic autonomy and strengthening the European Defence Technological and Industrial Base should be managed and gradual; considers that undertakings established and producing defence products in the Union should remain eligible where they rely on components, technologies and licences originating in trusted third countries, provided that substantial manufacturing and value creation takes place in the Union, security of supply is ensured and no third-country restriction prevents the use, maintenance or further development of the relevant capability for the security interests of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Underlines that possible Treaty changes extending qualified majority voting to areas where unanimity is currently required would take time before coming into force; highlights, that passerelle clauses also provide an important tool to improve the EU’s ability to act rapidly and effectively and they do not require Treaty change; calls for the activation of the passerelle clauses in all key areas of EU CFSP and CSDP; notes, however, that passerelle clauses currently require unanimity in the Council or European Council; calls, therefore, for the Treaties to be amended to allow their activation by QMV, thereby unlocking their untapped 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Defence Innovation Accelerator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Considers that the AGILE programme should serve as a starting point to build a fully-fledged Defence Innovation Accelerator; proposes that such a European Defence Innovation Accelerator be established as an independent body, governed by a lean structure of empowered programme managers with direct authority to select and fund breakthrough defence technology projects, to maximise innovative capacity; underlines that the Accelerator should operate primarily by contracting and partnering directly with industry, start-ups and leading universities and research institutions across the Union and partner countries; proposes that the European Defence Authority channel a dedicated share of capability financing to the Accelerator and give its programme managers visibility into current and emerging capability targets, and that successful projects be guaranteed a fast-track pathway into CEDU capability programmes and joint procurement; underlines that the Accelerator's funding decisions and research agenda should remain independent of the Authority's ordinary approval processes, and that its core public funding should be sufficient to allow it to operate independently while enabling it to attract further funding from private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Enlargement and the future</w:t>
            </w:r>
            <w:r>
              <w:t xml:space="preserve"> of the </w:t>
            </w:r>
            <w:r>
              <w:rPr>
                <w:b/>
                <w:i/>
              </w:rPr>
              <w:t>CEDU</w:t>
            </w:r>
          </w:p>
        </w:tc>
        <w:tc>
          <w:tcPr>
            <w:tcW w:w="4876" w:type="dxa"/>
            <w:tcBorders>
              <w:top w:val="nil"/>
              <w:left w:val="nil"/>
              <w:bottom w:val="nil"/>
              <w:right w:val="nil"/>
            </w:tcBorders>
          </w:tcPr>
          <w:p>
            <w:pPr>
              <w:pStyle w:val="Normal6a"/>
            </w:pPr>
            <w:r>
              <w:rPr>
                <w:b/>
                <w:i/>
              </w:rPr>
              <w:t>Making Full Use</w:t>
            </w:r>
            <w:r>
              <w:t xml:space="preserve"> of the </w:t>
            </w:r>
            <w:r>
              <w:rPr>
                <w:b/>
                <w:i/>
              </w:rPr>
              <w:t>Existing Treaties and Available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Underlines that the CEDU should be designed for a Union of more than thirty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Underlines that the CEDU should be designed for a Union of more than thirty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Underlines that </w:t>
            </w:r>
            <w:r>
              <w:rPr>
                <w:b/>
                <w:i/>
              </w:rPr>
              <w:t>the CEDU</w:t>
            </w:r>
            <w:r>
              <w:t xml:space="preserve"> should </w:t>
            </w:r>
            <w:r>
              <w:rPr>
                <w:b/>
                <w:i/>
              </w:rPr>
              <w:t>be designed for a Union of more than thirty</w:t>
            </w:r>
            <w:r>
              <w:t xml:space="preserve"> Member States;</w:t>
            </w:r>
          </w:p>
        </w:tc>
        <w:tc>
          <w:tcPr>
            <w:tcW w:w="4876" w:type="dxa"/>
            <w:tcBorders>
              <w:top w:val="nil"/>
              <w:left w:val="nil"/>
              <w:bottom w:val="nil"/>
              <w:right w:val="nil"/>
            </w:tcBorders>
          </w:tcPr>
          <w:p>
            <w:pPr>
              <w:pStyle w:val="Normal6a"/>
            </w:pPr>
            <w:r>
              <w:t>27.</w:t>
            </w:r>
            <w:r>
              <w:tab/>
            </w:r>
            <w:r>
              <w:t xml:space="preserve">Underlines that </w:t>
            </w:r>
            <w:r>
              <w:rPr>
                <w:b/>
                <w:i/>
              </w:rPr>
              <w:t>any future enlargement of the Union</w:t>
            </w:r>
            <w:r>
              <w:t xml:space="preserve"> should </w:t>
            </w:r>
            <w:r>
              <w:rPr>
                <w:b/>
                <w:i/>
              </w:rPr>
              <w:t>strengthen the intergovernmental nature of defence cooperation, ensuring that a larger number of</w:t>
            </w:r>
            <w:r>
              <w:t xml:space="preserve"> Member States </w:t>
            </w:r>
            <w:r>
              <w:rPr>
                <w:b/>
                <w:i/>
              </w:rPr>
              <w:t>is not used as a pretext for centralising decision-making or undermining the national right of veto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Underlines that the CEDU should</w:t>
            </w:r>
            <w:r>
              <w:t xml:space="preserve"> be designed for a Union of more than thirty Member States;</w:t>
            </w:r>
          </w:p>
        </w:tc>
        <w:tc>
          <w:tcPr>
            <w:tcW w:w="4876" w:type="dxa"/>
            <w:tcBorders>
              <w:top w:val="nil"/>
              <w:left w:val="nil"/>
              <w:bottom w:val="nil"/>
              <w:right w:val="nil"/>
            </w:tcBorders>
          </w:tcPr>
          <w:p>
            <w:pPr>
              <w:pStyle w:val="Normal6a"/>
            </w:pPr>
            <w:r>
              <w:t>27.</w:t>
            </w:r>
            <w:r>
              <w:tab/>
            </w:r>
            <w:r>
              <w:rPr>
                <w:b/>
                <w:i/>
              </w:rPr>
              <w:t>Takes note of the possibility for a CEDU to</w:t>
            </w:r>
            <w:r>
              <w:t xml:space="preserve"> be designed for a Union of more than thirty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Underlines that the CEDU should be designed </w:t>
            </w:r>
            <w:r>
              <w:rPr>
                <w:b/>
                <w:i/>
              </w:rPr>
              <w:t>for a Union of more than thirty Member States</w:t>
            </w:r>
            <w:r>
              <w:t>;</w:t>
            </w:r>
          </w:p>
        </w:tc>
        <w:tc>
          <w:tcPr>
            <w:tcW w:w="4876" w:type="dxa"/>
            <w:tcBorders>
              <w:top w:val="nil"/>
              <w:left w:val="nil"/>
              <w:bottom w:val="nil"/>
              <w:right w:val="nil"/>
            </w:tcBorders>
          </w:tcPr>
          <w:p>
            <w:pPr>
              <w:pStyle w:val="Normal6a"/>
            </w:pPr>
            <w:r>
              <w:t>27.</w:t>
            </w:r>
            <w:r>
              <w:tab/>
            </w:r>
            <w:r>
              <w:t xml:space="preserve">Underlines that the CEDU should be designed </w:t>
            </w:r>
            <w:r>
              <w:rPr>
                <w:b/>
                <w:i/>
              </w:rPr>
              <w:t>with a view to the possibility of the Union's future enlargement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Underlines that the CEDU should be designed for </w:t>
            </w:r>
            <w:r>
              <w:rPr>
                <w:b/>
                <w:i/>
              </w:rPr>
              <w:t>a</w:t>
            </w:r>
            <w:r>
              <w:t xml:space="preserve"> Union </w:t>
            </w:r>
            <w:r>
              <w:rPr>
                <w:b/>
                <w:i/>
              </w:rPr>
              <w:t>of more than thirty Member States</w:t>
            </w:r>
            <w:r>
              <w:t>;</w:t>
            </w:r>
          </w:p>
        </w:tc>
        <w:tc>
          <w:tcPr>
            <w:tcW w:w="4876" w:type="dxa"/>
            <w:tcBorders>
              <w:top w:val="nil"/>
              <w:left w:val="nil"/>
              <w:bottom w:val="nil"/>
              <w:right w:val="nil"/>
            </w:tcBorders>
          </w:tcPr>
          <w:p>
            <w:pPr>
              <w:pStyle w:val="Normal6a"/>
            </w:pPr>
            <w:r>
              <w:t>27.</w:t>
            </w:r>
            <w:r>
              <w:tab/>
            </w:r>
            <w:r>
              <w:t xml:space="preserve">Underlines that the CEDU should be designed for </w:t>
            </w:r>
            <w:r>
              <w:rPr>
                <w:b/>
                <w:i/>
              </w:rPr>
              <w:t>an enlarged</w:t>
            </w:r>
            <w:r>
              <w:t xml:space="preserv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Calls on Member States to generate the political will to overcome short-term national interests that have stood in the way of fulfilling the progressive framing of common defence policy envisaged in Article 42 TEU; reaffirms its general call for greater use of Treaty flexibility to accelerate joint capability development, procurement and management, military readiness, interoperability and the deployment of Member States’ military forces in a unified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Stresses that, in order to create the most coherent version of a CEDU, revision of the TEU and TFEU should be considered as a priority, and that Member States should not further delay necessary institutional reforms, particularly in relation to decision-making on the Common Foreign and Security Policy; for the purposes of this report, regrettably assumes that Member States continue to be unable and unwilling to invest sufficient political effort to enable Treaty change in the short term;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Reiterates is repeated calls on the Council to make use of qualified majority voting (QMV) where the Treaties allow it, particularly with regard to capability development, the defence industry, procurement and financing; encourages wider use of constructive abstention under Article 31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Calls therefore for maximum innovative effort to implement a CEDU by making full use of existing Treaties, including Articles 42 to 46 TEU, including Permanent Structured Cooperation, the mandate of the EDA, Article 42(7) TEU, and Article 222 TFEU, as well as the Community aspects of the Union that relate to the CEDU, including internal market and procurement, military mobility, whole-of-society approaches including civil protection, energy, critical raw materials, health and digital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Regrets that PESCO has fallen short of its potential and original purpose; calls for stricter commitments from willing and capable participants,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27f.</w:t>
            </w:r>
            <w:r>
              <w:tab/>
            </w:r>
            <w:r>
              <w:rPr>
                <w:b/>
                <w:i/>
              </w:rPr>
              <w:t>Notes that adherence to, and avoiding unnecessary duplication with NATO implies that the core question to be resolved for institutionalising a CEDU concerns the framework for governance, decision-making on troop deployment and executive action, and how to organise C4ISTAR for unified troop deployment; underlines that an effective and credible European Pillar of NATO needs either guaranteed access to NATO’s C4ISTAR structures and systems or to build its own credible alternative;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Pillar of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27g.</w:t>
            </w:r>
            <w:r>
              <w:tab/>
            </w:r>
            <w:r>
              <w:rPr>
                <w:b/>
                <w:i/>
              </w:rPr>
              <w:t>Notes that a CEDU with NATO at its core is the option that Member States seem to attach the greatest preference to; notes that a Berlin Plus-type agreement could, for example, permit the use of necessary NATO structures and processes for EU and/or European territorial defence without the participation of US forces or reliance on a unanimous NATO Article 5 decision by the North Atlantic Council; underscores that pursuing such an agreement may prove to be a critical litmus test of NATO's decision-making and critical allies' stated commitments, and thus inform the pursuit of other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27h.</w:t>
            </w:r>
            <w:r>
              <w:tab/>
            </w:r>
            <w:r>
              <w:rPr>
                <w:b/>
                <w:i/>
              </w:rPr>
              <w:t>Notes further that this pathway would need to resolve specifically the status and involvement of: Albania, Montenegro and North Macedonia, and Türkiye, as NATO members and EU accession countries; Iceland, Norway and the United Kingdom, as NATO members with varying degrees of association with the EU; and Ukraine and Moldova, as accession countries with sufficient CFSP alignment and implementation; underlines that the participation of countries would normally be bounded by NATO and EU status, structurally constraining the participation of accession countries that are not NATO members, in particular Ukraine, unless specific arrangements are made; considers that a specific security and defence association on the basis of Article 217 TFEU, namely an Advanced Security and Defence Partnership offering inclusion in a mutual assistance mechanism, facilitating joint threat assessments, coordinated capability planning, and participation in targeted EU defence programmes, could offer a solution in this regard, thus putting an obligation on the EU and EU member states, not on NATO allies;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27i.</w:t>
            </w:r>
            <w:r>
              <w:tab/>
            </w:r>
            <w:r>
              <w:rPr>
                <w:b/>
                <w:i/>
              </w:rPr>
              <w:t>Underlines, moreover, that the Council would also need to clarify what contributions non-NATO EU Member States, namely Austria, Ireland, Malta and Cyprus, make, given that they benefit directly and indirectly from the collective security provided; notes that Türkiye's participation in the European Security Council remains structurally constrained pending resolution of the disagreement between Cyprus and Türkiye referred to above, and considers that, pending such resolution, Türkiye's practical involvement in CEDU structures should proceed through project-specific participation, rather than through general membership of the European Security Council; underlines the strategic necessity to resolve this matter in a sustainable fashion;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27j.</w:t>
            </w:r>
            <w:r>
              <w:tab/>
            </w:r>
            <w:r>
              <w:rPr>
                <w:b/>
                <w:i/>
              </w:rPr>
              <w:t>Recalls that no existing institutional mechanism provides decision-making and political steering covering all the States referred to in paragraph 47, and considers that, depending on the exact configuration of the membership of this European Pillar of NATO, the European Security Council could provide the bond and coordination between EU and NATO decision-making structures; considers that the political counterpart of the European Security Council at NATO level, be a revived political coordination mechanism among all members of CEDU, on the model of the NATO Eurogroup, enabling European Allies to coordinate national positions, joint initiatives and plans for the Europeanisation of NATO on a permanent basis; notes that ESC proposals should be able to formally feed into NATO Eurogroup;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27k.</w:t>
            </w:r>
            <w:r>
              <w:tab/>
            </w:r>
            <w:r>
              <w:rPr>
                <w:b/>
                <w:i/>
              </w:rPr>
              <w:t>Considers that under this pathway, the bodies under Pillars 1-3, as well as the ESGC are part of NATO institutionally, with the exception of the ESC. The SEDA would remain a Union body, with the possibility of association of other members of the CEDU, i.e. European NATO, non-EU members; considers that the EMHQ and related structures would be able to serve both EU territorial defence and external CSDP military operations, and MPCC, EU Military Staff could ultimately be folded into the European Pillar of NATO / EMHQ; ownership of the strategic enablers would be a political and financing question providing three options: within NATO; under EU ownership but made available to Member States / EMHQ; or with members of the European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27l.</w:t>
            </w:r>
            <w:r>
              <w:tab/>
            </w:r>
            <w:r>
              <w:rPr>
                <w:b/>
                <w:i/>
              </w:rPr>
              <w:t>Notes, however, that in the absence of an agreement to underpin this pathway, the CEDU should be built using the provisions of existing EU Treaties, new agreements or amended EU Treaties as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Defence Vanguard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27m.</w:t>
            </w:r>
            <w:r>
              <w:tab/>
            </w:r>
            <w:r>
              <w:rPr>
                <w:b/>
                <w:i/>
              </w:rPr>
              <w:t>Considers that the three legal routes available for constituting a European Defence Vanguard, i.e. 1) enhanced cooperation, 2) Permanent Structured Cooperation, or a 3) new treaty entirely outside the EU's structures, differ materially in the membership, institutional form and financing they can offer, and in their relationship to existing EU structures,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Enhanced cooperation (Article 20 TEU and Article 329(2) TFEU): requires at least nine Member States and unanimous Council authorisation to launch; offers no route to full membership for non-EU partners; CEDU bodies would remain EU institutions, under full EU financial, legal and judicial oversight; use of the EU Military Staff, MPCC and SIAC would require the consent of all 27 Member States; underlines that, while such authorisation is not excluded, Article 333(3) TFEU bars any subsequent move from unanimity to qualified majority voting on matters with military or defence implications, so that decision-making under this route would remain unanimity-bound even once launched;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Permanent Structured Cooperation (Articles 42(6) and 44 TEU, and Protocol No 10): underlines that PESCO's Treaty design envisages a permanent framework of binding commitments among participating Member States to harmonise their defence apparatus, pool and share capabilities, and meet jointly agreed capability targets, and is not confined to the ad hoc capability projects through which it has so far mainly been implemented; open to all Member States willing to make such commitments; non-EU partners can join a PESCO-based CEDU; gives direct access to EU financing instruments, including the EDF, EDIP and SAFE; underlines that, unlike enhanced cooperation, PESCO is established under its own Treaty basis rather than the Article 326 to 334 TFEU procedure, and is therefore not subject to the Article 333(3) TFEU bar on moving to qualified majority voting; participating Member States retain the freedom, by unanimous agreement among themselves, to adopt more flexible decision-making, including qualified majority voting, for specific commitments or formations; the EU Military Staff, MPCC and SIAC could be adapted in place, since PESCO already operates alongside them, though their mandate would still need extending to cover collective defence rather than only crisis-management functions;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 new treaty outside the EU's structures, on for example the Schengen, Frontex and Economic and Monetary Union precedents: membership terms are set by the founding parties, allowing full voting membership for partners such as the United Kingdom, Norway, or Ukraine from inception; CEDU bodies would hold their own legal personality, outside EU law and the EU budget, and could adopt whatever decision-making rule their founders agree, including the model set out for the European Security Council in Pillar I; considers that, under this option, the bodies established under Pillars 1-3, as well as the ESGC, would form part of the new treaty-based structure, while the Single European Defence Authority (SEDA) would remain a Union body, open to association by other CEDU members, including European NATO members that are not EU members; the EU Military Staff, MPCC and SIAC would remain EU-only, requiring a cooperation agreement rather than direct use, and risking further duplication unless such an agreement is concluded promptly; financing would follow the European Stability Mechanism's precedent of a member-funded budget outside the Union's own, unless a specific cooperation or association agreement is concluded; this option would allow the European Security Council concept to be fully integrated into the Vanguard's legal design, rather than sitting alongside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27n.</w:t>
            </w:r>
            <w:r>
              <w:tab/>
            </w:r>
            <w:r>
              <w:rPr>
                <w:b/>
                <w:i/>
              </w:rPr>
              <w:t>Notes that, for options (1) and (2), financing could draw on the full suite of existing EU defence-industrial instruments, though capability and operational financing would remain constrained by Article 41(2) TEU pending the interpretation set out above;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o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27o.</w:t>
            </w:r>
            <w:r>
              <w:tab/>
            </w:r>
            <w:r>
              <w:rPr>
                <w:b/>
                <w:i/>
              </w:rPr>
              <w:t>Notes that (1) and (2), as EU-law routes, inherit the Cyprus-Türkiye constraint on EU-NATO cooperation referred to above, and remain open only to existing Member States, currently excluding partners such as the United Kingdom or Ukraine except through the Article 217 TFEU association mechanism; (3) could set its own terms with NATO directly, as for example Eurocorps already does, and is the only Vanguard route on which a non-EU state could be a founding member with a full vote;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p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27p.</w:t>
            </w:r>
            <w:r>
              <w:tab/>
            </w:r>
            <w:r>
              <w:rPr>
                <w:b/>
                <w:i/>
              </w:rPr>
              <w:t>Notes that (1) and (2) inherit the Union's existing parliamentary and judicial oversight by default, limited as this report finds it to be, and keep the Vanguard's bodies within the same legal order as the Single European Defence Authority; (3) would need to build its own oversight from scratch, an opportunity to design something stronger than Article 36 TEU, but also a genuine risk, given that comparable intergovernmental bodies such as the European Stability Mechanism have themselves faced sustained criticism for insufficient parliamentary control, and that national parliaments' own experience scrutinising participation in treaty-based bodies has been mixed;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Common European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q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27q.</w:t>
            </w:r>
            <w:r>
              <w:tab/>
            </w:r>
            <w:r>
              <w:rPr>
                <w:b/>
                <w:i/>
              </w:rPr>
              <w:t>Underlines that under the third pathway, assuming the active support of all EU Member States, it is possible to envisage a Common European Defence that embeds the CEDU in the EU's legal framework and improve its cohesion with existing EU structures, through the unanimous activation of a common defence under Article 42(2) TEU or through revision of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r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27r.</w:t>
            </w:r>
            <w:r>
              <w:tab/>
            </w:r>
            <w:r>
              <w:rPr>
                <w:b/>
                <w:i/>
              </w:rPr>
              <w:t>Considers, under the no Treaty change scenario, the following characteristics to emerge: activation would require only a unanimous European Council decision under Article 42(2) TEU itself; this would bind all 27 Member States as a whole-of-Union CFSP objective, not a coalition of the willing, while preserving the specific character of the security and defence policy of certain Member States under the same provision; the European Security Council in the envisaged form would sit outside the EU institutional framework; underlines that the European Military Headquarters function could only be pursued through Article 44 TEU, whose scope is limited to the crisis-management tasks referred to in Article 43(1) TEU and does not extend to collective territorial defence, so that a genuine command mandate over Article 42(7) operations would remain legally uncertain without further clarification; underlines, further, that Article 31(4) TEU expressly excludes decisions with military or defence implications from qualified majority voting, so that the European Security Council's decision-making could rely only on unanimity and constructive abstention; the EU Military Staff, MPCC and SIAC would continue operating under their existing legal bases, capable of administrative expansion but not of the executive command authority a genuine EMHQ would require; financing would remain constrained by Article 41(2) TEU pending the interpretation set out in Pillar III; non-EU partners would be offered association at best, through the Article 217 TFEU mechanism, but never a vote except perhaps through an ESC; underlines that this pathway therefore presents the most significant structural constraints, including on the full voting participation of non-EU partners across all four pillars;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Thijs Reuten,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s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27s.</w:t>
            </w:r>
            <w:r>
              <w:tab/>
            </w:r>
            <w:r>
              <w:rPr>
                <w:b/>
                <w:i/>
              </w:rPr>
              <w:t>Considers that a Treaty revision extending to the CEDU should ensure that provisions on CSFP and CSDP structures and institutions are fully adapted to the European collective defence needs and produce the following outcomes across the four functional pillars: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Political governance: proposes that the European Security Council be recognised directly in the Treaties or in a dedicated Protocol; proposes that Article 31(4) TEU be revised to permit qualified majority voting and constructive abstention for a defined category of Common Foreign and Security Policy and Common Security and Defence Policy decisions, not undermining sovereign national decisions on troop deployment and use of force; proposes that the permanent Defence Ministerial Council be formalised as a standing Council configuration; proposes that the bridge between the Political and Security Committee and the North Atlantic Council be given an explicit Treaty or Protocol basis.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Command and control: proposes that Article 42(2) TEU and a revised Article 44 TEU together confer on the European Military Headquarters, built on the MPCC, an explicit mandate covering collective territorial defence; proposes that the cascade of decision-making thresholds set out in Pillar II, comprising pre-delegated activation for a direct territorial attack, qualified-majority approval for retaliatory or defensive measures against an imminent attack, and the reservation of decisions on deployment beyond pre-approved commitments to national governments and parliaments, be incorporated directly into a revised Article 42(7) TEU.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Capabilities: proposes that the Single European Defence Authority be given its own Treaty basis, merging the mandate conferred by Article 45 TEU with its industrial and internal-market competences; proposes that Article 41(2) TEU be amended to remove the constraint on financing military and defence-related expenditure from the Union budget; proposes that the European Rapid Reaction Force, the European Strategic Enabler Unit and the European Sustainment and Force Generation Command be recognised in a dedicated Protocol, on the model provided for Permanent Structured Cooperation by Protocol No 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Logistical and industrial: proposes that the body responsible for procurement execution be recognised as holding its own legal personality, with its relationship to the Authority defined at Treaty level; underlines that the Defence Innovation Accelerator's independence should be preserved by keeping it outside this Treaty architecture; proposes that the Own Resources Decision be revised to allow for genuinely mutualised and equitable financing of the Union's defence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t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27t.</w:t>
            </w:r>
            <w:r>
              <w:tab/>
            </w:r>
            <w:r>
              <w:rPr>
                <w:b/>
                <w:i/>
              </w:rPr>
              <w:t>Proposes a standing status for the CEDU's partner countries, set out in a dedicated Protocol, codifying the scoped rights and obligations for the European non-EU NATO members, as well as non-NATO accession countries, including the projects and capabilities to which they contribute;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u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27u.</w:t>
            </w:r>
            <w:r>
              <w:tab/>
            </w:r>
            <w:r>
              <w:rPr>
                <w:b/>
                <w:i/>
              </w:rPr>
              <w:t>Underlines that none of the foregoing should be read as the Union acquiring an operational mandate that competes with, or absorbs the functions of, NATO; proposes that the "separable but not separate" principle be given explicit recognition in the Treaties or in a Protocol, formalising the double-hatted command arrangements, Joint Force Command-level cooperation, and Berlin Plus-style access to NATO planning capabilities envisaged elsewhere in this report; underlines that a fully revised Treaty framework for the CEDU would not alter NATO's own decision-making in any respect although there is an obvious institutional overlap;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Considers that</w:t>
            </w:r>
            <w:r>
              <w:t xml:space="preserve"> Ukraine’s </w:t>
            </w:r>
            <w:r>
              <w:rPr>
                <w:b/>
                <w:i/>
              </w:rPr>
              <w:t>future EU</w:t>
            </w:r>
            <w:r>
              <w:t xml:space="preserve"> accession would </w:t>
            </w:r>
            <w:r>
              <w:rPr>
                <w:b/>
                <w:i/>
              </w:rPr>
              <w:t>strengthen the CEDU through its military capabilities, operational experience, defence industry and expertise in conventional, hybrid and cyber warfare</w:t>
            </w:r>
            <w:r>
              <w:t>;</w:t>
            </w:r>
          </w:p>
        </w:tc>
        <w:tc>
          <w:tcPr>
            <w:tcW w:w="4876" w:type="dxa"/>
            <w:tcBorders>
              <w:top w:val="nil"/>
              <w:left w:val="nil"/>
              <w:bottom w:val="nil"/>
              <w:right w:val="nil"/>
            </w:tcBorders>
          </w:tcPr>
          <w:p>
            <w:pPr>
              <w:pStyle w:val="Normal6a"/>
            </w:pPr>
            <w:r>
              <w:t>28.</w:t>
            </w:r>
            <w:r>
              <w:tab/>
            </w:r>
            <w:r>
              <w:rPr>
                <w:b/>
                <w:i/>
              </w:rPr>
              <w:t>Opposes</w:t>
            </w:r>
            <w:r>
              <w:t xml:space="preserve"> Ukraine's </w:t>
            </w:r>
            <w:r>
              <w:rPr>
                <w:b/>
                <w:i/>
              </w:rPr>
              <w:t>accession to the Union; notes that the country remains at war and that parts of its internationally recognised territory are not under the control of its government; stresses that armed aggression against Ukraine following its</w:t>
            </w:r>
            <w:r>
              <w:t xml:space="preserve"> accession would </w:t>
            </w:r>
            <w:r>
              <w:rPr>
                <w:b/>
                <w:i/>
              </w:rPr>
              <w:t>give rise to an obligation for the other Member States to provide aid and assistance under Article 42(7) TEU, with a serious risk of drawing them into a direct conflict; considers that no accession can take place before a durable and internationally recognised peace settlement has been reached and all accession criteria have been fully met without political shortcuts</w:t>
            </w:r>
            <w:r>
              <w:t xml:space="preserve">; </w:t>
            </w:r>
            <w:r>
              <w:rPr>
                <w:b/>
                <w:i/>
              </w:rPr>
              <w:t>supports pragmatic cooperation with Ukraine without granting it EU membership;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r>
              <w:rPr>
                <w:b/>
                <w:i/>
              </w:rPr>
              <w:t> calls for closer cooperation with Ukraine ahead of accession, including reciprocal transfers of defence technologies, joint development and production, and the extension of military mobility corridors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t>28.</w:t>
            </w:r>
            <w:r>
              <w:tab/>
            </w:r>
            <w:r>
              <w:t xml:space="preserve">Considers that Ukraine’s future EU accession would strengthen the CEDU through its military capabilities, operational experience, defence industry and expertise in conventional, hybrid and cyber warfare; </w:t>
            </w:r>
            <w:r>
              <w:rPr>
                <w:b/>
                <w:i/>
              </w:rPr>
              <w:t>calls, pending accession, for the accelerated integration of Ukraine’s defence industry into the European defence market and for its full participation in Union defence financing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t>28.</w:t>
            </w:r>
            <w:r>
              <w:tab/>
            </w:r>
            <w:r>
              <w:t xml:space="preserve">Considers that Ukraine’s future EU accession would strengthen the CEDU through its military capabilities, operational experience, defence industry and expertise in conventional, hybrid and cyber warfare; </w:t>
            </w:r>
            <w:r>
              <w:rPr>
                <w:b/>
                <w:i/>
              </w:rPr>
              <w:t>underlines that Ukraine’s defence capabilities and defence industrial base should be progressively integrated into the European defence ecosystem even before it becomes a Member State of the Union;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t>28.</w:t>
            </w:r>
            <w:r>
              <w:tab/>
            </w:r>
            <w:r>
              <w:t xml:space="preserve">Considers that Ukraine’s future EU accession would strengthen the CEDU through its military capabilities, operational experience, defence industry and expertise in conventional, hybrid and cyber warfare; </w:t>
            </w:r>
            <w:r>
              <w:rPr>
                <w:b/>
                <w:i/>
              </w:rPr>
              <w:t>in this regard, warns against any attempts to impede or delay Ukraine’s accession process to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Considers that Ukraine’s future EU accession would strengthen the CEDU through its military capabilities, operational experience, defence industry and expertise in conventional, hybrid and cyber warfare;</w:t>
            </w:r>
          </w:p>
        </w:tc>
        <w:tc>
          <w:tcPr>
            <w:tcW w:w="4876" w:type="dxa"/>
            <w:tcBorders>
              <w:top w:val="nil"/>
              <w:left w:val="nil"/>
              <w:bottom w:val="nil"/>
              <w:right w:val="nil"/>
            </w:tcBorders>
          </w:tcPr>
          <w:p>
            <w:pPr>
              <w:pStyle w:val="Normal6a"/>
            </w:pPr>
            <w:r>
              <w:t>28.</w:t>
            </w:r>
            <w:r>
              <w:tab/>
            </w:r>
            <w:r>
              <w:t xml:space="preserve">Considers that </w:t>
            </w:r>
            <w:r>
              <w:rPr>
                <w:b/>
                <w:i/>
              </w:rPr>
              <w:t>close military cooperation, as well as</w:t>
            </w:r>
            <w:r>
              <w:t xml:space="preserve"> Ukraine’s future EU accession</w:t>
            </w:r>
            <w:r>
              <w:rPr>
                <w:b/>
                <w:i/>
              </w:rPr>
              <w:t>,</w:t>
            </w:r>
            <w:r>
              <w:t xml:space="preserve"> would strengthen the CEDU through its military capabilities, operational experience, defence industry and expertise in conventional, hybrid and cyber warfare;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Stresses that operational experience and lessons from ongoing high-intensity conflicts should be systematically integrated into European capability development and calls for the establishment of a European Defence Lessons and Adaptation Cycle, building on the approaches developed under AGILE and existing EU-Ukraine defence innovation cooperation, establishing a continuous process from operational feedback and identification of emerging threats, through rapid experimentation and testing, adaptation of capability requirements and accelerated procurement and industrial development, to field deployment and renewed end-user feedback; calls for this approach to shorten defence adaptation cycles from years to months wherever technologically and operationally feasible and to ensure that lessons identified on the battlefield are translated rapidly into capabilities available to Member States’ armed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Calls for accession negotiations to include structured dialogue on participation in the common security and defence policy, PESCO, the EDA, capability planning and future CEDU institutions;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Calls for accession negotiations to include structured dialogue on participation in the common security and defence policy, PESCO, the EDA, capability planning and future CEDU institutions;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for accession negotiations to include structured dialogue on participation in the common security and defence policy, PESCO</w:t>
            </w:r>
            <w:r>
              <w:rPr>
                <w:b/>
                <w:i/>
              </w:rPr>
              <w:t>,</w:t>
            </w:r>
            <w:r>
              <w:t xml:space="preserve"> the EDA, capability planning </w:t>
            </w:r>
            <w:r>
              <w:rPr>
                <w:b/>
                <w:i/>
              </w:rPr>
              <w:t>and future CEDU institutions</w:t>
            </w:r>
            <w:r>
              <w:t>;</w:t>
            </w:r>
          </w:p>
        </w:tc>
        <w:tc>
          <w:tcPr>
            <w:tcW w:w="4876" w:type="dxa"/>
            <w:tcBorders>
              <w:top w:val="nil"/>
              <w:left w:val="nil"/>
              <w:bottom w:val="nil"/>
              <w:right w:val="nil"/>
            </w:tcBorders>
          </w:tcPr>
          <w:p>
            <w:pPr>
              <w:pStyle w:val="Normal6a"/>
            </w:pPr>
            <w:r>
              <w:t>29.</w:t>
            </w:r>
            <w:r>
              <w:tab/>
            </w:r>
            <w:r>
              <w:t xml:space="preserve">Calls for accession negotiations to include </w:t>
            </w:r>
            <w:r>
              <w:rPr>
                <w:b/>
                <w:i/>
              </w:rPr>
              <w:t>a</w:t>
            </w:r>
            <w:r>
              <w:t xml:space="preserve"> structured dialogue on participation in the Common Security and Defence Policy, PESCO </w:t>
            </w:r>
            <w:r>
              <w:rPr>
                <w:b/>
                <w:i/>
              </w:rPr>
              <w:t>and</w:t>
            </w:r>
            <w:r>
              <w:t xml:space="preserve"> the EDA, </w:t>
            </w:r>
            <w:r>
              <w:rPr>
                <w:b/>
                <w:i/>
              </w:rPr>
              <w:t>focusing on aligning</w:t>
            </w:r>
            <w:r>
              <w:t xml:space="preserve"> capability planning </w:t>
            </w:r>
            <w:r>
              <w:rPr>
                <w:b/>
                <w:i/>
              </w:rPr>
              <w:t>with NATO standards and strengthening regional security on the Eastern Flank, while strictly avoiding the creation of new supranational defence bodies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for accession negotiations to include structured dialogue on participation in the common security and defence policy, PESCO, the EDA, capability planning and future CEDU institutions;</w:t>
            </w:r>
          </w:p>
        </w:tc>
        <w:tc>
          <w:tcPr>
            <w:tcW w:w="4876" w:type="dxa"/>
            <w:tcBorders>
              <w:top w:val="nil"/>
              <w:left w:val="nil"/>
              <w:bottom w:val="nil"/>
              <w:right w:val="nil"/>
            </w:tcBorders>
          </w:tcPr>
          <w:p>
            <w:pPr>
              <w:pStyle w:val="Normal6a"/>
            </w:pPr>
            <w:r>
              <w:t>29.</w:t>
            </w:r>
            <w:r>
              <w:tab/>
            </w:r>
            <w:r>
              <w:t xml:space="preserve">Calls for accession negotiations to include structured dialogue on participation </w:t>
            </w:r>
            <w:r>
              <w:rPr>
                <w:b/>
                <w:i/>
              </w:rPr>
              <w:t>and gradual integration</w:t>
            </w:r>
            <w:r>
              <w:t xml:space="preserve"> in the common security and defence policy, PESCO, the EDA, capability planning and future CEDU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Stresses the strategic importance of progressively integrating candidate countries, in particular those in the Western Balkans, into relevant EU security and defence initiatives, where appropriate and in accordance with their alignment with the Union’s Common Foreign and Security Policy; calls for enhanced cooperation in the areas of military mobility, critical infrastructure protection, cybersecurity, countering hybrid threats, defence capacity-building and resilience, with a view to avoiding security and operational gaps at the Union’s future external borders;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Calls on the Commission and the VP/HR to assess the institutional, financial and operational implications of enlargement for the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the Commission and the VP/HR to assess the institutional, financial and operational implications of enlargement for </w:t>
            </w:r>
            <w:r>
              <w:rPr>
                <w:b/>
                <w:i/>
              </w:rPr>
              <w:t>the CEDU</w:t>
            </w:r>
            <w:r>
              <w:t>;</w:t>
            </w:r>
          </w:p>
        </w:tc>
        <w:tc>
          <w:tcPr>
            <w:tcW w:w="4876" w:type="dxa"/>
            <w:tcBorders>
              <w:top w:val="nil"/>
              <w:left w:val="nil"/>
              <w:bottom w:val="nil"/>
              <w:right w:val="nil"/>
            </w:tcBorders>
          </w:tcPr>
          <w:p>
            <w:pPr>
              <w:pStyle w:val="Normal6a"/>
            </w:pPr>
            <w:r>
              <w:t>30.</w:t>
            </w:r>
            <w:r>
              <w:tab/>
            </w:r>
            <w:r>
              <w:t xml:space="preserve">Calls on the Commission and the VP/HR to assess the institutional, financial and operational implications of enlargement for </w:t>
            </w:r>
            <w:r>
              <w:rPr>
                <w:b/>
                <w:i/>
              </w:rPr>
              <w:t>intergovernmental cooperation in the field of defence, while ensuring that the assessment strictly respects national sovereignty and the principle of unanimity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Stresses that pre-enlargement institutional reform and the development of the CEDU must proceed in parallel; recalls that unanimity requirements should not be allowed to slow down either process where Treaty flexibilities — including qualified majority voting under Article 42(6) TEU — already provide a way forward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Stresses the importance of defence cooperation, including industrial defence cooperation, with like-minded partners, NATO Allies and other international partners that share European values and contribute to strengthening European security and defence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Democratic accountability and parliamentary oversight</w:t>
            </w:r>
          </w:p>
        </w:tc>
        <w:tc>
          <w:tcPr>
            <w:tcW w:w="4876" w:type="dxa"/>
            <w:tcBorders>
              <w:top w:val="nil"/>
              <w:left w:val="nil"/>
              <w:bottom w:val="nil"/>
              <w:right w:val="nil"/>
            </w:tcBorders>
          </w:tcPr>
          <w:p>
            <w:pPr>
              <w:pStyle w:val="Normal6a"/>
            </w:pPr>
            <w:r>
              <w:rPr>
                <w:b/>
                <w:i/>
              </w:rPr>
              <w:t>Treaty Changes and Decision-Making towards a Common European Defence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Stresses that deeper defence integration must be matched by stronger democratic legitimacy, transparency, accountability and parliamentary scrutiny;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Stresses that deeper defence integration must be matched by stronger democratic legitimacy, transparency, accountability and parliamentary scrutiny;</w:t>
            </w:r>
          </w:p>
        </w:tc>
        <w:tc>
          <w:tcPr>
            <w:tcW w:w="4876" w:type="dxa"/>
            <w:tcBorders>
              <w:top w:val="nil"/>
              <w:left w:val="nil"/>
              <w:bottom w:val="nil"/>
              <w:right w:val="nil"/>
            </w:tcBorders>
          </w:tcPr>
          <w:p>
            <w:pPr>
              <w:pStyle w:val="Normal6a"/>
            </w:pPr>
            <w:r>
              <w:t>31.</w:t>
            </w:r>
            <w:r>
              <w:tab/>
            </w:r>
            <w:r>
              <w:t xml:space="preserve">Stresses that deeper defence integration must be matched by stronger democratic legitimacy, transparency, accountability and parliamentary scrutiny; </w:t>
            </w:r>
            <w:r>
              <w:rPr>
                <w:b/>
                <w:i/>
              </w:rPr>
              <w:t>considers that all CEDU actions should be subject to parliamentary scrutiny; calls for the annual Article 36 TEU debate in Parliament to pay specific attention to the state of the CEDU, based on a report by the European Council and the Commission, and include the relevant Commissioners in addition to the VP/HR;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Stresses that </w:t>
            </w:r>
            <w:r>
              <w:rPr>
                <w:b/>
                <w:i/>
              </w:rPr>
              <w:t>deeper</w:t>
            </w:r>
            <w:r>
              <w:t xml:space="preserve"> defence </w:t>
            </w:r>
            <w:r>
              <w:rPr>
                <w:b/>
                <w:i/>
              </w:rPr>
              <w:t>integration</w:t>
            </w:r>
            <w:r>
              <w:t xml:space="preserve"> must be </w:t>
            </w:r>
            <w:r>
              <w:rPr>
                <w:b/>
                <w:i/>
              </w:rPr>
              <w:t>matched by stronger</w:t>
            </w:r>
            <w:r>
              <w:t xml:space="preserve"> democratic legitimacy, </w:t>
            </w:r>
            <w:r>
              <w:rPr>
                <w:b/>
                <w:i/>
              </w:rPr>
              <w:t>transparency, accountability and parliamentary</w:t>
            </w:r>
            <w:r>
              <w:t xml:space="preserve"> scrutiny;</w:t>
            </w:r>
          </w:p>
        </w:tc>
        <w:tc>
          <w:tcPr>
            <w:tcW w:w="4876" w:type="dxa"/>
            <w:tcBorders>
              <w:top w:val="nil"/>
              <w:left w:val="nil"/>
              <w:bottom w:val="nil"/>
              <w:right w:val="nil"/>
            </w:tcBorders>
          </w:tcPr>
          <w:p>
            <w:pPr>
              <w:pStyle w:val="Normal6a"/>
            </w:pPr>
            <w:r>
              <w:t>31.</w:t>
            </w:r>
            <w:r>
              <w:tab/>
            </w:r>
            <w:r>
              <w:t xml:space="preserve">Stresses that </w:t>
            </w:r>
            <w:r>
              <w:rPr>
                <w:b/>
                <w:i/>
              </w:rPr>
              <w:t>greater cooperation in the field of</w:t>
            </w:r>
            <w:r>
              <w:t xml:space="preserve"> defence must be </w:t>
            </w:r>
            <w:r>
              <w:rPr>
                <w:b/>
                <w:i/>
              </w:rPr>
              <w:t>accompanied by full transparency and</w:t>
            </w:r>
            <w:r>
              <w:t xml:space="preserve"> democratic legitimacy, </w:t>
            </w:r>
            <w:r>
              <w:rPr>
                <w:b/>
                <w:i/>
              </w:rPr>
              <w:t>which can only be ensured through rigorous</w:t>
            </w:r>
            <w:r>
              <w:t xml:space="preserve"> scrutiny </w:t>
            </w:r>
            <w:r>
              <w:rPr>
                <w:b/>
                <w:i/>
              </w:rPr>
              <w:t>by national parliaments, as they retain primary authority over national defence budgets and military deployments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Sandro Gozi, Lucia Yar, Krzysztof Śmiszek, Juan Fernando López Aguilar,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Recalls its resolution of 22 November 2023 on proposals of the European Parliament for the amendment of the Treaties, while recognising that Treaty revision faces exceptional political challenges under the current circumstances; calls, nevertheless, on the European Council to immediately establish a European Defence Union as an objective of the EU, since this would ultimately constitute the most cost efficient, long lasting and militarily effective solution to keep Europe safe, with a view to defining at Treaty level its governance, financing arrangements, command structures and framework for democratic accountability; urges Member States and Council and Commission to urgently agree on the CEDU objectives, parameters, functional pillars and legal pathways, taking into account the challenges and opportunities identified above and initiate its implementation at the earliest opportunity; urges the European Parliament to be presented with relevant information and consulted on the design and implementation at timely intervals; considers it necessary to first pursue, as explained and defined above, the European Pillar of NATO pathway, to pursue a Coalition of the Willing model using PESCO, with a Treaty based organisation as a secondary alternative, and start treaty revision;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Proposes the strengthening of Parliament’s oversight and scrutiny role in line with the EU expanding its role in defence, including via delegated acts for the work programmes of the current and future defence industrial programmes and instruments that would allow for their implementation to be scrutinised, in particular the priorities set by the Commission concerning projects on priority capabilities; calls for a Parliament representative to be appointed to the new defence industrial readiness board proposed in EDIP, where currently none is provided for;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Considers that all CEDU actions should be subject to parliamentary scrutiny; calls for an annual debate within Parliament on the state of the CEDU, based on a report by the European Council and the Commission;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all CEDU actions should be subject to parliamentary scrutiny; calls for an annual debate within Parliament on the state of the CEDU, based on a report by the European Council </w:t>
            </w:r>
            <w:r>
              <w:rPr>
                <w:b/>
                <w:i/>
              </w:rPr>
              <w:t>and</w:t>
            </w:r>
            <w:r>
              <w:t xml:space="preserve"> the Commission;</w:t>
            </w:r>
          </w:p>
        </w:tc>
        <w:tc>
          <w:tcPr>
            <w:tcW w:w="4876" w:type="dxa"/>
            <w:tcBorders>
              <w:top w:val="nil"/>
              <w:left w:val="nil"/>
              <w:bottom w:val="nil"/>
              <w:right w:val="nil"/>
            </w:tcBorders>
          </w:tcPr>
          <w:p>
            <w:pPr>
              <w:pStyle w:val="Normal6a"/>
            </w:pPr>
            <w:r>
              <w:t>32.</w:t>
            </w:r>
            <w:r>
              <w:tab/>
            </w:r>
            <w:r>
              <w:t xml:space="preserve">Considers that all CEDU actions should be subject to parliamentary scrutiny; calls for </w:t>
            </w:r>
            <w:r>
              <w:rPr>
                <w:b/>
                <w:i/>
              </w:rPr>
              <w:t>the establishment of a binding framework for parliamentary oversight of the CEDU, including: (a)</w:t>
            </w:r>
            <w:r>
              <w:t xml:space="preserve"> an annual debate within Parliament on the state of the CEDU, based on a report by the European Council</w:t>
            </w:r>
            <w:r>
              <w:rPr>
                <w:b/>
                <w:i/>
              </w:rPr>
              <w:t>,</w:t>
            </w:r>
            <w:r>
              <w:t xml:space="preserve"> the Commission </w:t>
            </w:r>
            <w:r>
              <w:rPr>
                <w:b/>
                <w:i/>
              </w:rPr>
              <w:t>, and the VP/HR</w:t>
            </w:r>
            <w:r>
              <w:t xml:space="preserve">; </w:t>
            </w:r>
            <w:r>
              <w:rPr>
                <w:b/>
                <w:i/>
              </w:rPr>
              <w:t>(b) the European Parliament's right to be informed immediately upon invocation of Article 42(7) TEU and to scrutinise EU-level implementing measures; (c) the European Parliament's budgetary scrutiny of EU-budget components of CEDU financing, while off-budget and intergovernmental instruments require transparency and dedicated reporting; (d) the strengthening of the Inter-parliamentary Conference for the CFSP/CSDP; (e) the right of national parliaments to be informed and consulted on CEDU-related decisions; (f) transparency requirements for defence spending, procurement, and arms exports;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all CEDU actions should be subject to parliamentary scrutiny; calls for an annual debate within Parliament on the state of the CEDU, based on a report by the European Council and the Commission;</w:t>
            </w:r>
          </w:p>
        </w:tc>
        <w:tc>
          <w:tcPr>
            <w:tcW w:w="4876" w:type="dxa"/>
            <w:tcBorders>
              <w:top w:val="nil"/>
              <w:left w:val="nil"/>
              <w:bottom w:val="nil"/>
              <w:right w:val="nil"/>
            </w:tcBorders>
          </w:tcPr>
          <w:p>
            <w:pPr>
              <w:pStyle w:val="Normal6a"/>
            </w:pPr>
            <w:r>
              <w:t>32.</w:t>
            </w:r>
            <w:r>
              <w:tab/>
            </w:r>
            <w:r>
              <w:t>Considers that all CEDU actions should be subject to parliamentary scrutiny; calls for an annual debate within Parliament on the state of the CEDU, based on a report by the European Council and the Commission;</w:t>
            </w:r>
            <w:r>
              <w:rPr>
                <w:b/>
                <w:i/>
              </w:rPr>
              <w:t> calls for that report to assess progress against concrete objectives, including improvements in military mobility, the removal of cross-border bottlenecks and the implementation of relevant infrastructure investments, subject to appropriate confidentiality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all CEDU actions should be subject to parliamentary scrutiny; calls for an annual debate within Parliament on the state of the CEDU, based on a report by the European Council and the Commission;</w:t>
            </w:r>
          </w:p>
        </w:tc>
        <w:tc>
          <w:tcPr>
            <w:tcW w:w="4876" w:type="dxa"/>
            <w:tcBorders>
              <w:top w:val="nil"/>
              <w:left w:val="nil"/>
              <w:bottom w:val="nil"/>
              <w:right w:val="nil"/>
            </w:tcBorders>
          </w:tcPr>
          <w:p>
            <w:pPr>
              <w:pStyle w:val="Normal6a"/>
            </w:pPr>
            <w:r>
              <w:t>32.</w:t>
            </w:r>
            <w:r>
              <w:tab/>
            </w:r>
            <w:r>
              <w:t xml:space="preserve">Considers that all CEDU actions should be subject to parliamentary scrutiny; calls for an annual debate within Parliament on the state of the CEDU, based on a report by the European Council and the Commission; </w:t>
            </w:r>
            <w:r>
              <w:rPr>
                <w:b/>
                <w:i/>
              </w:rPr>
              <w:t>considers that the debate should also cover, within their respective competences, the activities of the European Security Council and the permanent defence council, subject to applicable confidentiality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w:t>
            </w:r>
            <w:r>
              <w:rPr>
                <w:b/>
                <w:i/>
              </w:rPr>
              <w:t>all CEDU actions</w:t>
            </w:r>
            <w:r>
              <w:t xml:space="preserve"> should be subject to parliamentary scrutiny; calls for </w:t>
            </w:r>
            <w:r>
              <w:rPr>
                <w:b/>
                <w:i/>
              </w:rPr>
              <w:t>an annual debate</w:t>
            </w:r>
            <w:r>
              <w:t xml:space="preserve"> within Parliament on </w:t>
            </w:r>
            <w:r>
              <w:rPr>
                <w:b/>
                <w:i/>
              </w:rPr>
              <w:t>the state of the CEDU, based on a report by the</w:t>
            </w:r>
            <w:r>
              <w:t xml:space="preserve"> European </w:t>
            </w:r>
            <w:r>
              <w:rPr>
                <w:b/>
                <w:i/>
              </w:rPr>
              <w:t>Council and the Commission</w:t>
            </w:r>
            <w:r>
              <w:t>;</w:t>
            </w:r>
          </w:p>
        </w:tc>
        <w:tc>
          <w:tcPr>
            <w:tcW w:w="4876" w:type="dxa"/>
            <w:tcBorders>
              <w:top w:val="nil"/>
              <w:left w:val="nil"/>
              <w:bottom w:val="nil"/>
              <w:right w:val="nil"/>
            </w:tcBorders>
          </w:tcPr>
          <w:p>
            <w:pPr>
              <w:pStyle w:val="Normal6a"/>
            </w:pPr>
            <w:r>
              <w:t>32.</w:t>
            </w:r>
            <w:r>
              <w:tab/>
            </w:r>
            <w:r>
              <w:t xml:space="preserve">Considers that </w:t>
            </w:r>
            <w:r>
              <w:rPr>
                <w:b/>
                <w:i/>
              </w:rPr>
              <w:t>intergovernmental defence initiatives</w:t>
            </w:r>
            <w:r>
              <w:t xml:space="preserve"> should be subject to parliamentary scrutiny</w:t>
            </w:r>
            <w:r>
              <w:rPr>
                <w:b/>
                <w:i/>
              </w:rPr>
              <w:t>, primarily by national parliaments</w:t>
            </w:r>
            <w:r>
              <w:t xml:space="preserve">; calls for </w:t>
            </w:r>
            <w:r>
              <w:rPr>
                <w:b/>
                <w:i/>
              </w:rPr>
              <w:t>a regular exchange of views</w:t>
            </w:r>
            <w:r>
              <w:t xml:space="preserve"> within </w:t>
            </w:r>
            <w:r>
              <w:rPr>
                <w:b/>
                <w:i/>
              </w:rPr>
              <w:t>the European</w:t>
            </w:r>
            <w:r>
              <w:t xml:space="preserve"> Parliament on </w:t>
            </w:r>
            <w:r>
              <w:rPr>
                <w:b/>
                <w:i/>
              </w:rPr>
              <w:t>developments in the Common Foreign and Security Policy and the Common Security and Defence Policy in accordance with Article 36 TEU, while respecting the respective competences of national and</w:t>
            </w:r>
            <w:r>
              <w:t xml:space="preserve"> European </w:t>
            </w:r>
            <w:r>
              <w:rPr>
                <w:b/>
                <w:i/>
              </w:rPr>
              <w:t>institutions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all CEDU actions should be subject to parliamentary scrutiny; calls for an annual debate within Parliament on the state of the CEDU, based on a report by the European Council and the Commission;</w:t>
            </w:r>
          </w:p>
        </w:tc>
        <w:tc>
          <w:tcPr>
            <w:tcW w:w="4876" w:type="dxa"/>
            <w:tcBorders>
              <w:top w:val="nil"/>
              <w:left w:val="nil"/>
              <w:bottom w:val="nil"/>
              <w:right w:val="nil"/>
            </w:tcBorders>
          </w:tcPr>
          <w:p>
            <w:pPr>
              <w:pStyle w:val="Normal6a"/>
            </w:pPr>
            <w:r>
              <w:t>32.</w:t>
            </w:r>
            <w:r>
              <w:tab/>
            </w:r>
            <w:r>
              <w:t xml:space="preserve">Considers that all CEDU actions should be subject to parliamentary scrutiny; calls for an annual debate within Parliament on the state of the CEDU, based on a report by the European Council and the Commission; </w:t>
            </w:r>
            <w:r>
              <w:rPr>
                <w:b/>
                <w:i/>
              </w:rPr>
              <w:t>requests a comprehensive review of current oversight procedures and the development of a transparent framework for monitoring and evaluating the effectiveness of EU-funded defence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all CEDU actions should be subject to parliamentary scrutiny; calls for an annual debate within Parliament on the state of the CEDU, based on a report by the European Council and the Commission;</w:t>
            </w:r>
          </w:p>
        </w:tc>
        <w:tc>
          <w:tcPr>
            <w:tcW w:w="4876" w:type="dxa"/>
            <w:tcBorders>
              <w:top w:val="nil"/>
              <w:left w:val="nil"/>
              <w:bottom w:val="nil"/>
              <w:right w:val="nil"/>
            </w:tcBorders>
          </w:tcPr>
          <w:p>
            <w:pPr>
              <w:pStyle w:val="Normal6a"/>
            </w:pPr>
            <w:r>
              <w:t>32.</w:t>
            </w:r>
            <w:r>
              <w:tab/>
            </w:r>
            <w:r>
              <w:t xml:space="preserve">Considers that all CEDU actions should be subject to parliamentary scrutiny </w:t>
            </w:r>
            <w:r>
              <w:rPr>
                <w:b/>
                <w:i/>
              </w:rPr>
              <w:t>and, where appropriate, co-decision</w:t>
            </w:r>
            <w:r>
              <w:t>; calls for an annual debate within Parliament on the state of the CEDU, based on a report by the European Council and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w:t>
            </w:r>
          </w:p>
        </w:tc>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 </w:t>
            </w:r>
            <w:r>
              <w:rPr>
                <w:b/>
                <w:i/>
              </w:rPr>
              <w:t>and complement the Article 42(7) TEU implementing legislation with a cascade of decision-making thresholds</w:t>
            </w:r>
            <w:r>
              <w:t xml:space="preserve">; </w:t>
            </w:r>
            <w:r>
              <w:rPr>
                <w:b/>
                <w:i/>
              </w:rPr>
              <w:t>further proposes that decisions of the European Security Council should bind the participating national government, if necessary due to national constitutional requirements, to immediately initiate a corresponding mandating procedure in the respective national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Considers that Article 36 TEU</w:t>
            </w:r>
            <w:r>
              <w:rPr>
                <w:b/>
                <w:i/>
              </w:rPr>
              <w:t>, in its current form, reflects a</w:t>
            </w:r>
            <w:r>
              <w:t xml:space="preserve"> framework </w:t>
            </w:r>
            <w:r>
              <w:rPr>
                <w:b/>
                <w:i/>
              </w:rPr>
              <w:t>primarily conceived</w:t>
            </w:r>
            <w:r>
              <w:t xml:space="preserve"> for </w:t>
            </w:r>
            <w:r>
              <w:rPr>
                <w:b/>
                <w:i/>
              </w:rPr>
              <w:t>the EU’s</w:t>
            </w:r>
            <w:r>
              <w:t xml:space="preserve"> external </w:t>
            </w:r>
            <w:r>
              <w:rPr>
                <w:b/>
                <w:i/>
              </w:rPr>
              <w:t>crisis-management role and is no longer sufficient in the light of the EU’s evolving responsibilities in the field of</w:t>
            </w:r>
            <w:r>
              <w:t xml:space="preserve"> security and defence; </w:t>
            </w:r>
            <w:r>
              <w:rPr>
                <w:b/>
                <w:i/>
              </w:rPr>
              <w:t>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w:t>
            </w:r>
          </w:p>
        </w:tc>
        <w:tc>
          <w:tcPr>
            <w:tcW w:w="4876" w:type="dxa"/>
            <w:tcBorders>
              <w:top w:val="nil"/>
              <w:left w:val="nil"/>
              <w:bottom w:val="nil"/>
              <w:right w:val="nil"/>
            </w:tcBorders>
          </w:tcPr>
          <w:p>
            <w:pPr>
              <w:pStyle w:val="Normal6a"/>
            </w:pPr>
            <w:r>
              <w:t>33.</w:t>
            </w:r>
            <w:r>
              <w:tab/>
            </w:r>
            <w:r>
              <w:t xml:space="preserve">Considers that Article 36 TEU </w:t>
            </w:r>
            <w:r>
              <w:rPr>
                <w:b/>
                <w:i/>
              </w:rPr>
              <w:t>provides an appropriate</w:t>
            </w:r>
            <w:r>
              <w:t xml:space="preserve"> framework for </w:t>
            </w:r>
            <w:r>
              <w:rPr>
                <w:b/>
                <w:i/>
              </w:rPr>
              <w:t>parliamentary scrutiny of the Union’s</w:t>
            </w:r>
            <w:r>
              <w:t xml:space="preserve"> external </w:t>
            </w:r>
            <w:r>
              <w:rPr>
                <w:b/>
                <w:i/>
              </w:rPr>
              <w:t>action, while respecting the Treaty-based division of competences and Member States’ primary responsibility for</w:t>
            </w:r>
            <w:r>
              <w:t xml:space="preserve"> security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w:t>
            </w:r>
            <w:r>
              <w:rPr>
                <w:b/>
                <w:i/>
              </w:rPr>
              <w:t>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w:t>
            </w:r>
          </w:p>
        </w:tc>
        <w:tc>
          <w:tcPr>
            <w:tcW w:w="4876" w:type="dxa"/>
            <w:tcBorders>
              <w:top w:val="nil"/>
              <w:left w:val="nil"/>
              <w:bottom w:val="nil"/>
              <w:right w:val="nil"/>
            </w:tcBorders>
          </w:tcPr>
          <w:p>
            <w:pPr>
              <w:pStyle w:val="Normal6a"/>
            </w:pPr>
            <w:r>
              <w:t>33.</w:t>
            </w:r>
            <w:r>
              <w:tab/>
            </w:r>
            <w:r>
              <w:t>Considers that Article 36 TEU, in its current form, reflects a framework primarily conceived for the EU’s external crisis-management role and is no longer sufficient in the light of the EU’s evolving responsibilities in the field of security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w:t>
            </w:r>
            <w:r>
              <w:rPr>
                <w:b/>
                <w:i/>
              </w:rPr>
              <w:t>and is no longer sufficient in the light of the EU’s evolving responsibilities in the field of security and defence;</w:t>
            </w:r>
            <w:r>
              <w:t xml:space="preserve"> </w:t>
            </w:r>
            <w:r>
              <w:rPr>
                <w:b/>
                <w:i/>
              </w:rPr>
              <w:t>considers, therefore, that</w:t>
            </w:r>
            <w:r>
              <w:t xml:space="preserve"> Parliament </w:t>
            </w:r>
            <w:r>
              <w:rPr>
                <w:b/>
                <w:i/>
              </w:rPr>
              <w:t>must be able to exercise full democratic</w:t>
            </w:r>
            <w:r>
              <w:t xml:space="preserve"> scrutiny over EU defence </w:t>
            </w:r>
            <w:r>
              <w:rPr>
                <w:b/>
                <w:i/>
              </w:rPr>
              <w:t>commitments and decisions with significant security and defence implications, including in connection with the activation and implementation</w:t>
            </w:r>
            <w:r>
              <w:t xml:space="preserve"> of the </w:t>
            </w:r>
            <w:r>
              <w:rPr>
                <w:b/>
                <w:i/>
              </w:rPr>
              <w:t>mutual assistance clause under Article 42(7) TEU</w:t>
            </w:r>
            <w:r>
              <w:t>;</w:t>
            </w:r>
          </w:p>
        </w:tc>
        <w:tc>
          <w:tcPr>
            <w:tcW w:w="4876" w:type="dxa"/>
            <w:tcBorders>
              <w:top w:val="nil"/>
              <w:left w:val="nil"/>
              <w:bottom w:val="nil"/>
              <w:right w:val="nil"/>
            </w:tcBorders>
          </w:tcPr>
          <w:p>
            <w:pPr>
              <w:pStyle w:val="Normal6a"/>
            </w:pPr>
            <w:r>
              <w:t>33.</w:t>
            </w:r>
            <w:r>
              <w:tab/>
            </w:r>
            <w:r>
              <w:t>Considers that Article 36 TEU, in its current form, reflects a framework primarily conceived for the EU’s external crisis-management role</w:t>
            </w:r>
            <w:r>
              <w:rPr>
                <w:b/>
                <w:i/>
              </w:rPr>
              <w:t>;</w:t>
            </w:r>
            <w:r>
              <w:t xml:space="preserve"> </w:t>
            </w:r>
            <w:r>
              <w:rPr>
                <w:b/>
                <w:i/>
              </w:rPr>
              <w:t>notes that this framework prevents</w:t>
            </w:r>
            <w:r>
              <w:t xml:space="preserve"> Parliament </w:t>
            </w:r>
            <w:r>
              <w:rPr>
                <w:b/>
                <w:i/>
              </w:rPr>
              <w:t>from exercising enhanced</w:t>
            </w:r>
            <w:r>
              <w:t xml:space="preserve"> scrutiny over EU defence </w:t>
            </w:r>
            <w:r>
              <w:rPr>
                <w:b/>
                <w:i/>
              </w:rPr>
              <w:t>policy;</w:t>
            </w:r>
            <w:r>
              <w:t xml:space="preserve"> </w:t>
            </w:r>
            <w:r>
              <w:rPr>
                <w:b/>
                <w:i/>
              </w:rPr>
              <w:t>points out that this is, nevertheless, the applicable primary law, which must be respected under the fundamental principle</w:t>
            </w:r>
            <w:r>
              <w:t xml:space="preserve"> of the </w:t>
            </w:r>
            <w:r>
              <w:rPr>
                <w:b/>
                <w:i/>
              </w:rPr>
              <w:t>rule of law, and that Parliament cannot disregard it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w:t>
            </w:r>
            <w:r>
              <w:rPr>
                <w:b/>
                <w:i/>
              </w:rPr>
              <w:t>considers, therefore, that Parliament must be able to exercise full</w:t>
            </w:r>
            <w:r>
              <w:t xml:space="preserve"> democratic </w:t>
            </w:r>
            <w:r>
              <w:rPr>
                <w:b/>
                <w:i/>
              </w:rPr>
              <w:t>scrutiny over EU</w:t>
            </w:r>
            <w:r>
              <w:t xml:space="preserve"> defence </w:t>
            </w:r>
            <w:r>
              <w:rPr>
                <w:b/>
                <w:i/>
              </w:rPr>
              <w:t>commitments and</w:t>
            </w:r>
            <w:r>
              <w:t xml:space="preserve"> decisions </w:t>
            </w:r>
            <w:r>
              <w:rPr>
                <w:b/>
                <w:i/>
              </w:rPr>
              <w:t>with significant security and defence implications, including in connection with the activation and implementation of the mutual assistance clause under Article 42(7) TEU</w:t>
            </w:r>
            <w:r>
              <w:t>;</w:t>
            </w:r>
          </w:p>
        </w:tc>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w:t>
            </w:r>
            <w:r>
              <w:rPr>
                <w:b/>
                <w:i/>
              </w:rPr>
              <w:t>s</w:t>
            </w:r>
            <w:r>
              <w:rPr>
                <w:b/>
                <w:i/>
              </w:rPr>
              <w:t>tresses that</w:t>
            </w:r>
            <w:r>
              <w:t xml:space="preserve"> democratic </w:t>
            </w:r>
            <w:r>
              <w:rPr>
                <w:b/>
                <w:i/>
              </w:rPr>
              <w:t>accountability of European</w:t>
            </w:r>
            <w:r>
              <w:t xml:space="preserve"> defence </w:t>
            </w:r>
            <w:r>
              <w:rPr>
                <w:b/>
                <w:i/>
              </w:rPr>
              <w:t>cooperation must be ensured at both European and national level, while respecting the constitutional responsibilities of Member States for</w:t>
            </w:r>
            <w:r>
              <w:t xml:space="preserve"> decisions </w:t>
            </w:r>
            <w:r>
              <w:rPr>
                <w:b/>
                <w:i/>
              </w:rPr>
              <w:t>concerning their armed forces and military deployments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Considers that Article 36 TEU</w:t>
            </w:r>
            <w:r>
              <w:rPr>
                <w:b/>
                <w:i/>
              </w:rPr>
              <w:t>, in its current form,</w:t>
            </w:r>
            <w:r>
              <w:t xml:space="preserve"> reflects </w:t>
            </w:r>
            <w:r>
              <w:rPr>
                <w:b/>
                <w:i/>
              </w:rPr>
              <w:t>a framework primarily conceived for the EU’s external crisis-management role and is no longer sufficient in the light</w:t>
            </w:r>
            <w:r>
              <w:t xml:space="preserve"> of the </w:t>
            </w:r>
            <w:r>
              <w:rPr>
                <w:b/>
                <w:i/>
              </w:rPr>
              <w:t>EU’s evolving responsibilities</w:t>
            </w:r>
            <w:r>
              <w:t xml:space="preserve"> in the field of security </w:t>
            </w:r>
            <w:r>
              <w:rPr>
                <w:b/>
                <w:i/>
              </w:rPr>
              <w:t>and defence; considers, therefore, that Parliament must be able to exercise full</w:t>
            </w:r>
            <w:r>
              <w:t xml:space="preserve"> democratic scrutiny </w:t>
            </w:r>
            <w:r>
              <w:rPr>
                <w:b/>
                <w:i/>
              </w:rPr>
              <w:t>over EU</w:t>
            </w:r>
            <w:r>
              <w:t xml:space="preserve"> defence commitments </w:t>
            </w:r>
            <w:r>
              <w:rPr>
                <w:b/>
                <w:i/>
              </w:rPr>
              <w:t>and</w:t>
            </w:r>
            <w:r>
              <w:t xml:space="preserve"> decisions with significant security and defence implications, </w:t>
            </w:r>
            <w:r>
              <w:rPr>
                <w:b/>
                <w:i/>
              </w:rPr>
              <w:t>including in connection with</w:t>
            </w:r>
            <w:r>
              <w:t xml:space="preserve"> the activation and implementation of the mutual assistance clause under Article 42(7) TEU;</w:t>
            </w:r>
          </w:p>
        </w:tc>
        <w:tc>
          <w:tcPr>
            <w:tcW w:w="4876" w:type="dxa"/>
            <w:tcBorders>
              <w:top w:val="nil"/>
              <w:left w:val="nil"/>
              <w:bottom w:val="nil"/>
              <w:right w:val="nil"/>
            </w:tcBorders>
          </w:tcPr>
          <w:p>
            <w:pPr>
              <w:pStyle w:val="Normal6a"/>
            </w:pPr>
            <w:r>
              <w:t>33.</w:t>
            </w:r>
            <w:r>
              <w:tab/>
            </w:r>
            <w:r>
              <w:t xml:space="preserve">Considers that Article 36 TEU </w:t>
            </w:r>
            <w:r>
              <w:rPr>
                <w:b/>
                <w:i/>
              </w:rPr>
              <w:t>appropriately</w:t>
            </w:r>
            <w:r>
              <w:t xml:space="preserve"> reflects </w:t>
            </w:r>
            <w:r>
              <w:rPr>
                <w:b/>
                <w:i/>
              </w:rPr>
              <w:t>the consultative role</w:t>
            </w:r>
            <w:r>
              <w:t xml:space="preserve"> of the </w:t>
            </w:r>
            <w:r>
              <w:rPr>
                <w:b/>
                <w:i/>
              </w:rPr>
              <w:t>European Parliament</w:t>
            </w:r>
            <w:r>
              <w:t xml:space="preserve"> in the field of </w:t>
            </w:r>
            <w:r>
              <w:rPr>
                <w:b/>
                <w:i/>
              </w:rPr>
              <w:t>the Common Foreign and</w:t>
            </w:r>
            <w:r>
              <w:t xml:space="preserve"> Security </w:t>
            </w:r>
            <w:r>
              <w:rPr>
                <w:b/>
                <w:i/>
              </w:rPr>
              <w:t>Policy; reaffirms that primary responsibility for</w:t>
            </w:r>
            <w:r>
              <w:t xml:space="preserve"> democratic scrutiny </w:t>
            </w:r>
            <w:r>
              <w:rPr>
                <w:b/>
                <w:i/>
              </w:rPr>
              <w:t>of national</w:t>
            </w:r>
            <w:r>
              <w:t xml:space="preserve"> defence commitments</w:t>
            </w:r>
            <w:r>
              <w:rPr>
                <w:b/>
                <w:i/>
              </w:rPr>
              <w:t>,</w:t>
            </w:r>
            <w:r>
              <w:t xml:space="preserve"> decisions with significant security and defence implications, </w:t>
            </w:r>
            <w:r>
              <w:rPr>
                <w:b/>
                <w:i/>
              </w:rPr>
              <w:t>as well as</w:t>
            </w:r>
            <w:r>
              <w:t xml:space="preserve"> the activation and implementation of the mutual assistance clause under Article 42(7) TEU</w:t>
            </w:r>
            <w:r>
              <w:rPr>
                <w:b/>
                <w:i/>
              </w:rPr>
              <w:t>, lies exclusively with national parliaments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Considers that Article 36 TEU, in its current form, reflects a framework primarily conceived for the EU’s external crisis-management role and is no longer sufficient in the light</w:t>
            </w:r>
            <w:r>
              <w:t xml:space="preserve"> of the </w:t>
            </w:r>
            <w:r>
              <w:rPr>
                <w:b/>
                <w:i/>
              </w:rPr>
              <w:t>EU’s evolving responsibilities</w:t>
            </w:r>
            <w:r>
              <w:t xml:space="preserve"> in the field of security and defence; considers</w:t>
            </w:r>
            <w:r>
              <w:rPr>
                <w:b/>
                <w:i/>
              </w:rPr>
              <w:t>, therefore,</w:t>
            </w:r>
            <w:r>
              <w:t xml:space="preserve"> that Parliament </w:t>
            </w:r>
            <w:r>
              <w:rPr>
                <w:b/>
                <w:i/>
              </w:rPr>
              <w:t>must be able to</w:t>
            </w:r>
            <w:r>
              <w:t xml:space="preserve"> exercise </w:t>
            </w:r>
            <w:r>
              <w:rPr>
                <w:b/>
                <w:i/>
              </w:rPr>
              <w:t>full democratic scrutiny over EU defence commitments and decisions with significant security and defence implications, including in connection with the activation and implementation of the mutual assistance clause</w:t>
            </w:r>
            <w:r>
              <w:t xml:space="preserve"> under Article </w:t>
            </w:r>
            <w:r>
              <w:rPr>
                <w:b/>
                <w:i/>
              </w:rPr>
              <w:t>42(7) TEU</w:t>
            </w:r>
            <w:r>
              <w:t>;</w:t>
            </w:r>
          </w:p>
        </w:tc>
        <w:tc>
          <w:tcPr>
            <w:tcW w:w="4876" w:type="dxa"/>
            <w:tcBorders>
              <w:top w:val="nil"/>
              <w:left w:val="nil"/>
              <w:bottom w:val="nil"/>
              <w:right w:val="nil"/>
            </w:tcBorders>
          </w:tcPr>
          <w:p>
            <w:pPr>
              <w:pStyle w:val="Normal6a"/>
            </w:pPr>
            <w:r>
              <w:t>33.</w:t>
            </w:r>
            <w:r>
              <w:tab/>
            </w:r>
            <w:r>
              <w:rPr>
                <w:b/>
                <w:i/>
              </w:rPr>
              <w:t>Recalls that decisions on the deployment of armed forces are subject to the constitutional requirements of the Member States and, in several Member States, to the prior constitutive consent</w:t>
            </w:r>
            <w:r>
              <w:t xml:space="preserve"> of the </w:t>
            </w:r>
            <w:r>
              <w:rPr>
                <w:b/>
                <w:i/>
              </w:rPr>
              <w:t>national parliament; stresses that democratic legitimacy</w:t>
            </w:r>
            <w:r>
              <w:t xml:space="preserve"> in the field of security and defence </w:t>
            </w:r>
            <w:r>
              <w:rPr>
                <w:b/>
                <w:i/>
              </w:rPr>
              <w:t>derives primarily from the national parliaments, whose rights must not be curtailed by any extension of Union competences</w:t>
            </w:r>
            <w:r>
              <w:t xml:space="preserve">; considers that Parliament </w:t>
            </w:r>
            <w:r>
              <w:rPr>
                <w:b/>
                <w:i/>
              </w:rPr>
              <w:t>should</w:t>
            </w:r>
            <w:r>
              <w:t xml:space="preserve"> exercise </w:t>
            </w:r>
            <w:r>
              <w:rPr>
                <w:b/>
                <w:i/>
              </w:rPr>
              <w:t>its role</w:t>
            </w:r>
            <w:r>
              <w:t xml:space="preserve"> under Article </w:t>
            </w:r>
            <w:r>
              <w:rPr>
                <w:b/>
                <w:i/>
              </w:rPr>
              <w:t>36 TEU through timely information and consultation, budgetary scrutiny and close cooperation with national parliaments, in particular within the IPC CFSP/CSDP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Considers that Article 36 TEU</w:t>
            </w:r>
            <w:r>
              <w:rPr>
                <w:b/>
                <w:i/>
              </w:rPr>
              <w:t>, in its current form, reflects a</w:t>
            </w:r>
            <w:r>
              <w:t xml:space="preserve"> framework </w:t>
            </w:r>
            <w:r>
              <w:rPr>
                <w:b/>
                <w:i/>
              </w:rPr>
              <w:t>primarily conceived</w:t>
            </w:r>
            <w:r>
              <w:t xml:space="preserve"> for the </w:t>
            </w:r>
            <w:r>
              <w:rPr>
                <w:b/>
                <w:i/>
              </w:rPr>
              <w:t>EU’s external crisis-management role and is no longer sufficient in the light</w:t>
            </w:r>
            <w:r>
              <w:t xml:space="preserve"> of the </w:t>
            </w:r>
            <w:r>
              <w:rPr>
                <w:b/>
                <w:i/>
              </w:rPr>
              <w:t>EU’s evolving responsibilities in the field of security and defence;</w:t>
            </w:r>
            <w:r>
              <w:t xml:space="preserve"> </w:t>
            </w:r>
            <w:r>
              <w:rPr>
                <w:b/>
                <w:i/>
              </w:rPr>
              <w:t>considers, therefore, that</w:t>
            </w:r>
            <w:r>
              <w:t xml:space="preserve"> Parliament </w:t>
            </w:r>
            <w:r>
              <w:rPr>
                <w:b/>
                <w:i/>
              </w:rPr>
              <w:t>must be able to exercise full democratic scrutiny over EU defence commitments and decisions with significant</w:t>
            </w:r>
            <w:r>
              <w:t xml:space="preserve"> security and defence </w:t>
            </w:r>
            <w:r>
              <w:rPr>
                <w:b/>
                <w:i/>
              </w:rPr>
              <w:t>implications, including in connection with the activation and implementation</w:t>
            </w:r>
            <w:r>
              <w:t xml:space="preserve"> of the </w:t>
            </w:r>
            <w:r>
              <w:rPr>
                <w:b/>
                <w:i/>
              </w:rPr>
              <w:t>mutual assistance clause under Article 42(7) TEU</w:t>
            </w:r>
            <w:r>
              <w:t>;</w:t>
            </w:r>
          </w:p>
        </w:tc>
        <w:tc>
          <w:tcPr>
            <w:tcW w:w="4876" w:type="dxa"/>
            <w:tcBorders>
              <w:top w:val="nil"/>
              <w:left w:val="nil"/>
              <w:bottom w:val="nil"/>
              <w:right w:val="nil"/>
            </w:tcBorders>
          </w:tcPr>
          <w:p>
            <w:pPr>
              <w:pStyle w:val="Normal6a"/>
            </w:pPr>
            <w:r>
              <w:t>33.</w:t>
            </w:r>
            <w:r>
              <w:tab/>
            </w:r>
            <w:r>
              <w:t xml:space="preserve">Considers that Article 36 TEU </w:t>
            </w:r>
            <w:r>
              <w:rPr>
                <w:b/>
                <w:i/>
              </w:rPr>
              <w:t>provides an appropriate</w:t>
            </w:r>
            <w:r>
              <w:t xml:space="preserve"> framework for the </w:t>
            </w:r>
            <w:r>
              <w:rPr>
                <w:b/>
                <w:i/>
              </w:rPr>
              <w:t>role</w:t>
            </w:r>
            <w:r>
              <w:t xml:space="preserve"> of the </w:t>
            </w:r>
            <w:r>
              <w:rPr>
                <w:b/>
                <w:i/>
              </w:rPr>
              <w:t>European</w:t>
            </w:r>
            <w:r>
              <w:t xml:space="preserve"> Parliament </w:t>
            </w:r>
            <w:r>
              <w:rPr>
                <w:b/>
                <w:i/>
              </w:rPr>
              <w:t>in the common</w:t>
            </w:r>
            <w:r>
              <w:t xml:space="preserve"> security and defence </w:t>
            </w:r>
            <w:r>
              <w:rPr>
                <w:b/>
                <w:i/>
              </w:rPr>
              <w:t>policy;</w:t>
            </w:r>
            <w:r>
              <w:t xml:space="preserve"> </w:t>
            </w:r>
            <w:r>
              <w:rPr>
                <w:b/>
                <w:i/>
              </w:rPr>
              <w:t>underlines the essential role of national parliaments in the democratic scrutiny of decisions concerning national defence and the deployment</w:t>
            </w:r>
            <w:r>
              <w:t xml:space="preserve"> of the </w:t>
            </w:r>
            <w:r>
              <w:rPr>
                <w:b/>
                <w:i/>
              </w:rPr>
              <w:t>armed forces;</w:t>
            </w:r>
            <w:r>
              <w:t xml:space="preserve"> </w:t>
            </w:r>
            <w:r>
              <w:rPr>
                <w:b/>
                <w:i/>
              </w:rPr>
              <w:t>reaffirms that any scrutiny exercised at EU level must fully respect the constitutional prerogatives of national parliaments and not lead to a transfer of defence competences from the Member States to the European Parliament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Considers that </w:t>
            </w:r>
            <w:r>
              <w:rPr>
                <w:b/>
                <w:i/>
              </w:rPr>
              <w:t>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w:t>
            </w:r>
            <w:r>
              <w:t xml:space="preserve"> democratic scrutiny </w:t>
            </w:r>
            <w:r>
              <w:rPr>
                <w:b/>
                <w:i/>
              </w:rPr>
              <w:t>over EU</w:t>
            </w:r>
            <w:r>
              <w:t xml:space="preserve"> defence </w:t>
            </w:r>
            <w:r>
              <w:rPr>
                <w:b/>
                <w:i/>
              </w:rPr>
              <w:t>commitments and decisions with significant security and defence implications</w:t>
            </w:r>
            <w:r>
              <w:t xml:space="preserve">, including </w:t>
            </w:r>
            <w:r>
              <w:rPr>
                <w:b/>
                <w:i/>
              </w:rPr>
              <w:t>in connection with the activation and implementation of the mutual assistance clause</w:t>
            </w:r>
            <w:r>
              <w:t xml:space="preserve"> under Article </w:t>
            </w:r>
            <w:r>
              <w:rPr>
                <w:b/>
                <w:i/>
              </w:rPr>
              <w:t>42(7) TEU</w:t>
            </w:r>
            <w:r>
              <w:t>;</w:t>
            </w:r>
          </w:p>
        </w:tc>
        <w:tc>
          <w:tcPr>
            <w:tcW w:w="4876" w:type="dxa"/>
            <w:tcBorders>
              <w:top w:val="nil"/>
              <w:left w:val="nil"/>
              <w:bottom w:val="nil"/>
              <w:right w:val="nil"/>
            </w:tcBorders>
          </w:tcPr>
          <w:p>
            <w:pPr>
              <w:pStyle w:val="Normal6a"/>
            </w:pPr>
            <w:r>
              <w:t>33.</w:t>
            </w:r>
            <w:r>
              <w:tab/>
            </w:r>
            <w:r>
              <w:t xml:space="preserve">Considers that democratic scrutiny </w:t>
            </w:r>
            <w:r>
              <w:rPr>
                <w:b/>
                <w:i/>
              </w:rPr>
              <w:t>of European</w:t>
            </w:r>
            <w:r>
              <w:t xml:space="preserve"> defence </w:t>
            </w:r>
            <w:r>
              <w:rPr>
                <w:b/>
                <w:i/>
              </w:rPr>
              <w:t>cooperation must respect the allocation of competences under the Treaties; supports effective European Parliament scrutiny within its existing powers</w:t>
            </w:r>
            <w:r>
              <w:t xml:space="preserve">, including under Article </w:t>
            </w:r>
            <w:r>
              <w:rPr>
                <w:b/>
                <w:i/>
              </w:rPr>
              <w:t>36 TEU, and full scrutiny of Union-funded defence programmes</w:t>
            </w:r>
            <w:r>
              <w:t xml:space="preserve">; </w:t>
            </w:r>
            <w:r>
              <w:rPr>
                <w:b/>
                <w:i/>
              </w:rPr>
              <w:t>stresses that national parliaments retain their constitutional roles in overseeing armed forces, deployments and national defence budgets; calls for stronger cooperation and appropriate information-sharing between the European Parliament and national parliaments, subject to confidentiality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w:t>
            </w:r>
          </w:p>
        </w:tc>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w:t>
            </w:r>
            <w:r>
              <w:rPr>
                <w:b/>
                <w:i/>
              </w:rPr>
              <w:t>and co-decision</w:t>
            </w:r>
            <w:r>
              <w:t xml:space="preserve"> over EU defence commitments and decisions with significant security and defence implications, including in connection with the activation and implementation of the mutual assistance clause under Article 42(7)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w:t>
            </w:r>
            <w:r>
              <w:rPr>
                <w:b/>
                <w:i/>
              </w:rPr>
              <w:t>full</w:t>
            </w:r>
            <w:r>
              <w:t xml:space="preserve"> democratic scrutiny over EU defence commitments </w:t>
            </w:r>
            <w:r>
              <w:rPr>
                <w:b/>
                <w:i/>
              </w:rPr>
              <w:t>and decisions</w:t>
            </w:r>
            <w:r>
              <w:t xml:space="preserve"> with significant security and defence implications, including in connection with the </w:t>
            </w:r>
            <w:r>
              <w:rPr>
                <w:b/>
                <w:i/>
              </w:rPr>
              <w:t>activation and</w:t>
            </w:r>
            <w:r>
              <w:t xml:space="preserve"> implementation of the mutual assistance clause under Article 42(7) TEU;</w:t>
            </w:r>
          </w:p>
        </w:tc>
        <w:tc>
          <w:tcPr>
            <w:tcW w:w="4876" w:type="dxa"/>
            <w:tcBorders>
              <w:top w:val="nil"/>
              <w:left w:val="nil"/>
              <w:bottom w:val="nil"/>
              <w:right w:val="nil"/>
            </w:tcBorders>
          </w:tcPr>
          <w:p>
            <w:pPr>
              <w:pStyle w:val="Normal6a"/>
            </w:pPr>
            <w:r>
              <w:t>33.</w:t>
            </w:r>
            <w:r>
              <w:tab/>
            </w:r>
            <w:r>
              <w:t xml:space="preserve">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w:t>
            </w:r>
            <w:r>
              <w:rPr>
                <w:b/>
                <w:i/>
              </w:rPr>
              <w:t>ex-post</w:t>
            </w:r>
            <w:r>
              <w:t xml:space="preserve"> democratic scrutiny over EU defence commitments with significant security and defence implications, including in connection with the implementation of the mutual assistance clause under Article 42(7) TEU</w:t>
            </w:r>
            <w:r>
              <w:rPr>
                <w:b/>
                <w:i/>
              </w:rPr>
              <w:t>, without exceeding its prerogatives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Calls for Parliament to be informed whenever Article 42(7) TEU is invoked and to receive regular implementation reports, subject to confidentiality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Calls for Parliament to be informed whenever Article 42(7) TEU is invoked and to receive regular implementation reports, subject to confidentiality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Calls for Parliament to be informed whenever Article 42(7) TEU is invoked and to receive regular implementation reports, subject to confidentiality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Calls for Parliament to be informed whenever Article 42(7) TEU is invoked and to receive regular implementation reports, subject to confidentiality requirements;</w:t>
            </w:r>
          </w:p>
        </w:tc>
        <w:tc>
          <w:tcPr>
            <w:tcW w:w="4876" w:type="dxa"/>
            <w:tcBorders>
              <w:top w:val="nil"/>
              <w:left w:val="nil"/>
              <w:bottom w:val="nil"/>
              <w:right w:val="nil"/>
            </w:tcBorders>
          </w:tcPr>
          <w:p>
            <w:pPr>
              <w:pStyle w:val="Normal6a"/>
            </w:pPr>
            <w:r>
              <w:t>34.</w:t>
            </w:r>
            <w:r>
              <w:tab/>
            </w:r>
            <w:r>
              <w:t xml:space="preserve">Calls for Parliament to be informed </w:t>
            </w:r>
            <w:r>
              <w:rPr>
                <w:b/>
                <w:i/>
              </w:rPr>
              <w:t>without delay</w:t>
            </w:r>
            <w:r>
              <w:t xml:space="preserve"> whenever Article 42(7) TEU is invoked </w:t>
            </w:r>
            <w:r>
              <w:rPr>
                <w:b/>
                <w:i/>
              </w:rPr>
              <w:t>or the Emergency Security Protocol is activated,</w:t>
            </w:r>
            <w:r>
              <w:t xml:space="preserve"> and to receive regular implementation reports, subject to confidentiality requirements; </w:t>
            </w:r>
            <w:r>
              <w:rPr>
                <w:b/>
                <w:i/>
              </w:rPr>
              <w:t>calls for these reports to cover the assessment of the threat, the measures agreed and their implementation, and for appropriate arrangements to enable the competent parliamentary committees to scrutinise sensitive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Calls for</w:t>
            </w:r>
            <w:r>
              <w:t xml:space="preserve"> Parliament </w:t>
            </w:r>
            <w:r>
              <w:rPr>
                <w:b/>
                <w:i/>
              </w:rPr>
              <w:t>to</w:t>
            </w:r>
            <w:r>
              <w:t xml:space="preserve"> be informed whenever Article 42(7) TEU is invoked </w:t>
            </w:r>
            <w:r>
              <w:rPr>
                <w:b/>
                <w:i/>
              </w:rPr>
              <w:t>and to receive</w:t>
            </w:r>
            <w:r>
              <w:t xml:space="preserve"> regular </w:t>
            </w:r>
            <w:r>
              <w:rPr>
                <w:b/>
                <w:i/>
              </w:rPr>
              <w:t>implementation reports, subject to</w:t>
            </w:r>
            <w:r>
              <w:t xml:space="preserve"> confidentiality requirements;</w:t>
            </w:r>
          </w:p>
        </w:tc>
        <w:tc>
          <w:tcPr>
            <w:tcW w:w="4876" w:type="dxa"/>
            <w:tcBorders>
              <w:top w:val="nil"/>
              <w:left w:val="nil"/>
              <w:bottom w:val="nil"/>
              <w:right w:val="nil"/>
            </w:tcBorders>
          </w:tcPr>
          <w:p>
            <w:pPr>
              <w:pStyle w:val="Normal6a"/>
            </w:pPr>
            <w:r>
              <w:t>34.</w:t>
            </w:r>
            <w:r>
              <w:tab/>
            </w:r>
            <w:r>
              <w:rPr>
                <w:b/>
                <w:i/>
              </w:rPr>
              <w:t>Notes that the European</w:t>
            </w:r>
            <w:r>
              <w:t xml:space="preserve"> Parliament </w:t>
            </w:r>
            <w:r>
              <w:rPr>
                <w:b/>
                <w:i/>
              </w:rPr>
              <w:t>may</w:t>
            </w:r>
            <w:r>
              <w:t xml:space="preserve"> be informed</w:t>
            </w:r>
            <w:r>
              <w:rPr>
                <w:b/>
                <w:i/>
              </w:rPr>
              <w:t>, where appropriate,</w:t>
            </w:r>
            <w:r>
              <w:t xml:space="preserve"> whenever Article 42(7) TEU is invoked</w:t>
            </w:r>
            <w:r>
              <w:rPr>
                <w:b/>
                <w:i/>
              </w:rPr>
              <w:t>, while underlining that primary responsibility for receiving</w:t>
            </w:r>
            <w:r>
              <w:t xml:space="preserve"> regular </w:t>
            </w:r>
            <w:r>
              <w:rPr>
                <w:b/>
                <w:i/>
              </w:rPr>
              <w:t>updates and exercising democratic scrutiny lies exclusively with national parliaments, with full respect for strict</w:t>
            </w:r>
            <w:r>
              <w:t xml:space="preserve"> confidentiality </w:t>
            </w:r>
            <w:r>
              <w:rPr>
                <w:b/>
                <w:i/>
              </w:rPr>
              <w:t>and national security</w:t>
            </w:r>
            <w:r>
              <w:t xml:space="preserve">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Considers that stronger parliamentary oversight of the CEDU cannot rely on transparency alone, but must be strengthened, including through tighter controls in Parliament; further proposes that upon security vetting Parliament’s President, as well as the Chair, Bureau and Political Group Coordinators of Parliament's Security and Defence Committee may receive the most sensitive briefings, including on the specifies of any Article 42(7) TEU activation, that cannot be shared with the full committee or in plenary without redaction; underlines that national parliaments should equally be empowered to receive classified information enabling them to exercise effective and informed oversight; specifcies that as a pre-condition Parliament’s President, as well as the Chair, Bureau and Political Group Coordinators of Parliament's Security and Defence Committee undergo enhanced security vetting to a level equivalent to NATO SECRET coupled with binding non-disclosure obligations, with meaningful consequences in case of breaches;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Considers it necessary for the European Court of Auditors to be provided with an audit mandate for all bodies and instruments that are involved in the implementation of EU defence policy, subject to appropriate security and confidentiality restrictions;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Sandro Gozi, Lucia Yar, Krzysztof Śmiszek, Juan Fernando López Aguilar,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Instructs its President to forward this resolution to the European Council, the Council, the Commission, the parliaments of the Member States and candidate countries, and the Secretary General of NATO</w:t>
            </w:r>
            <w:r>
              <w:rPr>
                <w:b/>
                <w:i/>
              </w:rPr>
              <w:t>.</w:t>
            </w:r>
          </w:p>
        </w:tc>
        <w:tc>
          <w:tcPr>
            <w:tcW w:w="4876" w:type="dxa"/>
            <w:tcBorders>
              <w:top w:val="nil"/>
              <w:left w:val="nil"/>
              <w:bottom w:val="nil"/>
              <w:right w:val="nil"/>
            </w:tcBorders>
          </w:tcPr>
          <w:p>
            <w:pPr>
              <w:pStyle w:val="Normal6a"/>
            </w:pPr>
            <w:r>
              <w:t>35.</w:t>
            </w:r>
            <w:r>
              <w:tab/>
            </w:r>
            <w:r>
              <w:t>Instructs its President to forward this resolution to the European Council, the Council, the Commission, the parliaments of the Member States and candidate countries, and the Secretary General of NATO</w:t>
            </w:r>
            <w:r>
              <w:rPr>
                <w:b/>
                <w:i/>
              </w:rPr>
              <w:t>; demands a response from the Council, Commission and VP/HR on this report and its concrete recommendations and requests;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Instructs its President to forward this resolution to the European Council, the Council, the Commission</w:t>
            </w:r>
            <w:r>
              <w:rPr>
                <w:b/>
                <w:i/>
              </w:rPr>
              <w:t>,</w:t>
            </w:r>
            <w:r>
              <w:t xml:space="preserve"> the parliaments of the Member States </w:t>
            </w:r>
            <w:r>
              <w:rPr>
                <w:b/>
                <w:i/>
              </w:rPr>
              <w:t>and candidate countries, and the Secretary General of NATO</w:t>
            </w:r>
            <w:r>
              <w:t>.</w:t>
            </w:r>
          </w:p>
        </w:tc>
        <w:tc>
          <w:tcPr>
            <w:tcW w:w="4876" w:type="dxa"/>
            <w:tcBorders>
              <w:top w:val="nil"/>
              <w:left w:val="nil"/>
              <w:bottom w:val="nil"/>
              <w:right w:val="nil"/>
            </w:tcBorders>
          </w:tcPr>
          <w:p>
            <w:pPr>
              <w:pStyle w:val="Normal6a"/>
            </w:pPr>
            <w:r>
              <w:t>35.</w:t>
            </w:r>
            <w:r>
              <w:tab/>
            </w:r>
            <w:r>
              <w:t xml:space="preserve">Instructs its President to forward this resolution to the European Council, the Council, the Commission </w:t>
            </w:r>
            <w:r>
              <w:rPr>
                <w:b/>
                <w:i/>
              </w:rPr>
              <w:t>and</w:t>
            </w:r>
            <w:r>
              <w:t xml:space="preserve"> the parliaments of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796.382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AM\1352240EN.docx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AM\1352240EN.docx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796.382</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AM\1352240EN.docx</w:t>
    </w:r>
    <w:r>
      <w:rPr>
        <w:rStyle w:val="HideTWBExt"/>
      </w:rPr>
      <w:t>&lt;/PathFdR&gt;</w:t>
    </w:r>
    <w:r>
      <w:tab/>
    </w:r>
    <w:r>
      <w:tab/>
    </w:r>
    <w:r>
      <w:t>PE</w:t>
    </w:r>
    <w:r>
      <w:rPr>
        <w:rStyle w:val="HideTWBExt"/>
      </w:rPr>
      <w:t>&lt;NoPE&gt;</w:t>
    </w:r>
    <w:r>
      <w:t>796.382</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34884</Words>
  <Characters>209614</Characters>
  <Application>Microsoft Office Word</Application>
  <DocSecurity>0</DocSecurity>
  <Lines>1</Lines>
  <Paragraphs>2861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1352240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654410</vt:lpwstr>
  </property>
  <property fmtid="{D5CDD505-2E9C-101B-9397-08002B2CF9AE}" pid="7" name="dmxml.render.traceId">
    <vt:lpwstr>6acf4d42d1915b91f848306a22d85b74</vt:lpwstr>
  </property>
  <property fmtid="{D5CDD505-2E9C-101B-9397-08002B2CF9AE}" pid="8" name="FooterPath">
    <vt:lpwstr>AM\1352240EN.docx</vt:lpwstr>
  </property>
  <property fmtid="{D5CDD505-2E9C-101B-9397-08002B2CF9AE}" pid="9" name="PE Number">
    <vt:lpwstr>796.382</vt:lpwstr>
  </property>
  <property fmtid="{D5CDD505-2E9C-101B-9397-08002B2CF9AE}" pid="10" name="UID">
    <vt:lpwstr>eu.europa.europarl-DIN1-2026-0000275748_01.00-en-01.00_text-xml</vt:lpwstr>
  </property>
</Properties>
</file>