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Výbor pro rozpočtovou kontrolu</w:t>
      </w:r>
      <w:r>
        <w:rPr>
          <w:rStyle w:val="HideTWBExt"/>
        </w:rPr>
        <w:t>&lt;/Commission&gt;</w:t>
      </w:r>
    </w:p>
    <w:p>
      <w:pPr>
        <w:pStyle w:val="LineBottom"/>
      </w:pPr>
      <w:r>
        <w:t xml:space="preserve"> </w:t>
      </w:r>
    </w:p>
    <w:p>
      <w:pPr>
        <w:pStyle w:val="CoverReference"/>
      </w:pPr>
      <w:r>
        <w:rPr>
          <w:rStyle w:val="HideTWBExt"/>
        </w:rPr>
        <w:t>&lt;RefProc&gt;</w:t>
      </w:r>
      <w:r>
        <w:t>2024/2031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{05/02/2025}</w:t>
      </w:r>
      <w:r>
        <w:t>5. 2. 2025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52</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Michal Wiezik</w:t>
      </w:r>
      <w:r>
        <w:rPr>
          <w:rStyle w:val="HideTWBExt"/>
        </w:rPr>
        <w:t>&lt;/Rapporteur&gt;</w:t>
      </w:r>
    </w:p>
    <w:p>
      <w:pPr>
        <w:pStyle w:val="CoverNormal24a"/>
      </w:pPr>
      <w:r>
        <w:rPr>
          <w:rStyle w:val="HideTWBExt"/>
        </w:rPr>
        <w:t>&lt;DocRefPE&gt;</w:t>
      </w:r>
      <w:r>
        <w:t>(PE765.276v02-00)</w:t>
      </w:r>
      <w:r>
        <w:rPr>
          <w:rStyle w:val="HideTWBExt"/>
        </w:rPr>
        <w:t>&lt;/DocRefPE&gt;</w:t>
      </w:r>
    </w:p>
    <w:p>
      <w:pPr>
        <w:pStyle w:val="CoverNormal"/>
      </w:pPr>
      <w:r>
        <w:rPr>
          <w:rStyle w:val="HideTWBExt"/>
        </w:rPr>
        <w:t>&lt;Titre&gt;</w:t>
      </w:r>
      <w:r>
        <w:t>Udělení absolutoria za rozpočtový rok 2023: souhrnný rozpočet EU – společné podniky</w:t>
      </w:r>
      <w:r>
        <w:rPr>
          <w:rStyle w:val="HideTWBExt"/>
        </w:rPr>
        <w:t>&lt;/Titre&gt;</w:t>
      </w:r>
    </w:p>
    <w:p>
      <w:pPr>
        <w:pStyle w:val="CoverNormal24a"/>
      </w:pPr>
      <w:r>
        <w:rPr>
          <w:rStyle w:val="HideTWBExt"/>
        </w:rPr>
        <w:t>&lt;DocRef&gt;</w:t>
      </w:r>
      <w:r>
        <w:t>(2024/2031(DEC))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vítá úlohu</w:t>
            </w:r>
            <w:r>
              <w:t xml:space="preserve"> společných podniků </w:t>
            </w:r>
            <w:r>
              <w:rPr>
                <w:b/>
                <w:i/>
              </w:rPr>
              <w:t>při podpoře</w:t>
            </w:r>
            <w:r>
              <w:t xml:space="preserve"> výzkumných a inovačních činností v oblastech dopravy, energetiky, zdravotnictví, oběhového průmyslu založeného na biotechnologiích, klíčových elektronických součástí, superpočítání a síťových systémů;</w:t>
            </w:r>
          </w:p>
        </w:tc>
        <w:tc>
          <w:tcPr>
            <w:tcW w:w="4876" w:type="dxa"/>
            <w:tcBorders>
              <w:top w:val="nil"/>
              <w:left w:val="nil"/>
              <w:bottom w:val="nil"/>
              <w:right w:val="nil"/>
            </w:tcBorders>
          </w:tcPr>
          <w:p>
            <w:pPr>
              <w:pStyle w:val="Normal6a"/>
            </w:pPr>
            <w:r>
              <w:t>1.</w:t>
            </w:r>
            <w:r>
              <w:tab/>
            </w:r>
            <w:r>
              <w:rPr>
                <w:b/>
                <w:i/>
              </w:rPr>
              <w:t>konstatuje, že úlohou</w:t>
            </w:r>
            <w:r>
              <w:t xml:space="preserve"> společných podniků </w:t>
            </w:r>
            <w:r>
              <w:rPr>
                <w:b/>
                <w:i/>
              </w:rPr>
              <w:t>by měla být podpora</w:t>
            </w:r>
            <w:r>
              <w:t xml:space="preserve"> výzkumných a inovačních činností v oblastech dopravy, energetiky, zdravotnictví, oběhového průmyslu založeného na biotechnologiích, klíčových elektronických součástí, superpočítání a síťových systémů;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připomíná Budapešťské prohlášení o nové dohodě pro konkurenceschopnost Evropy a poukazuje na význam posílení technologických kapacit EU, urychlení digitální transformace napříč odvětvími, využití příležitostí ekonomiky založené na datech při současném zajištění soukromí a bezpečnosti, jakož i podpory rozvoje inovativních technologií;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vítá vzájemně přínosnou povahu</w:t>
            </w:r>
            <w:r>
              <w:t xml:space="preserve"> společných podniků </w:t>
            </w:r>
            <w:r>
              <w:rPr>
                <w:b/>
                <w:i/>
              </w:rPr>
              <w:t>coby partnerství</w:t>
            </w:r>
            <w:r>
              <w:t xml:space="preserve"> veřejného a soukromého sektoru, která řídí investice a aktivují veřejné a soukromé finanční prostředky za účelem financování společných cílů; připomíná v tomto ohledu, že příspěvky soukromých členů musí splňovat stanovené cíle, aby tato partnerství zůstala vzájemně přínosná; vyzývá společné podniky, které umožňují věcné příspěvky na dodatečné činnosti, aby pokud možno zabránily přílišnému spoléhání se na tyto příspěvky v zájmu splnění stanovených cílů;</w:t>
            </w:r>
          </w:p>
        </w:tc>
        <w:tc>
          <w:tcPr>
            <w:tcW w:w="4876" w:type="dxa"/>
            <w:tcBorders>
              <w:top w:val="nil"/>
              <w:left w:val="nil"/>
              <w:bottom w:val="nil"/>
              <w:right w:val="nil"/>
            </w:tcBorders>
          </w:tcPr>
          <w:p>
            <w:pPr>
              <w:pStyle w:val="Normal6a"/>
            </w:pPr>
            <w:r>
              <w:t>3.</w:t>
            </w:r>
            <w:r>
              <w:tab/>
            </w:r>
            <w:r>
              <w:rPr>
                <w:b/>
                <w:i/>
              </w:rPr>
              <w:t>konstatuje, že povaha</w:t>
            </w:r>
            <w:r>
              <w:t xml:space="preserve"> společných podniků </w:t>
            </w:r>
            <w:r>
              <w:rPr>
                <w:b/>
                <w:i/>
              </w:rPr>
              <w:t>je založena na partnerstvích</w:t>
            </w:r>
            <w:r>
              <w:t xml:space="preserve"> veřejného a soukromého sektoru, která řídí investice a aktivují veřejné a soukromé finanční prostředky za účelem financování společných cílů; připomíná v tomto ohledu, že příspěvky soukromých členů musí splňovat stanovené cíle, aby tato partnerství zůstala vzájemně přínosná; vyzývá společné podniky, které umožňují věcné příspěvky na dodatečné činnosti, aby pokud možno zabránily přílišnému spoléhání se na tyto příspěvky v zájmu splnění stanovených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vítá skutečnost, že dva společné podniky dosáhly během rozpočtového roku 2023 finanční samostatnosti, konkrétně společný podnik pro inteligentní sítě a služby dne 24. října 2023 a společný podnik pro partnerství evropských a rozvojových zemí při klinických hodnoceních (EDCTP3) v oblasti globálního zdraví dne 23. listopadu 2023; dále konstatuje, že v důsledku toho Účetní dvůr poprvé provedl audit těchto dvou společných podniků, a to kromě devíti společných podniků, u kterých Účetní dvůr provedl audit již za rozpočtový rok 2022;</w:t>
            </w:r>
          </w:p>
        </w:tc>
        <w:tc>
          <w:tcPr>
            <w:tcW w:w="4876" w:type="dxa"/>
            <w:tcBorders>
              <w:top w:val="nil"/>
              <w:left w:val="nil"/>
              <w:bottom w:val="nil"/>
              <w:right w:val="nil"/>
            </w:tcBorders>
          </w:tcPr>
          <w:p>
            <w:pPr>
              <w:pStyle w:val="Normal6a"/>
            </w:pPr>
            <w:r>
              <w:t>6.</w:t>
            </w:r>
            <w:r>
              <w:tab/>
            </w:r>
            <w:r>
              <w:t xml:space="preserve">vítá skutečnost, že dva společné podniky dosáhly během rozpočtového roku 2023 finanční samostatnosti, konkrétně společný podnik pro inteligentní sítě a služby dne 24. října 2023 a společný podnik pro partnerství evropských a rozvojových zemí při klinických hodnoceních (EDCTP3) v oblasti globálního zdraví dne 23. listopadu 2023; dále konstatuje, že v důsledku toho Účetní dvůr poprvé provedl audit těchto dvou společných podniků, a to kromě devíti společných podniků, u kterých Účetní dvůr provedl audit již za rozpočtový rok 2022; </w:t>
            </w:r>
            <w:r>
              <w:rPr>
                <w:b/>
                <w:i/>
              </w:rPr>
              <w:t>vybízí další společné podniky, aby rovněž usilovaly o svou soběstačnost;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vysoká míra inflace způsobená dvěma výše uvedenými událostmi měla dopad na společné podniky;</w:t>
            </w:r>
          </w:p>
        </w:tc>
        <w:tc>
          <w:tcPr>
            <w:tcW w:w="4876" w:type="dxa"/>
            <w:tcBorders>
              <w:top w:val="nil"/>
              <w:left w:val="nil"/>
              <w:bottom w:val="nil"/>
              <w:right w:val="nil"/>
            </w:tcBorders>
          </w:tcPr>
          <w:p>
            <w:pPr>
              <w:pStyle w:val="Normal6a"/>
            </w:pPr>
            <w:r>
              <w:t>c)</w:t>
            </w:r>
            <w:r>
              <w:tab/>
            </w:r>
            <w:r>
              <w:t xml:space="preserve">vysoká míra inflace způsobená dvěma výše uvedenými událostmi měla dopad na </w:t>
            </w:r>
            <w:r>
              <w:rPr>
                <w:b/>
                <w:i/>
              </w:rPr>
              <w:t>dodávky a dodací lhůty pro</w:t>
            </w:r>
            <w:r>
              <w:t xml:space="preserve"> společné podniky;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vítá četné úspěchy, kterých dosáhly společné podniky ve svých příslušných oblastech činnosti během rozpočtového roku 2023, a odolnost, kterou tyto subjekty prokázaly, a to navzdory obtížím a omezením jak v rámci Unie, tak mimo ni;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uznává přínosy společných podniků, význam spolupráce veřejného a soukromého sektoru při podpoře inovací, výzkumu a vývoje a hospodářské přínosy partnerství;</w:t>
            </w:r>
            <w:r>
              <w:t xml:space="preserve"> </w:t>
            </w:r>
            <w:r>
              <w:rPr>
                <w:b/>
                <w:i/>
              </w:rPr>
              <w:t>konstatuje, že sdružováním zdrojů a odborných znalostí z obou odvětví, veřejných i soukromých, mohou společné podniky účinněji čelit výzvám;</w:t>
            </w:r>
            <w:r>
              <w:t xml:space="preserve"> </w:t>
            </w:r>
            <w:r>
              <w:rPr>
                <w:b/>
                <w:i/>
              </w:rPr>
              <w:t>zdůrazňuje význam transparentnosti, odpovědnosti a účinného využívání veřejných prostředků ze strany společných podniků;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vítá skutečnost</w:t>
            </w:r>
            <w:r>
              <w:t xml:space="preserve">, že společné podniky </w:t>
            </w:r>
            <w:r>
              <w:rPr>
                <w:b/>
                <w:i/>
              </w:rPr>
              <w:t>jsou celkově dobře řízenými subjekty, které mohou tvrdit, že provádějí</w:t>
            </w:r>
            <w:r>
              <w:t xml:space="preserve"> své operace v souladu s řádným finančním řízením, </w:t>
            </w:r>
            <w:r>
              <w:rPr>
                <w:b/>
                <w:i/>
              </w:rPr>
              <w:t>čímž</w:t>
            </w:r>
            <w:r>
              <w:t xml:space="preserve"> účinně </w:t>
            </w:r>
            <w:r>
              <w:rPr>
                <w:b/>
                <w:i/>
              </w:rPr>
              <w:t>přispívají k politickým</w:t>
            </w:r>
            <w:r>
              <w:t xml:space="preserve"> cílům Unie a k řádnému plnění </w:t>
            </w:r>
            <w:r>
              <w:rPr>
                <w:b/>
                <w:i/>
              </w:rPr>
              <w:t>jejího rozpočtu</w:t>
            </w:r>
            <w:r>
              <w:t>; s ohledem na zjištění Účetního dvora je však znepokojen řadou prvků, které jsou předloženy v tomto usnesení;</w:t>
            </w:r>
          </w:p>
        </w:tc>
        <w:tc>
          <w:tcPr>
            <w:tcW w:w="4876" w:type="dxa"/>
            <w:tcBorders>
              <w:top w:val="nil"/>
              <w:left w:val="nil"/>
              <w:bottom w:val="nil"/>
              <w:right w:val="nil"/>
            </w:tcBorders>
          </w:tcPr>
          <w:p>
            <w:pPr>
              <w:pStyle w:val="Normal6a"/>
            </w:pPr>
            <w:r>
              <w:t>9.</w:t>
            </w:r>
            <w:r>
              <w:tab/>
            </w:r>
            <w:r>
              <w:rPr>
                <w:b/>
                <w:i/>
              </w:rPr>
              <w:t>připomíná</w:t>
            </w:r>
            <w:r>
              <w:t xml:space="preserve">, že společné podniky </w:t>
            </w:r>
            <w:r>
              <w:rPr>
                <w:b/>
                <w:i/>
              </w:rPr>
              <w:t>musí</w:t>
            </w:r>
            <w:r>
              <w:t xml:space="preserve"> své operace </w:t>
            </w:r>
            <w:r>
              <w:rPr>
                <w:b/>
                <w:i/>
              </w:rPr>
              <w:t>provádět</w:t>
            </w:r>
            <w:r>
              <w:t xml:space="preserve"> v souladu s řádným finančním řízením, </w:t>
            </w:r>
            <w:r>
              <w:rPr>
                <w:b/>
                <w:i/>
              </w:rPr>
              <w:t>a</w:t>
            </w:r>
            <w:r>
              <w:t xml:space="preserve"> účinně </w:t>
            </w:r>
            <w:r>
              <w:rPr>
                <w:b/>
                <w:i/>
              </w:rPr>
              <w:t>tak přispívat k</w:t>
            </w:r>
            <w:r>
              <w:t xml:space="preserve"> cílům </w:t>
            </w:r>
            <w:r>
              <w:rPr>
                <w:b/>
                <w:i/>
              </w:rPr>
              <w:t>politik</w:t>
            </w:r>
            <w:r>
              <w:t xml:space="preserve"> Unie a k řádnému plnění </w:t>
            </w:r>
            <w:r>
              <w:rPr>
                <w:b/>
                <w:i/>
              </w:rPr>
              <w:t>rozpočtu Unie</w:t>
            </w:r>
            <w:r>
              <w:t>; s ohledem na zjištění Účetního dvora je však znepokojen řadou prvků, které jsou předloženy v tomto usnesení;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bere na vědomí skutečnost, že Účetní dvůr se domnívá, že společnému podniku pro inteligentní sítě a služby a společnému podniku pro partnerství evropských a rozvojových zemí při klinických hodnoceních (EDCTP3) v oblasti globálního zdraví nebyly poskytnuty dostatečné pokyny ohledně jejich první roční účetní závěrky, zejména pokud jde o nutnost jasně odlišovat finanční zdroje řízené Komisí před tím, než dosáhly finanční samostatnosti, a řízené společnými podniky poté, co jí dosáhly; souhlasí s doporučením Účetního dvora ohledně opatření v tomto ohledu, aby byly vypracovány účetní pokyny, které by upřesnily pravidla pro předložení první roční účetní závěrky nového společného podniku, a aby tyto pokyny obsahovaly instrukce, jak oddělit finanční zdroje uplatněné Komisí od zdrojů uplatněných společným podnikem poté, co dosáhl své finanční samostatnosti; zdůrazňuje, že riziko týkající se spolehlivosti roční účetní závěrky bylo považováno za nízké u všech společných podniků s výjimkou společného podniku pro inteligentní sítě a služby a společného podniku pro partnerství evropských a rozvojových zemí při klinických hodnoceních (EDCTP3) v oblasti globálního zdraví, u kterých bylo riziko týkající se spolehlivosti považováno za střední vzhledem ke složitostem spojeným s převodem rozpočtových prostředků a aktiv z odpovědnosti Komise do odpovědnosti společného podniku;</w:t>
            </w:r>
          </w:p>
        </w:tc>
        <w:tc>
          <w:tcPr>
            <w:tcW w:w="4876" w:type="dxa"/>
            <w:tcBorders>
              <w:top w:val="nil"/>
              <w:left w:val="nil"/>
              <w:bottom w:val="nil"/>
              <w:right w:val="nil"/>
            </w:tcBorders>
          </w:tcPr>
          <w:p>
            <w:pPr>
              <w:pStyle w:val="Normal6a"/>
            </w:pPr>
            <w:r>
              <w:t>12.</w:t>
            </w:r>
            <w:r>
              <w:tab/>
            </w:r>
            <w:r>
              <w:t xml:space="preserve">bere na vědomí skutečnost, že Účetní dvůr se domnívá, že společnému podniku pro inteligentní sítě a služby a společnému podniku pro partnerství evropských a rozvojových zemí při klinických hodnoceních (EDCTP3) v oblasti globálního zdraví nebyly poskytnuty dostatečné pokyny ohledně jejich první roční účetní závěrky, zejména pokud jde o nutnost jasně odlišovat finanční zdroje řízené Komisí před tím, než dosáhly finanční samostatnosti, a řízené společnými podniky poté, co jí dosáhly; souhlasí s doporučením Účetního dvora ohledně opatření v tomto ohledu, aby byly </w:t>
            </w:r>
            <w:r>
              <w:rPr>
                <w:b/>
                <w:i/>
              </w:rPr>
              <w:t>jasným a srozumitelným způsobem</w:t>
            </w:r>
            <w:r>
              <w:t xml:space="preserve"> vypracovány účetní pokyny, které by upřesnily pravidla pro předložení první roční účetní závěrky nového společného podniku, a aby tyto pokyny obsahovaly instrukce, jak oddělit finanční zdroje uplatněné Komisí od zdrojů uplatněných společným podnikem poté, co dosáhl své finanční samostatnosti; zdůrazňuje, že riziko týkající se spolehlivosti roční účetní závěrky bylo považováno za nízké u všech společných podniků s výjimkou společného podniku pro inteligentní sítě a služby a společného podniku pro partnerství evropských a rozvojových zemí při klinických hodnoceních (EDCTP3) v oblasti globálního zdraví, u kterých bylo riziko týkající se spolehlivosti považováno za střední vzhledem ke složitostem spojeným s převodem rozpočtových prostředků a aktiv z odpovědnosti Komise do odpovědnosti společného podniku;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bere na vědomí skutečnost, že Účetní dvůr se domnívá, že společnému podniku pro inteligentní sítě a služby a společnému podniku pro partnerství evropských a rozvojových zemí při klinických hodnoceních (EDCTP3) v oblasti globálního zdraví nebyly poskytnuty dostatečné pokyny ohledně jejich první roční účetní závěrky, zejména pokud jde o nutnost jasně odlišovat finanční zdroje řízené Komisí před tím, než dosáhly finanční samostatnosti, a řízené společnými podniky poté, co jí dosáhly; souhlasí s doporučením Účetního dvora ohledně opatření v tomto ohledu, aby byly vypracovány účetní pokyny, které by upřesnily pravidla pro předložení první roční účetní závěrky nového společného podniku, a aby tyto pokyny obsahovaly instrukce, jak oddělit finanční zdroje uplatněné Komisí od zdrojů uplatněných společným podnikem poté, co dosáhl své finanční samostatnosti; </w:t>
            </w:r>
            <w:r>
              <w:rPr>
                <w:b/>
                <w:i/>
              </w:rPr>
              <w:t>zdůrazňuje</w:t>
            </w:r>
            <w:r>
              <w:t>, že riziko týkající se spolehlivosti roční účetní závěrky bylo považováno za nízké u všech společných podniků s výjimkou společného podniku pro inteligentní sítě a služby a společného podniku pro partnerství evropských a rozvojových zemí při klinických hodnoceních (EDCTP3) v oblasti globálního zdraví, u kterých bylo riziko týkající se spolehlivosti považováno za střední vzhledem ke složitostem spojeným s převodem rozpočtových prostředků a aktiv z odpovědnosti Komise do odpovědnosti společného podniku;</w:t>
            </w:r>
          </w:p>
        </w:tc>
        <w:tc>
          <w:tcPr>
            <w:tcW w:w="4876" w:type="dxa"/>
            <w:tcBorders>
              <w:top w:val="nil"/>
              <w:left w:val="nil"/>
              <w:bottom w:val="nil"/>
              <w:right w:val="nil"/>
            </w:tcBorders>
          </w:tcPr>
          <w:p>
            <w:pPr>
              <w:pStyle w:val="Normal6a"/>
            </w:pPr>
            <w:r>
              <w:t>12.</w:t>
            </w:r>
            <w:r>
              <w:tab/>
            </w:r>
            <w:r>
              <w:t xml:space="preserve">bere na vědomí skutečnost, že Účetní dvůr se domnívá, že společnému podniku pro inteligentní sítě a služby a společnému podniku pro partnerství evropských a rozvojových zemí při klinických hodnoceních (EDCTP3) v oblasti globálního zdraví nebyly poskytnuty dostatečné pokyny ohledně jejich první roční účetní závěrky, zejména pokud jde o nutnost jasně odlišovat finanční zdroje řízené Komisí před tím, než dosáhly finanční samostatnosti, a řízené společnými podniky poté, co jí dosáhly; souhlasí s doporučením Účetního dvora ohledně opatření v tomto ohledu, aby byly vypracovány účetní pokyny, které by upřesnily pravidla pro předložení první roční účetní závěrky nového společného podniku, a aby tyto pokyny obsahovaly instrukce, jak oddělit finanční zdroje uplatněné Komisí od zdrojů uplatněných společným podnikem poté, co dosáhl své finanční samostatnosti; </w:t>
            </w:r>
            <w:r>
              <w:rPr>
                <w:b/>
                <w:i/>
              </w:rPr>
              <w:t>konstatuje</w:t>
            </w:r>
            <w:r>
              <w:t>, že riziko týkající se spolehlivosti roční účetní závěrky bylo považováno za nízké u všech společných podniků s výjimkou společného podniku pro inteligentní sítě a služby a společného podniku pro partnerství evropských a rozvojových zemí při klinických hodnoceních (EDCTP3) v oblasti globálního zdraví, u kterých bylo riziko týkající se spolehlivosti považováno za střední vzhledem ke složitostem spojeným s převodem rozpočtových prostředků a aktiv z odpovědnosti Komise do odpovědnosti společného podniku;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Julien Sanchez, 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celkový disponibilní rozpočet pro společný podnik pro čisté letectví dosahoval v roce 2023 výše 269 milionů EUR v prostředcích na závazky (ve srovnání se 411,2 milionu EUR v roce 2022) a 486,4 milionu EUR v prostředcích na platby (ve srovnání se 415,3 milionu EUR v roce 2022); chápe kromě toho, že podle zprávy o rozpočtovém a finančním řízení společného podniku pro čisté letectví dosahovala celková míra plnění jeho rozpočtu na rozpočtový rok 2023 výše 98,58 % v případě prostředků na závazky a 51,18 % v případě prostředků na platby, což naznačuje, že se vyskytly závažné problémy týkající se tempa plnění rozpočtu; konstatuje zejména, že míra plnění jeho dvou hlav týkajících se operačních výdajů je 80,50 %, respektive 81,11 % v případě prostředků na platby; dále zdůrazňuje nízkou míru plnění jeho prostředků na platby v oblasti výdajů na infrastrukturu, která dosahovala výše 60,52 %; hluboce lituje významné částky přidělené na hlavu 5 jeho rozpočtu kvůli nevyužitým prostředkům na platby ve výši 177 milionů EUR, která má technickou míru plnění 0 %; bere na vědomí vysvětlení společného podniku a obecně vyzývá společný podnik, aby zajistil zdravé tempo plnění pro jednotlivé oddíly svého rozpočtu;</w:t>
            </w:r>
          </w:p>
        </w:tc>
        <w:tc>
          <w:tcPr>
            <w:tcW w:w="4876" w:type="dxa"/>
            <w:tcBorders>
              <w:top w:val="nil"/>
              <w:left w:val="nil"/>
              <w:bottom w:val="nil"/>
              <w:right w:val="nil"/>
            </w:tcBorders>
          </w:tcPr>
          <w:p>
            <w:pPr>
              <w:pStyle w:val="Normal6a"/>
            </w:pPr>
            <w:r>
              <w:t>b)</w:t>
            </w:r>
            <w:r>
              <w:tab/>
            </w:r>
            <w:r>
              <w:t xml:space="preserve">celkový disponibilní rozpočet pro společný podnik pro čisté letectví dosahoval v roce 2023 výše 269 milionů EUR v prostředcích na závazky (ve srovnání se 411,2 milionu EUR v roce 2022) a 486,4 milionu EUR v prostředcích na platby (ve srovnání se 415,3 milionu EUR v roce 2022); chápe kromě toho, že podle zprávy o rozpočtovém a finančním řízení společného podniku pro čisté letectví dosahovala celková míra plnění jeho rozpočtu na rozpočtový rok 2023 výše 98,58 % v případě prostředků na závazky a 51,18 % v případě prostředků na platby, což naznačuje, že se vyskytly závažné problémy týkající se tempa plnění rozpočtu; konstatuje zejména, že míra plnění jeho dvou hlav týkajících se operačních výdajů je 80,50 %, respektive 81,11 % v případě prostředků na platby; dále zdůrazňuje nízkou míru plnění jeho prostředků na platby v oblasti výdajů na infrastrukturu, která dosahovala výše 60,52 %; hluboce lituje významné částky přidělené na hlavu 5 jeho rozpočtu kvůli nevyužitým prostředkům na platby ve výši 177 milionů EUR, která má technickou míru plnění 0 %; bere na vědomí vysvětlení společného podniku a obecně vyzývá společný podnik, aby zajistil zdravé tempo plnění pro jednotlivé oddíly svého rozpočtu; </w:t>
            </w:r>
            <w:r>
              <w:rPr>
                <w:b/>
                <w:i/>
              </w:rPr>
              <w:t>vyjadřuje politování nad nízkou mírou plnění rozpočtu v roce 2023 a vyzývá k lepšímu rozpočtovému řízení s cílem zvýšit výkonnost společného podniku;</w:t>
            </w:r>
            <w:r>
              <w:t xml:space="preserve"> </w:t>
            </w:r>
            <w:r>
              <w:rPr>
                <w:b/>
                <w:i/>
              </w:rPr>
              <w:t>konstatuje, že zpráva Evropského účetního dvora o činnosti společných podniků v roce 2023 uvádí, že tato nízká míra je způsobena pomalým startem činností souvisejících s programem Clean Aviation v rámci programu Horizont Evropa;</w:t>
            </w:r>
            <w:r>
              <w:t xml:space="preserve"> </w:t>
            </w:r>
            <w:r>
              <w:rPr>
                <w:b/>
                <w:i/>
              </w:rPr>
              <w:t>vyjadřuje politování nad systematickým zasahováním Evropské komise do byrokracie, které zpomaluje růst evropské hospodářské činnosti a její konkurenceschopnost;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celkový disponibilní rozpočet pro společný podnik iniciativy pro inovativní zdravotnictví dosahoval v roce 2023 výše 223,2 milionu EUR v prostředcích na závazky (ve srovnání s 272,4 milionu EUR v roce 2022) a 225,9 milionu EUR v prostředcích na platby (ve srovnání se 174,8 milionu EUR v roce 2022); chápe kromě toho, že podle zprávy o rozpočtovém a finančním řízení společného podniku iniciativy pro inovativní zdravotnictví dosahovala celková míra plnění jeho rozpočtu na rozpočtový rok 2023 výše 92,65 % v případě prostředků na závazky a 90,29 % v případě prostředků na platby, což naznačuje, že se nevyskytly žádné závažné problémy týkající se tempa plnění rozpočtu; zdůrazňuje však nízkou míru plnění jeho prostředků na závazky a platby v oblasti výdajů na infrastrukturu, která dosahovala výše 68,67 %, respektive 67,30 %; bere na vědomí vysvětlení společného podniku a obecně vyzývá společný podnik, aby zajistil zdravé tempo plnění pro jednotlivé oddíly svého rozpočtu;</w:t>
            </w:r>
          </w:p>
        </w:tc>
        <w:tc>
          <w:tcPr>
            <w:tcW w:w="4876" w:type="dxa"/>
            <w:tcBorders>
              <w:top w:val="nil"/>
              <w:left w:val="nil"/>
              <w:bottom w:val="nil"/>
              <w:right w:val="nil"/>
            </w:tcBorders>
          </w:tcPr>
          <w:p>
            <w:pPr>
              <w:pStyle w:val="Normal6a"/>
            </w:pPr>
            <w:r>
              <w:t>c)</w:t>
            </w:r>
            <w:r>
              <w:tab/>
            </w:r>
            <w:r>
              <w:t xml:space="preserve">celkový disponibilní rozpočet pro společný podnik iniciativy pro inovativní zdravotnictví dosahoval v roce 2023 výše 223,2 milionu EUR v prostředcích na závazky (ve srovnání s 272,4 milionu EUR v roce 2022) a 225,9 milionu EUR v prostředcích na platby (ve srovnání se 174,8 milionu EUR v roce 2022); chápe kromě toho, že podle zprávy o rozpočtovém a finančním řízení společného podniku iniciativy pro inovativní zdravotnictví dosahovala celková míra plnění jeho rozpočtu na rozpočtový rok 2023 výše 92,65 % v případě prostředků na závazky a 90,29 % v případě prostředků na platby, což naznačuje, že se nevyskytly žádné závažné problémy týkající se tempa plnění rozpočtu; zdůrazňuje však nízkou míru plnění jeho prostředků na závazky a platby v oblasti výdajů na infrastrukturu, která dosahovala výše 68,67 %, respektive 67,30 %; bere na vědomí vysvětlení společného podniku a obecně vyzývá společný podnik, aby zajistil zdravé tempo plnění pro jednotlivé oddíly svého rozpočtu; </w:t>
            </w:r>
            <w:r>
              <w:rPr>
                <w:b/>
                <w:i/>
              </w:rPr>
              <w:t>vyjadřuje politování nad tím, že společný podnik dosud nedokončil provádění sedmého rámcového programu 11 let po oficiálním ukončení programu;</w:t>
            </w:r>
            <w:r>
              <w:t xml:space="preserve"> </w:t>
            </w:r>
            <w:r>
              <w:rPr>
                <w:b/>
                <w:i/>
              </w:rPr>
              <w:t>vyjadřuje politování nad nedostatky, které Evropský účetní dvůr zjistil v řízení osobních nákladů, zejména pokud jde o identifikaci závažných chyb způsobených nesprávnými metodami výpočtu a nevhodným vykazováním;</w:t>
            </w:r>
            <w:r>
              <w:t xml:space="preserve"> </w:t>
            </w:r>
            <w:r>
              <w:rPr>
                <w:b/>
                <w:i/>
              </w:rPr>
              <w:t>vyjadřuje politování nad tím, že vnitřní kontroly nezjistily v roce 2023 nedostatky, které by mohly narušit hospodářskou soutěž v zadávacím řízení;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celkový disponibilní rozpočet pro společný podnik pro čistý vodík dosahoval v roce 2023 výše 268,9 milionu EUR v prostředcích na závazky (ve srovnání se 314,3 milionu EUR v roce 2022) a 327,8 milionu EUR v prostředcích na platby (ve srovnání se 118,3 milionu EUR v roce 2022); chápe kromě toho, že podle zprávy o rozpočtovém a finančním řízení společného podniku pro čistý vodík dosahovala celková míra plnění jeho rozpočtu na rozpočtový rok 2023 výše 96,62 % v případě prostředků na závazky a 85,43 % v případě prostředků na platby, což naznačuje, že se nevyskytly žádné závažné problémy týkající se tempa plnění rozpočtu; poukazuje však na nízkou míru plnění prostředků na platby v oblasti jeho operačních výdajů financovaných v rámci programu Horizont 2020, která dosahovala výše 69,41 %; poukazuje dále na nízkou míru plnění jeho prostředků na závazky a platby v oblasti výdajů na infrastrukturu, která dosahovala výše 71,21 %, respektive 60,60 %; bere na vědomí vysvětlení společného podniku a obecně vyzývá společný podnik, aby zajistil zdravé tempo plnění pro jednotlivé oddíly svého rozpočtu;</w:t>
            </w:r>
          </w:p>
        </w:tc>
        <w:tc>
          <w:tcPr>
            <w:tcW w:w="4876" w:type="dxa"/>
            <w:tcBorders>
              <w:top w:val="nil"/>
              <w:left w:val="nil"/>
              <w:bottom w:val="nil"/>
              <w:right w:val="nil"/>
            </w:tcBorders>
          </w:tcPr>
          <w:p>
            <w:pPr>
              <w:pStyle w:val="Normal6a"/>
            </w:pPr>
            <w:r>
              <w:t>d)</w:t>
            </w:r>
            <w:r>
              <w:tab/>
            </w:r>
            <w:r>
              <w:t xml:space="preserve">celkový disponibilní rozpočet pro společný podnik pro čistý vodík dosahoval v roce 2023 výše 268,9 milionu EUR v prostředcích na závazky (ve srovnání se 314,3 milionu EUR v roce 2022) a 327,8 milionu EUR v prostředcích na platby (ve srovnání se 118,3 milionu EUR v roce 2022); chápe kromě toho, že podle zprávy o rozpočtovém a finančním řízení společného podniku pro čistý vodík dosahovala celková míra plnění jeho rozpočtu na rozpočtový rok 2023 výše 96,62 % v případě prostředků na závazky a 85,43 % v případě prostředků na platby, což naznačuje, že se nevyskytly žádné závažné problémy týkající se tempa plnění rozpočtu; poukazuje však na nízkou míru plnění prostředků na platby v oblasti jeho operačních výdajů financovaných v rámci programu Horizont 2020, která dosahovala výše 69,41 %; poukazuje dále na nízkou míru plnění jeho prostředků na závazky a platby v oblasti výdajů na infrastrukturu, která dosahovala výše 71,21 %, respektive 60,60 %; bere na vědomí vysvětlení společného podniku a obecně vyzývá společný podnik, aby zajistil zdravé tempo plnění pro jednotlivé oddíly svého rozpočtu; </w:t>
            </w:r>
            <w:r>
              <w:rPr>
                <w:b/>
                <w:i/>
              </w:rPr>
              <w:t>vyjadřuje politování nad nízkou mírou plnění rozpočtu v roce 2023 a vyzývá k lepšímu rozpočtovému řízení s cílem zvýšit výkonnost společného podniku;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bere na vědomí obavy Evropského účetního dvora, pokud jde o nedostatky ve vnitřní kontrole, které by mohly vést k nedostatkům v oblasti kybernetické bezpečnosti, narušení kontinuity činnosti a vnitřní kontroly tohoto strategického subjektu, v důsledku čehož jsou jeho zaměstnanci označení jako „citliví“, a tedy v konečném důsledku i společný podnik, vystaveni podvodům, vyzrazení informací a korupci;</w:t>
            </w:r>
            <w:r>
              <w:t xml:space="preserve"> </w:t>
            </w:r>
            <w:r>
              <w:rPr>
                <w:b/>
                <w:i/>
              </w:rPr>
              <w:t>vyzývá společný podnik, aby tuto situaci naléhavě napravil a aby se touto otázkou, kterou je třeba studovat seriózně a s ohledem na měnící se hrozby, pravidelně zabýval;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 písm.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celkový disponibilní rozpočet pro společný podnik pro evropské oběhové biohospodářství dosahoval v roce 2023 výše 227,4 milionu EUR v prostředcích na závazky (ve srovnání s 264,2 milionu EUR v roce 2022) a 137,4 milionu EUR v prostředcích na platby (ve srovnání s 80,3 milionu EUR v roce 2022); chápe kromě toho, že podle zprávy o rozpočtovém a finančním řízení společného podniku pro evropské oběhové biohospodářství dosahovala celková míra plnění jeho rozpočtu na rozpočtový rok 2023 výše 97,6 % v případě prostředků na závazky a 90,3 % v případě prostředků na platby, což naznačuje, že se nevyskytly žádné závažné problémy týkající se tempa plnění rozpočtu; zdůrazňuje však nízkou míru plnění jeho prostředků na závazky a platby v oblasti správních výdajů určených na platy, která dosahovala výše 64 %, respektive 57 %, jakož i nízkou míru plnění jeho prostředků na platby v oblasti správních výdajů určených na ostatní správní výdaje, která dosáhla 54 %; bere na vědomí vysvětlení společného podniku a obecně vyzývá společný podnik, aby zajistil zdravé tempo plnění pro jednotlivé oddíly svého rozpočtu;</w:t>
            </w:r>
          </w:p>
        </w:tc>
        <w:tc>
          <w:tcPr>
            <w:tcW w:w="4876" w:type="dxa"/>
            <w:tcBorders>
              <w:top w:val="nil"/>
              <w:left w:val="nil"/>
              <w:bottom w:val="nil"/>
              <w:right w:val="nil"/>
            </w:tcBorders>
          </w:tcPr>
          <w:p>
            <w:pPr>
              <w:pStyle w:val="Normal6a"/>
            </w:pPr>
            <w:r>
              <w:t>f)</w:t>
            </w:r>
            <w:r>
              <w:tab/>
            </w:r>
            <w:r>
              <w:t xml:space="preserve">celkový disponibilní rozpočet pro společný podnik pro evropské oběhové biohospodářství dosahoval v roce 2023 výše 227,4 milionu EUR v prostředcích na závazky (ve srovnání s 264,2 milionu EUR v roce 2022) a 137,4 milionu EUR v prostředcích na platby (ve srovnání s 80,3 milionu EUR v roce 2022); chápe kromě toho, že podle zprávy o rozpočtovém a finančním řízení společného podniku pro evropské oběhové biohospodářství dosahovala celková míra plnění jeho rozpočtu na rozpočtový rok 2023 výše 97,6 % v případě prostředků na závazky a 90,3 % v případě prostředků na platby, což naznačuje, že se nevyskytly žádné závažné problémy týkající se tempa plnění rozpočtu; zdůrazňuje však nízkou míru plnění jeho prostředků na závazky a platby v oblasti správních výdajů určených na platy, která dosahovala výše 64 %, respektive 57 %, jakož i nízkou míru plnění jeho prostředků na platby v oblasti správních výdajů určených na ostatní správní výdaje, která dosáhla 54 %; bere na vědomí vysvětlení společného podniku a obecně vyzývá společný podnik, aby zajistil zdravé tempo plnění pro jednotlivé oddíly svého rozpočtu; </w:t>
            </w:r>
            <w:r>
              <w:rPr>
                <w:b/>
                <w:i/>
              </w:rPr>
              <w:t>vyjadřuje politování nad nízkou mírou plnění rozpočtu v roce 2023 a vyzývá k lepšímu rozpočtovému řízení s cílem zvýšit výkonnost společného podniku;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celkový disponibilní rozpočet pro společný podnik pro evropskou vysoce výkonnou výpočetní techniku dosahoval v roce 2023 výše 1 136 milionů EUR v prostředcích na závazky (ve srovnání s 1 374,5 milionu EUR v roce 2022) a 1 058 milionů EUR v prostředcích na platby (ve srovnání se 629,9 milionu EUR v roce 2022); chápe kromě toho, že podle zprávy o rozpočtovém a finančním řízení společného podniku pro evropskou vysoce výkonnou výpočetní techniku dosahovala celková míra plnění jeho rozpočtu na rozpočtový rok 2023 výše 83 % v případě prostředků na závazky a 19 % v případě prostředků na platby, což naznačuje, že se vyskytly závažné problémy týkající se tempa plnění rozpočtu; poukazuje zejména na mimořádně nízkou míru plnění jeho prostředků na platby v oblasti operačních výdajů, která dosahovala výše 19 %; bere na vědomí vysvětlení společného podniku, vyjadřuje však hluboké politování nad takovou nízkou mírou plnění; poukazuje dále na nízkou míru plnění jeho prostředků na závazky a platby v oblasti správních výdajů, která dosahovala výše 45 %, respektive 42 %; bere na vědomí vysvětlení společného podniku a obecně vyzývá společný podnik, aby zajistil zdravé tempo plnění pro jednotlivé oddíly svého rozpočtu; bere na vědomí skutečnost, že tyto prvky v souvislosti se zvýšeným financováním, ze kterého společný podnik pro evropskou vysoce výkonnou výpočetní techniku těžil v roce 2023 a které musel provést, vedly Účetní dvůr k tomu, aby v případě tohoto společného podniku považoval riziko související s řízením rozpočtu za střední; vítá dodatečné informace poskytnuté během slyšení dotčeného společného podniku ve Výboru pro rozpočtovou kontrolu ohledně důvodů této pomalé míry plnění;</w:t>
            </w:r>
          </w:p>
        </w:tc>
        <w:tc>
          <w:tcPr>
            <w:tcW w:w="4876" w:type="dxa"/>
            <w:tcBorders>
              <w:top w:val="nil"/>
              <w:left w:val="nil"/>
              <w:bottom w:val="nil"/>
              <w:right w:val="nil"/>
            </w:tcBorders>
          </w:tcPr>
          <w:p>
            <w:pPr>
              <w:pStyle w:val="Normal6a"/>
            </w:pPr>
            <w:r>
              <w:t>h)</w:t>
            </w:r>
            <w:r>
              <w:tab/>
            </w:r>
            <w:r>
              <w:t xml:space="preserve">celkový disponibilní rozpočet pro společný podnik pro evropskou vysoce výkonnou výpočetní techniku dosahoval v roce 2023 výše 1 136 milionů EUR v prostředcích na závazky (ve srovnání s 1 374,5 milionu EUR v roce 2022) a 1 058 milionů EUR v prostředcích na platby (ve srovnání se 629,9 milionu EUR v roce 2022); chápe kromě toho, že podle zprávy o rozpočtovém a finančním řízení společného podniku pro evropskou vysoce výkonnou výpočetní techniku dosahovala celková míra plnění jeho rozpočtu na rozpočtový rok 2023 výše 83 % v případě prostředků na závazky a 19 % v případě prostředků na platby, což naznačuje, že se vyskytly závažné problémy týkající se tempa plnění rozpočtu; poukazuje zejména na mimořádně nízkou míru plnění jeho prostředků na platby v oblasti operačních výdajů, která dosahovala výše 19 %; bere na vědomí vysvětlení společného podniku, vyjadřuje však hluboké politování nad takovou nízkou mírou plnění; poukazuje dále na nízkou míru plnění jeho prostředků na závazky a platby v oblasti správních výdajů, která dosahovala výše 45 %, respektive 42 %; bere na vědomí vysvětlení společného podniku a obecně vyzývá společný podnik, aby zajistil zdravé tempo plnění pro jednotlivé oddíly svého rozpočtu; bere na vědomí skutečnost, že tyto prvky v souvislosti se zvýšeným financováním, ze kterého společný podnik pro evropskou vysoce výkonnou výpočetní techniku těžil v roce 2023 a které musel provést, vedly Účetní dvůr k tomu, aby v případě tohoto společného podniku považoval riziko související s řízením rozpočtu za střední; vítá dodatečné informace poskytnuté během slyšení dotčeného společného podniku ve Výboru pro rozpočtovou kontrolu ohledně důvodů této pomalé míry plnění; </w:t>
            </w:r>
            <w:r>
              <w:rPr>
                <w:b/>
                <w:i/>
              </w:rPr>
              <w:t>konstatuje, že míra čerpání operačních prostředků na rok 2023 klesla na 19 %, což odráží zpoždění při nákupu superpočítačů a zahájení složitých činností;</w:t>
            </w:r>
            <w:r>
              <w:t xml:space="preserve"> </w:t>
            </w:r>
            <w:r>
              <w:rPr>
                <w:b/>
                <w:i/>
              </w:rPr>
              <w:t>vyzývá k lepšímu plánování a provádění projektů s cílem maximalizovat využití dostupných zdrojů;</w:t>
            </w:r>
            <w:r>
              <w:t xml:space="preserve"> </w:t>
            </w:r>
            <w:r>
              <w:rPr>
                <w:b/>
                <w:i/>
              </w:rPr>
              <w:t>vyjadřuje politování nad tím, že chybí formální politika řízení citlivých funkcí, která má zásadní význam pro prevenci rizika podvodů a ochranu aktiv společného podniku;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 písm.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celkový disponibilní rozpočet pro společný podnik pro inteligentní sítě a služby dosahoval v roce 2023 výše 134,7 milionu EUR v prostředcích na závazky a 122,9 milionu EUR v prostředcích na platby; chápe kromě toho, že podle zprávy o rozpočtovém a finančním řízení společného podniku pro inteligentní sítě a služby dosahovala celková míra plnění jeho rozpočtu na rozpočtový rok 2023 výše 99 % v případě prostředků na závazky a 89 % v případě prostředků na platby; má za to, že vzhledem ke krátkému období, během něhož společný podnik dosáhl v rozpočtovém roce 2023 finanční samostatnosti, neexistuje dostatečný základ pro to, aby se Evropský parlament mohl vyjádřit ke kvalitě finančního řízení společného podniku a současně tak učinit v dobrém úmyslu; konstatuje však, že kvůli této situaci bylo riziko související s legalitou a správností správních výdajů považováno u společného podniku za nízké;</w:t>
            </w:r>
          </w:p>
        </w:tc>
        <w:tc>
          <w:tcPr>
            <w:tcW w:w="4876" w:type="dxa"/>
            <w:tcBorders>
              <w:top w:val="nil"/>
              <w:left w:val="nil"/>
              <w:bottom w:val="nil"/>
              <w:right w:val="nil"/>
            </w:tcBorders>
          </w:tcPr>
          <w:p>
            <w:pPr>
              <w:pStyle w:val="Normal6a"/>
            </w:pPr>
            <w:r>
              <w:t>i)</w:t>
            </w:r>
            <w:r>
              <w:tab/>
            </w:r>
            <w:r>
              <w:t xml:space="preserve">celkový disponibilní rozpočet pro společný podnik pro inteligentní sítě a služby dosahoval v roce 2023 výše 134,7 milionu EUR v prostředcích na závazky a 122,9 milionu EUR v prostředcích na platby; chápe kromě toho, že podle zprávy o rozpočtovém a finančním řízení společného podniku pro inteligentní sítě a služby dosahovala celková míra plnění jeho rozpočtu na rozpočtový rok 2023 výše 99 % v případě prostředků na závazky a 89 % v případě prostředků na platby; má za to, že vzhledem ke krátkému období, během něhož společný podnik dosáhl v rozpočtovém roce 2023 finanční samostatnosti, neexistuje dostatečný základ pro to, aby se Evropský parlament mohl vyjádřit ke kvalitě finančního řízení společného podniku a současně tak učinit v dobrém úmyslu; konstatuje však, že kvůli této situaci bylo riziko související s legalitou a správností správních výdajů považováno u společného podniku za nízké; </w:t>
            </w:r>
            <w:r>
              <w:rPr>
                <w:b/>
                <w:i/>
              </w:rPr>
              <w:t>vyjadřuje politování nad tím, že chybí formální politika pro řízení citlivých funkcí, která má zásadní význam pro předcházení riziku podvodů, ztráty aktiv nebo zveřejnění citlivých informací;</w:t>
            </w:r>
            <w:r>
              <w:t xml:space="preserve"> </w:t>
            </w:r>
            <w:r>
              <w:rPr>
                <w:b/>
                <w:i/>
              </w:rPr>
              <w:t>se znepokojením konstatuje, že posouzení rizik a následné činnosti dosud nebyly plně provedeny v rámci vnitřní kontroly;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 písm.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celkový disponibilní rozpočet pro společný podnik pro partnerství evropských a rozvojových zemí při klinických hodnoceních (EDCTP3) v oblasti globálního zdraví dosahoval v roce 2023 výše 136,4 milionu EUR v prostředcích na závazky a 2,2 milionu EUR v prostředcích na platby; chápe kromě toho, že podle zprávy o rozpočtovém a finančním řízení společného podniku pro partnerství evropských a rozvojových zemí při klinických hodnoceních (EDCTP3) v oblasti globálního zdraví dosahovala celková míra plnění jeho rozpočtu na rozpočtový rok 2023 výše 100 % v případě prostředků na závazky a 47 % v případě prostředků na platby; má za to, že vzhledem ke krátkému období, během něhož společný podnik dosáhl v rozpočtovém roce 2023 finanční samostatnosti, neexistuje dostatečný základ pro to, aby se Evropský parlament mohl vyjádřit ke kvalitě finančního řízení společného podniku a současně tak učinit v dobrém úmyslu; konstatuje však, že kvůli této situaci bylo riziko související s legalitou a správností správních výdajů považováno u společného podniku za nízké;</w:t>
            </w:r>
          </w:p>
        </w:tc>
        <w:tc>
          <w:tcPr>
            <w:tcW w:w="4876" w:type="dxa"/>
            <w:tcBorders>
              <w:top w:val="nil"/>
              <w:left w:val="nil"/>
              <w:bottom w:val="nil"/>
              <w:right w:val="nil"/>
            </w:tcBorders>
          </w:tcPr>
          <w:p>
            <w:pPr>
              <w:pStyle w:val="Normal6a"/>
            </w:pPr>
            <w:r>
              <w:t>j)</w:t>
            </w:r>
            <w:r>
              <w:tab/>
            </w:r>
            <w:r>
              <w:t xml:space="preserve">celkový disponibilní rozpočet pro společný podnik pro partnerství evropských a rozvojových zemí při klinických hodnoceních (EDCTP3) v oblasti globálního zdraví dosahoval v roce 2023 výše 136,4 milionu EUR v prostředcích na závazky a 2,2 milionu EUR v prostředcích na platby;chápe kromě toho, že podle zprávy o rozpočtovém a finančním řízení společného podniku pro partnerství evropských a rozvojových zemí při klinických hodnoceních (EDCTP3) v oblasti globálního zdraví dosahovala celková míra plnění jeho rozpočtu na rozpočtový rok 2023 výše 100 % v případě prostředků na závazky a 47 % v případě prostředků na platby; má za to, že vzhledem ke krátkému období, během něhož společný podnik dosáhl v rozpočtovém roce 2023 finanční samostatnosti, neexistuje dostatečný základ pro to, aby se Evropský parlament mohl vyjádřit ke kvalitě finančního řízení společného podniku a současně tak učinit v dobrém úmyslu; konstatuje však, že kvůli této situaci bylo riziko související s legalitou a správností správních výdajů považováno u společného podniku za nízké; </w:t>
            </w:r>
            <w:r>
              <w:rPr>
                <w:b/>
                <w:i/>
              </w:rPr>
              <w:t>vyjadřuje politování nad tím, že společný podnik dosud nedokončil své plány kontinuity činnosti a obnovy, které jsou zásadní pro zajištění organizační odolnosti;</w:t>
            </w:r>
            <w:r>
              <w:t xml:space="preserve"> </w:t>
            </w:r>
            <w:r>
              <w:rPr>
                <w:b/>
                <w:i/>
              </w:rPr>
              <w:t>vyjadřuje politování nad tím, že chybí politika řízení citlivých funkcí, která je nezbytná k tomu, aby se zabránilo riziku podvodů, zveřejňování citlivých informací nebo jiných nevhodných opatření;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 písm.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celkový disponibilní rozpočet pro společný evropský podnik pro ITER a rozvoj energie z jaderné syntézy dosahoval v roce 2023 výše 807 milionů EUR v prostředcích na závazky (ve srovnání s 981,2 milionu EUR v roce 2022) a 631,5 milionu EUR v prostředcích na platby (ve srovnání s 844 miliony EUR v roce 2022); chápe kromě toho, že podle zprávy o rozpočtovém a finančním řízení společného evropského podniku pro ITER a rozvoj energie z jaderné syntézy dosahovala celková míra plnění jeho rozpočtu na rozpočtový rok 2023 výše 73 % v případě prostředků na závazky a 95 % v případě prostředků na platby, což naznačuje, že se vyskytly závažné problémy týkající se tempa plnění rozpočtu; zdůrazňuje zejména nízkou míru plnění jeho prostředků na závazky v oblasti operačních výdajů, která dosahovala výše 70 %; bere na vědomí vysvětlení společného podniku a výsledné převody spočívající ve vrácení původně plánovaných příspěvků Euratomu a hostitelskému státu zařízení ITER a obecně vyzývá společný podnik, aby zajistil zdravé tempo plnění pro jednotlivé oddíly svého rozpočtu; bere na vědomí skutečnost, že tyto prvky, které souvisí se zpožděními a obtížemi při provádění, vedly Účetní dvůr k tomu, aby v případě tohoto společného podniku považoval riziko související s řízením rozpočtu za střední;</w:t>
            </w:r>
          </w:p>
        </w:tc>
        <w:tc>
          <w:tcPr>
            <w:tcW w:w="4876" w:type="dxa"/>
            <w:tcBorders>
              <w:top w:val="nil"/>
              <w:left w:val="nil"/>
              <w:bottom w:val="nil"/>
              <w:right w:val="nil"/>
            </w:tcBorders>
          </w:tcPr>
          <w:p>
            <w:pPr>
              <w:pStyle w:val="Normal6a"/>
            </w:pPr>
            <w:r>
              <w:t>k)</w:t>
            </w:r>
            <w:r>
              <w:tab/>
            </w:r>
            <w:r>
              <w:t xml:space="preserve">celkový disponibilní rozpočet pro společný evropský podnik pro ITER a rozvoj energie z jaderné syntézy dosahoval v roce 2023 výše 807 milionů EUR v prostředcích na závazky (ve srovnání s 981,2 milionu EUR v roce 2022) a 631,5 milionu EUR v prostředcích na platby (ve srovnání s 844 miliony EUR v roce 2022); chápe kromě toho, že podle zprávy o rozpočtovém a finančním řízení společného evropského podniku pro ITER a rozvoj energie z jaderné syntézy dosahovala celková míra plnění jeho rozpočtu na rozpočtový rok 2023 výše 73 % v případě prostředků na závazky a 95 % v případě prostředků na platby, což naznačuje, že se vyskytly závažné problémy týkající se tempa plnění rozpočtu; zdůrazňuje zejména nízkou míru plnění jeho prostředků na závazky v oblasti operačních výdajů, která dosahovala výše 70 %; bere na vědomí vysvětlení společného podniku a výsledné převody spočívající ve vrácení původně plánovaných příspěvků Euratomu a hostitelskému státu zařízení ITER a obecně vyzývá společný podnik, aby zajistil zdravé tempo plnění pro jednotlivé oddíly svého rozpočtu; bere na vědomí skutečnost, že tyto prvky, které souvisí se zpožděními a obtížemi při provádění, vedly Účetní dvůr k tomu, aby v případě tohoto společného podniku považoval riziko související s řízením rozpočtu za střední; </w:t>
            </w:r>
            <w:r>
              <w:rPr>
                <w:b/>
                <w:i/>
              </w:rPr>
              <w:t>vyjadřuje politování nad tím, že odhadované náklady při dokončení projektu ITER (21,2 miliardy EUR) stále vycházejí z předpokladů z roku 2016, které neberou v úvahu významné technické změny a přetrvávající inflační účinek;</w:t>
            </w:r>
            <w:r>
              <w:t xml:space="preserve"> </w:t>
            </w:r>
            <w:r>
              <w:rPr>
                <w:b/>
                <w:i/>
              </w:rPr>
              <w:t>vyjadřuje politování nad tím, že v roce 2023 bylo využito pouze 70 % operačních prostředků na závazky, což vedlo k výraznému navýšení nevyužitých prostředků, které mají být přerozděleny;</w:t>
            </w:r>
            <w:r>
              <w:t xml:space="preserve"> </w:t>
            </w:r>
            <w:r>
              <w:rPr>
                <w:b/>
                <w:i/>
              </w:rPr>
              <w:t>vyzývá k lepšímu rozpočtovému plánování s cílem optimalizovat využívání dostupných zdrojů a urychlit provozní činnosti;</w:t>
            </w:r>
            <w:r>
              <w:t xml:space="preserve"> </w:t>
            </w:r>
            <w:r>
              <w:rPr>
                <w:b/>
                <w:i/>
              </w:rPr>
              <w:t>vyjadřuje politování nad tím, že chybí politika vnitřní kontroly týkající se citlivých funkcí, která má zásadní význam pro prevenci rizika podvodů a zajištění bezpečnosti aktiv;</w:t>
            </w:r>
            <w:r>
              <w:t xml:space="preserve"> </w:t>
            </w:r>
            <w:r>
              <w:rPr>
                <w:b/>
                <w:i/>
              </w:rPr>
              <w:t>se znepokojením bere na vědomí slabou spolupráci mezi řízením rizik a interním auditem, což oslabuje schopnost podniku účinně řídit svá rizika;</w:t>
            </w:r>
            <w:r>
              <w:t xml:space="preserve"> </w:t>
            </w:r>
            <w:r>
              <w:rPr>
                <w:b/>
                <w:i/>
              </w:rPr>
              <w:t>vyzývá k začlenění procesu řízení rizik do rámce vnitřní kontroly a k lepší koordinaci mezi těmito dvěma klíčovými funkcemi;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souhlasí s obavami Účetního dvora, pokud jde o nevyčerpané prostředky při provádění programů určitých společných podniků, a vyzývá dotčené společné podniky, aby zabránily tomu, že se podobné situace budou opakovat, neboť hromadění nevyčerpaných prostředků vede k hotovostním přebytkům, které tudíž Unie nemá k dispozici pro financování ostatních aktivit a programů; zdůrazňuje, že to není v souladu se zásadou řádného finančního řízení a v rozpočtovém roce 2023 to vedlo k hotovostnímu přebytku v celkové výši 1,5 miliardy EUR; souhlasí s doporučením Účetního dvora ohledně opatření v tomto ohledu, aby dotčené společné podniky vytvořily opravné mechanismy s cílem snížit své hotovostní přebytky na přiměřenou úroveň a následně sladit své žádosti o hotovost na jednotlivé rozpočtové roky se svými odhadovanými potřebami výdajů, a to v koordinaci s Komisí; je si vědom toho, že finanční pravidla dotčeným společným podnikům umožňují, aby nevyčerpané prostředky zapisovaly do odhadu příjmů a výdajů až po tři rozpočtové roky od jejich obdržení; konkrétně jej však znepokojují:</w:t>
            </w:r>
          </w:p>
        </w:tc>
        <w:tc>
          <w:tcPr>
            <w:tcW w:w="4876" w:type="dxa"/>
            <w:tcBorders>
              <w:top w:val="nil"/>
              <w:left w:val="nil"/>
              <w:bottom w:val="nil"/>
              <w:right w:val="nil"/>
            </w:tcBorders>
          </w:tcPr>
          <w:p>
            <w:pPr>
              <w:pStyle w:val="Normal6a"/>
            </w:pPr>
            <w:r>
              <w:t>17.</w:t>
            </w:r>
            <w:r>
              <w:tab/>
            </w:r>
            <w:r>
              <w:t xml:space="preserve">souhlasí s obavami Účetního dvora, pokud jde o nevyčerpané prostředky při provádění programů určitých společných podniků, a vyzývá dotčené společné podniky, aby zabránily tomu, že se podobné situace budou opakovat, neboť hromadění nevyčerpaných prostředků vede k hotovostním přebytkům, které tudíž Unie nemá k dispozici pro financování ostatních aktivit a programů; zdůrazňuje, že to není v souladu se zásadou řádného finančního řízení a v rozpočtovém roce 2023 to vedlo k hotovostnímu přebytku v celkové výši 1,5 miliardy EUR; souhlasí s doporučením Účetního dvora ohledně opatření v tomto ohledu, aby dotčené společné podniky vytvořily </w:t>
            </w:r>
            <w:r>
              <w:rPr>
                <w:b/>
                <w:i/>
              </w:rPr>
              <w:t>adekvátní</w:t>
            </w:r>
            <w:r>
              <w:t xml:space="preserve"> opravné mechanismy s cílem snížit své hotovostní přebytky na přiměřenou úroveň a následně sladit své žádosti o hotovost na jednotlivé rozpočtové roky se svými odhadovanými potřebami výdajů, a to v koordinaci s Komisí</w:t>
            </w:r>
            <w:r>
              <w:rPr>
                <w:b/>
                <w:i/>
              </w:rPr>
              <w:t>;</w:t>
            </w:r>
            <w:r>
              <w:t xml:space="preserve"> </w:t>
            </w:r>
            <w:r>
              <w:rPr>
                <w:b/>
                <w:i/>
              </w:rPr>
              <w:t>zdůrazňuje, že tento přebytek může bránit a omezovat schopnost EU sledovat další strategické zájmy a politické priority, neboť nemusí být k dispozici pro financování jiných činností a programů</w:t>
            </w:r>
            <w:r>
              <w:t>; je si vědom toho, že finanční pravidla dotčeným společným podnikům umožňují, aby nevyčerpané prostředky zapisovaly do odhadu příjmů a výdajů až po tři rozpočtové roky od jejich obdržení; konkrétně jej však znepokojují: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vyjadřuje znepokojení nad akumulací nadměrných finančních přebytků v některých společných podnicích, zejména v oblasti čistého letectví, společného podniku pro čipy a společného podniku EuroHPC v celkové výši přibližně 1,5 miliardy EUR;</w:t>
            </w:r>
            <w:r>
              <w:t xml:space="preserve"> </w:t>
            </w:r>
            <w:r>
              <w:rPr>
                <w:b/>
                <w:i/>
              </w:rPr>
              <w:t>vyzývá Komisi, aby zajistila, že všechny společné podniky vypracují nápravné mechanismy finančního plánování s cílem sladit roční rozpočtové požadavky se skutečnými potřebami v oblasti výdajů;</w:t>
            </w:r>
            <w:r>
              <w:t xml:space="preserve"> </w:t>
            </w:r>
            <w:r>
              <w:rPr>
                <w:b/>
                <w:i/>
              </w:rPr>
              <w:t>zdůrazňuje, že všechny společné podniky musí posílit vnitřní finanční kontroly a mechanismy veřejné transparentnosti a zajistit, aby byly finanční prostředky rozdělovány účinně a v souladu se strategickými cíli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souhlasí s obavami Účetního dvora, pokud jde o příspěvek členů určitým společným podnikům, zejména co se týče možnosti, že některé společné podniky nemohly dosáhnout svých cílů v oblasti příspěvků nebo jich dosahují pouze prostřednictvím velkého spoléhání se na věcné příspěvky k dodatečným činnostem, a vyzývá dotčené společné podniky, aby přijaly veškerá </w:t>
            </w:r>
            <w:r>
              <w:rPr>
                <w:b/>
                <w:i/>
              </w:rPr>
              <w:t>nezbytná</w:t>
            </w:r>
            <w:r>
              <w:t xml:space="preserve"> opatření </w:t>
            </w:r>
            <w:r>
              <w:rPr>
                <w:b/>
                <w:i/>
              </w:rPr>
              <w:t>s cílem zajistit, že</w:t>
            </w:r>
            <w:r>
              <w:t xml:space="preserve"> těmto situacím </w:t>
            </w:r>
            <w:r>
              <w:rPr>
                <w:b/>
                <w:i/>
              </w:rPr>
              <w:t>bude zabráněno;</w:t>
            </w:r>
            <w:r>
              <w:t xml:space="preserve"> </w:t>
            </w:r>
            <w:r>
              <w:rPr>
                <w:b/>
                <w:i/>
              </w:rPr>
              <w:t>poukazuje na to,</w:t>
            </w:r>
            <w:r>
              <w:t xml:space="preserve"> že nesplnění cílů v oblasti příspěvků je v rozporu se základní myšlenkou společných podniků; konkrétně jej znepokojuje:</w:t>
            </w:r>
          </w:p>
        </w:tc>
        <w:tc>
          <w:tcPr>
            <w:tcW w:w="4876" w:type="dxa"/>
            <w:tcBorders>
              <w:top w:val="nil"/>
              <w:left w:val="nil"/>
              <w:bottom w:val="nil"/>
              <w:right w:val="nil"/>
            </w:tcBorders>
          </w:tcPr>
          <w:p>
            <w:pPr>
              <w:pStyle w:val="Normal6a"/>
            </w:pPr>
            <w:r>
              <w:t>18.</w:t>
            </w:r>
            <w:r>
              <w:tab/>
            </w:r>
            <w:r>
              <w:t xml:space="preserve">souhlasí s obavami Účetního dvora, pokud jde o příspěvek členů určitým společným podnikům, zejména co se týče možnosti, že některé společné podniky nemohly dosáhnout svých cílů v oblasti příspěvků nebo jich dosahují pouze prostřednictvím velkého spoléhání se na věcné příspěvky k dodatečným činnostem, a vyzývá dotčené společné podniky, aby přijaly veškerá opatření </w:t>
            </w:r>
            <w:r>
              <w:rPr>
                <w:b/>
                <w:i/>
              </w:rPr>
              <w:t>nezbytná k tomu, aby se</w:t>
            </w:r>
            <w:r>
              <w:t xml:space="preserve"> těmto situacím </w:t>
            </w:r>
            <w:r>
              <w:rPr>
                <w:b/>
                <w:i/>
              </w:rPr>
              <w:t>zabránilo v budoucnu;</w:t>
            </w:r>
            <w:r>
              <w:t xml:space="preserve"> </w:t>
            </w:r>
            <w:r>
              <w:rPr>
                <w:b/>
                <w:i/>
              </w:rPr>
              <w:t>zdůrazňuje, že splnění cílů v oblasti příspěvků je odpovědností a povinností dotčených společných podniků a</w:t>
            </w:r>
            <w:r>
              <w:t xml:space="preserve"> že nesplnění cílů v oblasti příspěvků je v rozporu se základní myšlenkou společných podniků; konkrétně jej znepokojuje: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situace společného podniku pro výzkum ATM jednotného evropského nebe 3, jehož cíl v oblasti provozních příspěvků v případě jednoho jeho člena, organizace Eurocontrol, dosáhl pouze úrovně 70 %, v důsledku čehož společný podnik neměl k dispozici plánované příspěvky, aby plně provedl svou část programu Horizont 2020; bere na vědomí skutečnost, že tento prvek nicméně nevedl Účetní dvůr k tomu, aby u tohoto společného podniku považoval riziko pro provádění programu za střední nebo vysoké, neboť bylo považováno za nízké;</w:t>
            </w:r>
          </w:p>
        </w:tc>
        <w:tc>
          <w:tcPr>
            <w:tcW w:w="4876" w:type="dxa"/>
            <w:tcBorders>
              <w:top w:val="nil"/>
              <w:left w:val="nil"/>
              <w:bottom w:val="nil"/>
              <w:right w:val="nil"/>
            </w:tcBorders>
          </w:tcPr>
          <w:p>
            <w:pPr>
              <w:pStyle w:val="Normal6a"/>
            </w:pPr>
            <w:r>
              <w:t>a)</w:t>
            </w:r>
            <w:r>
              <w:tab/>
            </w:r>
            <w:r>
              <w:t xml:space="preserve">situace společného podniku pro výzkum ATM jednotného evropského nebe 3, jehož cíl v oblasti provozních příspěvků v případě jednoho jeho člena, organizace Eurocontrol, dosáhl pouze úrovně 70 %, v důsledku čehož společný podnik neměl k dispozici plánované příspěvky, aby plně provedl svou část programu Horizont 2020; bere na vědomí skutečnost, že tento prvek nicméně nevedl Účetní dvůr k tomu, aby u tohoto společného podniku považoval riziko pro provádění programu za střední nebo vysoké, neboť bylo považováno za nízké; </w:t>
            </w:r>
            <w:r>
              <w:rPr>
                <w:b/>
                <w:i/>
              </w:rPr>
              <w:t>vyjadřuje politování nad tím, že chybí formální politika řízení citlivých funkcí, která je nezbytná k tomu, aby se zabránilo riziku podvodů, ztráty majetku nebo zveřejnění citlivých informací;</w:t>
            </w:r>
            <w:r>
              <w:t xml:space="preserve"> </w:t>
            </w:r>
            <w:r>
              <w:rPr>
                <w:b/>
                <w:i/>
              </w:rPr>
              <w:t>se znepokojením konstatuje, že míra čerpání prostředků na správní platby klesla v roce 2023 na 55 % z 81 % v roce 2022;</w:t>
            </w:r>
            <w:r>
              <w:t xml:space="preserve"> </w:t>
            </w:r>
            <w:r>
              <w:rPr>
                <w:b/>
                <w:i/>
              </w:rPr>
              <w:t>vyzývá k lepšímu rozpočtovému plánování, aby se zabránilo takovým zpožděním, zejména pokud jde o fakturaci základních služeb;</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 písm.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situace společného podniku pro evropské oběhové biohospodářství, který si při dosahování svého cíle v oblasti příspěvků v rámci programu Horizont 2020 vedl dobře, avšak činil tak zejména prostřednictvím revize bilance mezi cílem pro věcné příspěvky na provozní činnosti a cílem pro věcné příspěvky na dodatečné činnosti, přičemž poslední jmenované byly zvýšeny na </w:t>
            </w:r>
            <w:r>
              <w:rPr>
                <w:b/>
                <w:i/>
              </w:rPr>
              <w:t>2 444,5</w:t>
            </w:r>
            <w:r>
              <w:t xml:space="preserve"> milionu EUR, což odpovídá 90 % celkového cíle; zdůrazňuje, že takovéto spoléhání se na věcné příspěvky k dodatečným činnostem představuje riziko pro provádění programu Horizont 2020; poukazuje na značný dopad revize, kterou společný podnik provedl; bere na vědomí vysvětlení společného podniku a skutečnost, že dodatečné činnosti přispívají k celkovým cílům společného podniku; zdůrazňuje však, že to představuje přílišné spoléhání se na věcné příspěvky k dodatečným činnostem při plnění stanovených cílů, a vyzývá společný podnik, aby zabránil opakování takové situace; bere na vědomí skutečnost, že tyto prvky vedly Účetní dvůr k tomu, aby u tohoto společného podniku považoval riziko pro provádění programu za vysoké;</w:t>
            </w:r>
          </w:p>
        </w:tc>
        <w:tc>
          <w:tcPr>
            <w:tcW w:w="4876" w:type="dxa"/>
            <w:tcBorders>
              <w:top w:val="nil"/>
              <w:left w:val="nil"/>
              <w:bottom w:val="nil"/>
              <w:right w:val="nil"/>
            </w:tcBorders>
          </w:tcPr>
          <w:p>
            <w:pPr>
              <w:pStyle w:val="Normal6a"/>
            </w:pPr>
            <w:r>
              <w:t>b)</w:t>
            </w:r>
            <w:r>
              <w:tab/>
            </w:r>
            <w:r>
              <w:t xml:space="preserve">situace společného podniku pro evropské oběhové biohospodářství, který si při dosahování svého cíle v oblasti příspěvků v rámci programu Horizont 2020 vedl dobře, avšak činil tak zejména prostřednictvím revize bilance mezi cílem pro věcné příspěvky na provozní činnosti a cílem pro věcné příspěvky na dodatečné činnosti, přičemž poslední jmenované byly zvýšeny na </w:t>
            </w:r>
            <w:r>
              <w:rPr>
                <w:b/>
                <w:i/>
              </w:rPr>
              <w:t>2 444,5</w:t>
            </w:r>
            <w:r>
              <w:t xml:space="preserve"> milionu EUR, což odpovídá 90 % celkového cíle; zdůrazňuje, že takovéto spoléhání se na věcné příspěvky k dodatečným činnostem představuje riziko pro provádění programu Horizont 2020; poukazuje na značný dopad revize, kterou společný podnik provedl; bere na vědomí vysvětlení společného podniku a skutečnost, že dodatečné činnosti přispívají k celkovým cílům společného podniku; zdůrazňuje však, že to představuje přílišné spoléhání se na věcné příspěvky k dodatečným činnostem při plnění stanovených cílů, a vyzývá společný podnik, aby zabránil opakování takové situace; bere na vědomí skutečnost, že tyto prvky vedly Účetní dvůr k tomu, aby u tohoto společného podniku považoval riziko pro provádění programu za vysoké; </w:t>
            </w:r>
            <w:r>
              <w:rPr>
                <w:b/>
                <w:i/>
              </w:rPr>
              <w:t>bere na vědomí obavy Evropského účetního dvora, pokud jde o nedostatky plánu kontinuity a obnovení činnosti;</w:t>
            </w:r>
            <w:r>
              <w:t xml:space="preserve"> </w:t>
            </w:r>
            <w:r>
              <w:rPr>
                <w:b/>
                <w:i/>
              </w:rPr>
              <w:t>vyzývá společný podnik, aby tuto situaci naléhavě napravil a aby se touto otázkou, kterou je třeba studovat seriózně a s ohledem na měnící se hrozby, pravidelně zabýval;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skutečnost, že ujednání o administrativní podpoře věnované účetní činnosti fungují od prosince 2022 a byla tedy operativní po celý rozpočtový rok 2023, což bylo možné pozorovat při vypracovávání roční účetní závěrky, jakož i skutečnost, že se společný podnik pro evropské železnice ujal vedení při správě těchto ujednání;</w:t>
            </w:r>
          </w:p>
        </w:tc>
        <w:tc>
          <w:tcPr>
            <w:tcW w:w="4876" w:type="dxa"/>
            <w:tcBorders>
              <w:top w:val="nil"/>
              <w:left w:val="nil"/>
              <w:bottom w:val="nil"/>
              <w:right w:val="nil"/>
            </w:tcBorders>
          </w:tcPr>
          <w:p>
            <w:pPr>
              <w:pStyle w:val="Normal6a"/>
            </w:pPr>
            <w:r>
              <w:t>a)</w:t>
            </w:r>
            <w:r>
              <w:tab/>
            </w:r>
            <w:r>
              <w:t xml:space="preserve">skutečnost, že ujednání o administrativní podpoře věnované účetní činnosti fungují od prosince 2022 a byla tedy operativní po celý rozpočtový rok 2023, což bylo možné pozorovat při vypracovávání roční účetní závěrky, jakož i skutečnost, že se společný podnik pro evropské železnice ujal vedení při správě těchto ujednání; </w:t>
            </w:r>
            <w:r>
              <w:rPr>
                <w:b/>
                <w:i/>
              </w:rPr>
              <w:t>bere na vědomí znepokojení Evropského účetního dvora, pokud jde o zastaralé plány kontinuity provozu a plány obnovy provozu, které jsou klíčovými nástroji pro zajištění organizační odolnosti a rychlého oživení v případě závažných incidentů;</w:t>
            </w:r>
            <w:r>
              <w:t xml:space="preserve"> </w:t>
            </w:r>
            <w:r>
              <w:rPr>
                <w:b/>
                <w:i/>
              </w:rPr>
              <w:t>vyjadřuje politování nad tím, že tyto plány přijaté v roce 2018 nebyly od roku 2020 aktualizovány ani od roku 2019 testovány, a to navzdory významnému vývoji v provozním prostředí;</w:t>
            </w:r>
            <w:r>
              <w:t xml:space="preserve"> </w:t>
            </w:r>
            <w:r>
              <w:rPr>
                <w:b/>
                <w:i/>
              </w:rPr>
              <w:t>vyzývá k jejich okamžité aktualizaci a k pravidelným testům, aby byla zajištěna jejich účinnost při řešení nových rizik;</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bere na vědomí skutečnost, že pokud jde o kvantitativní údaje, jež společné podniky poskytly ohledně genderové vyváženosti odborníků, kteří byli vybráni ke spolupráci se společnými podniky, úroveň podrobností a přístupnosti se liší; vyzývá všechny společné podniky, aby do svých budoucích výročních zpráv o činnosti zahrnuly jasné kvantitativní údaje o genderové vyváženosti vybraných odborníků; vyzývá všechny společné podniky, aby zajistily, že genderová vyváženost bude nadále horizontální prioritou ve všech činnostech souvisejících se zadáváním zakázek, granty a nabídkovými řízeními, a poskytly vysvětlení v případech, kdy genderové vyváženosti není možné dosáhnout;</w:t>
            </w:r>
          </w:p>
        </w:tc>
        <w:tc>
          <w:tcPr>
            <w:tcW w:w="4876" w:type="dxa"/>
            <w:tcBorders>
              <w:top w:val="nil"/>
              <w:left w:val="nil"/>
              <w:bottom w:val="nil"/>
              <w:right w:val="nil"/>
            </w:tcBorders>
          </w:tcPr>
          <w:p>
            <w:pPr>
              <w:pStyle w:val="Normal6a"/>
            </w:pPr>
            <w:r>
              <w:t>23.</w:t>
            </w:r>
            <w:r>
              <w:tab/>
            </w:r>
            <w:r>
              <w:t xml:space="preserve">bere na vědomí skutečnost, že pokud jde o kvantitativní údaje, jež společné podniky poskytly ohledně genderové vyváženosti odborníků, kteří byli vybráni ke spolupráci se společnými podniky, úroveň podrobností a přístupnosti se liší; vyzývá všechny společné podniky, aby </w:t>
            </w:r>
            <w:r>
              <w:rPr>
                <w:b/>
                <w:i/>
              </w:rPr>
              <w:t>zvýšily transparentnost a</w:t>
            </w:r>
            <w:r>
              <w:t xml:space="preserve"> do svých budoucích výročních zpráv o činnosti zahrnuly jasné kvantitativní údaje o genderové vyváženosti vybraných odborníků; vyzývá všechny společné podniky, aby </w:t>
            </w:r>
            <w:r>
              <w:rPr>
                <w:b/>
                <w:i/>
              </w:rPr>
              <w:t>zintenzivnily své úsilí o prosazování rovnosti žen a mužů na všech úrovních a</w:t>
            </w:r>
            <w:r>
              <w:t xml:space="preserve"> zajistily, že genderová vyváženost bude nadále horizontální prioritou ve všech činnostech souvisejících se zadáváním zakázek, granty a nabídkovými řízeními, a poskytly vysvětlení v případech, kdy genderové vyváženosti není možné dosáhnout;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vyzývá ke spravedlivému a vyváženému zeměpisnému rozdělení finančních prostředků společných podniků, které zajistí, aby regiony s nižší inovační kapacitou a malé a střední podniky dostávaly odpovídající podporu;</w:t>
            </w:r>
            <w:r>
              <w:t xml:space="preserve"> </w:t>
            </w:r>
            <w:r>
              <w:rPr>
                <w:b/>
                <w:i/>
              </w:rPr>
              <w:t>žádá Komisi, aby zvážila zavedení povinného kritéria regionální rovnováhy v rámci přidělování finančních prostředků společného podniku a aby každoročně podávala zprávy o zeměpisném rozložení přidělených prostředků, a pokud jsou zjištěny rozdíly, měla by být navržena nápravná opatření k zajištění inkluzivního a spravedlivého přístupu k financování výzkumu ve všech členských státech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je znepokojen současným stavem náboru v rámci společného podniku pro evropskou vysoce výkonnou výpočetní techniku, který měl do konce rozpočtového roku 2023 obsadit 39 dodatečných pozic, aby byly provedeny významné finanční prostředky obdržené ze současného víceletého finančního rámce, ale kterému se podařilo nabrat pouze 21 dodatečných zaměstnanců; je dále znepokojen posouzením, které provedl Účetní dvůr a jež stanovilo, že přijímací řízení společných podniků nebyla dostatečně transparentní, protože chyběly jasné a předem dohodnuté stupnice hodnocení, které by umožnily posoudit kandidáty a jejich kvalifikaci, jakož i dostatečná dokumentace základních rozhodovacích procesů; vyjadřuje politování nad tím, že podle názoru Účetního dvora mohla tato situace vést k absenci rovného zaházení s kandidáty; souhlasí s doporučením Účetního dvora ohledně opatření v tomto ohledu, aby společný podnik pro evropskou vysoce výkonnou výpočetní techniku využil zvýšeného počtu svých zaměstnanců k tomu, aby do konce roku 2024 dosáhl svého cíle v oblasti náboru a aby v zájmu zvýšení transparentnosti svých přijímacích řízení a odůvodnění rozhodovacích procesů výběrové komise používal ve fázi předběžného výběru předem dohodnutou stupnici hodnocení v souladu s praxí ostatních společných podniků a institucí Unie; vítá ochotu společného podniku začlenit doporučení týkající se zlepšení;</w:t>
            </w:r>
          </w:p>
        </w:tc>
        <w:tc>
          <w:tcPr>
            <w:tcW w:w="4876" w:type="dxa"/>
            <w:tcBorders>
              <w:top w:val="nil"/>
              <w:left w:val="nil"/>
              <w:bottom w:val="nil"/>
              <w:right w:val="nil"/>
            </w:tcBorders>
          </w:tcPr>
          <w:p>
            <w:pPr>
              <w:pStyle w:val="Normal6a"/>
            </w:pPr>
            <w:r>
              <w:t>25.</w:t>
            </w:r>
            <w:r>
              <w:tab/>
            </w:r>
            <w:r>
              <w:t xml:space="preserve">je znepokojen současným stavem náboru v rámci společného podniku pro evropskou vysoce výkonnou výpočetní techniku, který měl do konce rozpočtového roku 2023 obsadit 39 dodatečných pozic, aby byly provedeny významné finanční prostředky obdržené ze současného víceletého finančního rámce, ale kterému se podařilo nabrat pouze 21 dodatečných zaměstnanců; je dále znepokojen posouzením, které provedl Účetní dvůr a jež stanovilo, že přijímací řízení společných podniků nebyla dostatečně transparentní, protože chyběly jasné a předem dohodnuté stupnice hodnocení, které by umožnily posoudit kandidáty a jejich kvalifikaci, jakož i dostatečná dokumentace základních rozhodovacích procesů; vyjadřuje politování nad tím, že podle názoru Účetního dvora mohla tato situace vést k absenci rovného zaházení s kandidáty; </w:t>
            </w:r>
            <w:r>
              <w:rPr>
                <w:b/>
                <w:i/>
              </w:rPr>
              <w:t>připomíná, že je nanejvýš důležité zabránit uplatňování dvojích standardů během přijímacího řízení, a požaduje, aby byla v tomto ohledu přijata veškerá nezbytná opatření;</w:t>
            </w:r>
            <w:r>
              <w:t xml:space="preserve"> souhlasí s doporučením Účetního dvora ohledně opatření v tomto ohledu, aby společný podnik pro evropskou vysoce výkonnou výpočetní techniku využil zvýšeného počtu svých zaměstnanců k tomu, aby do konce roku 2024 dosáhl svého cíle v oblasti náboru a aby v zájmu zvýšení transparentnosti svých přijímacích řízení a odůvodnění rozhodovacích procesů výběrové komise používal ve fázi předběžného výběru předem dohodnutou stupnici hodnocení v souladu s praxí ostatních společných podniků a institucí Unie; vítá ochotu společného podniku začlenit doporučení týkající se zlepšení;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je znepokojen současným stavem náboru v rámci společného podniku pro evropskou vysoce výkonnou výpočetní techniku, který měl do konce rozpočtového roku 2023 obsadit 39 dodatečných pozic, aby byly provedeny významné finanční prostředky obdržené ze současného víceletého finančního rámce, ale kterému se podařilo nabrat pouze 21 dodatečných zaměstnanců; je dále znepokojen posouzením, které provedl Účetní dvůr a jež stanovilo, že přijímací řízení společných podniků nebyla dostatečně transparentní, protože chyběly jasné a předem dohodnuté stupnice hodnocení, které by umožnily posoudit kandidáty a jejich kvalifikaci, jakož i dostatečná dokumentace základních rozhodovacích procesů; vyjadřuje politování nad tím, že podle názoru Účetního dvora mohla tato situace vést k absenci rovného zaházení s kandidáty; souhlasí s doporučením Účetního dvora ohledně opatření v tomto ohledu, aby společný podnik pro evropskou vysoce výkonnou výpočetní techniku využil zvýšeného počtu svých zaměstnanců k tomu, aby do konce roku 2024 dosáhl svého cíle v oblasti náboru a aby v zájmu zvýšení transparentnosti svých přijímacích řízení a odůvodnění rozhodovacích procesů výběrové komise používal ve fázi předběžného výběru předem dohodnutou stupnici hodnocení v souladu s praxí ostatních společných podniků a institucí Unie; vítá ochotu společného podniku začlenit doporučení týkající se zlepšení;</w:t>
            </w:r>
          </w:p>
        </w:tc>
        <w:tc>
          <w:tcPr>
            <w:tcW w:w="4876" w:type="dxa"/>
            <w:tcBorders>
              <w:top w:val="nil"/>
              <w:left w:val="nil"/>
              <w:bottom w:val="nil"/>
              <w:right w:val="nil"/>
            </w:tcBorders>
          </w:tcPr>
          <w:p>
            <w:pPr>
              <w:pStyle w:val="Normal6a"/>
            </w:pPr>
            <w:r>
              <w:t>25.</w:t>
            </w:r>
            <w:r>
              <w:tab/>
            </w:r>
            <w:r>
              <w:t xml:space="preserve">je znepokojen současným stavem náboru v rámci společného podniku pro evropskou vysoce výkonnou výpočetní techniku, který měl do konce rozpočtového roku 2023 obsadit 39 dodatečných pozic, aby byly provedeny významné finanční prostředky obdržené ze současného víceletého finančního rámce, ale kterému se podařilo nabrat pouze 21 dodatečných zaměstnanců; je dále znepokojen posouzením, které provedl Účetní dvůr a jež stanovilo, že přijímací řízení společných podniků nebyla dostatečně transparentní, protože chyběly jasné a předem dohodnuté stupnice hodnocení, které by umožnily posoudit kandidáty a jejich kvalifikaci, jakož i dostatečná dokumentace základních rozhodovacích procesů; vyjadřuje politování nad tím, že podle názoru Účetního dvora mohla tato situace vést k absenci rovného zaházení s kandidáty; souhlasí s doporučením Účetního dvora ohledně opatření v tomto ohledu, aby společný podnik pro evropskou vysoce výkonnou výpočetní techniku </w:t>
            </w:r>
            <w:r>
              <w:rPr>
                <w:b/>
                <w:i/>
              </w:rPr>
              <w:t>účinně</w:t>
            </w:r>
            <w:r>
              <w:t xml:space="preserve"> využil zvýšeného počtu svých zaměstnanců k tomu, aby do konce roku 2024 dosáhl svého cíle v oblasti náboru a aby v zájmu zvýšení transparentnosti svých přijímacích řízení a odůvodnění rozhodovacích procesů výběrové komise používal ve fázi předběžného výběru předem dohodnutou stupnici hodnocení v souladu s praxí ostatních společných podniků a institucí Unie; vítá ochotu společného podniku začlenit doporučení týkající se zlepšení;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vyzývá k zavedení povinných politik genderové vyváženosti ve správě společných podniků;</w:t>
            </w:r>
            <w:r>
              <w:t xml:space="preserve"> </w:t>
            </w:r>
            <w:r>
              <w:rPr>
                <w:b/>
                <w:i/>
              </w:rPr>
              <w:t>opakuje, že do roku 2025 musí všechny společné podniky zajistit, aby alespoň 40 % členů správních rad a vedoucích pozic zastávaly ženy;</w:t>
            </w:r>
            <w:r>
              <w:t xml:space="preserve"> </w:t>
            </w:r>
            <w:r>
              <w:rPr>
                <w:b/>
                <w:i/>
              </w:rPr>
              <w:t>žádá, aby všechny společné podniky zavedly mechanismy financování zohledňující rovnost žen a mužů s cílem zajistit spravedlivou účast na výzkumu;</w:t>
            </w:r>
            <w:r>
              <w:t xml:space="preserve"> </w:t>
            </w:r>
            <w:r>
              <w:rPr>
                <w:b/>
                <w:i/>
              </w:rPr>
              <w:t>žádá Komisi, aby každoročně podávala zprávy o zastoupení žen a mužů ve společných podnicích a v případě potřeby navrhla nápravná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vyzývá všechny společné podniky, aby zavedly konkrétní opatření ke zlepšení genderové vyváženosti ve vedoucích pozicích a rozhodovacích orgánech, včetně stanovení cílů v oblasti genderové vyváženosti a pravidelného sledování pokroku;</w:t>
            </w:r>
            <w:r>
              <w:t xml:space="preserve"> </w:t>
            </w:r>
            <w:r>
              <w:rPr>
                <w:b/>
                <w:i/>
              </w:rPr>
              <w:t>zdůrazňuje, že je třeba řešit rozdíly v odměňování žen a mužů a zajistit rovné příležitosti pro kariérní postup;</w:t>
            </w:r>
            <w:r>
              <w:t xml:space="preserve"> </w:t>
            </w:r>
            <w:r>
              <w:rPr>
                <w:b/>
                <w:i/>
              </w:rPr>
              <w:t>dále vyzývá k větší zeměpisné vyváženosti tím, že se zvýší nábor pracovníků z nedostatečně zastoupených členských států a zajistí, aby řídící struktury společných podniků odrážely rozmanitost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zdůrazňuje potřebu soudržné a spravedlivé personální politiky ve všech společných podnicích s cílem zajistit odpovídající a inkluzivní pracovní podmínky, příležitosti k profesnímu rozvoji a rovnováhu mezi pracovním a soukromým životem zaměstnanců;</w:t>
            </w:r>
            <w:r>
              <w:t xml:space="preserve"> </w:t>
            </w:r>
            <w:r>
              <w:rPr>
                <w:b/>
                <w:i/>
              </w:rPr>
              <w:t>vyzývá k provádění opatření, která zabrání nadměrnému spoléhání se na smlouvy na dobu určitou a nejisté zaměstnání;</w:t>
            </w:r>
            <w:r>
              <w:t xml:space="preserve"> </w:t>
            </w:r>
            <w:r>
              <w:rPr>
                <w:b/>
                <w:i/>
              </w:rPr>
              <w:t>zdůrazňuje význam struktur na podporu duševního zdraví, pružného uspořádání pracovní doby a spravedlivých příležitostí k internímu povyšování pro zlepšení pohody zaměstnanců;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bere na vědomí skutečnost, že pokud jde o kvantitativní údaje, jež společné podniky poskytly ve svých výročních zprávách o činnosti a které se týkají genderové vyváženosti jejich zaměstnanců a v rámci jejich správních orgánů a struktur, úroveň podrobností a přístupnosti se liší; vyzývá všechny společné podniky, aby do svých budoucích výročních zpráv o činnosti zahrnuly jasnou sekci věnovanou kvantitativním údajům o genderové vyváženosti svých zaměstnanců a v rámci svých správních orgánů a struktur, včetně rozčlenění údajů na různé úrovně odpovědnosti a různé typy smluv; vyzývá všechny společné podniky, aby zajistily, že genderová vyváženost bude nadále cílem na všech úrovních odpovědnosti, aby se zajistilo spravedlivé zastoupení společnosti mezi jejich zaměstnanci a podpořilo zdravé a produktivní pracovní prostředí, a aby poskytly vysvětlení v případech, kdy genderové vyváženosti není možné dosáhnout;</w:t>
            </w:r>
          </w:p>
        </w:tc>
        <w:tc>
          <w:tcPr>
            <w:tcW w:w="4876" w:type="dxa"/>
            <w:tcBorders>
              <w:top w:val="nil"/>
              <w:left w:val="nil"/>
              <w:bottom w:val="nil"/>
              <w:right w:val="nil"/>
            </w:tcBorders>
          </w:tcPr>
          <w:p>
            <w:pPr>
              <w:pStyle w:val="Normal6a"/>
            </w:pPr>
            <w:r>
              <w:t>28.</w:t>
            </w:r>
            <w:r>
              <w:tab/>
            </w:r>
            <w:r>
              <w:t xml:space="preserve">bere na vědomí skutečnost, že pokud jde o kvantitativní údaje, jež společné podniky poskytly ve svých výročních zprávách o činnosti a které se týkají genderové vyváženosti jejich zaměstnanců a v rámci jejich správních orgánů a struktur, úroveň podrobností a přístupnosti se liší; vyzývá všechny společné podniky, aby do svých budoucích výročních zpráv o činnosti zahrnuly jasnou sekci věnovanou kvantitativním údajům o genderové vyváženosti svých zaměstnanců a v rámci svých správních orgánů a struktur, včetně rozčlenění údajů na různé úrovně odpovědnosti a různé typy smluv; vyzývá všechny společné podniky, aby zajistily, že genderová vyváženost bude nadále cílem na všech úrovních odpovědnosti, </w:t>
            </w:r>
            <w:r>
              <w:rPr>
                <w:b/>
                <w:i/>
              </w:rPr>
              <w:t>a aby pokračovaly ve svém úsilí o její posílení,</w:t>
            </w:r>
            <w:r>
              <w:t xml:space="preserve"> aby se zajistilo spravedlivé zastoupení společnosti mezi jejich zaměstnanci a podpořilo zdravé a produktivní pracovní prostředí, a aby poskytly vysvětlení v případech, kdy genderové vyváženosti není možné dosáhnout;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vyzývá k systémovému začlenění posouzení sociálního dopadu do procesu hodnocení všech projektů společného podniku;</w:t>
            </w:r>
            <w:r>
              <w:t xml:space="preserve"> </w:t>
            </w:r>
            <w:r>
              <w:rPr>
                <w:b/>
                <w:i/>
              </w:rPr>
              <w:t>zdůrazňuje, že společné podniky zajistí, aby financované projekty přispívaly k sociálnímu blahobytu a inkluzivnosti, respektovaly práva pracovníků a pracovní podmínky a byly v souladu se zásadami spravedlivého přechodu na udržitelné technologie;</w:t>
            </w:r>
            <w:r>
              <w:t xml:space="preserve"> </w:t>
            </w:r>
            <w:r>
              <w:rPr>
                <w:b/>
                <w:i/>
              </w:rPr>
              <w:t>zdůrazňuje význam konzultací se zúčastněnými stranami při posuzování sociálních dopadů financování společného podniku;</w:t>
            </w:r>
            <w:r>
              <w:t xml:space="preserve"> </w:t>
            </w:r>
            <w:r>
              <w:rPr>
                <w:b/>
                <w:i/>
              </w:rPr>
              <w:t>vyzývá Komisi, aby stanovila závazné ukazatele sociálního dopadu pro měření těchto kritérií a zajistila, aby společné podniky upřednostňovaly projekty s jasnými společenskými přínosy;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vítá činnost Účetního dvora týkající se přezkumu grantových plateb, které uskutečnilo deset společných podniků při provádění výzkumných a inovačních projektů, zejména pokud jde o jeho doplňkový audit vzorku grantových plateb na úrovni příjemců v rámci programu Horizont 2020; je znepokojen výsledky tohoto přezkumu, které ukázaly, že přetrvávají systémové chyby, zejména co se týče vykázaných nákladů na zaměstnance a vybavení;</w:t>
            </w:r>
          </w:p>
        </w:tc>
        <w:tc>
          <w:tcPr>
            <w:tcW w:w="4876" w:type="dxa"/>
            <w:tcBorders>
              <w:top w:val="nil"/>
              <w:left w:val="nil"/>
              <w:bottom w:val="nil"/>
              <w:right w:val="nil"/>
            </w:tcBorders>
          </w:tcPr>
          <w:p>
            <w:pPr>
              <w:pStyle w:val="Normal6a"/>
            </w:pPr>
            <w:r>
              <w:t>31.</w:t>
            </w:r>
            <w:r>
              <w:tab/>
            </w:r>
            <w:r>
              <w:t xml:space="preserve">vítá činnost Účetního dvora týkající se přezkumu grantových plateb, které uskutečnilo deset společných podniků při provádění výzkumných a inovačních projektů, zejména pokud jde o jeho doplňkový audit vzorku grantových plateb na úrovni příjemců v rámci programu Horizont 2020; je znepokojen výsledky tohoto přezkumu, které ukázaly, že přetrvávají systémové chyby, zejména co se týče vykázaných nákladů na zaměstnance a vybavení; </w:t>
            </w:r>
            <w:r>
              <w:rPr>
                <w:b/>
                <w:i/>
              </w:rPr>
              <w:t>vyzývá k nápravě systémových chyb;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je znepokojen přetrvávajícími systémovými chybami v grantových platbách, zejména v souvislosti s nesprávnými výpočty osobních nákladů, nezpůsobilými bonusy a nedodržováním finančních pravidel, jak zdůraznil EÚD;</w:t>
            </w:r>
            <w:r>
              <w:t xml:space="preserve"> </w:t>
            </w:r>
            <w:r>
              <w:rPr>
                <w:b/>
                <w:i/>
              </w:rPr>
              <w:t>vyzývá Komisi, aby zavedla:</w:t>
            </w:r>
            <w:r>
              <w:t xml:space="preserve"> </w:t>
            </w:r>
            <w:r>
              <w:rPr>
                <w:b/>
                <w:i/>
              </w:rPr>
              <w:t>i) povinné finanční školení pro příjemce společného podniku, aby se zabránilo opakujícím se účetním chybám;</w:t>
            </w:r>
            <w:r>
              <w:t xml:space="preserve"> </w:t>
            </w:r>
            <w:r>
              <w:rPr>
                <w:b/>
                <w:i/>
              </w:rPr>
              <w:t>ii) nástroje automatizovaného ověřování ke zvýšení přesnosti výpočtů osobních nákladů;</w:t>
            </w:r>
            <w:r>
              <w:t xml:space="preserve"> </w:t>
            </w:r>
            <w:r>
              <w:rPr>
                <w:b/>
                <w:i/>
              </w:rPr>
              <w:t>iii) posílení kontrolních postupů ex ante s cílem zajistit řádné využívání finančních prostředků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poukazuje na to, že pro společné podniky je důležité provést politiku vnitřní kontroly ohledně citlivých funkcí; vyjadřuje politování nad tím, že na konci rozpočtového roku 2023 společný podnik pro výzkum ATM jednotného evropského nebe 3, společný podnik pro čistý vodík, společný podnik pro čipy, společný podnik pro evropskou vysoce výkonnou výpočetní techniku a společný evropský podnik pro ITER a rozvoj energie z jaderné syntézy dosud neměly politiku v tomto ohledu; zdůrazňuje kritickou povahu této situace a naléhavě vyzývá společné podniky, aby bez zbytečného odkladu přijaly opatření;</w:t>
            </w:r>
          </w:p>
        </w:tc>
        <w:tc>
          <w:tcPr>
            <w:tcW w:w="4876" w:type="dxa"/>
            <w:tcBorders>
              <w:top w:val="nil"/>
              <w:left w:val="nil"/>
              <w:bottom w:val="nil"/>
              <w:right w:val="nil"/>
            </w:tcBorders>
          </w:tcPr>
          <w:p>
            <w:pPr>
              <w:pStyle w:val="Normal6a"/>
            </w:pPr>
            <w:r>
              <w:t>40.</w:t>
            </w:r>
            <w:r>
              <w:tab/>
            </w:r>
            <w:r>
              <w:t xml:space="preserve">poukazuje na to, že pro společné podniky je důležité provést politiku vnitřní kontroly ohledně citlivých funkcí; </w:t>
            </w:r>
            <w:r>
              <w:rPr>
                <w:b/>
                <w:i/>
              </w:rPr>
              <w:t>zdůrazňuje, že taková politika může předcházet riziku nevhodného nebo podvodného jednání a toto riziko zmírňovat;</w:t>
            </w:r>
            <w:r>
              <w:t xml:space="preserve"> vyjadřuje politování nad tím, že na konci rozpočtového roku 2023 společný podnik pro výzkum ATM jednotného evropského nebe 3, společný podnik pro čistý vodík, společný podnik pro čipy, společný podnik pro evropskou vysoce výkonnou výpočetní techniku a společný evropský podnik pro ITER a rozvoj energie z jaderné syntézy dosud neměly politiku v tomto ohledu; zdůrazňuje kritickou povahu této situace a naléhavě vyzývá společné podniky, aby bez zbytečného odkladu přijaly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vyzývá všechny společné podniky, aby posílily své politiky transparentnosti, zejména pokud jde o potenciální střety zájmů;</w:t>
            </w:r>
            <w:r>
              <w:t xml:space="preserve"> </w:t>
            </w:r>
            <w:r>
              <w:rPr>
                <w:b/>
                <w:i/>
              </w:rPr>
              <w:t>naléhavě vyzývá společné podniky, aby zveřejňovaly prohlášení o zájmech svých členů správní rady, vědeckých výborů a externích odborníků a zajistily, aby byly zveřejněny veškeré finanční, profesní nebo osobní vazby na subjekty, které jsou příjemci finančních prostředků společného podniku;</w:t>
            </w:r>
            <w:r>
              <w:t xml:space="preserve"> </w:t>
            </w:r>
            <w:r>
              <w:rPr>
                <w:b/>
                <w:i/>
              </w:rPr>
              <w:t>trvá na zavedení povinného období „vychladnutí“ pro vedoucí pracovníky společného podniku před nástupem do zaměstnání v organizacích, které jsou příjemci finančních prostředků společného podniku;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bere na vědomí informace, které společné podniky uvedly o svých aktivitách souvisejících s předcházením, odhalováním a nápravou podvodů; vyzývá všechny společné podniky, aby </w:t>
            </w:r>
            <w:r>
              <w:rPr>
                <w:b/>
                <w:i/>
              </w:rPr>
              <w:t>nadále informovaly</w:t>
            </w:r>
            <w:r>
              <w:t xml:space="preserve"> o těchto prvcích a aby do svých budoucích zpráv zahrnuly jasné představení právního rámce a politik zavedených v tomto směru;</w:t>
            </w:r>
          </w:p>
        </w:tc>
        <w:tc>
          <w:tcPr>
            <w:tcW w:w="4876" w:type="dxa"/>
            <w:tcBorders>
              <w:top w:val="nil"/>
              <w:left w:val="nil"/>
              <w:bottom w:val="nil"/>
              <w:right w:val="nil"/>
            </w:tcBorders>
          </w:tcPr>
          <w:p>
            <w:pPr>
              <w:pStyle w:val="Normal6a"/>
            </w:pPr>
            <w:r>
              <w:t>42.</w:t>
            </w:r>
            <w:r>
              <w:tab/>
            </w:r>
            <w:r>
              <w:t xml:space="preserve">bere na vědomí informace, které společné podniky uvedly o svých aktivitách souvisejících s předcházením, odhalováním a nápravou podvodů; vyzývá všechny společné podniky, aby </w:t>
            </w:r>
            <w:r>
              <w:rPr>
                <w:b/>
                <w:i/>
              </w:rPr>
              <w:t>posílily svou úlohu a identifikovaly své nedostatky tím, že se budou více zapojit do diskusí o boji proti podvodům a aby</w:t>
            </w:r>
            <w:r>
              <w:t xml:space="preserve"> o těchto prvcích </w:t>
            </w:r>
            <w:r>
              <w:rPr>
                <w:b/>
                <w:i/>
              </w:rPr>
              <w:t>informovaly</w:t>
            </w:r>
            <w:r>
              <w:t xml:space="preserve"> a aby do svých budoucích zpráv zahrnuly jasné představení právního rámce a politik zavedených v tomto směru;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se znepokojením bere na vědomí přetrvávající problémy spojené s překračováním nákladů, zpožděními a problémy se správou při provádění projektu ITER;</w:t>
            </w:r>
            <w:r>
              <w:t xml:space="preserve"> </w:t>
            </w:r>
            <w:r>
              <w:rPr>
                <w:b/>
                <w:i/>
              </w:rPr>
              <w:t>vyzývá ke zlepšení finančního dohledu a větší rozpočtové transparentnosti, včetně podrobnějších veřejných zpráv o vývoji nákladů, efektivnosti výdajů a pokroku směrem ke klíčovým milníkům projektu;</w:t>
            </w:r>
            <w:r>
              <w:t xml:space="preserve"> </w:t>
            </w:r>
            <w:r>
              <w:rPr>
                <w:b/>
                <w:i/>
              </w:rPr>
              <w:t>zdůrazňuje, že je třeba zavést přísnější mechanismy auditu, aby se zajistilo účinné využívání příspěvků EU na projekt;</w:t>
            </w:r>
            <w:r>
              <w:t xml:space="preserve"> </w:t>
            </w:r>
            <w:r>
              <w:rPr>
                <w:b/>
                <w:i/>
              </w:rPr>
              <w:t>naléhavě vyzývá společný podnik, aby posílil vnitřní správu tím, že zajistí pravidelná a nezávislá hodnocení projektových rizik a posílí mechanismy odpovědnosti vrcholného vedení;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připomíná Budapešťské prohlášení o nové dohodě pro konkurenceschopnost Evropy, které staví Evropu do čela celosvětového výzkumu a inovací, zejména v oblasti přelomových technologií, a plní cíl dosáhnout do roku 2030 cíle výdajů na výzkum a vývoj ve výši 3 % HDP;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vyzývá společné podniky, aby navázaly spolupráci s univerzitami s cílem oslovit mladé evropské absolventy s cílem posílit své budoucí náborové procesy;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vyzývá k větší transparentnosti řídících struktur všech společných podniků, včetně zveřejňování podrobných zápisů ze zasedání správní rady, jasnějšího podávání zpráv o střetu zájmů a uplatňování přísnějších pravidel transparentnosti lobbingu;</w:t>
            </w:r>
            <w:r>
              <w:t xml:space="preserve"> </w:t>
            </w:r>
            <w:r>
              <w:rPr>
                <w:b/>
                <w:i/>
              </w:rPr>
              <w:t>naléhavě vyzývá Komisi, aby stanovila závazná kritéria transparentnosti pro zapojení soukromého sektoru do rozhodovacích procesů společného podniku s cílem zajistit vyvážené zastoupení zúčastněných stran;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47c.</w:t>
            </w:r>
            <w:r>
              <w:tab/>
            </w:r>
            <w:r>
              <w:rPr>
                <w:b/>
                <w:i/>
              </w:rPr>
              <w:t>vyzývá všechny společné podniky, aby zavedly formální mechanismy pro veřejné konzultace a zapojení zúčastněných stran, včetně strukturovaných dialogů s organizacemi občanské společnosti, nezávislými výzkumnými pracovníky a malými a středními podniky;</w:t>
            </w:r>
            <w:r>
              <w:t xml:space="preserve"> </w:t>
            </w:r>
            <w:r>
              <w:rPr>
                <w:b/>
                <w:i/>
              </w:rPr>
              <w:t>navrhuje vytvoření poradních skupin složených ze zúčastněných stran mimo průmysl, které by hodnotily společenský dopad projektů financovaných společným podnikem;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vyzývá k větší transparentnosti a širšímu zapojení zúčastněných stran do řízení společných podniků;</w:t>
            </w:r>
            <w:r>
              <w:t xml:space="preserve"> </w:t>
            </w:r>
            <w:r>
              <w:rPr>
                <w:b/>
                <w:i/>
              </w:rPr>
              <w:t>vyzývá Komisi, aby od všech společných podniků vyžadovala:</w:t>
            </w:r>
            <w:r>
              <w:t xml:space="preserve"> </w:t>
            </w:r>
            <w:r>
              <w:rPr>
                <w:b/>
                <w:i/>
              </w:rPr>
              <w:t>i) zavést mechanismy veřejných konzultací se zapojením malých a středních podniků, občanské společnosti a nezávislých výzkumných pracovníků;</w:t>
            </w:r>
            <w:r>
              <w:t xml:space="preserve"> </w:t>
            </w:r>
            <w:r>
              <w:rPr>
                <w:b/>
                <w:i/>
              </w:rPr>
              <w:t>ii) vytvořit panelové diskuse občanů nebo poradní výbory, aby před přijetím rozhodnutí o financování posoudily rozměr veřejného zájmu velkých projektů společného podniku;</w:t>
            </w:r>
            <w:r>
              <w:t xml:space="preserve"> </w:t>
            </w:r>
            <w:r>
              <w:rPr>
                <w:b/>
                <w:i/>
              </w:rPr>
              <w:t>iii) zajistit větší transparentnost řídících struktur společného podniku a snížit dominantní postavení podniků v rozhodovacím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vyzývá společné podniky, aby účinně informovaly o svém příspěvku k horizontálním prioritám rozpočtu Evropské unie</w:t>
            </w:r>
            <w:r>
              <w:rPr>
                <w:b/>
                <w:i/>
              </w:rPr>
              <w:t>, mimo jiné pokud jde o začleňování problematiky klimatu, a aby případně vysvětlily, jak jejich činnosti mohou přispět k cílům Zelené dohody pro Evropu</w:t>
            </w:r>
            <w:r>
              <w:t>;</w:t>
            </w:r>
          </w:p>
        </w:tc>
        <w:tc>
          <w:tcPr>
            <w:tcW w:w="4876" w:type="dxa"/>
            <w:tcBorders>
              <w:top w:val="nil"/>
              <w:left w:val="nil"/>
              <w:bottom w:val="nil"/>
              <w:right w:val="nil"/>
            </w:tcBorders>
          </w:tcPr>
          <w:p>
            <w:pPr>
              <w:pStyle w:val="Normal6a"/>
            </w:pPr>
            <w:r>
              <w:t>50.</w:t>
            </w:r>
            <w:r>
              <w:tab/>
            </w:r>
            <w:r>
              <w:t>vyzývá společné podniky, aby účinně informovaly o svém příspěvku k horizontálním prioritám rozpočtu Evropské unie</w:t>
            </w:r>
            <w:r>
              <w:rPr>
                <w:b/>
                <w:i/>
              </w:rPr>
              <w:t>;</w:t>
            </w:r>
            <w:r>
              <w:t xml:space="preserve"> </w:t>
            </w:r>
            <w:r>
              <w:rPr>
                <w:b/>
                <w:i/>
              </w:rPr>
              <w:t>vybízí společné podniky, aby jednaly v zájmu transparentnosti a odpovědnosti, pokud jde o správu veřejných prostředků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opakuje, že všechny společné podniky musí sladit své činnosti se Zelenou dohodou pro Evropu, cíli balíčku „Fit for 55“ a právním rámcem EU pro klima, aby byl zajištěn soulad se závazky EU v oblasti klimatu;</w:t>
            </w:r>
            <w:r>
              <w:t xml:space="preserve"> </w:t>
            </w:r>
            <w:r>
              <w:rPr>
                <w:b/>
                <w:i/>
              </w:rPr>
              <w:t>vyzývá Komisi, aby zavedla povinný mechanismus předběžného posuzování dopadů na klima pro všechny projekty financované společnými podniky, zejména v oblasti letectví, vodíku, železniční dopravy a biohospodářství;</w:t>
            </w:r>
            <w:r>
              <w:t xml:space="preserve"> </w:t>
            </w:r>
            <w:r>
              <w:rPr>
                <w:b/>
                <w:i/>
              </w:rPr>
              <w:t>zdůrazňuje, že všechny společné podniky by měly provádět každoroční podávání zpráv o uhlíkové stopě a zveřejňovat svůj příspěvek k cílům EU v oblasti dekarbonizace;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50b.</w:t>
            </w:r>
            <w:r>
              <w:tab/>
            </w:r>
            <w:r>
              <w:rPr>
                <w:b/>
                <w:i/>
              </w:rPr>
              <w:t>opakuje, že je třeba, aby všechny společné podniky ve svých projektech upřednostňovaly udržitelnost životního prostředí;</w:t>
            </w:r>
            <w:r>
              <w:t xml:space="preserve"> </w:t>
            </w:r>
            <w:r>
              <w:rPr>
                <w:b/>
                <w:i/>
              </w:rPr>
              <w:t>vyzývá Komisi, aby zajistila, že všechny společné podniky zavedou jasnou metodiku pro posuzování dopadu jejich financovaných projektů na životní prostředí, včetně povinného posuzování rizik v oblasti klimatu a biologické rozmanitosti;</w:t>
            </w:r>
            <w:r>
              <w:t xml:space="preserve"> </w:t>
            </w:r>
            <w:r>
              <w:rPr>
                <w:b/>
                <w:i/>
              </w:rPr>
              <w:t>vyzývá k zavedení klíčových ukazatelů výkonnosti v oblasti udržitelnosti ve výročních zprávách všech společných podniků, aby bylo možné sledovat jejich přínos k cílům EU v oblasti životního prostředí a klimatu;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50c.</w:t>
            </w:r>
            <w:r>
              <w:tab/>
            </w:r>
            <w:r>
              <w:rPr>
                <w:b/>
                <w:i/>
              </w:rPr>
              <w:t>naléhavě vyzývá všechny společné podniky, aby sladily své investiční strategie se Zelenou dohodou pro Evropu a cíli EU v oblasti klimatické neutrality;</w:t>
            </w:r>
            <w:r>
              <w:t xml:space="preserve"> </w:t>
            </w:r>
            <w:r>
              <w:rPr>
                <w:b/>
                <w:i/>
              </w:rPr>
              <w:t>zdůrazňuje, že projekty financované společným podnikem by měly upřednostňovat energetickou účinnost, zásady oběhového hospodářství a snižování emisí v souladu se zásadou „významně nepoškozovat“;</w:t>
            </w:r>
            <w:r>
              <w:t xml:space="preserve"> </w:t>
            </w:r>
            <w:r>
              <w:rPr>
                <w:b/>
                <w:i/>
              </w:rPr>
              <w:t>vyzývá k zavedení systému hodnocení dopadu změny klimatu, který by hodnotil udržitelnost iniciativ financovaných společným podnikem;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vyzývá všechny společné podniky, aby při provádění svých činností ve vztahu k mezinárodním zúčastněným stranám nadále jednaly s řádnou péčí, zejména s ohledem na režim restriktivních opatření, která zavedla Evropská unie; poukazuje zejména na situaci společného evropského podniku pro ITER a rozvoj energie z jaderné syntézy v tomto směru a vítá vysvětlení podaná během slyšení dotčeného společného podniku ve Výboru pro rozpočtovou kontrolu ohledně opatření zavedených za účelem prevence jakýchkoli problémů v rámci projektu ITER;</w:t>
            </w:r>
          </w:p>
        </w:tc>
        <w:tc>
          <w:tcPr>
            <w:tcW w:w="4876" w:type="dxa"/>
            <w:tcBorders>
              <w:top w:val="nil"/>
              <w:left w:val="nil"/>
              <w:bottom w:val="nil"/>
              <w:right w:val="nil"/>
            </w:tcBorders>
          </w:tcPr>
          <w:p>
            <w:pPr>
              <w:pStyle w:val="Normal6a"/>
            </w:pPr>
            <w:r>
              <w:t>51.</w:t>
            </w:r>
            <w:r>
              <w:tab/>
            </w:r>
            <w:r>
              <w:t xml:space="preserve">vyzývá všechny společné podniky, aby při provádění svých činností ve vztahu k mezinárodním zúčastněným stranám nadále jednaly s řádnou péčí, zejména s ohledem na režim restriktivních opatření, která zavedla Evropská unie; poukazuje zejména na situaci společného evropského podniku pro ITER a rozvoj energie z jaderné syntézy v tomto směru a vítá vysvětlení podaná během slyšení dotčeného společného podniku ve Výboru pro rozpočtovou kontrolu ohledně opatření zavedených za účelem prevence jakýchkoli problémů v rámci projektu ITER; </w:t>
            </w:r>
            <w:r>
              <w:rPr>
                <w:b/>
                <w:i/>
              </w:rPr>
              <w:t>uznává strategický význam projektu ITER pro budoucí energetickou nezávislost Evropy a zároveň zdůrazňuje, že projekt čelí značným zpožděním a překračování nákladů, což vyžaduje účinný rozpočtový dohled;</w:t>
            </w:r>
            <w:r>
              <w:t xml:space="preserve"> </w:t>
            </w:r>
            <w:r>
              <w:rPr>
                <w:b/>
                <w:i/>
              </w:rPr>
              <w:t>podle posledního harmonogramu potvrzeného projektovým řízením bylo zahájení počátečních výzkumných operací posunuto na rok 2034, zatímco plné provádění programu s sebou nese dodatečné náklady ve výši 5 miliard EUR;</w:t>
            </w:r>
            <w:r>
              <w:t xml:space="preserve"> </w:t>
            </w:r>
            <w:r>
              <w:rPr>
                <w:b/>
                <w:i/>
              </w:rPr>
              <w:t>s ohledem na to je nezbytné posílit opatření ke zlepšení nákladové efektivnosti a řízení projektů;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vyzývá správní radu a Komisi, aby v budoucích postupech udělování absolutoria poskytovaly podrobnější informace o důvodech překročení nákladů, strategiích řízení rizik a udržitelnosti harmonogramu projektu;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Terry Reintke</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zdůrazňuje potřebu digitální suverenity ve výzkumu financovaném EU;</w:t>
            </w:r>
            <w:r>
              <w:t xml:space="preserve"> </w:t>
            </w:r>
            <w:r>
              <w:rPr>
                <w:b/>
                <w:i/>
              </w:rPr>
              <w:t>v této souvislosti klade zvláštní důraz na společný podnik pro čipy, EuroHPC a společný podnik SNS, které upřednostňují projekty, které posilují autonomii EU v oblasti výroby polovodičů, umělé inteligence a kybernetické bezpečnosti;</w:t>
            </w:r>
            <w:r>
              <w:t xml:space="preserve"> </w:t>
            </w:r>
            <w:r>
              <w:rPr>
                <w:b/>
                <w:i/>
              </w:rPr>
              <w:t>žádá Komisi, aby zajistila, aby projekty financované společným podnikem:</w:t>
            </w:r>
            <w:r>
              <w:t xml:space="preserve"> </w:t>
            </w:r>
            <w:r>
              <w:rPr>
                <w:b/>
                <w:i/>
              </w:rPr>
              <w:t>i) nebyly nadměrně závislé na dodavatelích ze třetích zemí, pokud jde o kritické technologie;</w:t>
            </w:r>
            <w:r>
              <w:t xml:space="preserve"> </w:t>
            </w:r>
            <w:r>
              <w:rPr>
                <w:b/>
                <w:i/>
              </w:rPr>
              <w:t>ii) přispívaly k průmyslové odolnosti a strategické nezávislosti EU;</w:t>
            </w:r>
            <w:r>
              <w:t xml:space="preserve"> </w:t>
            </w:r>
            <w:r>
              <w:rPr>
                <w:b/>
                <w:i/>
              </w:rPr>
              <w:t>iii) podporovaly domácí výzkum a vývoj v klíčových digitálních odvětvích;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768.126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39</w:t>
    </w:r>
    <w:r>
      <w:fldChar w:fldCharType="end"/>
    </w:r>
    <w:r>
      <w:tab/>
    </w:r>
    <w:r>
      <w:rPr>
        <w:rStyle w:val="HideTWBExt"/>
      </w:rPr>
      <w:t>&lt;PathFdR&gt;</w:t>
    </w:r>
    <w:r>
      <w:t>AM\1314468CS.docx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AM\1314468CS.docx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39</w:t>
    </w:r>
    <w:r>
      <w:fldChar w:fldCharType="end"/>
    </w:r>
    <w:r>
      <w:tab/>
    </w:r>
    <w:r>
      <w:t>PE</w:t>
    </w:r>
    <w:r>
      <w:rPr>
        <w:rStyle w:val="HideTWBExt"/>
      </w:rPr>
      <w:t>&lt;NoPE&gt;</w:t>
    </w:r>
    <w:r>
      <w:t>768.126</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AM\1314468CS.docx</w:t>
    </w:r>
    <w:r>
      <w:rPr>
        <w:rStyle w:val="HideTWBExt"/>
      </w:rPr>
      <w:t>&lt;/PathFdR&gt;</w:t>
    </w:r>
    <w:r>
      <w:tab/>
    </w:r>
    <w:r>
      <w:tab/>
    </w:r>
    <w:r>
      <w:t>PE</w:t>
    </w:r>
    <w:r>
      <w:rPr>
        <w:rStyle w:val="HideTWBExt"/>
      </w:rPr>
      <w:t>&lt;NoPE&gt;</w:t>
    </w:r>
    <w:r>
      <w:t>768.126</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39</Pages>
  <Words>10374</Words>
  <Characters>61528</Characters>
  <Application>Microsoft Office Word</Application>
  <DocSecurity>0</DocSecurity>
  <Lines>1</Lines>
  <Paragraphs>475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1314468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132380</vt:lpwstr>
  </property>
  <property fmtid="{D5CDD505-2E9C-101B-9397-08002B2CF9AE}" pid="7" name="dmxml.render.traceId">
    <vt:lpwstr>67b82003bc4b7e41f1f4f027fecb5e08</vt:lpwstr>
  </property>
  <property fmtid="{D5CDD505-2E9C-101B-9397-08002B2CF9AE}" pid="8" name="FooterPath">
    <vt:lpwstr>AM\1314468CS.docx</vt:lpwstr>
  </property>
  <property fmtid="{D5CDD505-2E9C-101B-9397-08002B2CF9AE}" pid="9" name="PE Number">
    <vt:lpwstr>768.126</vt:lpwstr>
  </property>
  <property fmtid="{D5CDD505-2E9C-101B-9397-08002B2CF9AE}" pid="10" name="UID">
    <vt:lpwstr>eu.europa.europarl-DIN1-2025-0000016833_01.00-cs-01.00_text-xml</vt:lpwstr>
  </property>
</Properties>
</file>